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776A5" w14:textId="77777777" w:rsidR="00610D31" w:rsidRPr="00C03A91" w:rsidRDefault="00610D31" w:rsidP="00610D31">
      <w:pPr>
        <w:spacing w:line="360" w:lineRule="auto"/>
        <w:rPr>
          <w:rFonts w:ascii="Arial" w:hAnsi="Arial" w:cs="Arial"/>
        </w:rPr>
      </w:pPr>
    </w:p>
    <w:p w14:paraId="09EF86B0" w14:textId="77777777" w:rsidR="00610D31" w:rsidRPr="00C03A91" w:rsidRDefault="00610D31" w:rsidP="00610D31">
      <w:pPr>
        <w:spacing w:line="360" w:lineRule="auto"/>
        <w:rPr>
          <w:rFonts w:ascii="Arial" w:hAnsi="Arial" w:cs="Arial"/>
        </w:rPr>
      </w:pPr>
      <w:r w:rsidRPr="00C03A91">
        <w:rPr>
          <w:rFonts w:ascii="Arial" w:hAnsi="Arial" w:cs="Arial"/>
          <w:noProof/>
        </w:rPr>
        <w:drawing>
          <wp:anchor distT="0" distB="0" distL="114300" distR="114300" simplePos="0" relativeHeight="251659264" behindDoc="0" locked="0" layoutInCell="1" allowOverlap="1" wp14:anchorId="2DF0E0F2" wp14:editId="0CF281F4">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50ED33F" w14:textId="77777777" w:rsidR="00610D31" w:rsidRPr="00C03A91" w:rsidRDefault="00610D31" w:rsidP="00610D31">
      <w:pPr>
        <w:spacing w:line="360" w:lineRule="auto"/>
        <w:rPr>
          <w:rFonts w:ascii="Arial" w:hAnsi="Arial" w:cs="Arial"/>
        </w:rPr>
      </w:pPr>
    </w:p>
    <w:p w14:paraId="64CAF266" w14:textId="77777777" w:rsidR="00610D31" w:rsidRPr="00C03A91" w:rsidRDefault="00610D31" w:rsidP="00610D31">
      <w:pPr>
        <w:spacing w:line="360" w:lineRule="auto"/>
        <w:rPr>
          <w:rFonts w:ascii="Arial" w:hAnsi="Arial" w:cs="Arial"/>
        </w:rPr>
      </w:pPr>
    </w:p>
    <w:p w14:paraId="58C21D14" w14:textId="77777777" w:rsidR="00610D31" w:rsidRPr="00C03A91" w:rsidRDefault="00610D31" w:rsidP="00610D31">
      <w:pPr>
        <w:spacing w:line="360" w:lineRule="auto"/>
        <w:rPr>
          <w:rFonts w:ascii="Arial" w:hAnsi="Arial" w:cs="Arial"/>
        </w:rPr>
      </w:pPr>
    </w:p>
    <w:p w14:paraId="29E262EE" w14:textId="77777777" w:rsidR="00610D31" w:rsidRPr="00C03A91" w:rsidRDefault="00610D31" w:rsidP="00610D31">
      <w:pPr>
        <w:tabs>
          <w:tab w:val="left" w:pos="6540"/>
        </w:tabs>
        <w:spacing w:line="360" w:lineRule="auto"/>
        <w:rPr>
          <w:rFonts w:ascii="Arial" w:hAnsi="Arial" w:cs="Arial"/>
          <w:sz w:val="28"/>
          <w:szCs w:val="28"/>
        </w:rPr>
      </w:pPr>
    </w:p>
    <w:p w14:paraId="6CFA160E" w14:textId="7ECC31AD" w:rsidR="00610D31" w:rsidRPr="009A396B" w:rsidRDefault="00610D31" w:rsidP="00610D31">
      <w:pPr>
        <w:tabs>
          <w:tab w:val="left" w:pos="6540"/>
        </w:tabs>
        <w:spacing w:line="360" w:lineRule="auto"/>
        <w:rPr>
          <w:rFonts w:ascii="Arial" w:hAnsi="Arial" w:cs="Arial"/>
          <w:sz w:val="28"/>
          <w:szCs w:val="28"/>
        </w:rPr>
      </w:pPr>
      <w:r w:rsidRPr="009A396B">
        <w:rPr>
          <w:rFonts w:ascii="Arial" w:hAnsi="Arial" w:cs="Arial"/>
          <w:b/>
          <w:bCs/>
          <w:sz w:val="28"/>
          <w:szCs w:val="28"/>
        </w:rPr>
        <w:t>Student name</w:t>
      </w:r>
      <w:r w:rsidRPr="009A396B">
        <w:rPr>
          <w:rFonts w:ascii="Arial" w:hAnsi="Arial" w:cs="Arial"/>
          <w:sz w:val="28"/>
          <w:szCs w:val="28"/>
        </w:rPr>
        <w:t xml:space="preserve">: Seli </w:t>
      </w:r>
      <w:proofErr w:type="spellStart"/>
      <w:r w:rsidR="009A396B" w:rsidRPr="009A396B">
        <w:rPr>
          <w:rFonts w:ascii="Arial" w:hAnsi="Arial" w:cs="Arial"/>
          <w:sz w:val="28"/>
          <w:szCs w:val="28"/>
        </w:rPr>
        <w:t>itu</w:t>
      </w:r>
      <w:proofErr w:type="spellEnd"/>
      <w:r w:rsidRPr="009A396B">
        <w:rPr>
          <w:rFonts w:ascii="Arial" w:hAnsi="Arial" w:cs="Arial"/>
          <w:sz w:val="28"/>
          <w:szCs w:val="28"/>
        </w:rPr>
        <w:t xml:space="preserve"> Henriques Sequeira</w:t>
      </w:r>
    </w:p>
    <w:p w14:paraId="48C6B05C" w14:textId="7FF85618" w:rsidR="00610D31" w:rsidRPr="009A396B" w:rsidRDefault="00610D31" w:rsidP="00610D31">
      <w:pPr>
        <w:tabs>
          <w:tab w:val="left" w:pos="6540"/>
        </w:tabs>
        <w:spacing w:line="360" w:lineRule="auto"/>
        <w:rPr>
          <w:rFonts w:ascii="Arial" w:hAnsi="Arial" w:cs="Arial"/>
        </w:rPr>
      </w:pPr>
      <w:r w:rsidRPr="009A396B">
        <w:rPr>
          <w:rFonts w:ascii="Arial" w:hAnsi="Arial" w:cs="Arial"/>
          <w:b/>
          <w:bCs/>
          <w:sz w:val="28"/>
          <w:szCs w:val="28"/>
        </w:rPr>
        <w:t>Student ID</w:t>
      </w:r>
      <w:r w:rsidRPr="009A396B">
        <w:rPr>
          <w:rFonts w:ascii="Arial" w:hAnsi="Arial" w:cs="Arial"/>
          <w:sz w:val="28"/>
          <w:szCs w:val="28"/>
        </w:rPr>
        <w:t>:</w:t>
      </w:r>
      <w:r w:rsidR="009A396B" w:rsidRPr="009A396B">
        <w:rPr>
          <w:rFonts w:ascii="Arial" w:hAnsi="Arial" w:cs="Arial"/>
          <w:sz w:val="28"/>
          <w:szCs w:val="28"/>
        </w:rPr>
        <w:t>24</w:t>
      </w:r>
      <w:r w:rsidR="009A396B">
        <w:rPr>
          <w:rFonts w:ascii="Arial" w:hAnsi="Arial" w:cs="Arial"/>
          <w:sz w:val="28"/>
          <w:szCs w:val="28"/>
        </w:rPr>
        <w:t>12665</w:t>
      </w:r>
    </w:p>
    <w:p w14:paraId="096884CE" w14:textId="29673259" w:rsidR="00610D31" w:rsidRPr="009A396B" w:rsidRDefault="00610D31" w:rsidP="00610D31">
      <w:pPr>
        <w:tabs>
          <w:tab w:val="left" w:pos="6540"/>
        </w:tabs>
        <w:spacing w:line="360" w:lineRule="auto"/>
        <w:rPr>
          <w:rFonts w:ascii="Arial" w:hAnsi="Arial" w:cs="Arial"/>
          <w:sz w:val="28"/>
          <w:szCs w:val="28"/>
        </w:rPr>
      </w:pPr>
      <w:r w:rsidRPr="009A396B">
        <w:rPr>
          <w:rFonts w:ascii="Arial" w:hAnsi="Arial" w:cs="Arial"/>
          <w:b/>
          <w:bCs/>
          <w:sz w:val="28"/>
          <w:szCs w:val="28"/>
        </w:rPr>
        <w:t>Module name</w:t>
      </w:r>
      <w:r w:rsidRPr="009A396B">
        <w:rPr>
          <w:rFonts w:ascii="Arial" w:hAnsi="Arial" w:cs="Arial"/>
          <w:sz w:val="28"/>
          <w:szCs w:val="28"/>
        </w:rPr>
        <w:t>:  Introduction to Physiology</w:t>
      </w:r>
    </w:p>
    <w:p w14:paraId="09BB7BFA" w14:textId="158709A8" w:rsidR="00610D31" w:rsidRPr="00610D31" w:rsidRDefault="00610D31" w:rsidP="00610D31">
      <w:pPr>
        <w:tabs>
          <w:tab w:val="left" w:pos="6540"/>
        </w:tabs>
        <w:spacing w:line="360" w:lineRule="auto"/>
        <w:rPr>
          <w:rFonts w:ascii="Arial" w:hAnsi="Arial" w:cs="Arial"/>
          <w:sz w:val="28"/>
          <w:szCs w:val="28"/>
        </w:rPr>
      </w:pPr>
      <w:r w:rsidRPr="00610D31">
        <w:rPr>
          <w:rFonts w:ascii="Arial" w:hAnsi="Arial" w:cs="Arial"/>
          <w:b/>
          <w:bCs/>
          <w:sz w:val="28"/>
          <w:szCs w:val="28"/>
        </w:rPr>
        <w:t>Module code</w:t>
      </w:r>
      <w:r w:rsidRPr="00610D31">
        <w:rPr>
          <w:rFonts w:ascii="Arial" w:hAnsi="Arial" w:cs="Arial"/>
          <w:sz w:val="28"/>
          <w:szCs w:val="28"/>
        </w:rPr>
        <w:t>: BMHP5023</w:t>
      </w:r>
    </w:p>
    <w:p w14:paraId="3FF4FCC6" w14:textId="114624F6" w:rsidR="00610D31" w:rsidRPr="00DC5D6D" w:rsidRDefault="00610D31" w:rsidP="00610D31">
      <w:pPr>
        <w:tabs>
          <w:tab w:val="left" w:pos="6540"/>
        </w:tabs>
        <w:spacing w:line="360" w:lineRule="auto"/>
        <w:rPr>
          <w:rFonts w:ascii="Arial" w:hAnsi="Arial" w:cs="Arial"/>
          <w:sz w:val="28"/>
          <w:szCs w:val="28"/>
        </w:rPr>
      </w:pPr>
      <w:r w:rsidRPr="00610D31">
        <w:rPr>
          <w:rFonts w:ascii="Arial" w:hAnsi="Arial" w:cs="Arial"/>
          <w:b/>
          <w:bCs/>
          <w:sz w:val="28"/>
          <w:szCs w:val="28"/>
        </w:rPr>
        <w:t>Lecturer name</w:t>
      </w:r>
      <w:r w:rsidRPr="00610D31">
        <w:rPr>
          <w:rFonts w:ascii="Arial" w:hAnsi="Arial" w:cs="Arial"/>
          <w:sz w:val="28"/>
          <w:szCs w:val="28"/>
        </w:rPr>
        <w:t>: Shaila Hussain</w:t>
      </w:r>
    </w:p>
    <w:p w14:paraId="0564013B" w14:textId="688FDCD1" w:rsidR="00610D31" w:rsidRPr="00DC5D6D" w:rsidRDefault="00610D31" w:rsidP="00610D31">
      <w:pPr>
        <w:jc w:val="center"/>
        <w:rPr>
          <w:rFonts w:ascii="Arial" w:hAnsi="Arial" w:cs="Arial"/>
          <w:b/>
          <w:bCs/>
          <w:sz w:val="28"/>
          <w:szCs w:val="28"/>
        </w:rPr>
      </w:pPr>
      <w:r w:rsidRPr="00DC5D6D">
        <w:rPr>
          <w:rFonts w:ascii="Arial" w:hAnsi="Arial" w:cs="Arial"/>
          <w:b/>
          <w:bCs/>
          <w:sz w:val="28"/>
          <w:szCs w:val="28"/>
        </w:rPr>
        <w:t>Assessment:</w:t>
      </w:r>
    </w:p>
    <w:p w14:paraId="2195A0AF" w14:textId="5E087456" w:rsidR="00610D31" w:rsidRPr="00DC5D6D" w:rsidRDefault="00610D31" w:rsidP="00610D31">
      <w:pPr>
        <w:jc w:val="center"/>
        <w:rPr>
          <w:rFonts w:ascii="Arial" w:hAnsi="Arial" w:cs="Arial"/>
          <w:b/>
          <w:bCs/>
          <w:sz w:val="28"/>
          <w:szCs w:val="28"/>
        </w:rPr>
      </w:pPr>
      <w:r w:rsidRPr="00DC5D6D">
        <w:rPr>
          <w:rFonts w:ascii="Arial" w:hAnsi="Arial" w:cs="Arial"/>
          <w:b/>
          <w:bCs/>
          <w:sz w:val="28"/>
          <w:szCs w:val="28"/>
        </w:rPr>
        <w:t>Understanding Type 2 Diabetes: A Patient-Focused Case Study from Primary Care</w:t>
      </w:r>
    </w:p>
    <w:p w14:paraId="700BB7D3" w14:textId="2F5A0526" w:rsidR="00DC5D6D" w:rsidRPr="00610D31" w:rsidRDefault="00DC5D6D" w:rsidP="00DC5D6D">
      <w:pPr>
        <w:ind w:left="-2665" w:right="-2665"/>
        <w:jc w:val="center"/>
        <w:rPr>
          <w:rFonts w:ascii="Arial" w:hAnsi="Arial" w:cs="Arial"/>
          <w:b/>
          <w:bCs/>
          <w:sz w:val="28"/>
          <w:szCs w:val="28"/>
        </w:rPr>
      </w:pPr>
      <w:r>
        <w:rPr>
          <w:noProof/>
        </w:rPr>
        <w:drawing>
          <wp:inline distT="0" distB="0" distL="0" distR="0" wp14:anchorId="25FD6947" wp14:editId="2BF1F470">
            <wp:extent cx="6527440" cy="3641943"/>
            <wp:effectExtent l="0" t="0" r="6985" b="0"/>
            <wp:docPr id="532077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571845" cy="3666718"/>
                    </a:xfrm>
                    <a:prstGeom prst="rect">
                      <a:avLst/>
                    </a:prstGeom>
                    <a:noFill/>
                    <a:ln>
                      <a:noFill/>
                    </a:ln>
                  </pic:spPr>
                </pic:pic>
              </a:graphicData>
            </a:graphic>
          </wp:inline>
        </w:drawing>
      </w:r>
    </w:p>
    <w:sdt>
      <w:sdtPr>
        <w:rPr>
          <w:rFonts w:asciiTheme="minorHAnsi" w:eastAsiaTheme="minorHAnsi" w:hAnsiTheme="minorHAnsi" w:cstheme="minorBidi"/>
          <w:color w:val="auto"/>
          <w:kern w:val="2"/>
          <w:sz w:val="24"/>
          <w:szCs w:val="24"/>
          <w:lang w:eastAsia="en-US"/>
          <w14:ligatures w14:val="standardContextual"/>
        </w:rPr>
        <w:id w:val="202378026"/>
        <w:docPartObj>
          <w:docPartGallery w:val="Table of Contents"/>
          <w:docPartUnique/>
        </w:docPartObj>
      </w:sdtPr>
      <w:sdtEndPr>
        <w:rPr>
          <w:b/>
          <w:bCs/>
        </w:rPr>
      </w:sdtEndPr>
      <w:sdtContent>
        <w:p w14:paraId="0601FF94" w14:textId="176BF65D" w:rsidR="00271B25" w:rsidRDefault="00271B25">
          <w:pPr>
            <w:pStyle w:val="TOCHeading"/>
          </w:pPr>
          <w:r>
            <w:t>Table of Contents</w:t>
          </w:r>
        </w:p>
        <w:p w14:paraId="65EF646E" w14:textId="745F45A7" w:rsidR="00E52FA0" w:rsidRDefault="00271B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030759" w:history="1">
            <w:r w:rsidR="00E52FA0" w:rsidRPr="0034455E">
              <w:rPr>
                <w:rStyle w:val="Hyperlink"/>
                <w:noProof/>
              </w:rPr>
              <w:t>1. Introduction</w:t>
            </w:r>
            <w:r w:rsidR="00E52FA0">
              <w:rPr>
                <w:noProof/>
                <w:webHidden/>
              </w:rPr>
              <w:tab/>
            </w:r>
            <w:r w:rsidR="00E52FA0">
              <w:rPr>
                <w:noProof/>
                <w:webHidden/>
              </w:rPr>
              <w:fldChar w:fldCharType="begin"/>
            </w:r>
            <w:r w:rsidR="00E52FA0">
              <w:rPr>
                <w:noProof/>
                <w:webHidden/>
              </w:rPr>
              <w:instrText xml:space="preserve"> PAGEREF _Toc225030759 \h </w:instrText>
            </w:r>
            <w:r w:rsidR="00E52FA0">
              <w:rPr>
                <w:noProof/>
                <w:webHidden/>
              </w:rPr>
            </w:r>
            <w:r w:rsidR="00E52FA0">
              <w:rPr>
                <w:noProof/>
                <w:webHidden/>
              </w:rPr>
              <w:fldChar w:fldCharType="separate"/>
            </w:r>
            <w:r w:rsidR="00E52FA0">
              <w:rPr>
                <w:noProof/>
                <w:webHidden/>
              </w:rPr>
              <w:t>3</w:t>
            </w:r>
            <w:r w:rsidR="00E52FA0">
              <w:rPr>
                <w:noProof/>
                <w:webHidden/>
              </w:rPr>
              <w:fldChar w:fldCharType="end"/>
            </w:r>
          </w:hyperlink>
        </w:p>
        <w:p w14:paraId="2BECB950" w14:textId="49845BA8" w:rsidR="00E52FA0" w:rsidRDefault="00E52FA0">
          <w:pPr>
            <w:pStyle w:val="TOC1"/>
            <w:tabs>
              <w:tab w:val="right" w:leader="dot" w:pos="9016"/>
            </w:tabs>
            <w:rPr>
              <w:rFonts w:eastAsiaTheme="minorEastAsia"/>
              <w:noProof/>
              <w:lang w:eastAsia="en-GB"/>
            </w:rPr>
          </w:pPr>
          <w:hyperlink w:anchor="_Toc225030760" w:history="1">
            <w:r w:rsidRPr="0034455E">
              <w:rPr>
                <w:rStyle w:val="Hyperlink"/>
                <w:noProof/>
              </w:rPr>
              <w:t>2. Blood Sugar Regulation (Homeostasis)</w:t>
            </w:r>
            <w:r>
              <w:rPr>
                <w:noProof/>
                <w:webHidden/>
              </w:rPr>
              <w:tab/>
            </w:r>
            <w:r>
              <w:rPr>
                <w:noProof/>
                <w:webHidden/>
              </w:rPr>
              <w:fldChar w:fldCharType="begin"/>
            </w:r>
            <w:r>
              <w:rPr>
                <w:noProof/>
                <w:webHidden/>
              </w:rPr>
              <w:instrText xml:space="preserve"> PAGEREF _Toc225030760 \h </w:instrText>
            </w:r>
            <w:r>
              <w:rPr>
                <w:noProof/>
                <w:webHidden/>
              </w:rPr>
            </w:r>
            <w:r>
              <w:rPr>
                <w:noProof/>
                <w:webHidden/>
              </w:rPr>
              <w:fldChar w:fldCharType="separate"/>
            </w:r>
            <w:r>
              <w:rPr>
                <w:noProof/>
                <w:webHidden/>
              </w:rPr>
              <w:t>4</w:t>
            </w:r>
            <w:r>
              <w:rPr>
                <w:noProof/>
                <w:webHidden/>
              </w:rPr>
              <w:fldChar w:fldCharType="end"/>
            </w:r>
          </w:hyperlink>
        </w:p>
        <w:p w14:paraId="338DF460" w14:textId="729AF691" w:rsidR="00E52FA0" w:rsidRDefault="00E52FA0">
          <w:pPr>
            <w:pStyle w:val="TOC1"/>
            <w:tabs>
              <w:tab w:val="right" w:leader="dot" w:pos="9016"/>
            </w:tabs>
            <w:rPr>
              <w:rFonts w:eastAsiaTheme="minorEastAsia"/>
              <w:noProof/>
              <w:lang w:eastAsia="en-GB"/>
            </w:rPr>
          </w:pPr>
          <w:hyperlink w:anchor="_Toc225030761" w:history="1">
            <w:r w:rsidRPr="0034455E">
              <w:rPr>
                <w:rStyle w:val="Hyperlink"/>
                <w:noProof/>
              </w:rPr>
              <w:t>3. Cellular Metabolism – How Oxygen and Glucose Make Energy</w:t>
            </w:r>
            <w:r>
              <w:rPr>
                <w:noProof/>
                <w:webHidden/>
              </w:rPr>
              <w:tab/>
            </w:r>
            <w:r>
              <w:rPr>
                <w:noProof/>
                <w:webHidden/>
              </w:rPr>
              <w:fldChar w:fldCharType="begin"/>
            </w:r>
            <w:r>
              <w:rPr>
                <w:noProof/>
                <w:webHidden/>
              </w:rPr>
              <w:instrText xml:space="preserve"> PAGEREF _Toc225030761 \h </w:instrText>
            </w:r>
            <w:r>
              <w:rPr>
                <w:noProof/>
                <w:webHidden/>
              </w:rPr>
            </w:r>
            <w:r>
              <w:rPr>
                <w:noProof/>
                <w:webHidden/>
              </w:rPr>
              <w:fldChar w:fldCharType="separate"/>
            </w:r>
            <w:r>
              <w:rPr>
                <w:noProof/>
                <w:webHidden/>
              </w:rPr>
              <w:t>5</w:t>
            </w:r>
            <w:r>
              <w:rPr>
                <w:noProof/>
                <w:webHidden/>
              </w:rPr>
              <w:fldChar w:fldCharType="end"/>
            </w:r>
          </w:hyperlink>
        </w:p>
        <w:p w14:paraId="67E4D732" w14:textId="0C29FC0F" w:rsidR="00E52FA0" w:rsidRDefault="00E52FA0">
          <w:pPr>
            <w:pStyle w:val="TOC1"/>
            <w:tabs>
              <w:tab w:val="right" w:leader="dot" w:pos="9016"/>
            </w:tabs>
            <w:rPr>
              <w:rFonts w:eastAsiaTheme="minorEastAsia"/>
              <w:noProof/>
              <w:lang w:eastAsia="en-GB"/>
            </w:rPr>
          </w:pPr>
          <w:hyperlink w:anchor="_Toc225030762" w:history="1">
            <w:r w:rsidRPr="0034455E">
              <w:rPr>
                <w:rStyle w:val="Hyperlink"/>
                <w:noProof/>
              </w:rPr>
              <w:t>4. Recording and Tracking Blood Sugar Levels for Type 2 Diabetes</w:t>
            </w:r>
            <w:r>
              <w:rPr>
                <w:noProof/>
                <w:webHidden/>
              </w:rPr>
              <w:tab/>
            </w:r>
            <w:r>
              <w:rPr>
                <w:noProof/>
                <w:webHidden/>
              </w:rPr>
              <w:fldChar w:fldCharType="begin"/>
            </w:r>
            <w:r>
              <w:rPr>
                <w:noProof/>
                <w:webHidden/>
              </w:rPr>
              <w:instrText xml:space="preserve"> PAGEREF _Toc225030762 \h </w:instrText>
            </w:r>
            <w:r>
              <w:rPr>
                <w:noProof/>
                <w:webHidden/>
              </w:rPr>
            </w:r>
            <w:r>
              <w:rPr>
                <w:noProof/>
                <w:webHidden/>
              </w:rPr>
              <w:fldChar w:fldCharType="separate"/>
            </w:r>
            <w:r>
              <w:rPr>
                <w:noProof/>
                <w:webHidden/>
              </w:rPr>
              <w:t>6</w:t>
            </w:r>
            <w:r>
              <w:rPr>
                <w:noProof/>
                <w:webHidden/>
              </w:rPr>
              <w:fldChar w:fldCharType="end"/>
            </w:r>
          </w:hyperlink>
        </w:p>
        <w:p w14:paraId="51208E93" w14:textId="70910639" w:rsidR="00E52FA0" w:rsidRDefault="00E52FA0">
          <w:pPr>
            <w:pStyle w:val="TOC1"/>
            <w:tabs>
              <w:tab w:val="right" w:leader="dot" w:pos="9016"/>
            </w:tabs>
            <w:rPr>
              <w:rFonts w:eastAsiaTheme="minorEastAsia"/>
              <w:noProof/>
              <w:lang w:eastAsia="en-GB"/>
            </w:rPr>
          </w:pPr>
          <w:hyperlink w:anchor="_Toc225030763" w:history="1">
            <w:r w:rsidR="00003C43">
              <w:rPr>
                <w:rStyle w:val="Hyperlink"/>
                <w:noProof/>
              </w:rPr>
              <w:t>5. Recommendations – Evidence-Based Lifestyle Changes: Diet</w:t>
            </w:r>
            <w:r w:rsidR="00003C43">
              <w:rPr>
                <w:rStyle w:val="Hyperlink"/>
                <w:noProof/>
              </w:rPr>
              <w:tab/>
              <w:t>8</w:t>
            </w:r>
          </w:hyperlink>
        </w:p>
        <w:p w14:paraId="690A8F71" w14:textId="72180ABE" w:rsidR="00E52FA0" w:rsidRDefault="00E52FA0">
          <w:pPr>
            <w:pStyle w:val="TOC2"/>
            <w:tabs>
              <w:tab w:val="right" w:leader="dot" w:pos="9016"/>
            </w:tabs>
            <w:rPr>
              <w:rFonts w:eastAsiaTheme="minorEastAsia"/>
              <w:noProof/>
              <w:lang w:eastAsia="en-GB"/>
            </w:rPr>
          </w:pPr>
          <w:hyperlink w:anchor="_Toc225030764" w:history="1">
            <w:r w:rsidRPr="0034455E">
              <w:rPr>
                <w:rStyle w:val="Hyperlink"/>
                <w:noProof/>
              </w:rPr>
              <w:t>Physical Activity</w:t>
            </w:r>
            <w:r>
              <w:rPr>
                <w:noProof/>
                <w:webHidden/>
              </w:rPr>
              <w:tab/>
            </w:r>
            <w:r>
              <w:rPr>
                <w:noProof/>
                <w:webHidden/>
              </w:rPr>
              <w:fldChar w:fldCharType="begin"/>
            </w:r>
            <w:r>
              <w:rPr>
                <w:noProof/>
                <w:webHidden/>
              </w:rPr>
              <w:instrText xml:space="preserve"> PAGEREF _Toc225030764 \h </w:instrText>
            </w:r>
            <w:r>
              <w:rPr>
                <w:noProof/>
                <w:webHidden/>
              </w:rPr>
            </w:r>
            <w:r>
              <w:rPr>
                <w:noProof/>
                <w:webHidden/>
              </w:rPr>
              <w:fldChar w:fldCharType="separate"/>
            </w:r>
            <w:r>
              <w:rPr>
                <w:noProof/>
                <w:webHidden/>
              </w:rPr>
              <w:t>8</w:t>
            </w:r>
            <w:r>
              <w:rPr>
                <w:noProof/>
                <w:webHidden/>
              </w:rPr>
              <w:fldChar w:fldCharType="end"/>
            </w:r>
          </w:hyperlink>
        </w:p>
        <w:p w14:paraId="552DCD6C" w14:textId="69A0C5C9" w:rsidR="00E52FA0" w:rsidRDefault="00E52FA0">
          <w:pPr>
            <w:pStyle w:val="TOC2"/>
            <w:tabs>
              <w:tab w:val="right" w:leader="dot" w:pos="9016"/>
            </w:tabs>
            <w:rPr>
              <w:rFonts w:eastAsiaTheme="minorEastAsia"/>
              <w:noProof/>
              <w:lang w:eastAsia="en-GB"/>
            </w:rPr>
          </w:pPr>
          <w:hyperlink w:anchor="_Toc225030765" w:history="1">
            <w:r w:rsidRPr="0034455E">
              <w:rPr>
                <w:rStyle w:val="Hyperlink"/>
                <w:noProof/>
              </w:rPr>
              <w:t>Smoking</w:t>
            </w:r>
            <w:r>
              <w:rPr>
                <w:noProof/>
                <w:webHidden/>
              </w:rPr>
              <w:tab/>
            </w:r>
            <w:r>
              <w:rPr>
                <w:noProof/>
                <w:webHidden/>
              </w:rPr>
              <w:fldChar w:fldCharType="begin"/>
            </w:r>
            <w:r>
              <w:rPr>
                <w:noProof/>
                <w:webHidden/>
              </w:rPr>
              <w:instrText xml:space="preserve"> PAGEREF _Toc225030765 \h </w:instrText>
            </w:r>
            <w:r>
              <w:rPr>
                <w:noProof/>
                <w:webHidden/>
              </w:rPr>
            </w:r>
            <w:r>
              <w:rPr>
                <w:noProof/>
                <w:webHidden/>
              </w:rPr>
              <w:fldChar w:fldCharType="separate"/>
            </w:r>
            <w:r>
              <w:rPr>
                <w:noProof/>
                <w:webHidden/>
              </w:rPr>
              <w:t>8</w:t>
            </w:r>
            <w:r>
              <w:rPr>
                <w:noProof/>
                <w:webHidden/>
              </w:rPr>
              <w:fldChar w:fldCharType="end"/>
            </w:r>
          </w:hyperlink>
        </w:p>
        <w:p w14:paraId="592E8D3D" w14:textId="79F1844D" w:rsidR="00E52FA0" w:rsidRDefault="00E52FA0">
          <w:pPr>
            <w:pStyle w:val="TOC2"/>
            <w:tabs>
              <w:tab w:val="right" w:leader="dot" w:pos="9016"/>
            </w:tabs>
            <w:rPr>
              <w:rFonts w:eastAsiaTheme="minorEastAsia"/>
              <w:noProof/>
              <w:lang w:eastAsia="en-GB"/>
            </w:rPr>
          </w:pPr>
          <w:hyperlink w:anchor="_Toc225030766" w:history="1">
            <w:r w:rsidRPr="0034455E">
              <w:rPr>
                <w:rStyle w:val="Hyperlink"/>
                <w:noProof/>
              </w:rPr>
              <w:t>Additional Support and Health Promotion</w:t>
            </w:r>
            <w:r>
              <w:rPr>
                <w:noProof/>
                <w:webHidden/>
              </w:rPr>
              <w:tab/>
            </w:r>
            <w:r>
              <w:rPr>
                <w:noProof/>
                <w:webHidden/>
              </w:rPr>
              <w:fldChar w:fldCharType="begin"/>
            </w:r>
            <w:r>
              <w:rPr>
                <w:noProof/>
                <w:webHidden/>
              </w:rPr>
              <w:instrText xml:space="preserve"> PAGEREF _Toc225030766 \h </w:instrText>
            </w:r>
            <w:r>
              <w:rPr>
                <w:noProof/>
                <w:webHidden/>
              </w:rPr>
            </w:r>
            <w:r>
              <w:rPr>
                <w:noProof/>
                <w:webHidden/>
              </w:rPr>
              <w:fldChar w:fldCharType="separate"/>
            </w:r>
            <w:r>
              <w:rPr>
                <w:noProof/>
                <w:webHidden/>
              </w:rPr>
              <w:t>9</w:t>
            </w:r>
            <w:r>
              <w:rPr>
                <w:noProof/>
                <w:webHidden/>
              </w:rPr>
              <w:fldChar w:fldCharType="end"/>
            </w:r>
          </w:hyperlink>
        </w:p>
        <w:p w14:paraId="69ED314D" w14:textId="1FC23F34" w:rsidR="00E52FA0" w:rsidRDefault="00E52FA0">
          <w:pPr>
            <w:pStyle w:val="TOC1"/>
            <w:tabs>
              <w:tab w:val="right" w:leader="dot" w:pos="9016"/>
            </w:tabs>
            <w:rPr>
              <w:rFonts w:eastAsiaTheme="minorEastAsia"/>
              <w:noProof/>
              <w:lang w:eastAsia="en-GB"/>
            </w:rPr>
          </w:pPr>
          <w:hyperlink w:anchor="_Toc225030767" w:history="1">
            <w:r w:rsidRPr="0034455E">
              <w:rPr>
                <w:rStyle w:val="Hyperlink"/>
                <w:noProof/>
              </w:rPr>
              <w:t>6. Conclusion</w:t>
            </w:r>
            <w:r>
              <w:rPr>
                <w:noProof/>
                <w:webHidden/>
              </w:rPr>
              <w:tab/>
            </w:r>
            <w:r>
              <w:rPr>
                <w:noProof/>
                <w:webHidden/>
              </w:rPr>
              <w:fldChar w:fldCharType="begin"/>
            </w:r>
            <w:r>
              <w:rPr>
                <w:noProof/>
                <w:webHidden/>
              </w:rPr>
              <w:instrText xml:space="preserve"> PAGEREF _Toc225030767 \h </w:instrText>
            </w:r>
            <w:r>
              <w:rPr>
                <w:noProof/>
                <w:webHidden/>
              </w:rPr>
            </w:r>
            <w:r>
              <w:rPr>
                <w:noProof/>
                <w:webHidden/>
              </w:rPr>
              <w:fldChar w:fldCharType="separate"/>
            </w:r>
            <w:r>
              <w:rPr>
                <w:noProof/>
                <w:webHidden/>
              </w:rPr>
              <w:t>9</w:t>
            </w:r>
            <w:r>
              <w:rPr>
                <w:noProof/>
                <w:webHidden/>
              </w:rPr>
              <w:fldChar w:fldCharType="end"/>
            </w:r>
          </w:hyperlink>
        </w:p>
        <w:p w14:paraId="4B895680" w14:textId="58D09C15" w:rsidR="00E52FA0" w:rsidRDefault="00E52FA0">
          <w:pPr>
            <w:pStyle w:val="TOC1"/>
            <w:tabs>
              <w:tab w:val="right" w:leader="dot" w:pos="9016"/>
            </w:tabs>
            <w:rPr>
              <w:rFonts w:eastAsiaTheme="minorEastAsia"/>
              <w:noProof/>
              <w:lang w:eastAsia="en-GB"/>
            </w:rPr>
          </w:pPr>
          <w:hyperlink w:anchor="_Toc225030768" w:history="1">
            <w:r w:rsidRPr="0034455E">
              <w:rPr>
                <w:rStyle w:val="Hyperlink"/>
                <w:noProof/>
              </w:rPr>
              <w:t>Reference</w:t>
            </w:r>
            <w:r>
              <w:rPr>
                <w:noProof/>
                <w:webHidden/>
              </w:rPr>
              <w:tab/>
            </w:r>
            <w:r>
              <w:rPr>
                <w:noProof/>
                <w:webHidden/>
              </w:rPr>
              <w:fldChar w:fldCharType="begin"/>
            </w:r>
            <w:r>
              <w:rPr>
                <w:noProof/>
                <w:webHidden/>
              </w:rPr>
              <w:instrText xml:space="preserve"> PAGEREF _Toc225030768 \h </w:instrText>
            </w:r>
            <w:r>
              <w:rPr>
                <w:noProof/>
                <w:webHidden/>
              </w:rPr>
            </w:r>
            <w:r>
              <w:rPr>
                <w:noProof/>
                <w:webHidden/>
              </w:rPr>
              <w:fldChar w:fldCharType="separate"/>
            </w:r>
            <w:r>
              <w:rPr>
                <w:noProof/>
                <w:webHidden/>
              </w:rPr>
              <w:t>10</w:t>
            </w:r>
            <w:r>
              <w:rPr>
                <w:noProof/>
                <w:webHidden/>
              </w:rPr>
              <w:fldChar w:fldCharType="end"/>
            </w:r>
          </w:hyperlink>
        </w:p>
        <w:p w14:paraId="15B6799B" w14:textId="6EC84C2E" w:rsidR="00271B25" w:rsidRDefault="00271B25">
          <w:r>
            <w:rPr>
              <w:b/>
              <w:bCs/>
            </w:rPr>
            <w:fldChar w:fldCharType="end"/>
          </w:r>
        </w:p>
      </w:sdtContent>
    </w:sdt>
    <w:p w14:paraId="37E5115A" w14:textId="77777777" w:rsidR="00610D31" w:rsidRDefault="00610D31" w:rsidP="00526E27">
      <w:pPr>
        <w:rPr>
          <w:rFonts w:ascii="Arial" w:hAnsi="Arial" w:cs="Arial"/>
          <w:b/>
          <w:bCs/>
        </w:rPr>
      </w:pPr>
    </w:p>
    <w:p w14:paraId="6DE6CC5A" w14:textId="77777777" w:rsidR="00271B25" w:rsidRDefault="00271B25" w:rsidP="00526E27">
      <w:pPr>
        <w:rPr>
          <w:rFonts w:ascii="Arial" w:hAnsi="Arial" w:cs="Arial"/>
          <w:b/>
          <w:bCs/>
        </w:rPr>
      </w:pPr>
    </w:p>
    <w:p w14:paraId="43259707" w14:textId="77777777" w:rsidR="00271B25" w:rsidRDefault="00271B25" w:rsidP="00526E27">
      <w:pPr>
        <w:rPr>
          <w:rFonts w:ascii="Arial" w:hAnsi="Arial" w:cs="Arial"/>
          <w:b/>
          <w:bCs/>
        </w:rPr>
      </w:pPr>
    </w:p>
    <w:p w14:paraId="189116B2" w14:textId="77777777" w:rsidR="00271B25" w:rsidRDefault="00271B25" w:rsidP="00526E27">
      <w:pPr>
        <w:rPr>
          <w:rFonts w:ascii="Arial" w:hAnsi="Arial" w:cs="Arial"/>
          <w:b/>
          <w:bCs/>
        </w:rPr>
      </w:pPr>
    </w:p>
    <w:p w14:paraId="39D3D6AA" w14:textId="77777777" w:rsidR="00271B25" w:rsidRDefault="00271B25" w:rsidP="00526E27">
      <w:pPr>
        <w:rPr>
          <w:rFonts w:ascii="Arial" w:hAnsi="Arial" w:cs="Arial"/>
          <w:b/>
          <w:bCs/>
        </w:rPr>
      </w:pPr>
    </w:p>
    <w:p w14:paraId="59B7EA43" w14:textId="77777777" w:rsidR="00271B25" w:rsidRDefault="00271B25" w:rsidP="00526E27">
      <w:pPr>
        <w:rPr>
          <w:rFonts w:ascii="Arial" w:hAnsi="Arial" w:cs="Arial"/>
          <w:b/>
          <w:bCs/>
        </w:rPr>
      </w:pPr>
    </w:p>
    <w:p w14:paraId="0653C4B7" w14:textId="77777777" w:rsidR="00271B25" w:rsidRDefault="00271B25" w:rsidP="00526E27">
      <w:pPr>
        <w:rPr>
          <w:rFonts w:ascii="Arial" w:hAnsi="Arial" w:cs="Arial"/>
          <w:b/>
          <w:bCs/>
        </w:rPr>
      </w:pPr>
    </w:p>
    <w:p w14:paraId="68B75E26" w14:textId="77777777" w:rsidR="00271B25" w:rsidRDefault="00271B25" w:rsidP="00526E27">
      <w:pPr>
        <w:rPr>
          <w:rFonts w:ascii="Arial" w:hAnsi="Arial" w:cs="Arial"/>
          <w:b/>
          <w:bCs/>
        </w:rPr>
      </w:pPr>
    </w:p>
    <w:p w14:paraId="3D5701BF" w14:textId="77777777" w:rsidR="00271B25" w:rsidRDefault="00271B25" w:rsidP="00526E27">
      <w:pPr>
        <w:rPr>
          <w:rFonts w:ascii="Arial" w:hAnsi="Arial" w:cs="Arial"/>
          <w:b/>
          <w:bCs/>
        </w:rPr>
      </w:pPr>
    </w:p>
    <w:p w14:paraId="2013A9E8" w14:textId="77777777" w:rsidR="00271B25" w:rsidRDefault="00271B25" w:rsidP="00526E27">
      <w:pPr>
        <w:rPr>
          <w:rFonts w:ascii="Arial" w:hAnsi="Arial" w:cs="Arial"/>
          <w:b/>
          <w:bCs/>
        </w:rPr>
      </w:pPr>
    </w:p>
    <w:p w14:paraId="197AA57F" w14:textId="77777777" w:rsidR="00271B25" w:rsidRDefault="00271B25" w:rsidP="00526E27">
      <w:pPr>
        <w:rPr>
          <w:rFonts w:ascii="Arial" w:hAnsi="Arial" w:cs="Arial"/>
          <w:b/>
          <w:bCs/>
        </w:rPr>
      </w:pPr>
    </w:p>
    <w:p w14:paraId="2257454B" w14:textId="77777777" w:rsidR="00271B25" w:rsidRDefault="00271B25" w:rsidP="00526E27">
      <w:pPr>
        <w:rPr>
          <w:rFonts w:ascii="Arial" w:hAnsi="Arial" w:cs="Arial"/>
          <w:b/>
          <w:bCs/>
        </w:rPr>
      </w:pPr>
    </w:p>
    <w:p w14:paraId="43625D83" w14:textId="77777777" w:rsidR="00271B25" w:rsidRDefault="00271B25" w:rsidP="00526E27">
      <w:pPr>
        <w:rPr>
          <w:rFonts w:ascii="Arial" w:hAnsi="Arial" w:cs="Arial"/>
          <w:b/>
          <w:bCs/>
        </w:rPr>
      </w:pPr>
    </w:p>
    <w:p w14:paraId="7F6415A9" w14:textId="77777777" w:rsidR="00271B25" w:rsidRDefault="00271B25" w:rsidP="00526E27">
      <w:pPr>
        <w:rPr>
          <w:rFonts w:ascii="Arial" w:hAnsi="Arial" w:cs="Arial"/>
          <w:b/>
          <w:bCs/>
        </w:rPr>
      </w:pPr>
    </w:p>
    <w:p w14:paraId="233E8EF6" w14:textId="77777777" w:rsidR="00271B25" w:rsidRDefault="00271B25" w:rsidP="00526E27">
      <w:pPr>
        <w:rPr>
          <w:rFonts w:ascii="Arial" w:hAnsi="Arial" w:cs="Arial"/>
          <w:b/>
          <w:bCs/>
        </w:rPr>
      </w:pPr>
    </w:p>
    <w:p w14:paraId="4BC3D59C" w14:textId="77777777" w:rsidR="00271B25" w:rsidRDefault="00271B25" w:rsidP="00526E27">
      <w:pPr>
        <w:rPr>
          <w:rFonts w:ascii="Arial" w:hAnsi="Arial" w:cs="Arial"/>
          <w:b/>
          <w:bCs/>
        </w:rPr>
      </w:pPr>
    </w:p>
    <w:p w14:paraId="0B95E60F" w14:textId="7B3C06E3" w:rsidR="00526E27" w:rsidRPr="00526E27" w:rsidRDefault="00526E27" w:rsidP="001D13E5">
      <w:pPr>
        <w:pStyle w:val="Heading1"/>
      </w:pPr>
      <w:bookmarkStart w:id="0" w:name="_Toc225030759"/>
      <w:r w:rsidRPr="00526E27">
        <w:lastRenderedPageBreak/>
        <w:t>1. Introduction</w:t>
      </w:r>
      <w:bookmarkEnd w:id="0"/>
    </w:p>
    <w:p w14:paraId="10A77191" w14:textId="35E19172" w:rsidR="00526E27" w:rsidRPr="00526E27" w:rsidRDefault="009A396B" w:rsidP="00526E27">
      <w:pPr>
        <w:rPr>
          <w:rFonts w:ascii="Arial" w:hAnsi="Arial" w:cs="Arial"/>
        </w:rPr>
      </w:pPr>
      <w:r>
        <w:rPr>
          <w:rFonts w:ascii="Arial" w:hAnsi="Arial" w:cs="Arial"/>
        </w:rPr>
        <w:t>As a student practice nurse in a GP surgery, I frequently meet patients who are newly diagnosed with diabetes or find it hard to manage. Many feel overwhelmed, especially when they hear medical terms or are asked to change long-standing habits. I have written this report to describe diabetes and clearly so patients can better understand what is happening in their bodies and feel more confident in managing their condition.</w:t>
      </w:r>
    </w:p>
    <w:p w14:paraId="02BC9049" w14:textId="0FB927C4" w:rsidR="00526E27" w:rsidRPr="00526E27" w:rsidRDefault="009A396B" w:rsidP="00526E27">
      <w:pPr>
        <w:rPr>
          <w:rFonts w:ascii="Arial" w:hAnsi="Arial" w:cs="Arial"/>
        </w:rPr>
      </w:pPr>
      <w:r>
        <w:rPr>
          <w:rFonts w:ascii="Arial" w:hAnsi="Arial" w:cs="Arial"/>
        </w:rPr>
        <w:t xml:space="preserve">Diabetes mellitus is a long-term condition that affects how the body regulates blood glucose (sugar) levels. There are two main types. Type 1 diabetes occurs when the immune system attacks the insulin-producing cells in the pancreas, </w:t>
      </w:r>
      <w:r w:rsidR="00EA59D0">
        <w:rPr>
          <w:rFonts w:ascii="Arial" w:hAnsi="Arial" w:cs="Arial"/>
        </w:rPr>
        <w:t>resulting in little or no insulin production</w:t>
      </w:r>
      <w:r>
        <w:rPr>
          <w:rFonts w:ascii="Arial" w:hAnsi="Arial" w:cs="Arial"/>
        </w:rPr>
        <w:t>. Type 2 diabetes, which is far more common in primary care, develops when the body becomes resistant to insulin or does not produce enough to meet its needs (NICE, 2022).</w:t>
      </w:r>
    </w:p>
    <w:p w14:paraId="16F7F45F" w14:textId="337E4FAA" w:rsidR="00526E27" w:rsidRPr="00526E27" w:rsidRDefault="00B831C4" w:rsidP="00526E27">
      <w:pPr>
        <w:rPr>
          <w:rFonts w:ascii="Arial" w:hAnsi="Arial" w:cs="Arial"/>
        </w:rPr>
      </w:pPr>
      <w:r>
        <w:rPr>
          <w:rFonts w:ascii="Arial" w:hAnsi="Arial" w:cs="Arial"/>
        </w:rPr>
        <w:t xml:space="preserve">There are several risk factors for Type 2 diabetes. Some are unavoidable, such as age, family history, and ethnicity. Others can be altered, including being overweight, having an unhealthy diet, and being physically inactive (Diabetes UK, 2023). In my clinic, I often see how lifestyle choices </w:t>
      </w:r>
      <w:proofErr w:type="gramStart"/>
      <w:r>
        <w:rPr>
          <w:rFonts w:ascii="Arial" w:hAnsi="Arial" w:cs="Arial"/>
        </w:rPr>
        <w:t>have a significant impact</w:t>
      </w:r>
      <w:proofErr w:type="gramEnd"/>
      <w:r>
        <w:rPr>
          <w:rFonts w:ascii="Arial" w:hAnsi="Arial" w:cs="Arial"/>
        </w:rPr>
        <w:t>, but I also remind patients not to blame themselves, as genetics and life circumstances also play a role.</w:t>
      </w:r>
    </w:p>
    <w:p w14:paraId="4166AEAA" w14:textId="3EFE5F39" w:rsidR="00526E27" w:rsidRPr="00526E27" w:rsidRDefault="00B831C4" w:rsidP="00526E27">
      <w:pPr>
        <w:rPr>
          <w:rFonts w:ascii="Arial" w:hAnsi="Arial" w:cs="Arial"/>
        </w:rPr>
      </w:pPr>
      <w:r>
        <w:rPr>
          <w:rFonts w:ascii="Arial" w:hAnsi="Arial" w:cs="Arial"/>
        </w:rPr>
        <w:t>Diabetes is closely linked to the endocrine system. The pancreas acts as an endocrine gland, secreting hormones directly into the bloodstream. Two essential hormones, insulin and glucagon, work together to regulate blood glucose levels (Tortora and Derrickson, 2020).</w:t>
      </w:r>
    </w:p>
    <w:p w14:paraId="2C727DAA" w14:textId="1D569FD8" w:rsidR="00526E27" w:rsidRDefault="00610D31" w:rsidP="00526E27">
      <w:pPr>
        <w:rPr>
          <w:rFonts w:ascii="Arial" w:hAnsi="Arial" w:cs="Arial"/>
        </w:rPr>
      </w:pPr>
      <w:r>
        <w:rPr>
          <w:noProof/>
        </w:rPr>
        <w:drawing>
          <wp:inline distT="0" distB="0" distL="0" distR="0" wp14:anchorId="0D8989B7" wp14:editId="6D53F45D">
            <wp:extent cx="5731510" cy="2889885"/>
            <wp:effectExtent l="0" t="0" r="2540" b="5715"/>
            <wp:docPr id="1791680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89885"/>
                    </a:xfrm>
                    <a:prstGeom prst="rect">
                      <a:avLst/>
                    </a:prstGeom>
                    <a:noFill/>
                    <a:ln>
                      <a:noFill/>
                    </a:ln>
                  </pic:spPr>
                </pic:pic>
              </a:graphicData>
            </a:graphic>
          </wp:inline>
        </w:drawing>
      </w:r>
    </w:p>
    <w:p w14:paraId="5ADDBE33" w14:textId="558B5803" w:rsidR="00610D31" w:rsidRPr="00526E27" w:rsidRDefault="00770CB3" w:rsidP="00526E27">
      <w:pPr>
        <w:rPr>
          <w:rFonts w:ascii="Arial" w:hAnsi="Arial" w:cs="Arial"/>
        </w:rPr>
      </w:pPr>
      <w:r>
        <w:rPr>
          <w:rFonts w:ascii="Arial" w:hAnsi="Arial" w:cs="Arial"/>
        </w:rPr>
        <w:t>The endocrine pancreas – displaying islets of Langerhans with beta cells (insulin) and alpha cells (glucagon). Adapted from Tortora and Derrickson (2020, p. 654).</w:t>
      </w:r>
    </w:p>
    <w:p w14:paraId="1B3D1E90" w14:textId="5709131C" w:rsidR="00526E27" w:rsidRPr="00611E81" w:rsidRDefault="00770CB3" w:rsidP="00526E27">
      <w:pPr>
        <w:rPr>
          <w:rFonts w:ascii="Arial" w:hAnsi="Arial" w:cs="Arial"/>
        </w:rPr>
      </w:pPr>
      <w:r>
        <w:rPr>
          <w:rFonts w:ascii="Arial" w:hAnsi="Arial" w:cs="Arial"/>
        </w:rPr>
        <w:lastRenderedPageBreak/>
        <w:t xml:space="preserve">This diagram helps patients visualise where insulin and glucagon are produced in the body. </w:t>
      </w:r>
      <w:r w:rsidR="00EA59D0">
        <w:rPr>
          <w:rFonts w:ascii="Arial" w:hAnsi="Arial" w:cs="Arial"/>
        </w:rPr>
        <w:t>Clearly showing the islets of Langerhans</w:t>
      </w:r>
      <w:r>
        <w:rPr>
          <w:rFonts w:ascii="Arial" w:hAnsi="Arial" w:cs="Arial"/>
        </w:rPr>
        <w:t xml:space="preserve"> makes the concept less abstract. Many patients find it difficult to understand that diabetes isn't just about sugar intake but also about how the pancreas functions. A simple visual makes it easier to explain the hormonal imbalance behind the condition.</w:t>
      </w:r>
    </w:p>
    <w:p w14:paraId="565669EB" w14:textId="1B09797F" w:rsidR="00526E27" w:rsidRPr="00526E27" w:rsidRDefault="00067914" w:rsidP="00526E27">
      <w:pPr>
        <w:rPr>
          <w:rFonts w:ascii="Arial" w:hAnsi="Arial" w:cs="Arial"/>
        </w:rPr>
      </w:pPr>
      <w:r>
        <w:rPr>
          <w:rFonts w:ascii="Arial" w:hAnsi="Arial" w:cs="Arial"/>
        </w:rPr>
        <w:t>This report aims to help patients understand how blood sugar regulation works, the malfunctions that occur in diabetes, the importance of monitoring, and how simple lifestyle changes can improve health outcomes.</w:t>
      </w:r>
    </w:p>
    <w:p w14:paraId="2CED98DD" w14:textId="77777777" w:rsidR="00526E27" w:rsidRPr="00526E27" w:rsidRDefault="00526E27" w:rsidP="001D13E5">
      <w:pPr>
        <w:pStyle w:val="Heading1"/>
      </w:pPr>
      <w:bookmarkStart w:id="1" w:name="_Toc225030760"/>
      <w:r w:rsidRPr="00526E27">
        <w:t>2. Blood Sugar Regulation (Homeostasis)</w:t>
      </w:r>
      <w:bookmarkEnd w:id="1"/>
    </w:p>
    <w:p w14:paraId="3AC11FFC" w14:textId="5F347A49" w:rsidR="00526E27" w:rsidRPr="00526E27" w:rsidRDefault="00067914" w:rsidP="00526E27">
      <w:pPr>
        <w:rPr>
          <w:rFonts w:ascii="Arial" w:hAnsi="Arial" w:cs="Arial"/>
        </w:rPr>
      </w:pPr>
      <w:r>
        <w:rPr>
          <w:rFonts w:ascii="Arial" w:hAnsi="Arial" w:cs="Arial"/>
        </w:rPr>
        <w:t>Blood glucose functions as the body's main energy source for cells. We get glucose from food, especially carbohydrate-rich items like bread, rice, and fruit. The body carefully maintains glucose levels within a normal range through a process called homeostasis (Kumar and Clark, 2020). A useful way to understand this is to think of the body as a thermostat system. When blood glucose levels rise, such as after eating, the pancreas releases insulin. Insulin acts like a key, opening the doors of cells to allow glucose in. It also signals the liver to store any excess glucose as glycogen. This process brings blood glucose levels back to normal (Hall, 2021). When blood glucose levels fall, such as between meals or during exercise, the pancreas releases glucagon. This hormone instructs the liver to release stored glucose into the bloodstream, raising levels again. This balance helps keep the body functioning smoothly.</w:t>
      </w:r>
    </w:p>
    <w:p w14:paraId="71D7C48B" w14:textId="4195A920" w:rsidR="00526E27" w:rsidRPr="00611E81" w:rsidRDefault="00526E27" w:rsidP="00526E27">
      <w:pPr>
        <w:rPr>
          <w:rFonts w:ascii="Arial" w:hAnsi="Arial" w:cs="Arial"/>
        </w:rPr>
      </w:pPr>
      <w:r w:rsidRPr="00611E81">
        <w:rPr>
          <w:rFonts w:ascii="Arial" w:hAnsi="Arial" w:cs="Arial"/>
          <w:noProof/>
        </w:rPr>
        <w:drawing>
          <wp:inline distT="0" distB="0" distL="0" distR="0" wp14:anchorId="2584928A" wp14:editId="5CF9F2FB">
            <wp:extent cx="5731510" cy="3125470"/>
            <wp:effectExtent l="0" t="0" r="2540" b="0"/>
            <wp:docPr id="10292890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4C87DC14" w14:textId="455AAC7A" w:rsidR="00610D31" w:rsidRDefault="00095C53" w:rsidP="00526E27">
      <w:pPr>
        <w:rPr>
          <w:rFonts w:ascii="Arial" w:hAnsi="Arial" w:cs="Arial"/>
        </w:rPr>
      </w:pPr>
      <w:r>
        <w:rPr>
          <w:rFonts w:ascii="Arial" w:hAnsi="Arial" w:cs="Arial"/>
        </w:rPr>
        <w:t>Feedback loop of blood glucose regulation – showing how insulin lowers blood glucose and glucagon raises it. Adapted from Hall (2021).</w:t>
      </w:r>
    </w:p>
    <w:p w14:paraId="62A273D4" w14:textId="354BEA61" w:rsidR="00526E27" w:rsidRPr="00526E27" w:rsidRDefault="00095C53" w:rsidP="00526E27">
      <w:pPr>
        <w:rPr>
          <w:rFonts w:ascii="Arial" w:hAnsi="Arial" w:cs="Arial"/>
        </w:rPr>
      </w:pPr>
      <w:r>
        <w:rPr>
          <w:rFonts w:ascii="Arial" w:hAnsi="Arial" w:cs="Arial"/>
        </w:rPr>
        <w:lastRenderedPageBreak/>
        <w:t>This image clearly illustrates homeostasis in an accessible way. The circular flow helps patients understand that the body constantly adjusts blood sugar levels. Including both insulin and glucagon pathways emphasises the balance needed for health. It is especially helpful when explaining what goes wrong in Type 2 diabetes, where this loop becomes less effective.</w:t>
      </w:r>
    </w:p>
    <w:p w14:paraId="56036B21" w14:textId="48375791" w:rsidR="00526E27" w:rsidRPr="00526E27" w:rsidRDefault="00095C53" w:rsidP="00526E27">
      <w:pPr>
        <w:rPr>
          <w:rFonts w:ascii="Arial" w:hAnsi="Arial" w:cs="Arial"/>
        </w:rPr>
      </w:pPr>
      <w:r>
        <w:rPr>
          <w:rFonts w:ascii="Arial" w:hAnsi="Arial" w:cs="Arial"/>
        </w:rPr>
        <w:t xml:space="preserve">In Type 2 diabetes, this system does not operate correctly. The body’s cells become resistant to insulin, meaning the “key” no longer functions effectively. Simultaneously, the pancreas may not produce enough insulin to compensate. </w:t>
      </w:r>
      <w:proofErr w:type="gramStart"/>
      <w:r>
        <w:rPr>
          <w:rFonts w:ascii="Arial" w:hAnsi="Arial" w:cs="Arial"/>
        </w:rPr>
        <w:t>As a consequence</w:t>
      </w:r>
      <w:proofErr w:type="gramEnd"/>
      <w:r>
        <w:rPr>
          <w:rFonts w:ascii="Arial" w:hAnsi="Arial" w:cs="Arial"/>
        </w:rPr>
        <w:t>, glucose builds up in the blood instead of entering cells (DeFronzo et al., 2015).</w:t>
      </w:r>
    </w:p>
    <w:p w14:paraId="5C31A68E" w14:textId="24885600" w:rsidR="00526E27" w:rsidRPr="00611E81" w:rsidRDefault="00095C53" w:rsidP="00526E27">
      <w:pPr>
        <w:rPr>
          <w:rFonts w:ascii="Arial" w:hAnsi="Arial" w:cs="Arial"/>
        </w:rPr>
      </w:pPr>
      <w:r>
        <w:rPr>
          <w:rFonts w:ascii="Arial" w:hAnsi="Arial" w:cs="Arial"/>
        </w:rPr>
        <w:t>I often explain this to patients by saying, “It’s like having a key that no longer fits the lock properly.” This simple analogy helps many understand why their blood sugar remains high.</w:t>
      </w:r>
    </w:p>
    <w:p w14:paraId="0F25A568" w14:textId="77777777" w:rsidR="00526E27" w:rsidRPr="00526E27" w:rsidRDefault="00526E27" w:rsidP="00526E27">
      <w:pPr>
        <w:rPr>
          <w:rFonts w:ascii="Arial" w:hAnsi="Arial" w:cs="Arial"/>
        </w:rPr>
      </w:pPr>
    </w:p>
    <w:p w14:paraId="6E709D8F" w14:textId="77777777" w:rsidR="00526E27" w:rsidRPr="00526E27" w:rsidRDefault="00526E27" w:rsidP="001D13E5">
      <w:pPr>
        <w:pStyle w:val="Heading1"/>
      </w:pPr>
      <w:bookmarkStart w:id="2" w:name="_Toc225030761"/>
      <w:r w:rsidRPr="00526E27">
        <w:t>3. Cellular Metabolism – How Oxygen and Glucose Make Energy</w:t>
      </w:r>
      <w:bookmarkEnd w:id="2"/>
    </w:p>
    <w:p w14:paraId="7159562E" w14:textId="77777777" w:rsidR="00526E27" w:rsidRPr="00526E27" w:rsidRDefault="00526E27" w:rsidP="00526E27">
      <w:pPr>
        <w:rPr>
          <w:rFonts w:ascii="Arial" w:hAnsi="Arial" w:cs="Arial"/>
        </w:rPr>
      </w:pPr>
      <w:r w:rsidRPr="00526E27">
        <w:rPr>
          <w:rFonts w:ascii="Arial" w:hAnsi="Arial" w:cs="Arial"/>
        </w:rPr>
        <w:t>Every cell in the body needs energy to function. This energy comes in the form of ATP (adenosine triphosphate). Without it, cells cannot carry out basic tasks such as movement, repair, and communication (Hall, 2021).</w:t>
      </w:r>
    </w:p>
    <w:p w14:paraId="0B4C1DD2" w14:textId="739383D1" w:rsidR="00526E27" w:rsidRPr="00526E27" w:rsidRDefault="000D7C8E" w:rsidP="00526E27">
      <w:pPr>
        <w:rPr>
          <w:rFonts w:ascii="Arial" w:hAnsi="Arial" w:cs="Arial"/>
        </w:rPr>
      </w:pPr>
      <w:r>
        <w:rPr>
          <w:rFonts w:ascii="Arial" w:hAnsi="Arial" w:cs="Arial"/>
        </w:rPr>
        <w:t>The body generates ATP through a process called cellular respiration. Initially, glucose is broken down in the cytoplasm during glycolysis, producing a small amount of energy. The process then continues in the mitochondria, where oxygen is utilised in the Krebs cycle and electron transport chain to generate much greater quantities of ATP. The final products are carbon dioxide and water (Tortora and Derrickson, 2020).</w:t>
      </w:r>
    </w:p>
    <w:p w14:paraId="68E180BE" w14:textId="77777777" w:rsidR="00526E27" w:rsidRPr="00611E81" w:rsidRDefault="00526E27" w:rsidP="00526E27">
      <w:pPr>
        <w:rPr>
          <w:rFonts w:ascii="Arial" w:hAnsi="Arial" w:cs="Arial"/>
        </w:rPr>
      </w:pPr>
    </w:p>
    <w:p w14:paraId="35C9AB59" w14:textId="40787312" w:rsidR="00526E27" w:rsidRDefault="00526E27" w:rsidP="00526E27">
      <w:pPr>
        <w:rPr>
          <w:rFonts w:ascii="Arial" w:hAnsi="Arial" w:cs="Arial"/>
        </w:rPr>
      </w:pPr>
      <w:r w:rsidRPr="00611E81">
        <w:rPr>
          <w:rFonts w:ascii="Arial" w:hAnsi="Arial" w:cs="Arial"/>
          <w:noProof/>
        </w:rPr>
        <w:lastRenderedPageBreak/>
        <w:drawing>
          <wp:inline distT="0" distB="0" distL="0" distR="0" wp14:anchorId="07DF786C" wp14:editId="2F68A7CB">
            <wp:extent cx="5731510" cy="3125470"/>
            <wp:effectExtent l="0" t="0" r="2540" b="0"/>
            <wp:docPr id="15962323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63643C35" w14:textId="745E1CC3" w:rsidR="001D13E5" w:rsidRPr="00611E81" w:rsidRDefault="000D7C8E" w:rsidP="00526E27">
      <w:pPr>
        <w:rPr>
          <w:rFonts w:ascii="Arial" w:hAnsi="Arial" w:cs="Arial"/>
        </w:rPr>
      </w:pPr>
      <w:r>
        <w:rPr>
          <w:rFonts w:ascii="Arial" w:hAnsi="Arial" w:cs="Arial"/>
        </w:rPr>
        <w:t>Cellular respiration pathway – showing glucose plus oxygen produces ATP, carbon dioxide, and water. Adapted from Tortora and Derrickson (2020).</w:t>
      </w:r>
    </w:p>
    <w:p w14:paraId="73C14DBA" w14:textId="60F612FD" w:rsidR="00526E27" w:rsidRPr="00611E81" w:rsidRDefault="000D7C8E" w:rsidP="00526E27">
      <w:pPr>
        <w:rPr>
          <w:rFonts w:ascii="Arial" w:hAnsi="Arial" w:cs="Arial"/>
        </w:rPr>
      </w:pPr>
      <w:r>
        <w:rPr>
          <w:rFonts w:ascii="Arial" w:hAnsi="Arial" w:cs="Arial"/>
        </w:rPr>
        <w:t>This diagram helps patients understand why glucose control matters beyond just numbers. It illustrates how glucose is used in the body to generate energy. Many patients feel tired and do not realise it is linked to their diabetes. This visual supports the explanation that without proper insulin function, glucose cannot enter cells, leading to low energy despite high blood sugar.</w:t>
      </w:r>
    </w:p>
    <w:p w14:paraId="3E4777E8" w14:textId="4D0B53E7" w:rsidR="00526E27" w:rsidRPr="00526E27" w:rsidRDefault="00526E27" w:rsidP="00526E27">
      <w:pPr>
        <w:rPr>
          <w:rFonts w:ascii="Arial" w:hAnsi="Arial" w:cs="Arial"/>
        </w:rPr>
      </w:pPr>
      <w:r w:rsidRPr="00526E27">
        <w:rPr>
          <w:rFonts w:ascii="Arial" w:hAnsi="Arial" w:cs="Arial"/>
        </w:rPr>
        <w:t xml:space="preserve">Insulin plays a key role in this process </w:t>
      </w:r>
      <w:r w:rsidR="005A320C">
        <w:rPr>
          <w:rFonts w:ascii="Arial" w:hAnsi="Arial" w:cs="Arial"/>
        </w:rPr>
        <w:t>by allowing</w:t>
      </w:r>
      <w:r w:rsidRPr="00526E27">
        <w:rPr>
          <w:rFonts w:ascii="Arial" w:hAnsi="Arial" w:cs="Arial"/>
        </w:rPr>
        <w:t xml:space="preserve"> glucose to enter cells. Without enough insulin, or if the body is resistant to it, glucose remains in the bloodstream. This means cells cannot access the fuel they need, even though </w:t>
      </w:r>
      <w:r w:rsidR="005A320C">
        <w:rPr>
          <w:rFonts w:ascii="Arial" w:hAnsi="Arial" w:cs="Arial"/>
        </w:rPr>
        <w:t xml:space="preserve">plenty of glucose is </w:t>
      </w:r>
      <w:r w:rsidRPr="00526E27">
        <w:rPr>
          <w:rFonts w:ascii="Arial" w:hAnsi="Arial" w:cs="Arial"/>
        </w:rPr>
        <w:t>available.</w:t>
      </w:r>
    </w:p>
    <w:p w14:paraId="56CFD646" w14:textId="475EB326" w:rsidR="00526E27" w:rsidRPr="00526E27" w:rsidRDefault="000D7C8E" w:rsidP="00526E27">
      <w:pPr>
        <w:rPr>
          <w:rFonts w:ascii="Arial" w:hAnsi="Arial" w:cs="Arial"/>
        </w:rPr>
      </w:pPr>
      <w:r>
        <w:rPr>
          <w:rFonts w:ascii="Arial" w:hAnsi="Arial" w:cs="Arial"/>
        </w:rPr>
        <w:t>This can be confusing for patients. One of my patients once said, “So my blood has too much sugar, but my body still feels tired?” The answer is yes. I explained that the sugar is trapped outside the cells and cannot be utilised properly. This is why people with poorly controlled diabetes often feel fatigued.</w:t>
      </w:r>
    </w:p>
    <w:p w14:paraId="7E5C27D9" w14:textId="73E19045" w:rsidR="00526E27" w:rsidRPr="00526E27" w:rsidRDefault="00526E27" w:rsidP="00526E27">
      <w:pPr>
        <w:rPr>
          <w:rFonts w:ascii="Arial" w:hAnsi="Arial" w:cs="Arial"/>
        </w:rPr>
      </w:pPr>
    </w:p>
    <w:p w14:paraId="3071A9AB" w14:textId="77777777" w:rsidR="00526E27" w:rsidRPr="00526E27" w:rsidRDefault="00526E27" w:rsidP="001D13E5">
      <w:pPr>
        <w:pStyle w:val="Heading1"/>
      </w:pPr>
      <w:bookmarkStart w:id="3" w:name="_Toc225030762"/>
      <w:r w:rsidRPr="00526E27">
        <w:t>4. Recording and Tracking Blood Sugar Levels for Type 2 Diabetes</w:t>
      </w:r>
      <w:bookmarkEnd w:id="3"/>
    </w:p>
    <w:p w14:paraId="1386C616" w14:textId="7EB7E657" w:rsidR="00526E27" w:rsidRPr="00526E27" w:rsidRDefault="000D7C8E" w:rsidP="00526E27">
      <w:pPr>
        <w:rPr>
          <w:rFonts w:ascii="Arial" w:hAnsi="Arial" w:cs="Arial"/>
        </w:rPr>
      </w:pPr>
      <w:r>
        <w:rPr>
          <w:rFonts w:ascii="Arial" w:hAnsi="Arial" w:cs="Arial"/>
        </w:rPr>
        <w:t>Monitoring blood glucose is a vital aspect of managing diabetes. This can be achieved through self-monitoring of blood glucose (SMBG) using a finger-prick test or via continuous glucose monitoring (CGM), where a sensor tracks glucose levels throughout the day (NICE, 2022).</w:t>
      </w:r>
    </w:p>
    <w:p w14:paraId="3469FFFA" w14:textId="46DB986D" w:rsidR="00526E27" w:rsidRPr="00526E27" w:rsidRDefault="000D7C8E" w:rsidP="00526E27">
      <w:pPr>
        <w:rPr>
          <w:rFonts w:ascii="Arial" w:hAnsi="Arial" w:cs="Arial"/>
        </w:rPr>
      </w:pPr>
      <w:r>
        <w:rPr>
          <w:rFonts w:ascii="Arial" w:hAnsi="Arial" w:cs="Arial"/>
        </w:rPr>
        <w:lastRenderedPageBreak/>
        <w:t>Monitoring blood sugar helps patients understand how their bodies respond to food, activity, and medication. For example, one patient told me that her blood sugar rose significantly after eating white bread but remained stable with whole-grain alternatives. This type of insight is powerful and promotes better choices.</w:t>
      </w:r>
    </w:p>
    <w:p w14:paraId="618DE652" w14:textId="55FE02D9" w:rsidR="00526E27" w:rsidRPr="00526E27" w:rsidRDefault="000D7C8E" w:rsidP="00526E27">
      <w:pPr>
        <w:rPr>
          <w:rFonts w:ascii="Arial" w:hAnsi="Arial" w:cs="Arial"/>
        </w:rPr>
      </w:pPr>
      <w:r>
        <w:rPr>
          <w:rFonts w:ascii="Arial" w:hAnsi="Arial" w:cs="Arial"/>
        </w:rPr>
        <w:t>Monitoring also helps identify dangerous levels early. High blood sugar (hyperglycaemia) can cause symptoms such as thirst, tiredness, and blurred vision. Low blood sugar (hypoglycaemia), although less common in Type 2 diabetes, can lead to dizziness, confusion, and even loss of consciousness (Diabetes UK, 2023).</w:t>
      </w:r>
    </w:p>
    <w:p w14:paraId="1BC9C317" w14:textId="3470ECCE" w:rsidR="00526E27" w:rsidRPr="00526E27" w:rsidRDefault="000D7C8E" w:rsidP="00526E27">
      <w:pPr>
        <w:rPr>
          <w:rFonts w:ascii="Arial" w:hAnsi="Arial" w:cs="Arial"/>
        </w:rPr>
      </w:pPr>
      <w:r>
        <w:rPr>
          <w:rFonts w:ascii="Arial" w:hAnsi="Arial" w:cs="Arial"/>
        </w:rPr>
        <w:t>Another key advantage is that it offers valuable data for healthcare professionals. We can examine readings and modify treatment plans accordingly. It also encourages behaviour change, as patients can observe immediate results from their actions.</w:t>
      </w:r>
    </w:p>
    <w:p w14:paraId="264E0107" w14:textId="77777777" w:rsidR="00526E27" w:rsidRPr="00526E27" w:rsidRDefault="00526E27" w:rsidP="00526E27">
      <w:pPr>
        <w:rPr>
          <w:rFonts w:ascii="Arial" w:hAnsi="Arial" w:cs="Arial"/>
        </w:rPr>
      </w:pPr>
      <w:r w:rsidRPr="00526E27">
        <w:rPr>
          <w:rFonts w:ascii="Arial" w:hAnsi="Arial" w:cs="Arial"/>
        </w:rPr>
        <w:t>If blood sugar is not monitored or controlled, serious complications can develop over time. These include nerve damage (neuropathy), kidney disease, eye problems (retinopathy), and cardiovascular disease (NICE, 2022). There are also acute emergencies such as hyperosmolar hyperglycaemic state (HHS), which can be life-threatening (</w:t>
      </w:r>
      <w:proofErr w:type="spellStart"/>
      <w:r w:rsidRPr="00526E27">
        <w:rPr>
          <w:rFonts w:ascii="Arial" w:hAnsi="Arial" w:cs="Arial"/>
        </w:rPr>
        <w:t>Kitabchi</w:t>
      </w:r>
      <w:proofErr w:type="spellEnd"/>
      <w:r w:rsidRPr="00526E27">
        <w:rPr>
          <w:rFonts w:ascii="Arial" w:hAnsi="Arial" w:cs="Arial"/>
        </w:rPr>
        <w:t xml:space="preserve"> et al., 2009).</w:t>
      </w:r>
    </w:p>
    <w:p w14:paraId="06F8E72C" w14:textId="77777777" w:rsidR="00611E81" w:rsidRPr="00611E81" w:rsidRDefault="00611E81" w:rsidP="00526E27">
      <w:pPr>
        <w:rPr>
          <w:rFonts w:ascii="Arial" w:hAnsi="Arial" w:cs="Arial"/>
        </w:rPr>
      </w:pPr>
    </w:p>
    <w:p w14:paraId="64381328" w14:textId="6C1D0475" w:rsidR="00611E81" w:rsidRPr="00611E81" w:rsidRDefault="00611E81" w:rsidP="00526E27">
      <w:pPr>
        <w:rPr>
          <w:rFonts w:ascii="Arial" w:hAnsi="Arial" w:cs="Arial"/>
        </w:rPr>
      </w:pPr>
      <w:r w:rsidRPr="00611E81">
        <w:rPr>
          <w:rFonts w:ascii="Arial" w:hAnsi="Arial" w:cs="Arial"/>
          <w:noProof/>
        </w:rPr>
        <w:drawing>
          <wp:inline distT="0" distB="0" distL="0" distR="0" wp14:anchorId="29FD0805" wp14:editId="29618A67">
            <wp:extent cx="5731510" cy="3125470"/>
            <wp:effectExtent l="0" t="0" r="2540" b="0"/>
            <wp:docPr id="8922076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3429E82F" w14:textId="29EF22D0" w:rsidR="001D13E5" w:rsidRDefault="000D7C8E" w:rsidP="00526E27">
      <w:pPr>
        <w:rPr>
          <w:rFonts w:ascii="Arial" w:hAnsi="Arial" w:cs="Arial"/>
        </w:rPr>
      </w:pPr>
      <w:r>
        <w:rPr>
          <w:rFonts w:ascii="Arial" w:hAnsi="Arial" w:cs="Arial"/>
        </w:rPr>
        <w:t>Example blood glucose chart – showing normal range (4–7 mmol/L) compared to elevated diabetic levels. Adapted from Diabetes UK (2023).</w:t>
      </w:r>
    </w:p>
    <w:p w14:paraId="7DD1A959" w14:textId="673703BE" w:rsidR="00611E81" w:rsidRPr="00611E81" w:rsidRDefault="000D7C8E" w:rsidP="00526E27">
      <w:pPr>
        <w:rPr>
          <w:rFonts w:ascii="Arial" w:hAnsi="Arial" w:cs="Arial"/>
        </w:rPr>
      </w:pPr>
      <w:r>
        <w:rPr>
          <w:rFonts w:ascii="Arial" w:hAnsi="Arial" w:cs="Arial"/>
        </w:rPr>
        <w:t>This chart offers a practical example of how patients can monitor their blood sugar levels. It transforms abstract numbers into visual and meaningful information. By displaying patterns throughout the day, patients can start to connect their readings to meals, activity, or medication. This promotes behaviour change and motivates patients to take an active role in managing their condition.</w:t>
      </w:r>
    </w:p>
    <w:p w14:paraId="680B7AFD" w14:textId="5AA13777" w:rsidR="00526E27" w:rsidRPr="00526E27" w:rsidRDefault="000D7C8E" w:rsidP="00526E27">
      <w:pPr>
        <w:rPr>
          <w:rFonts w:ascii="Arial" w:hAnsi="Arial" w:cs="Arial"/>
        </w:rPr>
      </w:pPr>
      <w:r>
        <w:rPr>
          <w:rFonts w:ascii="Arial" w:hAnsi="Arial" w:cs="Arial"/>
        </w:rPr>
        <w:lastRenderedPageBreak/>
        <w:t>It might seem overwhelming initially, but I reassure patients that monitoring gets simpler with practice. Small routines, like checking levels before breakfast, can have a significant impact.</w:t>
      </w:r>
    </w:p>
    <w:p w14:paraId="1B7A1F1E" w14:textId="05E836E9" w:rsidR="00526E27" w:rsidRPr="00526E27" w:rsidRDefault="00526E27" w:rsidP="00526E27">
      <w:pPr>
        <w:rPr>
          <w:rFonts w:ascii="Arial" w:hAnsi="Arial" w:cs="Arial"/>
        </w:rPr>
      </w:pPr>
    </w:p>
    <w:p w14:paraId="5D6014F5" w14:textId="35499781" w:rsidR="00526E27" w:rsidRPr="00526E27" w:rsidRDefault="00526E27" w:rsidP="001D13E5">
      <w:pPr>
        <w:pStyle w:val="Heading1"/>
      </w:pPr>
      <w:bookmarkStart w:id="4" w:name="_Toc225030763"/>
      <w:r w:rsidRPr="00526E27">
        <w:t>5. Recommendations – Evidence-Based Lifestyle Changes</w:t>
      </w:r>
      <w:r w:rsidR="00CD57EB">
        <w:t>:</w:t>
      </w:r>
      <w:r w:rsidR="001D13E5">
        <w:t xml:space="preserve"> </w:t>
      </w:r>
      <w:r w:rsidRPr="00526E27">
        <w:t>Diet</w:t>
      </w:r>
      <w:bookmarkEnd w:id="4"/>
    </w:p>
    <w:p w14:paraId="4A10D1B2" w14:textId="5391EA30" w:rsidR="00526E27" w:rsidRPr="00526E27" w:rsidRDefault="000D7C8E" w:rsidP="00526E27">
      <w:pPr>
        <w:rPr>
          <w:rFonts w:ascii="Arial" w:hAnsi="Arial" w:cs="Arial"/>
        </w:rPr>
      </w:pPr>
      <w:r>
        <w:rPr>
          <w:rFonts w:ascii="Arial" w:hAnsi="Arial" w:cs="Arial"/>
        </w:rPr>
        <w:t>A balanced diet is crucial for managing Type 2 diabetes. NICE (2022) recommends focusing on low-glycaemic index (GI) foods, such as whole grains, vegetables, and legumes. These foods release glucose more slowly, helping to prevent sharp spikes.</w:t>
      </w:r>
    </w:p>
    <w:p w14:paraId="02497994" w14:textId="7F44D35D" w:rsidR="00526E27" w:rsidRPr="00526E27" w:rsidRDefault="000D7C8E" w:rsidP="00526E27">
      <w:pPr>
        <w:rPr>
          <w:rFonts w:ascii="Arial" w:hAnsi="Arial" w:cs="Arial"/>
        </w:rPr>
      </w:pPr>
      <w:r>
        <w:rPr>
          <w:rFonts w:ascii="Arial" w:hAnsi="Arial" w:cs="Arial"/>
        </w:rPr>
        <w:t>Reducing sugary drinks and processed foods is also crucial. Diabetes UK (2023) recommends increasing fibre intake and choosing lean protein sources. From my experience, simple swaps—like using brown rice instead of white rice—are more sustainable than strict dieting.</w:t>
      </w:r>
    </w:p>
    <w:p w14:paraId="57C9C30F" w14:textId="77777777" w:rsidR="00526E27" w:rsidRPr="00526E27" w:rsidRDefault="00526E27" w:rsidP="00526E27">
      <w:pPr>
        <w:rPr>
          <w:rFonts w:ascii="Arial" w:hAnsi="Arial" w:cs="Arial"/>
        </w:rPr>
      </w:pPr>
      <w:r w:rsidRPr="00526E27">
        <w:rPr>
          <w:rFonts w:ascii="Arial" w:hAnsi="Arial" w:cs="Arial"/>
        </w:rPr>
        <w:t>This approach helps slow glucose absorption, improve insulin sensitivity, and support weight loss.</w:t>
      </w:r>
    </w:p>
    <w:p w14:paraId="724CFB4D" w14:textId="388F3B86" w:rsidR="00526E27" w:rsidRPr="00526E27" w:rsidRDefault="00526E27" w:rsidP="00526E27">
      <w:pPr>
        <w:rPr>
          <w:rFonts w:ascii="Arial" w:hAnsi="Arial" w:cs="Arial"/>
        </w:rPr>
      </w:pPr>
    </w:p>
    <w:p w14:paraId="0E51BC8D" w14:textId="77777777" w:rsidR="00526E27" w:rsidRPr="00526E27" w:rsidRDefault="00526E27" w:rsidP="001D13E5">
      <w:pPr>
        <w:pStyle w:val="Heading2"/>
      </w:pPr>
      <w:bookmarkStart w:id="5" w:name="_Toc225030764"/>
      <w:r w:rsidRPr="00526E27">
        <w:t>Physical Activity</w:t>
      </w:r>
      <w:bookmarkEnd w:id="5"/>
    </w:p>
    <w:p w14:paraId="70BB1F32" w14:textId="0998C312" w:rsidR="00526E27" w:rsidRPr="00526E27" w:rsidRDefault="000D7C8E" w:rsidP="00526E27">
      <w:pPr>
        <w:rPr>
          <w:rFonts w:ascii="Arial" w:hAnsi="Arial" w:cs="Arial"/>
        </w:rPr>
      </w:pPr>
      <w:r>
        <w:rPr>
          <w:rFonts w:ascii="Arial" w:hAnsi="Arial" w:cs="Arial"/>
        </w:rPr>
        <w:t>Regular physical activity enhances how the body uses insulin. NICE (2022) recommends at least 150 minutes of moderate exercise each week, such as brisk walking or cycling, along with strength exercises twice weekly.</w:t>
      </w:r>
    </w:p>
    <w:p w14:paraId="55A8C749" w14:textId="77777777" w:rsidR="00526E27" w:rsidRPr="00526E27" w:rsidRDefault="00526E27" w:rsidP="00526E27">
      <w:pPr>
        <w:rPr>
          <w:rFonts w:ascii="Arial" w:hAnsi="Arial" w:cs="Arial"/>
        </w:rPr>
      </w:pPr>
      <w:r w:rsidRPr="00526E27">
        <w:rPr>
          <w:rFonts w:ascii="Arial" w:hAnsi="Arial" w:cs="Arial"/>
        </w:rPr>
        <w:t>Exercise helps muscles take up glucose more effectively, reducing blood sugar levels. It also supports weight management and improves heart health (Colberg et al., 2016).</w:t>
      </w:r>
    </w:p>
    <w:p w14:paraId="46F21AC1" w14:textId="06E03098" w:rsidR="00526E27" w:rsidRPr="00526E27" w:rsidRDefault="000D7C8E" w:rsidP="00526E27">
      <w:pPr>
        <w:rPr>
          <w:rFonts w:ascii="Arial" w:hAnsi="Arial" w:cs="Arial"/>
        </w:rPr>
      </w:pPr>
      <w:r>
        <w:rPr>
          <w:rFonts w:ascii="Arial" w:hAnsi="Arial" w:cs="Arial"/>
        </w:rPr>
        <w:t>I often advise patients to begin with small steps. Even a 10-minute walk after meals can have a significant impact.</w:t>
      </w:r>
    </w:p>
    <w:p w14:paraId="50F932C8" w14:textId="69EB43F7" w:rsidR="00526E27" w:rsidRPr="00526E27" w:rsidRDefault="00526E27" w:rsidP="00526E27">
      <w:pPr>
        <w:rPr>
          <w:rFonts w:ascii="Arial" w:hAnsi="Arial" w:cs="Arial"/>
        </w:rPr>
      </w:pPr>
    </w:p>
    <w:p w14:paraId="031E063D" w14:textId="77777777" w:rsidR="00526E27" w:rsidRPr="00526E27" w:rsidRDefault="00526E27" w:rsidP="001D13E5">
      <w:pPr>
        <w:pStyle w:val="Heading2"/>
      </w:pPr>
      <w:bookmarkStart w:id="6" w:name="_Toc225030765"/>
      <w:r w:rsidRPr="00526E27">
        <w:t>Smoking</w:t>
      </w:r>
      <w:bookmarkEnd w:id="6"/>
    </w:p>
    <w:p w14:paraId="31E214FF" w14:textId="63560FA0" w:rsidR="00526E27" w:rsidRPr="00526E27" w:rsidRDefault="007F155A" w:rsidP="00526E27">
      <w:pPr>
        <w:rPr>
          <w:rFonts w:ascii="Arial" w:hAnsi="Arial" w:cs="Arial"/>
        </w:rPr>
      </w:pPr>
      <w:r>
        <w:rPr>
          <w:rFonts w:ascii="Arial" w:hAnsi="Arial" w:cs="Arial"/>
        </w:rPr>
        <w:t>Smoking heightens insulin resistance and notably elevates the risk of cardiovascular disease in individuals with diabetes (NHS, 2023).</w:t>
      </w:r>
    </w:p>
    <w:p w14:paraId="494C5561" w14:textId="377EA97A" w:rsidR="00526E27" w:rsidRPr="00526E27" w:rsidRDefault="007F155A" w:rsidP="00526E27">
      <w:pPr>
        <w:rPr>
          <w:rFonts w:ascii="Arial" w:hAnsi="Arial" w:cs="Arial"/>
        </w:rPr>
      </w:pPr>
      <w:r>
        <w:rPr>
          <w:rFonts w:ascii="Arial" w:hAnsi="Arial" w:cs="Arial"/>
        </w:rPr>
        <w:t>Patients should be offered support via NHS Stop Smoking Services, including nicotine replacement therapy. I always approach this sensitively because quitting smoking can be challenging. However, even small steps can bring major health benefits.</w:t>
      </w:r>
    </w:p>
    <w:p w14:paraId="10743372" w14:textId="019B5518" w:rsidR="00526E27" w:rsidRPr="00526E27" w:rsidRDefault="00526E27" w:rsidP="00526E27">
      <w:pPr>
        <w:rPr>
          <w:rFonts w:ascii="Arial" w:hAnsi="Arial" w:cs="Arial"/>
        </w:rPr>
      </w:pPr>
    </w:p>
    <w:p w14:paraId="54E661A6" w14:textId="77777777" w:rsidR="00526E27" w:rsidRPr="00526E27" w:rsidRDefault="00526E27" w:rsidP="001D13E5">
      <w:pPr>
        <w:pStyle w:val="Heading2"/>
      </w:pPr>
      <w:bookmarkStart w:id="7" w:name="_Toc225030766"/>
      <w:r w:rsidRPr="00526E27">
        <w:lastRenderedPageBreak/>
        <w:t>Additional Support and Health Promotion</w:t>
      </w:r>
      <w:bookmarkEnd w:id="7"/>
    </w:p>
    <w:p w14:paraId="253CF0DA" w14:textId="17596CCB" w:rsidR="00526E27" w:rsidRPr="00526E27" w:rsidRDefault="007F155A" w:rsidP="00526E27">
      <w:pPr>
        <w:rPr>
          <w:rFonts w:ascii="Arial" w:hAnsi="Arial" w:cs="Arial"/>
        </w:rPr>
      </w:pPr>
      <w:r>
        <w:rPr>
          <w:rFonts w:ascii="Arial" w:hAnsi="Arial" w:cs="Arial"/>
        </w:rPr>
        <w:t>Weight management, medication adherence, and regular health checks are also vital. Patients should attend routine appointments for foot, eye, and kidney screenings (NICE, 2022).</w:t>
      </w:r>
    </w:p>
    <w:p w14:paraId="2DF0A2FA" w14:textId="5307566F" w:rsidR="00526E27" w:rsidRPr="00526E27" w:rsidRDefault="007F155A" w:rsidP="00526E27">
      <w:pPr>
        <w:rPr>
          <w:rFonts w:ascii="Arial" w:hAnsi="Arial" w:cs="Arial"/>
        </w:rPr>
      </w:pPr>
      <w:r>
        <w:rPr>
          <w:rFonts w:ascii="Arial" w:hAnsi="Arial" w:cs="Arial"/>
        </w:rPr>
        <w:t>As a practice nurse, my role involves educating patients, setting realistic goals, and signposting to services like the NHS Diabetes Prevention Programme. I have found that personalised advice is most effective. One patient, for example, set a goal to walk daily with her neighbour, which benefited both her health and motivation.</w:t>
      </w:r>
    </w:p>
    <w:p w14:paraId="03A92B1D" w14:textId="1D947D96" w:rsidR="00526E27" w:rsidRPr="00611E81" w:rsidRDefault="00611E81" w:rsidP="00526E27">
      <w:pPr>
        <w:rPr>
          <w:rFonts w:ascii="Arial" w:hAnsi="Arial" w:cs="Arial"/>
        </w:rPr>
      </w:pPr>
      <w:r w:rsidRPr="00611E81">
        <w:rPr>
          <w:rFonts w:ascii="Arial" w:hAnsi="Arial" w:cs="Arial"/>
          <w:noProof/>
        </w:rPr>
        <w:drawing>
          <wp:inline distT="0" distB="0" distL="0" distR="0" wp14:anchorId="64A2982A" wp14:editId="095BFF65">
            <wp:extent cx="5731510" cy="3125470"/>
            <wp:effectExtent l="0" t="0" r="2540" b="0"/>
            <wp:docPr id="10262196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62FD55EA" w14:textId="5A6736CB" w:rsidR="00611E81" w:rsidRPr="00611E81" w:rsidRDefault="00611E81" w:rsidP="00526E27">
      <w:pPr>
        <w:rPr>
          <w:rFonts w:ascii="Arial" w:hAnsi="Arial" w:cs="Arial"/>
        </w:rPr>
      </w:pPr>
      <w:r w:rsidRPr="00611E81">
        <w:rPr>
          <w:rFonts w:ascii="Arial" w:hAnsi="Arial" w:cs="Arial"/>
        </w:rPr>
        <w:t xml:space="preserve">This visual </w:t>
      </w:r>
      <w:r w:rsidR="005A320C">
        <w:rPr>
          <w:rFonts w:ascii="Arial" w:hAnsi="Arial" w:cs="Arial"/>
        </w:rPr>
        <w:t>clearly and engagingly summarises key lifestyle changes</w:t>
      </w:r>
      <w:r w:rsidRPr="00611E81">
        <w:rPr>
          <w:rFonts w:ascii="Arial" w:hAnsi="Arial" w:cs="Arial"/>
        </w:rPr>
        <w:t>. Patients often feel overwhelmed by too much information, so breaking it into three simple areas makes it more manageable. The use of icons and colour coding helps reinforce memory and understanding. It also supports conversations in practice, making advice feel practical rather than theoretical.</w:t>
      </w:r>
    </w:p>
    <w:p w14:paraId="41D411D3" w14:textId="6D4F7DA8" w:rsidR="00611E81" w:rsidRPr="00526E27" w:rsidRDefault="00611E81" w:rsidP="00526E27">
      <w:pPr>
        <w:rPr>
          <w:rFonts w:ascii="Arial" w:hAnsi="Arial" w:cs="Arial"/>
        </w:rPr>
      </w:pPr>
    </w:p>
    <w:p w14:paraId="0BE7A64B" w14:textId="77777777" w:rsidR="00526E27" w:rsidRPr="00526E27" w:rsidRDefault="00526E27" w:rsidP="001D13E5">
      <w:pPr>
        <w:pStyle w:val="Heading1"/>
      </w:pPr>
      <w:bookmarkStart w:id="8" w:name="_Toc225030767"/>
      <w:r w:rsidRPr="00526E27">
        <w:t>6. Conclusion</w:t>
      </w:r>
      <w:bookmarkEnd w:id="8"/>
    </w:p>
    <w:p w14:paraId="50E34BE9" w14:textId="5068E7FA" w:rsidR="00526E27" w:rsidRPr="00526E27" w:rsidRDefault="007F155A" w:rsidP="00526E27">
      <w:pPr>
        <w:rPr>
          <w:rFonts w:ascii="Arial" w:hAnsi="Arial" w:cs="Arial"/>
        </w:rPr>
      </w:pPr>
      <w:r>
        <w:rPr>
          <w:rFonts w:ascii="Arial" w:hAnsi="Arial" w:cs="Arial"/>
        </w:rPr>
        <w:t>Diabetes is a long-term condition that affects how the body controls blood glucose. Understanding how insulin functions, how the body maintains balance, and how cells generate energy helps patients understand why managing blood sugar is so crucial.</w:t>
      </w:r>
    </w:p>
    <w:p w14:paraId="3AE3FA1E" w14:textId="227FA076" w:rsidR="00526E27" w:rsidRPr="00526E27" w:rsidRDefault="007F155A" w:rsidP="00526E27">
      <w:pPr>
        <w:rPr>
          <w:rFonts w:ascii="Arial" w:hAnsi="Arial" w:cs="Arial"/>
        </w:rPr>
      </w:pPr>
      <w:r>
        <w:rPr>
          <w:rFonts w:ascii="Arial" w:hAnsi="Arial" w:cs="Arial"/>
        </w:rPr>
        <w:t>Monitoring blood glucose offers valuable insights and helps prevent short-term and long-term complications. Lifestyle changes, such as diet, physical activity, and quitting smoking, can greatly improve health outcomes.</w:t>
      </w:r>
    </w:p>
    <w:p w14:paraId="56FF2DE2" w14:textId="28516A6A" w:rsidR="00526E27" w:rsidRPr="00526E27" w:rsidRDefault="007F155A" w:rsidP="00526E27">
      <w:pPr>
        <w:rPr>
          <w:rFonts w:ascii="Arial" w:hAnsi="Arial" w:cs="Arial"/>
        </w:rPr>
      </w:pPr>
      <w:r>
        <w:rPr>
          <w:rFonts w:ascii="Arial" w:hAnsi="Arial" w:cs="Arial"/>
        </w:rPr>
        <w:lastRenderedPageBreak/>
        <w:t>Reflecting on my role as a student practice nurse, I realise that education is just as important as treatment. Patients need clear, simple explanations and ongoing support. By building trust and encouraging small, achievable changes, we can help patients take control of their condition and enhance their quality of life.</w:t>
      </w:r>
    </w:p>
    <w:p w14:paraId="169020E7" w14:textId="06F5177F" w:rsidR="00526E27" w:rsidRPr="00611E81" w:rsidRDefault="00611E81" w:rsidP="00526E27">
      <w:pPr>
        <w:rPr>
          <w:rFonts w:ascii="Arial" w:hAnsi="Arial" w:cs="Arial"/>
        </w:rPr>
      </w:pPr>
      <w:r w:rsidRPr="00611E81">
        <w:rPr>
          <w:rFonts w:ascii="Arial" w:hAnsi="Arial" w:cs="Arial"/>
          <w:noProof/>
        </w:rPr>
        <w:drawing>
          <wp:inline distT="0" distB="0" distL="0" distR="0" wp14:anchorId="6A2711EE" wp14:editId="2DA0B567">
            <wp:extent cx="5731510" cy="3125470"/>
            <wp:effectExtent l="0" t="0" r="2540" b="0"/>
            <wp:docPr id="19556396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090E6204" w14:textId="413D5BC9" w:rsidR="00611E81" w:rsidRPr="00526E27" w:rsidRDefault="007F155A" w:rsidP="00526E27">
      <w:pPr>
        <w:rPr>
          <w:rFonts w:ascii="Arial" w:hAnsi="Arial" w:cs="Arial"/>
        </w:rPr>
      </w:pPr>
      <w:r>
        <w:rPr>
          <w:rFonts w:ascii="Arial" w:hAnsi="Arial" w:cs="Arial"/>
        </w:rPr>
        <w:t>This final diagram consolidates everything, emphasising that diabetes management involves a range of behaviours, not just one action. It enables patients to see the ‘big picture’ and understand how daily habits relate to long-term health. Such visual tools are particularly effective for reinforcing learning at the conclusion of an educational session.</w:t>
      </w:r>
    </w:p>
    <w:p w14:paraId="324B03AD" w14:textId="448B06E5" w:rsidR="00526E27" w:rsidRPr="00526E27" w:rsidRDefault="00526E27" w:rsidP="001D13E5">
      <w:pPr>
        <w:pStyle w:val="Heading1"/>
      </w:pPr>
      <w:bookmarkStart w:id="9" w:name="_Toc225030768"/>
      <w:r w:rsidRPr="00526E27">
        <w:t>Reference</w:t>
      </w:r>
      <w:bookmarkEnd w:id="9"/>
      <w:r w:rsidRPr="00526E27">
        <w:t xml:space="preserve"> </w:t>
      </w:r>
    </w:p>
    <w:p w14:paraId="02D8E1D0" w14:textId="77777777" w:rsidR="00526E27" w:rsidRPr="00526E27" w:rsidRDefault="00526E27" w:rsidP="00526E27">
      <w:pPr>
        <w:rPr>
          <w:rFonts w:ascii="Arial" w:hAnsi="Arial" w:cs="Arial"/>
        </w:rPr>
      </w:pPr>
      <w:r w:rsidRPr="00526E27">
        <w:rPr>
          <w:rFonts w:ascii="Arial" w:hAnsi="Arial" w:cs="Arial"/>
        </w:rPr>
        <w:t xml:space="preserve">Colberg, S.R. et al. (2016) ‘Physical activity/exercise and diabetes’, </w:t>
      </w:r>
      <w:r w:rsidRPr="00526E27">
        <w:rPr>
          <w:rFonts w:ascii="Arial" w:hAnsi="Arial" w:cs="Arial"/>
          <w:i/>
          <w:iCs/>
        </w:rPr>
        <w:t>Diabetes Care</w:t>
      </w:r>
      <w:r w:rsidRPr="00526E27">
        <w:rPr>
          <w:rFonts w:ascii="Arial" w:hAnsi="Arial" w:cs="Arial"/>
        </w:rPr>
        <w:t>, 39(11), pp. 2065–2079.</w:t>
      </w:r>
    </w:p>
    <w:p w14:paraId="555B937F" w14:textId="77777777" w:rsidR="00526E27" w:rsidRPr="00526E27" w:rsidRDefault="00526E27" w:rsidP="00526E27">
      <w:pPr>
        <w:rPr>
          <w:rFonts w:ascii="Arial" w:hAnsi="Arial" w:cs="Arial"/>
        </w:rPr>
      </w:pPr>
      <w:r w:rsidRPr="009A396B">
        <w:rPr>
          <w:rFonts w:ascii="Arial" w:hAnsi="Arial" w:cs="Arial"/>
          <w:lang w:val="nl-NL"/>
        </w:rPr>
        <w:t xml:space="preserve">DeFronzo, R.A. et al. </w:t>
      </w:r>
      <w:r w:rsidRPr="00526E27">
        <w:rPr>
          <w:rFonts w:ascii="Arial" w:hAnsi="Arial" w:cs="Arial"/>
        </w:rPr>
        <w:t xml:space="preserve">(2015) ‘Type 2 diabetes mellitus’, </w:t>
      </w:r>
      <w:r w:rsidRPr="00526E27">
        <w:rPr>
          <w:rFonts w:ascii="Arial" w:hAnsi="Arial" w:cs="Arial"/>
          <w:i/>
          <w:iCs/>
        </w:rPr>
        <w:t>Nature Reviews Disease Primers</w:t>
      </w:r>
      <w:r w:rsidRPr="00526E27">
        <w:rPr>
          <w:rFonts w:ascii="Arial" w:hAnsi="Arial" w:cs="Arial"/>
        </w:rPr>
        <w:t>, 1, pp. 1–22.</w:t>
      </w:r>
    </w:p>
    <w:p w14:paraId="35364C0D" w14:textId="64DB054B" w:rsidR="00526E27" w:rsidRPr="00526E27" w:rsidRDefault="00526E27" w:rsidP="00526E27">
      <w:pPr>
        <w:rPr>
          <w:rFonts w:ascii="Arial" w:hAnsi="Arial" w:cs="Arial"/>
        </w:rPr>
      </w:pPr>
      <w:r w:rsidRPr="00526E27">
        <w:rPr>
          <w:rFonts w:ascii="Arial" w:hAnsi="Arial" w:cs="Arial"/>
        </w:rPr>
        <w:t>Diabetes UK (2023)</w:t>
      </w:r>
      <w:r w:rsidR="00CD57EB">
        <w:rPr>
          <w:rFonts w:ascii="Arial" w:hAnsi="Arial" w:cs="Arial"/>
        </w:rPr>
        <w:t>.</w:t>
      </w:r>
      <w:r w:rsidRPr="00526E27">
        <w:rPr>
          <w:rFonts w:ascii="Arial" w:hAnsi="Arial" w:cs="Arial"/>
        </w:rPr>
        <w:t xml:space="preserve"> </w:t>
      </w:r>
      <w:r w:rsidRPr="00526E27">
        <w:rPr>
          <w:rFonts w:ascii="Arial" w:hAnsi="Arial" w:cs="Arial"/>
          <w:i/>
          <w:iCs/>
        </w:rPr>
        <w:t>Type 2 diabetes guide</w:t>
      </w:r>
      <w:r w:rsidRPr="00526E27">
        <w:rPr>
          <w:rFonts w:ascii="Arial" w:hAnsi="Arial" w:cs="Arial"/>
        </w:rPr>
        <w:t xml:space="preserve">. Available at: </w:t>
      </w:r>
      <w:hyperlink r:id="rId14" w:history="1">
        <w:r w:rsidRPr="00526E27">
          <w:rPr>
            <w:rStyle w:val="Hyperlink"/>
            <w:rFonts w:ascii="Arial" w:hAnsi="Arial" w:cs="Arial"/>
          </w:rPr>
          <w:t>https://www.diabetes.org.uk</w:t>
        </w:r>
      </w:hyperlink>
    </w:p>
    <w:p w14:paraId="7F106230" w14:textId="2672575D" w:rsidR="00526E27" w:rsidRPr="00526E27" w:rsidRDefault="00526E27" w:rsidP="00526E27">
      <w:pPr>
        <w:rPr>
          <w:rFonts w:ascii="Arial" w:hAnsi="Arial" w:cs="Arial"/>
        </w:rPr>
      </w:pPr>
      <w:r w:rsidRPr="00526E27">
        <w:rPr>
          <w:rFonts w:ascii="Arial" w:hAnsi="Arial" w:cs="Arial"/>
        </w:rPr>
        <w:t>Hall, J.E. (2021)</w:t>
      </w:r>
      <w:r w:rsidR="00CD57EB">
        <w:rPr>
          <w:rFonts w:ascii="Arial" w:hAnsi="Arial" w:cs="Arial"/>
        </w:rPr>
        <w:t>.</w:t>
      </w:r>
      <w:r w:rsidRPr="00526E27">
        <w:rPr>
          <w:rFonts w:ascii="Arial" w:hAnsi="Arial" w:cs="Arial"/>
        </w:rPr>
        <w:t xml:space="preserve"> </w:t>
      </w:r>
      <w:r w:rsidRPr="00526E27">
        <w:rPr>
          <w:rFonts w:ascii="Arial" w:hAnsi="Arial" w:cs="Arial"/>
          <w:i/>
          <w:iCs/>
        </w:rPr>
        <w:t>Guyton and Hall Textbook of Medical Physiology</w:t>
      </w:r>
      <w:r w:rsidRPr="00526E27">
        <w:rPr>
          <w:rFonts w:ascii="Arial" w:hAnsi="Arial" w:cs="Arial"/>
        </w:rPr>
        <w:t xml:space="preserve">. 14th </w:t>
      </w:r>
      <w:proofErr w:type="spellStart"/>
      <w:r w:rsidRPr="00526E27">
        <w:rPr>
          <w:rFonts w:ascii="Arial" w:hAnsi="Arial" w:cs="Arial"/>
        </w:rPr>
        <w:t>edn</w:t>
      </w:r>
      <w:proofErr w:type="spellEnd"/>
      <w:r w:rsidRPr="00526E27">
        <w:rPr>
          <w:rFonts w:ascii="Arial" w:hAnsi="Arial" w:cs="Arial"/>
        </w:rPr>
        <w:t>. Philadelphia: Elsevier.</w:t>
      </w:r>
    </w:p>
    <w:p w14:paraId="3293D8FA" w14:textId="77777777" w:rsidR="00526E27" w:rsidRPr="00526E27" w:rsidRDefault="00526E27" w:rsidP="00526E27">
      <w:pPr>
        <w:rPr>
          <w:rFonts w:ascii="Arial" w:hAnsi="Arial" w:cs="Arial"/>
        </w:rPr>
      </w:pPr>
      <w:proofErr w:type="spellStart"/>
      <w:r w:rsidRPr="00526E27">
        <w:rPr>
          <w:rFonts w:ascii="Arial" w:hAnsi="Arial" w:cs="Arial"/>
        </w:rPr>
        <w:t>Kitabchi</w:t>
      </w:r>
      <w:proofErr w:type="spellEnd"/>
      <w:r w:rsidRPr="00526E27">
        <w:rPr>
          <w:rFonts w:ascii="Arial" w:hAnsi="Arial" w:cs="Arial"/>
        </w:rPr>
        <w:t xml:space="preserve">, A.E. et al. (2009) ‘Hyperglycaemic crises in adult patients with diabetes’, </w:t>
      </w:r>
      <w:r w:rsidRPr="00526E27">
        <w:rPr>
          <w:rFonts w:ascii="Arial" w:hAnsi="Arial" w:cs="Arial"/>
          <w:i/>
          <w:iCs/>
        </w:rPr>
        <w:t>Diabetes Care</w:t>
      </w:r>
      <w:r w:rsidRPr="00526E27">
        <w:rPr>
          <w:rFonts w:ascii="Arial" w:hAnsi="Arial" w:cs="Arial"/>
        </w:rPr>
        <w:t>, 32(7), pp. 1335–1343.</w:t>
      </w:r>
    </w:p>
    <w:p w14:paraId="6CF7CD4D" w14:textId="77777777" w:rsidR="00526E27" w:rsidRPr="00526E27" w:rsidRDefault="00526E27" w:rsidP="00526E27">
      <w:pPr>
        <w:rPr>
          <w:rFonts w:ascii="Arial" w:hAnsi="Arial" w:cs="Arial"/>
        </w:rPr>
      </w:pPr>
      <w:r w:rsidRPr="00526E27">
        <w:rPr>
          <w:rFonts w:ascii="Arial" w:hAnsi="Arial" w:cs="Arial"/>
        </w:rPr>
        <w:t xml:space="preserve">Kumar, P. and Clark, M. (2020) </w:t>
      </w:r>
      <w:r w:rsidRPr="00526E27">
        <w:rPr>
          <w:rFonts w:ascii="Arial" w:hAnsi="Arial" w:cs="Arial"/>
          <w:i/>
          <w:iCs/>
        </w:rPr>
        <w:t>Kumar &amp; Clark’s Clinical Medicine</w:t>
      </w:r>
      <w:r w:rsidRPr="00526E27">
        <w:rPr>
          <w:rFonts w:ascii="Arial" w:hAnsi="Arial" w:cs="Arial"/>
        </w:rPr>
        <w:t xml:space="preserve">. 10th </w:t>
      </w:r>
      <w:proofErr w:type="spellStart"/>
      <w:r w:rsidRPr="00526E27">
        <w:rPr>
          <w:rFonts w:ascii="Arial" w:hAnsi="Arial" w:cs="Arial"/>
        </w:rPr>
        <w:t>edn</w:t>
      </w:r>
      <w:proofErr w:type="spellEnd"/>
      <w:r w:rsidRPr="00526E27">
        <w:rPr>
          <w:rFonts w:ascii="Arial" w:hAnsi="Arial" w:cs="Arial"/>
        </w:rPr>
        <w:t>. London: Elsevier.</w:t>
      </w:r>
    </w:p>
    <w:p w14:paraId="798C050C" w14:textId="77777777" w:rsidR="00526E27" w:rsidRPr="00526E27" w:rsidRDefault="00526E27" w:rsidP="00526E27">
      <w:pPr>
        <w:rPr>
          <w:rFonts w:ascii="Arial" w:hAnsi="Arial" w:cs="Arial"/>
        </w:rPr>
      </w:pPr>
      <w:r w:rsidRPr="00526E27">
        <w:rPr>
          <w:rFonts w:ascii="Arial" w:hAnsi="Arial" w:cs="Arial"/>
        </w:rPr>
        <w:t xml:space="preserve">NHS (2023) </w:t>
      </w:r>
      <w:r w:rsidRPr="00526E27">
        <w:rPr>
          <w:rFonts w:ascii="Arial" w:hAnsi="Arial" w:cs="Arial"/>
          <w:i/>
          <w:iCs/>
        </w:rPr>
        <w:t>Smoking and diabetes</w:t>
      </w:r>
      <w:r w:rsidRPr="00526E27">
        <w:rPr>
          <w:rFonts w:ascii="Arial" w:hAnsi="Arial" w:cs="Arial"/>
        </w:rPr>
        <w:t xml:space="preserve">. Available at: </w:t>
      </w:r>
      <w:hyperlink r:id="rId15" w:history="1">
        <w:r w:rsidRPr="00526E27">
          <w:rPr>
            <w:rStyle w:val="Hyperlink"/>
            <w:rFonts w:ascii="Arial" w:hAnsi="Arial" w:cs="Arial"/>
          </w:rPr>
          <w:t>https://www.nhs.uk</w:t>
        </w:r>
      </w:hyperlink>
    </w:p>
    <w:p w14:paraId="0BAA83CA" w14:textId="77777777" w:rsidR="00526E27" w:rsidRPr="00526E27" w:rsidRDefault="00526E27" w:rsidP="00526E27">
      <w:pPr>
        <w:rPr>
          <w:rFonts w:ascii="Arial" w:hAnsi="Arial" w:cs="Arial"/>
        </w:rPr>
      </w:pPr>
      <w:r w:rsidRPr="00526E27">
        <w:rPr>
          <w:rFonts w:ascii="Arial" w:hAnsi="Arial" w:cs="Arial"/>
        </w:rPr>
        <w:lastRenderedPageBreak/>
        <w:t xml:space="preserve">NICE (2022) </w:t>
      </w:r>
      <w:r w:rsidRPr="00526E27">
        <w:rPr>
          <w:rFonts w:ascii="Arial" w:hAnsi="Arial" w:cs="Arial"/>
          <w:i/>
          <w:iCs/>
        </w:rPr>
        <w:t>Type 2 diabetes in adults: management (NG28)</w:t>
      </w:r>
      <w:r w:rsidRPr="00526E27">
        <w:rPr>
          <w:rFonts w:ascii="Arial" w:hAnsi="Arial" w:cs="Arial"/>
        </w:rPr>
        <w:t>. London: NICE.</w:t>
      </w:r>
    </w:p>
    <w:p w14:paraId="278E9B8D" w14:textId="5DC192D0" w:rsidR="00526E27" w:rsidRPr="00526E27" w:rsidRDefault="00526E27" w:rsidP="00526E27">
      <w:pPr>
        <w:rPr>
          <w:rFonts w:ascii="Arial" w:hAnsi="Arial" w:cs="Arial"/>
        </w:rPr>
      </w:pPr>
      <w:r w:rsidRPr="00526E27">
        <w:rPr>
          <w:rFonts w:ascii="Arial" w:hAnsi="Arial" w:cs="Arial"/>
        </w:rPr>
        <w:t>Tortora, G.J. and Derrickson, B.H. (2020)</w:t>
      </w:r>
      <w:r w:rsidR="00CD57EB">
        <w:rPr>
          <w:rFonts w:ascii="Arial" w:hAnsi="Arial" w:cs="Arial"/>
        </w:rPr>
        <w:t>.</w:t>
      </w:r>
      <w:r w:rsidRPr="00526E27">
        <w:rPr>
          <w:rFonts w:ascii="Arial" w:hAnsi="Arial" w:cs="Arial"/>
        </w:rPr>
        <w:t xml:space="preserve"> </w:t>
      </w:r>
      <w:r w:rsidRPr="00526E27">
        <w:rPr>
          <w:rFonts w:ascii="Arial" w:hAnsi="Arial" w:cs="Arial"/>
          <w:i/>
          <w:iCs/>
        </w:rPr>
        <w:t>Principles of Anatomy and Physiology</w:t>
      </w:r>
      <w:r w:rsidRPr="00526E27">
        <w:rPr>
          <w:rFonts w:ascii="Arial" w:hAnsi="Arial" w:cs="Arial"/>
        </w:rPr>
        <w:t xml:space="preserve">. 16th </w:t>
      </w:r>
      <w:proofErr w:type="spellStart"/>
      <w:r w:rsidRPr="00526E27">
        <w:rPr>
          <w:rFonts w:ascii="Arial" w:hAnsi="Arial" w:cs="Arial"/>
        </w:rPr>
        <w:t>edn</w:t>
      </w:r>
      <w:proofErr w:type="spellEnd"/>
      <w:r w:rsidRPr="00526E27">
        <w:rPr>
          <w:rFonts w:ascii="Arial" w:hAnsi="Arial" w:cs="Arial"/>
        </w:rPr>
        <w:t>. Hoboken: Wiley.</w:t>
      </w:r>
    </w:p>
    <w:p w14:paraId="24F2286C" w14:textId="6A04567D" w:rsidR="00526E27" w:rsidRPr="00526E27" w:rsidRDefault="00526E27" w:rsidP="00526E27">
      <w:pPr>
        <w:rPr>
          <w:rFonts w:ascii="Arial" w:hAnsi="Arial" w:cs="Arial"/>
        </w:rPr>
      </w:pPr>
      <w:r w:rsidRPr="00526E27">
        <w:rPr>
          <w:rFonts w:ascii="Arial" w:hAnsi="Arial" w:cs="Arial"/>
        </w:rPr>
        <w:t xml:space="preserve">World Health </w:t>
      </w:r>
      <w:r w:rsidR="00CD57EB">
        <w:rPr>
          <w:rFonts w:ascii="Arial" w:hAnsi="Arial" w:cs="Arial"/>
        </w:rPr>
        <w:t>Organisation</w:t>
      </w:r>
      <w:r w:rsidRPr="00526E27">
        <w:rPr>
          <w:rFonts w:ascii="Arial" w:hAnsi="Arial" w:cs="Arial"/>
        </w:rPr>
        <w:t xml:space="preserve"> (2023) </w:t>
      </w:r>
      <w:r w:rsidRPr="00526E27">
        <w:rPr>
          <w:rFonts w:ascii="Arial" w:hAnsi="Arial" w:cs="Arial"/>
          <w:i/>
          <w:iCs/>
        </w:rPr>
        <w:t>Diabetes fact sheet</w:t>
      </w:r>
      <w:r w:rsidRPr="00526E27">
        <w:rPr>
          <w:rFonts w:ascii="Arial" w:hAnsi="Arial" w:cs="Arial"/>
        </w:rPr>
        <w:t xml:space="preserve">. Available at: </w:t>
      </w:r>
      <w:hyperlink r:id="rId16" w:history="1">
        <w:r w:rsidRPr="00526E27">
          <w:rPr>
            <w:rStyle w:val="Hyperlink"/>
            <w:rFonts w:ascii="Arial" w:hAnsi="Arial" w:cs="Arial"/>
          </w:rPr>
          <w:t>https://www.who.int</w:t>
        </w:r>
      </w:hyperlink>
    </w:p>
    <w:p w14:paraId="7905738C" w14:textId="74348EBD" w:rsidR="00526E27" w:rsidRPr="00526E27" w:rsidRDefault="00526E27" w:rsidP="00526E27">
      <w:pPr>
        <w:rPr>
          <w:rFonts w:ascii="Arial" w:hAnsi="Arial" w:cs="Arial"/>
        </w:rPr>
      </w:pPr>
      <w:r w:rsidRPr="00526E27">
        <w:rPr>
          <w:rFonts w:ascii="Arial" w:hAnsi="Arial" w:cs="Arial"/>
        </w:rPr>
        <w:t>Public Health England (2021)</w:t>
      </w:r>
      <w:r w:rsidR="00CD57EB">
        <w:rPr>
          <w:rFonts w:ascii="Arial" w:hAnsi="Arial" w:cs="Arial"/>
        </w:rPr>
        <w:t>.</w:t>
      </w:r>
      <w:r w:rsidRPr="00526E27">
        <w:rPr>
          <w:rFonts w:ascii="Arial" w:hAnsi="Arial" w:cs="Arial"/>
        </w:rPr>
        <w:t xml:space="preserve"> </w:t>
      </w:r>
      <w:r w:rsidRPr="00526E27">
        <w:rPr>
          <w:rFonts w:ascii="Arial" w:hAnsi="Arial" w:cs="Arial"/>
          <w:i/>
          <w:iCs/>
        </w:rPr>
        <w:t>Health matters: preventing Type 2 diabetes</w:t>
      </w:r>
      <w:r w:rsidRPr="00526E27">
        <w:rPr>
          <w:rFonts w:ascii="Arial" w:hAnsi="Arial" w:cs="Arial"/>
        </w:rPr>
        <w:t>. London: PHE.</w:t>
      </w:r>
    </w:p>
    <w:p w14:paraId="66B3BA44" w14:textId="77777777" w:rsidR="002A4DA0" w:rsidRPr="00611E81" w:rsidRDefault="002A4DA0">
      <w:pPr>
        <w:rPr>
          <w:rFonts w:ascii="Arial" w:hAnsi="Arial" w:cs="Arial"/>
        </w:rPr>
      </w:pPr>
    </w:p>
    <w:sectPr w:rsidR="002A4DA0" w:rsidRPr="00611E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E27"/>
    <w:rsid w:val="00003C43"/>
    <w:rsid w:val="00067914"/>
    <w:rsid w:val="00095C53"/>
    <w:rsid w:val="000D7C8E"/>
    <w:rsid w:val="001D13E5"/>
    <w:rsid w:val="00236AA2"/>
    <w:rsid w:val="00271B25"/>
    <w:rsid w:val="002A4DA0"/>
    <w:rsid w:val="003B720F"/>
    <w:rsid w:val="00526E27"/>
    <w:rsid w:val="005A320C"/>
    <w:rsid w:val="00610D31"/>
    <w:rsid w:val="00611E81"/>
    <w:rsid w:val="00770CB3"/>
    <w:rsid w:val="007B10AD"/>
    <w:rsid w:val="007D35D7"/>
    <w:rsid w:val="007F155A"/>
    <w:rsid w:val="00841896"/>
    <w:rsid w:val="00933FB1"/>
    <w:rsid w:val="009A396B"/>
    <w:rsid w:val="00B831C4"/>
    <w:rsid w:val="00BA7397"/>
    <w:rsid w:val="00CD57EB"/>
    <w:rsid w:val="00D253A5"/>
    <w:rsid w:val="00D83906"/>
    <w:rsid w:val="00DC5D6D"/>
    <w:rsid w:val="00E52FA0"/>
    <w:rsid w:val="00EA59D0"/>
    <w:rsid w:val="00F24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78D82"/>
  <w15:chartTrackingRefBased/>
  <w15:docId w15:val="{478D542C-7E1E-40C0-B4F8-7E57995EC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E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6E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6E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6E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6E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6E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E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E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E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E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6E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6E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6E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6E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6E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E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E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E27"/>
    <w:rPr>
      <w:rFonts w:eastAsiaTheme="majorEastAsia" w:cstheme="majorBidi"/>
      <w:color w:val="272727" w:themeColor="text1" w:themeTint="D8"/>
    </w:rPr>
  </w:style>
  <w:style w:type="paragraph" w:styleId="Title">
    <w:name w:val="Title"/>
    <w:basedOn w:val="Normal"/>
    <w:next w:val="Normal"/>
    <w:link w:val="TitleChar"/>
    <w:uiPriority w:val="10"/>
    <w:qFormat/>
    <w:rsid w:val="00526E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E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E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6E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6E27"/>
    <w:pPr>
      <w:spacing w:before="160"/>
      <w:jc w:val="center"/>
    </w:pPr>
    <w:rPr>
      <w:i/>
      <w:iCs/>
      <w:color w:val="404040" w:themeColor="text1" w:themeTint="BF"/>
    </w:rPr>
  </w:style>
  <w:style w:type="character" w:customStyle="1" w:styleId="QuoteChar">
    <w:name w:val="Quote Char"/>
    <w:basedOn w:val="DefaultParagraphFont"/>
    <w:link w:val="Quote"/>
    <w:uiPriority w:val="29"/>
    <w:rsid w:val="00526E27"/>
    <w:rPr>
      <w:i/>
      <w:iCs/>
      <w:color w:val="404040" w:themeColor="text1" w:themeTint="BF"/>
    </w:rPr>
  </w:style>
  <w:style w:type="paragraph" w:styleId="ListParagraph">
    <w:name w:val="List Paragraph"/>
    <w:basedOn w:val="Normal"/>
    <w:uiPriority w:val="34"/>
    <w:qFormat/>
    <w:rsid w:val="00526E27"/>
    <w:pPr>
      <w:ind w:left="720"/>
      <w:contextualSpacing/>
    </w:pPr>
  </w:style>
  <w:style w:type="character" w:styleId="IntenseEmphasis">
    <w:name w:val="Intense Emphasis"/>
    <w:basedOn w:val="DefaultParagraphFont"/>
    <w:uiPriority w:val="21"/>
    <w:qFormat/>
    <w:rsid w:val="00526E27"/>
    <w:rPr>
      <w:i/>
      <w:iCs/>
      <w:color w:val="0F4761" w:themeColor="accent1" w:themeShade="BF"/>
    </w:rPr>
  </w:style>
  <w:style w:type="paragraph" w:styleId="IntenseQuote">
    <w:name w:val="Intense Quote"/>
    <w:basedOn w:val="Normal"/>
    <w:next w:val="Normal"/>
    <w:link w:val="IntenseQuoteChar"/>
    <w:uiPriority w:val="30"/>
    <w:qFormat/>
    <w:rsid w:val="00526E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6E27"/>
    <w:rPr>
      <w:i/>
      <w:iCs/>
      <w:color w:val="0F4761" w:themeColor="accent1" w:themeShade="BF"/>
    </w:rPr>
  </w:style>
  <w:style w:type="character" w:styleId="IntenseReference">
    <w:name w:val="Intense Reference"/>
    <w:basedOn w:val="DefaultParagraphFont"/>
    <w:uiPriority w:val="32"/>
    <w:qFormat/>
    <w:rsid w:val="00526E27"/>
    <w:rPr>
      <w:b/>
      <w:bCs/>
      <w:smallCaps/>
      <w:color w:val="0F4761" w:themeColor="accent1" w:themeShade="BF"/>
      <w:spacing w:val="5"/>
    </w:rPr>
  </w:style>
  <w:style w:type="character" w:styleId="Hyperlink">
    <w:name w:val="Hyperlink"/>
    <w:basedOn w:val="DefaultParagraphFont"/>
    <w:uiPriority w:val="99"/>
    <w:unhideWhenUsed/>
    <w:rsid w:val="00526E27"/>
    <w:rPr>
      <w:color w:val="467886" w:themeColor="hyperlink"/>
      <w:u w:val="single"/>
    </w:rPr>
  </w:style>
  <w:style w:type="character" w:styleId="UnresolvedMention">
    <w:name w:val="Unresolved Mention"/>
    <w:basedOn w:val="DefaultParagraphFont"/>
    <w:uiPriority w:val="99"/>
    <w:semiHidden/>
    <w:unhideWhenUsed/>
    <w:rsid w:val="00526E27"/>
    <w:rPr>
      <w:color w:val="605E5C"/>
      <w:shd w:val="clear" w:color="auto" w:fill="E1DFDD"/>
    </w:rPr>
  </w:style>
  <w:style w:type="paragraph" w:styleId="TOCHeading">
    <w:name w:val="TOC Heading"/>
    <w:basedOn w:val="Heading1"/>
    <w:next w:val="Normal"/>
    <w:uiPriority w:val="39"/>
    <w:unhideWhenUsed/>
    <w:qFormat/>
    <w:rsid w:val="00271B2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71B25"/>
    <w:pPr>
      <w:spacing w:after="100"/>
    </w:pPr>
  </w:style>
  <w:style w:type="paragraph" w:styleId="TOC2">
    <w:name w:val="toc 2"/>
    <w:basedOn w:val="Normal"/>
    <w:next w:val="Normal"/>
    <w:autoRedefine/>
    <w:uiPriority w:val="39"/>
    <w:unhideWhenUsed/>
    <w:rsid w:val="00271B2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 TargetMode="Externa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hyperlink" Target="https://www.nhs.uk/"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diabete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0C1A9-6559-4D5B-A2ED-543FD4FFB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2167</Words>
  <Characters>12355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Fayyaz Muhammad</dc:creator>
  <cp:keywords/>
  <dc:description/>
  <cp:lastModifiedBy>Sely Sequeira</cp:lastModifiedBy>
  <cp:revision>17</cp:revision>
  <dcterms:created xsi:type="dcterms:W3CDTF">2026-04-06T20:38:00Z</dcterms:created>
  <dcterms:modified xsi:type="dcterms:W3CDTF">2026-04-06T20:51:00Z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1873d75f-d3dd-443b-a2ea-f15f7cdbe51e</vt:lpwstr>
  </property>
</Properties>
</file>