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14FC4" w14:textId="77777777" w:rsidR="00C92D79" w:rsidRPr="007B3988" w:rsidRDefault="00C92D79" w:rsidP="00C92D79">
      <w:pPr>
        <w:pStyle w:val="NormalWeb"/>
        <w:spacing w:before="0" w:beforeAutospacing="0" w:after="0" w:afterAutospacing="0" w:line="360" w:lineRule="auto"/>
        <w:jc w:val="center"/>
        <w:rPr>
          <w:b/>
          <w:bCs/>
          <w:sz w:val="32"/>
        </w:rPr>
      </w:pPr>
    </w:p>
    <w:p w14:paraId="3B5DFACE" w14:textId="77777777" w:rsidR="00C92D79" w:rsidRPr="007B3988" w:rsidRDefault="00C92D79" w:rsidP="00C92D79">
      <w:pPr>
        <w:pStyle w:val="NormalWeb"/>
        <w:spacing w:before="0" w:beforeAutospacing="0" w:after="0" w:afterAutospacing="0" w:line="360" w:lineRule="auto"/>
        <w:jc w:val="center"/>
        <w:rPr>
          <w:b/>
          <w:bCs/>
          <w:sz w:val="32"/>
        </w:rPr>
      </w:pPr>
    </w:p>
    <w:p w14:paraId="1F6B7A31" w14:textId="77777777" w:rsidR="00C92D79" w:rsidRPr="007B3988" w:rsidRDefault="00C92D79" w:rsidP="00C92D79">
      <w:pPr>
        <w:pStyle w:val="NormalWeb"/>
        <w:spacing w:before="0" w:beforeAutospacing="0" w:after="0" w:afterAutospacing="0" w:line="360" w:lineRule="auto"/>
        <w:jc w:val="center"/>
        <w:rPr>
          <w:b/>
          <w:bCs/>
          <w:sz w:val="32"/>
        </w:rPr>
      </w:pPr>
    </w:p>
    <w:p w14:paraId="793B7CF8" w14:textId="77777777" w:rsidR="00C92D79" w:rsidRPr="007B3988" w:rsidRDefault="00C92D79" w:rsidP="00C92D79">
      <w:pPr>
        <w:pStyle w:val="NormalWeb"/>
        <w:spacing w:before="0" w:beforeAutospacing="0" w:after="0" w:afterAutospacing="0" w:line="360" w:lineRule="auto"/>
        <w:jc w:val="center"/>
        <w:rPr>
          <w:b/>
          <w:bCs/>
          <w:sz w:val="32"/>
        </w:rPr>
      </w:pPr>
    </w:p>
    <w:p w14:paraId="7A3627C2" w14:textId="77777777" w:rsidR="00C92D79" w:rsidRPr="007B3988" w:rsidRDefault="00C92D79" w:rsidP="00C92D79">
      <w:pPr>
        <w:pStyle w:val="NormalWeb"/>
        <w:spacing w:before="0" w:beforeAutospacing="0" w:after="0" w:afterAutospacing="0" w:line="360" w:lineRule="auto"/>
        <w:jc w:val="center"/>
        <w:rPr>
          <w:b/>
          <w:bCs/>
          <w:sz w:val="32"/>
        </w:rPr>
      </w:pPr>
    </w:p>
    <w:p w14:paraId="0AA02C73" w14:textId="77777777" w:rsidR="00C92D79" w:rsidRPr="007B3988" w:rsidRDefault="00C92D79" w:rsidP="00C92D79">
      <w:pPr>
        <w:pStyle w:val="NormalWeb"/>
        <w:spacing w:before="0" w:beforeAutospacing="0" w:after="0" w:afterAutospacing="0" w:line="360" w:lineRule="auto"/>
        <w:jc w:val="center"/>
        <w:rPr>
          <w:b/>
          <w:bCs/>
          <w:sz w:val="32"/>
        </w:rPr>
      </w:pPr>
    </w:p>
    <w:p w14:paraId="3DD5EBB4" w14:textId="77777777" w:rsidR="00C92D79" w:rsidRPr="007B3988" w:rsidRDefault="00C92D79" w:rsidP="00C92D79">
      <w:pPr>
        <w:pStyle w:val="NormalWeb"/>
        <w:spacing w:before="0" w:beforeAutospacing="0" w:after="0" w:afterAutospacing="0" w:line="360" w:lineRule="auto"/>
        <w:jc w:val="center"/>
        <w:rPr>
          <w:b/>
          <w:bCs/>
          <w:sz w:val="32"/>
        </w:rPr>
      </w:pPr>
    </w:p>
    <w:p w14:paraId="0D566D29" w14:textId="559C19FD" w:rsidR="00863558" w:rsidRDefault="00F54395" w:rsidP="00C92D79">
      <w:pPr>
        <w:pStyle w:val="NormalWeb"/>
        <w:spacing w:before="0" w:beforeAutospacing="0" w:after="0" w:afterAutospacing="0" w:line="360" w:lineRule="auto"/>
        <w:jc w:val="center"/>
        <w:rPr>
          <w:b/>
          <w:bCs/>
          <w:sz w:val="32"/>
        </w:rPr>
      </w:pPr>
      <w:proofErr w:type="spellStart"/>
      <w:r>
        <w:rPr>
          <w:b/>
          <w:bCs/>
          <w:sz w:val="32"/>
        </w:rPr>
        <w:t>Programme</w:t>
      </w:r>
      <w:proofErr w:type="spellEnd"/>
      <w:r>
        <w:rPr>
          <w:b/>
          <w:bCs/>
          <w:sz w:val="32"/>
        </w:rPr>
        <w:t xml:space="preserve">: </w:t>
      </w:r>
      <w:r w:rsidR="00BE442A" w:rsidRPr="007B3988">
        <w:rPr>
          <w:b/>
          <w:bCs/>
          <w:sz w:val="32"/>
        </w:rPr>
        <w:t>BA Business Management</w:t>
      </w:r>
    </w:p>
    <w:p w14:paraId="52C02D82" w14:textId="4FF0ADF7" w:rsidR="00C92D79" w:rsidRDefault="00F54395" w:rsidP="00F54395">
      <w:pPr>
        <w:pStyle w:val="NormalWeb"/>
        <w:spacing w:before="0" w:beforeAutospacing="0" w:after="0" w:afterAutospacing="0" w:line="360" w:lineRule="auto"/>
        <w:rPr>
          <w:b/>
          <w:bCs/>
          <w:sz w:val="32"/>
        </w:rPr>
      </w:pPr>
      <w:r>
        <w:rPr>
          <w:b/>
          <w:bCs/>
          <w:sz w:val="32"/>
        </w:rPr>
        <w:t xml:space="preserve">                         </w:t>
      </w:r>
      <w:r w:rsidR="005F0255">
        <w:rPr>
          <w:b/>
          <w:bCs/>
          <w:sz w:val="32"/>
        </w:rPr>
        <w:t xml:space="preserve">Module: </w:t>
      </w:r>
      <w:r w:rsidR="00BE442A" w:rsidRPr="007B3988">
        <w:rPr>
          <w:b/>
          <w:bCs/>
          <w:sz w:val="32"/>
        </w:rPr>
        <w:t>Managing People</w:t>
      </w:r>
    </w:p>
    <w:p w14:paraId="5F4EC914" w14:textId="483A51A6" w:rsidR="0076029C" w:rsidRDefault="0076029C" w:rsidP="00F54395">
      <w:pPr>
        <w:pStyle w:val="NormalWeb"/>
        <w:spacing w:before="0" w:beforeAutospacing="0" w:after="0" w:afterAutospacing="0" w:line="360" w:lineRule="auto"/>
        <w:rPr>
          <w:b/>
          <w:bCs/>
          <w:sz w:val="32"/>
        </w:rPr>
      </w:pPr>
      <w:r>
        <w:rPr>
          <w:b/>
          <w:bCs/>
          <w:sz w:val="32"/>
        </w:rPr>
        <w:t xml:space="preserve">                         Module code</w:t>
      </w:r>
      <w:r w:rsidR="00B640A0">
        <w:rPr>
          <w:b/>
          <w:bCs/>
          <w:sz w:val="32"/>
        </w:rPr>
        <w:t>: LCBB5004</w:t>
      </w:r>
    </w:p>
    <w:p w14:paraId="005B29FF" w14:textId="55C21154" w:rsidR="00C770B9" w:rsidRDefault="00C770B9" w:rsidP="00F54395">
      <w:pPr>
        <w:pStyle w:val="NormalWeb"/>
        <w:spacing w:before="0" w:beforeAutospacing="0" w:after="0" w:afterAutospacing="0" w:line="360" w:lineRule="auto"/>
        <w:rPr>
          <w:b/>
          <w:bCs/>
          <w:sz w:val="32"/>
        </w:rPr>
      </w:pPr>
      <w:r>
        <w:rPr>
          <w:b/>
          <w:bCs/>
          <w:sz w:val="32"/>
        </w:rPr>
        <w:t xml:space="preserve">                         Assessment</w:t>
      </w:r>
      <w:r w:rsidR="00F5277E">
        <w:rPr>
          <w:b/>
          <w:bCs/>
          <w:sz w:val="32"/>
        </w:rPr>
        <w:t xml:space="preserve"> title:</w:t>
      </w:r>
      <w:r w:rsidR="00C65ADA">
        <w:rPr>
          <w:b/>
          <w:bCs/>
          <w:sz w:val="32"/>
        </w:rPr>
        <w:t xml:space="preserve"> Assessment 2</w:t>
      </w:r>
    </w:p>
    <w:p w14:paraId="111F96FD" w14:textId="32458993" w:rsidR="00C65ADA" w:rsidRPr="007B3988" w:rsidRDefault="00C65ADA" w:rsidP="00F54395">
      <w:pPr>
        <w:pStyle w:val="NormalWeb"/>
        <w:spacing w:before="0" w:beforeAutospacing="0" w:after="0" w:afterAutospacing="0" w:line="360" w:lineRule="auto"/>
        <w:rPr>
          <w:b/>
          <w:bCs/>
          <w:sz w:val="32"/>
        </w:rPr>
      </w:pPr>
      <w:r>
        <w:rPr>
          <w:b/>
          <w:bCs/>
          <w:sz w:val="32"/>
        </w:rPr>
        <w:t xml:space="preserve">                         Student name:</w:t>
      </w:r>
      <w:r w:rsidR="00E701D4">
        <w:rPr>
          <w:b/>
          <w:bCs/>
          <w:sz w:val="32"/>
        </w:rPr>
        <w:t xml:space="preserve"> </w:t>
      </w:r>
      <w:r>
        <w:rPr>
          <w:b/>
          <w:bCs/>
          <w:sz w:val="32"/>
        </w:rPr>
        <w:t xml:space="preserve">Anca </w:t>
      </w:r>
      <w:r w:rsidR="00E701D4">
        <w:rPr>
          <w:b/>
          <w:bCs/>
          <w:sz w:val="32"/>
        </w:rPr>
        <w:t xml:space="preserve">Larisa Costache </w:t>
      </w:r>
    </w:p>
    <w:p w14:paraId="319EBB41" w14:textId="77777777" w:rsidR="00C92D79" w:rsidRPr="007B3988" w:rsidRDefault="00BE442A" w:rsidP="00C92D79">
      <w:pPr>
        <w:spacing w:line="360" w:lineRule="auto"/>
        <w:jc w:val="both"/>
        <w:rPr>
          <w:rFonts w:ascii="Times New Roman" w:eastAsia="Times New Roman" w:hAnsi="Times New Roman" w:cs="Times New Roman"/>
          <w:b/>
          <w:bCs/>
          <w:sz w:val="24"/>
          <w:szCs w:val="24"/>
          <w:lang w:val="en-US"/>
        </w:rPr>
      </w:pPr>
      <w:r w:rsidRPr="007B3988">
        <w:rPr>
          <w:rFonts w:ascii="Times New Roman" w:hAnsi="Times New Roman" w:cs="Times New Roman"/>
          <w:b/>
          <w:bCs/>
          <w:sz w:val="24"/>
          <w:szCs w:val="24"/>
        </w:rPr>
        <w:br w:type="page"/>
      </w:r>
    </w:p>
    <w:p w14:paraId="31827D16" w14:textId="77777777" w:rsidR="00C92D79" w:rsidRPr="007B3988" w:rsidRDefault="00BE442A" w:rsidP="00C92D79">
      <w:pPr>
        <w:pStyle w:val="NormalWeb"/>
        <w:spacing w:before="0" w:beforeAutospacing="0" w:after="0" w:afterAutospacing="0" w:line="360" w:lineRule="auto"/>
        <w:jc w:val="center"/>
        <w:rPr>
          <w:b/>
          <w:bCs/>
          <w:sz w:val="28"/>
        </w:rPr>
      </w:pPr>
      <w:r w:rsidRPr="007B3988">
        <w:rPr>
          <w:b/>
          <w:bCs/>
          <w:sz w:val="28"/>
        </w:rPr>
        <w:lastRenderedPageBreak/>
        <w:t>Table of Contents</w:t>
      </w:r>
    </w:p>
    <w:sdt>
      <w:sdtPr>
        <w:rPr>
          <w:rFonts w:asciiTheme="minorHAnsi" w:eastAsiaTheme="minorHAnsi" w:hAnsiTheme="minorHAnsi" w:cstheme="minorBidi"/>
          <w:b w:val="0"/>
          <w:bCs w:val="0"/>
          <w:color w:val="auto"/>
          <w:sz w:val="22"/>
          <w:szCs w:val="22"/>
          <w:lang w:val="en-GB"/>
        </w:rPr>
        <w:id w:val="25990752"/>
        <w:docPartObj>
          <w:docPartGallery w:val="Table of Contents"/>
          <w:docPartUnique/>
        </w:docPartObj>
      </w:sdtPr>
      <w:sdtEndPr/>
      <w:sdtContent>
        <w:p w14:paraId="760591FA" w14:textId="77777777" w:rsidR="00C92D79" w:rsidRPr="007B3988" w:rsidRDefault="00C92D79" w:rsidP="00D51978">
          <w:pPr>
            <w:pStyle w:val="TtuloTDC"/>
            <w:spacing w:line="360" w:lineRule="auto"/>
            <w:jc w:val="both"/>
            <w:rPr>
              <w:rFonts w:ascii="Times New Roman" w:hAnsi="Times New Roman" w:cs="Times New Roman"/>
              <w:color w:val="auto"/>
              <w:sz w:val="24"/>
              <w:szCs w:val="24"/>
            </w:rPr>
          </w:pPr>
        </w:p>
        <w:p w14:paraId="4EBE0D9E" w14:textId="77777777" w:rsidR="00D51978" w:rsidRPr="007B3988" w:rsidRDefault="005944AD"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r w:rsidRPr="007B3988">
            <w:rPr>
              <w:rFonts w:ascii="Times New Roman" w:hAnsi="Times New Roman" w:cs="Times New Roman"/>
              <w:sz w:val="24"/>
              <w:szCs w:val="24"/>
            </w:rPr>
            <w:fldChar w:fldCharType="begin"/>
          </w:r>
          <w:r w:rsidR="00BE442A" w:rsidRPr="007B3988">
            <w:rPr>
              <w:rFonts w:ascii="Times New Roman" w:hAnsi="Times New Roman" w:cs="Times New Roman"/>
              <w:sz w:val="24"/>
              <w:szCs w:val="24"/>
            </w:rPr>
            <w:instrText xml:space="preserve"> TOC \o "1-3" \h \z \u </w:instrText>
          </w:r>
          <w:r w:rsidRPr="007B3988">
            <w:rPr>
              <w:rFonts w:ascii="Times New Roman" w:hAnsi="Times New Roman" w:cs="Times New Roman"/>
              <w:sz w:val="24"/>
              <w:szCs w:val="24"/>
            </w:rPr>
            <w:fldChar w:fldCharType="separate"/>
          </w:r>
          <w:hyperlink w:anchor="_Toc100157330" w:history="1">
            <w:r w:rsidR="00D51978" w:rsidRPr="007B3988">
              <w:rPr>
                <w:rStyle w:val="Hipervnculo"/>
                <w:rFonts w:ascii="Times New Roman" w:hAnsi="Times New Roman" w:cs="Times New Roman"/>
                <w:noProof/>
                <w:color w:val="auto"/>
                <w:sz w:val="24"/>
                <w:szCs w:val="24"/>
              </w:rPr>
              <w:t>Introduction</w:t>
            </w:r>
            <w:r w:rsidR="00D51978" w:rsidRPr="007B3988">
              <w:rPr>
                <w:rFonts w:ascii="Times New Roman" w:hAnsi="Times New Roman" w:cs="Times New Roman"/>
                <w:noProof/>
                <w:webHidden/>
                <w:sz w:val="24"/>
                <w:szCs w:val="24"/>
              </w:rPr>
              <w:tab/>
            </w:r>
            <w:r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_Toc100157330 \h </w:instrText>
            </w:r>
            <w:r w:rsidRPr="007B3988">
              <w:rPr>
                <w:rFonts w:ascii="Times New Roman" w:hAnsi="Times New Roman" w:cs="Times New Roman"/>
                <w:noProof/>
                <w:webHidden/>
                <w:sz w:val="24"/>
                <w:szCs w:val="24"/>
              </w:rPr>
            </w:r>
            <w:r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3</w:t>
            </w:r>
            <w:r w:rsidRPr="007B3988">
              <w:rPr>
                <w:rFonts w:ascii="Times New Roman" w:hAnsi="Times New Roman" w:cs="Times New Roman"/>
                <w:noProof/>
                <w:webHidden/>
                <w:sz w:val="24"/>
                <w:szCs w:val="24"/>
              </w:rPr>
              <w:fldChar w:fldCharType="end"/>
            </w:r>
          </w:hyperlink>
        </w:p>
        <w:p w14:paraId="6C1D5285"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1" w:history="1">
            <w:r w:rsidR="00D51978" w:rsidRPr="007B3988">
              <w:rPr>
                <w:rStyle w:val="Hipervnculo"/>
                <w:rFonts w:ascii="Times New Roman" w:hAnsi="Times New Roman" w:cs="Times New Roman"/>
                <w:noProof/>
                <w:color w:val="auto"/>
                <w:sz w:val="24"/>
                <w:szCs w:val="24"/>
              </w:rPr>
              <w:t>Concept and drivers of employee engagement</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_Toc100157331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3</w:t>
            </w:r>
            <w:r w:rsidR="005944AD" w:rsidRPr="007B3988">
              <w:rPr>
                <w:rFonts w:ascii="Times New Roman" w:hAnsi="Times New Roman" w:cs="Times New Roman"/>
                <w:noProof/>
                <w:webHidden/>
                <w:sz w:val="24"/>
                <w:szCs w:val="24"/>
              </w:rPr>
              <w:fldChar w:fldCharType="end"/>
            </w:r>
          </w:hyperlink>
        </w:p>
        <w:p w14:paraId="3BF39647"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2" w:history="1">
            <w:r w:rsidR="00D51978" w:rsidRPr="007B3988">
              <w:rPr>
                <w:rStyle w:val="Hipervnculo"/>
                <w:rFonts w:ascii="Times New Roman" w:hAnsi="Times New Roman" w:cs="Times New Roman"/>
                <w:noProof/>
                <w:color w:val="auto"/>
                <w:sz w:val="24"/>
                <w:szCs w:val="24"/>
              </w:rPr>
              <w:t>Diagnostics tools to measure the engagement</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_Toc100157332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5</w:t>
            </w:r>
            <w:r w:rsidR="005944AD" w:rsidRPr="007B3988">
              <w:rPr>
                <w:rFonts w:ascii="Times New Roman" w:hAnsi="Times New Roman" w:cs="Times New Roman"/>
                <w:noProof/>
                <w:webHidden/>
                <w:sz w:val="24"/>
                <w:szCs w:val="24"/>
              </w:rPr>
              <w:fldChar w:fldCharType="end"/>
            </w:r>
          </w:hyperlink>
        </w:p>
        <w:p w14:paraId="0AD8F33E"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3" w:history="1">
            <w:r w:rsidR="00D51978" w:rsidRPr="007B3988">
              <w:rPr>
                <w:rStyle w:val="Hipervnculo"/>
                <w:rFonts w:ascii="Times New Roman" w:hAnsi="Times New Roman" w:cs="Times New Roman"/>
                <w:noProof/>
                <w:color w:val="auto"/>
                <w:sz w:val="24"/>
                <w:szCs w:val="24"/>
              </w:rPr>
              <w:t>Employee value proposition linked with employee engagment</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_Toc100157333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6</w:t>
            </w:r>
            <w:r w:rsidR="005944AD" w:rsidRPr="007B3988">
              <w:rPr>
                <w:rFonts w:ascii="Times New Roman" w:hAnsi="Times New Roman" w:cs="Times New Roman"/>
                <w:noProof/>
                <w:webHidden/>
                <w:sz w:val="24"/>
                <w:szCs w:val="24"/>
              </w:rPr>
              <w:fldChar w:fldCharType="end"/>
            </w:r>
          </w:hyperlink>
        </w:p>
        <w:p w14:paraId="3FF85602"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4" w:history="1">
            <w:r w:rsidR="00D51978" w:rsidRPr="007B3988">
              <w:rPr>
                <w:rStyle w:val="Hipervnculo"/>
                <w:rFonts w:ascii="Times New Roman" w:hAnsi="Times New Roman" w:cs="Times New Roman"/>
                <w:noProof/>
                <w:color w:val="auto"/>
                <w:sz w:val="24"/>
                <w:szCs w:val="24"/>
              </w:rPr>
              <w:t>Recommendations to improve engagement</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_Toc100157334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7</w:t>
            </w:r>
            <w:r w:rsidR="005944AD" w:rsidRPr="007B3988">
              <w:rPr>
                <w:rFonts w:ascii="Times New Roman" w:hAnsi="Times New Roman" w:cs="Times New Roman"/>
                <w:noProof/>
                <w:webHidden/>
                <w:sz w:val="24"/>
                <w:szCs w:val="24"/>
              </w:rPr>
              <w:fldChar w:fldCharType="end"/>
            </w:r>
          </w:hyperlink>
        </w:p>
        <w:p w14:paraId="35086551"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5" w:history="1">
            <w:r w:rsidR="00D51978" w:rsidRPr="007B3988">
              <w:rPr>
                <w:rStyle w:val="Hipervnculo"/>
                <w:rFonts w:ascii="Times New Roman" w:hAnsi="Times New Roman" w:cs="Times New Roman"/>
                <w:noProof/>
                <w:color w:val="auto"/>
                <w:sz w:val="24"/>
                <w:szCs w:val="24"/>
              </w:rPr>
              <w:t>Concussion</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_Toc100157335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8</w:t>
            </w:r>
            <w:r w:rsidR="005944AD" w:rsidRPr="007B3988">
              <w:rPr>
                <w:rFonts w:ascii="Times New Roman" w:hAnsi="Times New Roman" w:cs="Times New Roman"/>
                <w:noProof/>
                <w:webHidden/>
                <w:sz w:val="24"/>
                <w:szCs w:val="24"/>
              </w:rPr>
              <w:fldChar w:fldCharType="end"/>
            </w:r>
          </w:hyperlink>
        </w:p>
        <w:p w14:paraId="1E239F0F" w14:textId="77777777" w:rsidR="00D51978" w:rsidRPr="007B3988" w:rsidRDefault="003F68D0" w:rsidP="00D51978">
          <w:pPr>
            <w:pStyle w:val="TD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157336" w:history="1">
            <w:r w:rsidR="00D51978" w:rsidRPr="007B3988">
              <w:rPr>
                <w:rStyle w:val="Hipervnculo"/>
                <w:rFonts w:ascii="Times New Roman" w:hAnsi="Times New Roman" w:cs="Times New Roman"/>
                <w:noProof/>
                <w:color w:val="auto"/>
                <w:sz w:val="24"/>
                <w:szCs w:val="24"/>
              </w:rPr>
              <w:t>References</w:t>
            </w:r>
            <w:r w:rsidR="00D51978" w:rsidRPr="007B3988">
              <w:rPr>
                <w:rFonts w:ascii="Times New Roman" w:hAnsi="Times New Roman" w:cs="Times New Roman"/>
                <w:noProof/>
                <w:webHidden/>
                <w:sz w:val="24"/>
                <w:szCs w:val="24"/>
              </w:rPr>
              <w:tab/>
            </w:r>
            <w:r w:rsidR="005944AD" w:rsidRPr="007B3988">
              <w:rPr>
                <w:rFonts w:ascii="Times New Roman" w:hAnsi="Times New Roman" w:cs="Times New Roman"/>
                <w:noProof/>
                <w:webHidden/>
                <w:sz w:val="24"/>
                <w:szCs w:val="24"/>
              </w:rPr>
              <w:fldChar w:fldCharType="begin"/>
            </w:r>
            <w:r w:rsidR="00D51978" w:rsidRPr="007B3988">
              <w:rPr>
                <w:rFonts w:ascii="Times New Roman" w:hAnsi="Times New Roman" w:cs="Times New Roman"/>
                <w:noProof/>
                <w:webHidden/>
                <w:sz w:val="24"/>
                <w:szCs w:val="24"/>
              </w:rPr>
              <w:instrText xml:space="preserve"> PAGEREF _Toc100157336 \h </w:instrText>
            </w:r>
            <w:r w:rsidR="005944AD" w:rsidRPr="007B3988">
              <w:rPr>
                <w:rFonts w:ascii="Times New Roman" w:hAnsi="Times New Roman" w:cs="Times New Roman"/>
                <w:noProof/>
                <w:webHidden/>
                <w:sz w:val="24"/>
                <w:szCs w:val="24"/>
              </w:rPr>
            </w:r>
            <w:r w:rsidR="005944AD" w:rsidRPr="007B3988">
              <w:rPr>
                <w:rFonts w:ascii="Times New Roman" w:hAnsi="Times New Roman" w:cs="Times New Roman"/>
                <w:noProof/>
                <w:webHidden/>
                <w:sz w:val="24"/>
                <w:szCs w:val="24"/>
              </w:rPr>
              <w:fldChar w:fldCharType="separate"/>
            </w:r>
            <w:r w:rsidR="00D51978" w:rsidRPr="007B3988">
              <w:rPr>
                <w:rFonts w:ascii="Times New Roman" w:hAnsi="Times New Roman" w:cs="Times New Roman"/>
                <w:noProof/>
                <w:webHidden/>
                <w:sz w:val="24"/>
                <w:szCs w:val="24"/>
              </w:rPr>
              <w:t>9</w:t>
            </w:r>
            <w:r w:rsidR="005944AD" w:rsidRPr="007B3988">
              <w:rPr>
                <w:rFonts w:ascii="Times New Roman" w:hAnsi="Times New Roman" w:cs="Times New Roman"/>
                <w:noProof/>
                <w:webHidden/>
                <w:sz w:val="24"/>
                <w:szCs w:val="24"/>
              </w:rPr>
              <w:fldChar w:fldCharType="end"/>
            </w:r>
          </w:hyperlink>
        </w:p>
        <w:p w14:paraId="5799B2A1" w14:textId="77777777" w:rsidR="00C92D79" w:rsidRPr="007B3988" w:rsidRDefault="005944AD" w:rsidP="00D51978">
          <w:pPr>
            <w:spacing w:line="360" w:lineRule="auto"/>
            <w:jc w:val="both"/>
          </w:pPr>
          <w:r w:rsidRPr="007B3988">
            <w:rPr>
              <w:rFonts w:ascii="Times New Roman" w:hAnsi="Times New Roman" w:cs="Times New Roman"/>
              <w:sz w:val="24"/>
              <w:szCs w:val="24"/>
            </w:rPr>
            <w:fldChar w:fldCharType="end"/>
          </w:r>
        </w:p>
      </w:sdtContent>
    </w:sdt>
    <w:p w14:paraId="3E669C76" w14:textId="77777777" w:rsidR="00C92D79" w:rsidRPr="007B3988" w:rsidRDefault="00C92D79" w:rsidP="00C92D79">
      <w:pPr>
        <w:pStyle w:val="NormalWeb"/>
        <w:spacing w:before="0" w:beforeAutospacing="0" w:after="0" w:afterAutospacing="0" w:line="360" w:lineRule="auto"/>
        <w:jc w:val="both"/>
        <w:rPr>
          <w:sz w:val="28"/>
        </w:rPr>
      </w:pPr>
    </w:p>
    <w:p w14:paraId="018D29C5" w14:textId="77777777" w:rsidR="00C92D79" w:rsidRPr="007B3988" w:rsidRDefault="00BE442A" w:rsidP="00C92D79">
      <w:pPr>
        <w:spacing w:line="360" w:lineRule="auto"/>
        <w:jc w:val="both"/>
        <w:rPr>
          <w:rFonts w:ascii="Times New Roman" w:eastAsia="Times New Roman" w:hAnsi="Times New Roman" w:cs="Times New Roman"/>
          <w:b/>
          <w:bCs/>
          <w:sz w:val="24"/>
          <w:szCs w:val="24"/>
          <w:lang w:val="en-US"/>
        </w:rPr>
      </w:pPr>
      <w:r w:rsidRPr="007B3988">
        <w:rPr>
          <w:rFonts w:ascii="Times New Roman" w:hAnsi="Times New Roman" w:cs="Times New Roman"/>
          <w:b/>
          <w:bCs/>
          <w:sz w:val="24"/>
          <w:szCs w:val="24"/>
        </w:rPr>
        <w:br w:type="page"/>
      </w:r>
    </w:p>
    <w:p w14:paraId="1F88284F" w14:textId="77777777" w:rsidR="00C92D79" w:rsidRPr="007B3988" w:rsidRDefault="00BE442A" w:rsidP="00C92D79">
      <w:pPr>
        <w:pStyle w:val="Ttulo1"/>
        <w:rPr>
          <w:color w:val="auto"/>
        </w:rPr>
      </w:pPr>
      <w:bookmarkStart w:id="0" w:name="_Toc100157330"/>
      <w:r w:rsidRPr="007B3988">
        <w:rPr>
          <w:color w:val="auto"/>
        </w:rPr>
        <w:lastRenderedPageBreak/>
        <w:t>Introduction</w:t>
      </w:r>
      <w:bookmarkEnd w:id="0"/>
      <w:r w:rsidRPr="007B3988">
        <w:rPr>
          <w:color w:val="auto"/>
        </w:rPr>
        <w:t> </w:t>
      </w:r>
    </w:p>
    <w:p w14:paraId="457F2BF4" w14:textId="77777777" w:rsidR="00C92D79" w:rsidRPr="007B3988" w:rsidRDefault="00BE442A" w:rsidP="00C92D79">
      <w:pPr>
        <w:pStyle w:val="NormalWeb"/>
        <w:spacing w:before="0" w:beforeAutospacing="0" w:after="0" w:afterAutospacing="0" w:line="360" w:lineRule="auto"/>
        <w:jc w:val="both"/>
      </w:pPr>
      <w:r w:rsidRPr="007B3988">
        <w:t>Among the many tasks, HR management is associated with is employee engagement which it describes or measures the level of ent</w:t>
      </w:r>
      <w:r w:rsidRPr="007B3988">
        <w:rPr>
          <w:rStyle w:val="apple-tab-span"/>
        </w:rPr>
        <w:tab/>
      </w:r>
      <w:r w:rsidRPr="007B3988">
        <w:t>enthusiasm or dedication that staff feels towards the company as well as the job assigned to them. A higher rate of employee engagement is positively associated with the growth of any organization and also indicates how ethical and sustainable practices the company undertakes (</w:t>
      </w:r>
      <w:proofErr w:type="spellStart"/>
      <w:r w:rsidRPr="007B3988">
        <w:t>Meijerink</w:t>
      </w:r>
      <w:proofErr w:type="spellEnd"/>
      <w:r w:rsidRPr="007B3988">
        <w:t xml:space="preserve">, </w:t>
      </w:r>
      <w:proofErr w:type="spellStart"/>
      <w:r w:rsidRPr="007B3988">
        <w:t>Bos-Nehles</w:t>
      </w:r>
      <w:proofErr w:type="spellEnd"/>
      <w:r w:rsidRPr="007B3988">
        <w:t xml:space="preserve"> and de Leede, 2020). In addition, employee engagement is essential for higher productivity and performance of any company and is considered a prime driver for sustainable growth in the future. </w:t>
      </w:r>
      <w:r w:rsidR="001B1A74" w:rsidRPr="007B3988">
        <w:t xml:space="preserve">Due to the sudden emergence of Covid 19 pandemic, the company has take some steps such as making workplace covid-19 infection free, work from facilities, or flexible working time to increase employee engagement. </w:t>
      </w:r>
      <w:r w:rsidRPr="007B3988">
        <w:t>Therefore, employee engagement has four prime aspects such as trust, loyalty, motivation, and commitment. In this report, different concepts and drivers of employee engagement would be discussed along with a description of tools that could be used to measure employee engagement.</w:t>
      </w:r>
      <w:r w:rsidR="001B1A74" w:rsidRPr="007B3988">
        <w:t xml:space="preserve"> </w:t>
      </w:r>
      <w:r w:rsidRPr="007B3988">
        <w:t>In addition, the report will highlight employee value proposition models and strategies to improve employee engagement.</w:t>
      </w:r>
    </w:p>
    <w:p w14:paraId="3AC5F909" w14:textId="77777777" w:rsidR="00C92D79" w:rsidRPr="007B3988" w:rsidRDefault="00BE442A" w:rsidP="00C92D79">
      <w:pPr>
        <w:pStyle w:val="Ttulo1"/>
        <w:rPr>
          <w:color w:val="auto"/>
        </w:rPr>
      </w:pPr>
      <w:bookmarkStart w:id="1" w:name="_Toc100157331"/>
      <w:r w:rsidRPr="007B3988">
        <w:rPr>
          <w:color w:val="auto"/>
        </w:rPr>
        <w:t>Concept and drivers of employee engagement</w:t>
      </w:r>
      <w:bookmarkEnd w:id="1"/>
      <w:r w:rsidRPr="007B3988">
        <w:rPr>
          <w:color w:val="auto"/>
        </w:rPr>
        <w:t> </w:t>
      </w:r>
    </w:p>
    <w:p w14:paraId="57EF91B4" w14:textId="77777777" w:rsidR="00C92D79" w:rsidRPr="007B3988" w:rsidRDefault="00BE442A" w:rsidP="00C92D79">
      <w:pPr>
        <w:pStyle w:val="NormalWeb"/>
        <w:spacing w:before="0" w:beforeAutospacing="0" w:after="0" w:afterAutospacing="0" w:line="360" w:lineRule="auto"/>
        <w:jc w:val="both"/>
      </w:pPr>
      <w:r w:rsidRPr="007B3988">
        <w:t>The concept of employee engagement refers to the HR concept which describes the level of dedication and enthusiasm employees feel towards their job or company. Higher employee engagement primarily means employees would care more about their job and also the performance of the company, and also feel that their contributions make a difference in the organization (</w:t>
      </w:r>
      <w:r w:rsidRPr="007B3988">
        <w:rPr>
          <w:shd w:val="clear" w:color="auto" w:fill="FFFFFF"/>
        </w:rPr>
        <w:t>Ahmed et al. 2020)</w:t>
      </w:r>
      <w:r w:rsidRPr="007B3988">
        <w:t>. Also, an engaged employee cares more about the company rather than just the paycheck and thus, considers well-being linked to the company's performance. Thus, engaged employees are instrumental in the success of the company. In addition, the concept suggests that engaged employees are more likely to be highly productive and perform better. Apart from that, engaged employees display a higher commitment to the company values and goals than others. In addition, employee engagement also demands proper communication between employees and the employing authority (</w:t>
      </w:r>
      <w:r w:rsidRPr="007B3988">
        <w:rPr>
          <w:shd w:val="clear" w:color="auto" w:fill="FFFFFF"/>
        </w:rPr>
        <w:t xml:space="preserve">Lemon and </w:t>
      </w:r>
      <w:proofErr w:type="spellStart"/>
      <w:r w:rsidRPr="007B3988">
        <w:rPr>
          <w:shd w:val="clear" w:color="auto" w:fill="FFFFFF"/>
        </w:rPr>
        <w:t>Palenchar</w:t>
      </w:r>
      <w:proofErr w:type="spellEnd"/>
      <w:r w:rsidRPr="007B3988">
        <w:rPr>
          <w:shd w:val="clear" w:color="auto" w:fill="FFFFFF"/>
        </w:rPr>
        <w:t>, 2018)</w:t>
      </w:r>
      <w:r w:rsidRPr="007B3988">
        <w:t xml:space="preserve">. On the other side, engaged employees have the belief that their work is meaningful and also believe that their work would be valued and appreciated by their seniors or supervisors which gives them the feeling that they are entrusted with the success of the organization. Thus, the concept of employee engagement has been part of </w:t>
      </w:r>
      <w:r w:rsidRPr="007B3988">
        <w:lastRenderedPageBreak/>
        <w:t>management theory since the 1990s and 2000s and is widely associated with employees developing emotional ties with their job and their employing authority (</w:t>
      </w:r>
      <w:r w:rsidRPr="007B3988">
        <w:rPr>
          <w:shd w:val="clear" w:color="auto" w:fill="FFFFFF"/>
        </w:rPr>
        <w:t>Antony,  2018)</w:t>
      </w:r>
      <w:r w:rsidRPr="007B3988">
        <w:t xml:space="preserve">. Tesla is among the prime examples of employee engagement which used more transparent communication at their Fremont car assembly plant which enhanced the employee engagement strategy to improve safety standards. </w:t>
      </w:r>
    </w:p>
    <w:p w14:paraId="1CB59284" w14:textId="77777777" w:rsidR="000269ED" w:rsidRPr="007B3988" w:rsidRDefault="00525B24" w:rsidP="00C92D79">
      <w:pPr>
        <w:pStyle w:val="NormalWeb"/>
        <w:spacing w:before="0" w:beforeAutospacing="0" w:after="0" w:afterAutospacing="0" w:line="360" w:lineRule="auto"/>
        <w:jc w:val="both"/>
      </w:pPr>
      <w:r w:rsidRPr="007B3988">
        <w:t xml:space="preserve">Training and development is another key driver of employee engagement as a study by Udemy found out 80% of employees said that they felt more engaged at work. Also, by giving them training, and develop, employees skills would enhance and therefore, employees with more </w:t>
      </w:r>
      <w:r w:rsidR="00856C30" w:rsidRPr="007B3988">
        <w:t>capable, confidence lead to personal development which contribute to building of motivated, happy and engaged workforce</w:t>
      </w:r>
      <w:r w:rsidR="00AC77C6" w:rsidRPr="007B3988">
        <w:t xml:space="preserve"> </w:t>
      </w:r>
      <w:r w:rsidR="00AC77C6" w:rsidRPr="007B3988">
        <w:rPr>
          <w:shd w:val="clear" w:color="auto" w:fill="FFFFFF"/>
        </w:rPr>
        <w:t>(</w:t>
      </w:r>
      <w:proofErr w:type="spellStart"/>
      <w:r w:rsidR="00AC77C6" w:rsidRPr="007B3988">
        <w:rPr>
          <w:shd w:val="clear" w:color="auto" w:fill="FFFFFF"/>
        </w:rPr>
        <w:t>Kitto</w:t>
      </w:r>
      <w:proofErr w:type="spellEnd"/>
      <w:r w:rsidR="00AC77C6" w:rsidRPr="007B3988">
        <w:rPr>
          <w:shd w:val="clear" w:color="auto" w:fill="FFFFFF"/>
        </w:rPr>
        <w:t>, 2020)</w:t>
      </w:r>
      <w:r w:rsidR="00856C30" w:rsidRPr="007B3988">
        <w:t xml:space="preserve">. By investing in T&amp;D </w:t>
      </w:r>
      <w:r w:rsidR="000269ED" w:rsidRPr="007B3988">
        <w:t xml:space="preserve">businesses clearly shows that they value their employees and investment in their personal development enhance their abilities to maneuver through the work which naturally provides employees with motivational boost. In addition, the </w:t>
      </w:r>
      <w:r w:rsidR="000861E1" w:rsidRPr="007B3988">
        <w:t>type of training businesses offer further contributes</w:t>
      </w:r>
      <w:r w:rsidR="000269ED" w:rsidRPr="007B3988">
        <w:t xml:space="preserve"> to employee motivation.</w:t>
      </w:r>
    </w:p>
    <w:p w14:paraId="7CC2898C" w14:textId="77777777" w:rsidR="000269ED" w:rsidRPr="007B3988" w:rsidRDefault="000269ED" w:rsidP="00C92D79">
      <w:pPr>
        <w:pStyle w:val="NormalWeb"/>
        <w:spacing w:before="0" w:beforeAutospacing="0" w:after="0" w:afterAutospacing="0" w:line="360" w:lineRule="auto"/>
        <w:jc w:val="both"/>
      </w:pPr>
      <w:r w:rsidRPr="007B3988">
        <w:t xml:space="preserve">Concrete communication is a powerful </w:t>
      </w:r>
      <w:r w:rsidR="000861E1" w:rsidRPr="007B3988">
        <w:t>tool</w:t>
      </w:r>
      <w:r w:rsidRPr="007B3988">
        <w:t xml:space="preserve"> that can have enormous impact on the employee engagement and overall success of the organization</w:t>
      </w:r>
      <w:r w:rsidR="00AC77C6" w:rsidRPr="007B3988">
        <w:t xml:space="preserve"> (</w:t>
      </w:r>
      <w:proofErr w:type="spellStart"/>
      <w:r w:rsidR="00AC77C6" w:rsidRPr="007B3988">
        <w:rPr>
          <w:shd w:val="clear" w:color="auto" w:fill="FFFFFF"/>
        </w:rPr>
        <w:t>Obeidat</w:t>
      </w:r>
      <w:proofErr w:type="spellEnd"/>
      <w:r w:rsidR="00AC77C6" w:rsidRPr="007B3988">
        <w:rPr>
          <w:shd w:val="clear" w:color="auto" w:fill="FFFFFF"/>
        </w:rPr>
        <w:t xml:space="preserve">, </w:t>
      </w:r>
      <w:proofErr w:type="spellStart"/>
      <w:r w:rsidR="00AC77C6" w:rsidRPr="007B3988">
        <w:rPr>
          <w:shd w:val="clear" w:color="auto" w:fill="FFFFFF"/>
        </w:rPr>
        <w:t>Al-Khateeb</w:t>
      </w:r>
      <w:proofErr w:type="spellEnd"/>
      <w:r w:rsidR="00AC77C6" w:rsidRPr="007B3988">
        <w:rPr>
          <w:shd w:val="clear" w:color="auto" w:fill="FFFFFF"/>
        </w:rPr>
        <w:t xml:space="preserve"> and </w:t>
      </w:r>
      <w:proofErr w:type="spellStart"/>
      <w:r w:rsidR="00AC77C6" w:rsidRPr="007B3988">
        <w:rPr>
          <w:shd w:val="clear" w:color="auto" w:fill="FFFFFF"/>
        </w:rPr>
        <w:t>Abdallah</w:t>
      </w:r>
      <w:proofErr w:type="spellEnd"/>
      <w:r w:rsidR="00AC77C6" w:rsidRPr="007B3988">
        <w:rPr>
          <w:shd w:val="clear" w:color="auto" w:fill="FFFFFF"/>
        </w:rPr>
        <w:t>, 2019)</w:t>
      </w:r>
      <w:r w:rsidR="00AC77C6" w:rsidRPr="007B3988">
        <w:t>.</w:t>
      </w:r>
      <w:r w:rsidRPr="007B3988">
        <w:t>.</w:t>
      </w:r>
      <w:r w:rsidR="000861E1" w:rsidRPr="007B3988">
        <w:t xml:space="preserve"> Effective and clear communication can contribute employee engagement and boost business growth and workplace productivity. Also, concrete is the cornerstone of an engaged workforce. Engaged employees are more likely to showcase the dedication and commitment that are essential for long term growth of any large company. Additionally, effective communication is essential for employee, senior leaders, manager, and other stakeholders. </w:t>
      </w:r>
    </w:p>
    <w:p w14:paraId="4E23B785" w14:textId="77777777" w:rsidR="00175F8F" w:rsidRPr="007B3988" w:rsidRDefault="00175F8F" w:rsidP="00C92D79">
      <w:pPr>
        <w:pStyle w:val="NormalWeb"/>
        <w:spacing w:before="0" w:beforeAutospacing="0" w:after="0" w:afterAutospacing="0" w:line="360" w:lineRule="auto"/>
        <w:jc w:val="both"/>
      </w:pPr>
      <w:r w:rsidRPr="007B3988">
        <w:t>Performance based pay structure in the company can also enhance employee engagement and motivate them to work harder. This type of employee engagement driver is mutually beneficial for both parties. In addition, this type of pay structures motivates employees and encourages positive attitude towards the company resulting in more engaged employees</w:t>
      </w:r>
      <w:r w:rsidR="00AC77C6" w:rsidRPr="007B3988">
        <w:t xml:space="preserve"> (</w:t>
      </w:r>
      <w:proofErr w:type="spellStart"/>
      <w:r w:rsidR="00AC77C6" w:rsidRPr="007B3988">
        <w:rPr>
          <w:shd w:val="clear" w:color="auto" w:fill="FFFFFF"/>
        </w:rPr>
        <w:t>Alrowwad</w:t>
      </w:r>
      <w:proofErr w:type="spellEnd"/>
      <w:r w:rsidR="00AC77C6" w:rsidRPr="007B3988">
        <w:rPr>
          <w:shd w:val="clear" w:color="auto" w:fill="FFFFFF"/>
        </w:rPr>
        <w:t xml:space="preserve"> et al. 2018)</w:t>
      </w:r>
      <w:r w:rsidRPr="007B3988">
        <w:t xml:space="preserve">. Also, this driver of employee engagement makes employees to try harder, achiever more, and perform more effectively which works as incentive for more engagement. </w:t>
      </w:r>
      <w:r w:rsidR="00E7559B" w:rsidRPr="007B3988">
        <w:t xml:space="preserve">Also, surveys done on this </w:t>
      </w:r>
      <w:proofErr w:type="spellStart"/>
      <w:r w:rsidR="00E7559B" w:rsidRPr="007B3988">
        <w:t>dirver</w:t>
      </w:r>
      <w:proofErr w:type="spellEnd"/>
      <w:r w:rsidR="00E7559B" w:rsidRPr="007B3988">
        <w:t xml:space="preserve"> positively related performance related pay with job satisfaction as well as organizational commitment and also improve trust in management of the company. </w:t>
      </w:r>
    </w:p>
    <w:p w14:paraId="4B44464D" w14:textId="77777777" w:rsidR="000861E1" w:rsidRPr="007B3988" w:rsidRDefault="00E7559B" w:rsidP="00C92D79">
      <w:pPr>
        <w:pStyle w:val="NormalWeb"/>
        <w:spacing w:before="0" w:beforeAutospacing="0" w:after="0" w:afterAutospacing="0" w:line="360" w:lineRule="auto"/>
        <w:jc w:val="both"/>
      </w:pPr>
      <w:r w:rsidRPr="007B3988">
        <w:t>Another important driver of employee engagement is management by objectives</w:t>
      </w:r>
      <w:r w:rsidR="00A806BB" w:rsidRPr="007B3988">
        <w:t xml:space="preserve"> which ensures the fact that employees</w:t>
      </w:r>
      <w:r w:rsidR="00C9687F" w:rsidRPr="007B3988">
        <w:t xml:space="preserve"> have clear understanding regarding their duties and contribute towards better alignment of staff with values of the company and increase in productivity. This driver </w:t>
      </w:r>
      <w:r w:rsidR="00C9687F" w:rsidRPr="007B3988">
        <w:lastRenderedPageBreak/>
        <w:t>contribute towards improve workplace environment and condition leading to understanding of the fact that employee are more motivated with aligning themselves with the company objectives</w:t>
      </w:r>
      <w:r w:rsidR="00AC77C6" w:rsidRPr="007B3988">
        <w:t xml:space="preserve"> (</w:t>
      </w:r>
      <w:r w:rsidR="00AC77C6" w:rsidRPr="007B3988">
        <w:rPr>
          <w:shd w:val="clear" w:color="auto" w:fill="FFFFFF"/>
        </w:rPr>
        <w:t>Antony, 2018)</w:t>
      </w:r>
      <w:r w:rsidR="00C9687F" w:rsidRPr="007B3988">
        <w:t xml:space="preserve">. Through this driver employee would feel engaged with their work and increases performance. </w:t>
      </w:r>
      <w:r w:rsidR="000F7A2F" w:rsidRPr="007B3988">
        <w:t>It enhances employee experience with the company leading to better engagement.</w:t>
      </w:r>
    </w:p>
    <w:p w14:paraId="1549E1C6" w14:textId="77777777" w:rsidR="00676D9E" w:rsidRPr="007B3988" w:rsidRDefault="00676D9E" w:rsidP="00C92D79">
      <w:pPr>
        <w:pStyle w:val="NormalWeb"/>
        <w:spacing w:before="0" w:beforeAutospacing="0" w:after="0" w:afterAutospacing="0" w:line="360" w:lineRule="auto"/>
        <w:jc w:val="both"/>
      </w:pPr>
    </w:p>
    <w:p w14:paraId="4E672EB0" w14:textId="77777777" w:rsidR="00C92D79" w:rsidRPr="007B3988" w:rsidRDefault="00BE442A" w:rsidP="00C92D79">
      <w:pPr>
        <w:pStyle w:val="NormalWeb"/>
        <w:spacing w:before="0" w:beforeAutospacing="0" w:after="0" w:afterAutospacing="0" w:line="360" w:lineRule="auto"/>
        <w:jc w:val="both"/>
      </w:pPr>
      <w:r w:rsidRPr="007B3988">
        <w:t xml:space="preserve">Also, lastly, autonomy plays an important role in inspiring employees to do their best work as employees feel more entrusted to conduct themselves and make decisions based on their own observations. If employees feel organizations are caring for them by providing flexible working time, working from home facilities, making the workplace safe from covid-19  infection, and job design/ restructuring, it drives employee engagement further. </w:t>
      </w:r>
    </w:p>
    <w:p w14:paraId="6776F3E5" w14:textId="77777777" w:rsidR="00C92D79" w:rsidRPr="007B3988" w:rsidRDefault="00BE442A" w:rsidP="00C92D79">
      <w:pPr>
        <w:pStyle w:val="Ttulo1"/>
        <w:rPr>
          <w:color w:val="auto"/>
        </w:rPr>
      </w:pPr>
      <w:bookmarkStart w:id="2" w:name="_Toc100157332"/>
      <w:r w:rsidRPr="007B3988">
        <w:rPr>
          <w:color w:val="auto"/>
        </w:rPr>
        <w:t>Diagnostics tools to measure the engagement</w:t>
      </w:r>
      <w:bookmarkEnd w:id="2"/>
      <w:r w:rsidRPr="007B3988">
        <w:rPr>
          <w:color w:val="auto"/>
        </w:rPr>
        <w:t> </w:t>
      </w:r>
    </w:p>
    <w:p w14:paraId="59778FDA" w14:textId="77777777" w:rsidR="000F7A2F" w:rsidRPr="007B3988" w:rsidRDefault="00BE442A" w:rsidP="00C92D79">
      <w:pPr>
        <w:pStyle w:val="NormalWeb"/>
        <w:spacing w:before="0" w:beforeAutospacing="0" w:after="0" w:afterAutospacing="0" w:line="360" w:lineRule="auto"/>
        <w:jc w:val="both"/>
      </w:pPr>
      <w:r w:rsidRPr="007B3988">
        <w:t>Research by Gallup points to the fact that organizations with highly engaged employees have a 21% higher profit ratio and 17% higher productivity rates. Therefore, it is important for organizations to continuously monitor employee engagement (</w:t>
      </w:r>
      <w:r w:rsidRPr="007B3988">
        <w:rPr>
          <w:shd w:val="clear" w:color="auto" w:fill="FFFFFF"/>
        </w:rPr>
        <w:t xml:space="preserve">Burnett, and </w:t>
      </w:r>
      <w:proofErr w:type="spellStart"/>
      <w:r w:rsidRPr="007B3988">
        <w:rPr>
          <w:shd w:val="clear" w:color="auto" w:fill="FFFFFF"/>
        </w:rPr>
        <w:t>Lisk</w:t>
      </w:r>
      <w:proofErr w:type="spellEnd"/>
      <w:r w:rsidRPr="007B3988">
        <w:rPr>
          <w:shd w:val="clear" w:color="auto" w:fill="FFFFFF"/>
        </w:rPr>
        <w:t>, 2019)</w:t>
      </w:r>
      <w:r w:rsidRPr="007B3988">
        <w:t xml:space="preserve">. Thus, organizations can use tools such as frequent employee surveys, employee reward and recognition programs, one-to-one interview sessions, HR tools, exit interviews, and also conducting employee lifecycle reports. </w:t>
      </w:r>
    </w:p>
    <w:p w14:paraId="5AD67B1B" w14:textId="77777777" w:rsidR="000F7A2F" w:rsidRPr="007B3988" w:rsidRDefault="00BE442A" w:rsidP="00C92D79">
      <w:pPr>
        <w:pStyle w:val="NormalWeb"/>
        <w:spacing w:before="0" w:beforeAutospacing="0" w:after="0" w:afterAutospacing="0" w:line="360" w:lineRule="auto"/>
        <w:jc w:val="both"/>
      </w:pPr>
      <w:r w:rsidRPr="007B3988">
        <w:t>Among the tools employee survey is foremost, and commonly used for measuring employee engagement. It is an effective tool as surveys could be filled out or submitted anonymously which increases participation rates as well (</w:t>
      </w:r>
      <w:proofErr w:type="spellStart"/>
      <w:r w:rsidRPr="007B3988">
        <w:rPr>
          <w:shd w:val="clear" w:color="auto" w:fill="FFFFFF"/>
        </w:rPr>
        <w:t>Kertiriasih</w:t>
      </w:r>
      <w:proofErr w:type="spellEnd"/>
      <w:r w:rsidRPr="007B3988">
        <w:rPr>
          <w:shd w:val="clear" w:color="auto" w:fill="FFFFFF"/>
        </w:rPr>
        <w:t xml:space="preserve">, </w:t>
      </w:r>
      <w:proofErr w:type="spellStart"/>
      <w:r w:rsidRPr="007B3988">
        <w:rPr>
          <w:shd w:val="clear" w:color="auto" w:fill="FFFFFF"/>
        </w:rPr>
        <w:t>Sujana</w:t>
      </w:r>
      <w:proofErr w:type="spellEnd"/>
      <w:r w:rsidRPr="007B3988">
        <w:rPr>
          <w:shd w:val="clear" w:color="auto" w:fill="FFFFFF"/>
        </w:rPr>
        <w:t xml:space="preserve"> and </w:t>
      </w:r>
      <w:proofErr w:type="spellStart"/>
      <w:r w:rsidRPr="007B3988">
        <w:rPr>
          <w:shd w:val="clear" w:color="auto" w:fill="FFFFFF"/>
        </w:rPr>
        <w:t>Suardika</w:t>
      </w:r>
      <w:proofErr w:type="spellEnd"/>
      <w:r w:rsidRPr="007B3988">
        <w:rPr>
          <w:shd w:val="clear" w:color="auto" w:fill="FFFFFF"/>
        </w:rPr>
        <w:t>,  2018)</w:t>
      </w:r>
      <w:r w:rsidRPr="007B3988">
        <w:t xml:space="preserve">. In this tool, the use of third-party administrators can also increase the comfort rate of employees and they can easily forthright their opinions without any fear of retaliation. Through a good survey, organizations would be able to better understand what motivates their employees and also help develop policies to improve the quality of work relationships or increase job satisfaction rates. Also, with the help of this tool organizations would be able to measure whether their career development methods are working out to help employees or not.  </w:t>
      </w:r>
    </w:p>
    <w:p w14:paraId="713D9DA3" w14:textId="77777777" w:rsidR="000F7A2F" w:rsidRPr="007B3988" w:rsidRDefault="000F7A2F" w:rsidP="00C92D79">
      <w:pPr>
        <w:pStyle w:val="NormalWeb"/>
        <w:spacing w:before="0" w:beforeAutospacing="0" w:after="0" w:afterAutospacing="0" w:line="360" w:lineRule="auto"/>
        <w:jc w:val="both"/>
      </w:pPr>
      <w:r w:rsidRPr="007B3988">
        <w:t xml:space="preserve">Another tool is total quality </w:t>
      </w:r>
      <w:proofErr w:type="spellStart"/>
      <w:r w:rsidRPr="007B3988">
        <w:t>managemet</w:t>
      </w:r>
      <w:proofErr w:type="spellEnd"/>
      <w:r w:rsidRPr="007B3988">
        <w:t xml:space="preserve"> indicator which requires employees or the organization to change company culture that requires employee involvement at different level. Better TQM would indicate the fact that employee are better engaged with the company. As employee participation, involvement and empowerment forms the cornerstone of TQM, better TQM measures would imply </w:t>
      </w:r>
      <w:r w:rsidRPr="007B3988">
        <w:lastRenderedPageBreak/>
        <w:t>that, employees are having better interactions between individuals and their team members</w:t>
      </w:r>
      <w:r w:rsidR="00AC77C6" w:rsidRPr="007B3988">
        <w:t xml:space="preserve"> </w:t>
      </w:r>
      <w:r w:rsidR="00AC77C6" w:rsidRPr="007B3988">
        <w:rPr>
          <w:shd w:val="clear" w:color="auto" w:fill="FFFFFF"/>
        </w:rPr>
        <w:t>(CIPHR, 2022)</w:t>
      </w:r>
      <w:r w:rsidRPr="007B3988">
        <w:t xml:space="preserve">. Consequently, if the company has </w:t>
      </w:r>
      <w:proofErr w:type="spellStart"/>
      <w:r w:rsidRPr="007B3988">
        <w:t>dictotarial</w:t>
      </w:r>
      <w:proofErr w:type="spellEnd"/>
      <w:r w:rsidRPr="007B3988">
        <w:t xml:space="preserve"> management system, if would face difficulties in terms of making the TQM work which would indicate that employees are less involved with the company. </w:t>
      </w:r>
    </w:p>
    <w:p w14:paraId="63D56675" w14:textId="77777777" w:rsidR="0073171B" w:rsidRPr="007B3988" w:rsidRDefault="0073171B" w:rsidP="00C92D79">
      <w:pPr>
        <w:pStyle w:val="NormalWeb"/>
        <w:spacing w:before="0" w:beforeAutospacing="0" w:after="0" w:afterAutospacing="0" w:line="360" w:lineRule="auto"/>
        <w:jc w:val="both"/>
      </w:pPr>
      <w:r w:rsidRPr="007B3988">
        <w:t>Another diagnostic tools is performance appraisal which can be used to measure employee engagement as companies use this tool for performance evaluation, performance review or identifying employee engagement which provides essential data regarding how the employee is committed to the organization and at what level the staff is contributing to company’s growth</w:t>
      </w:r>
      <w:r w:rsidR="00AC77C6" w:rsidRPr="007B3988">
        <w:t xml:space="preserve"> (</w:t>
      </w:r>
      <w:proofErr w:type="spellStart"/>
      <w:r w:rsidR="00AC77C6" w:rsidRPr="007B3988">
        <w:rPr>
          <w:shd w:val="clear" w:color="auto" w:fill="FFFFFF"/>
        </w:rPr>
        <w:t>Maltseva</w:t>
      </w:r>
      <w:proofErr w:type="spellEnd"/>
      <w:r w:rsidR="00AC77C6" w:rsidRPr="007B3988">
        <w:rPr>
          <w:shd w:val="clear" w:color="auto" w:fill="FFFFFF"/>
        </w:rPr>
        <w:t>, 2020)</w:t>
      </w:r>
      <w:r w:rsidRPr="007B3988">
        <w:t>. Therefore, positive performance appraisal would mean the employee is highly engaged with the company. Performance appraisal works as indicator to high achieving workers which would provide social recognition. Additionally, studies have found that performance appraisal had positive significant influence with employee engagement and high rate of which refers to higher engagement as well.</w:t>
      </w:r>
    </w:p>
    <w:p w14:paraId="0CC8743E" w14:textId="77777777" w:rsidR="000F7A2F" w:rsidRPr="007B3988" w:rsidRDefault="0073171B" w:rsidP="00C92D79">
      <w:pPr>
        <w:pStyle w:val="NormalWeb"/>
        <w:spacing w:before="0" w:beforeAutospacing="0" w:after="0" w:afterAutospacing="0" w:line="360" w:lineRule="auto"/>
        <w:jc w:val="both"/>
      </w:pPr>
      <w:r w:rsidRPr="007B3988">
        <w:t xml:space="preserve"> </w:t>
      </w:r>
      <w:r w:rsidR="00F918DC" w:rsidRPr="007B3988">
        <w:t>Another tool is personal and professional development programs to measure engagement. With the help of this tool the company identify which employee is commutating more in group setting or participating more into these program which would be essential to identify engagement ratios. Also, how these programs are helping employees to enhance their skills and lead to enhancement of productivity</w:t>
      </w:r>
      <w:r w:rsidR="00AC77C6" w:rsidRPr="007B3988">
        <w:t xml:space="preserve"> </w:t>
      </w:r>
      <w:r w:rsidR="00AC77C6" w:rsidRPr="007B3988">
        <w:rPr>
          <w:shd w:val="clear" w:color="auto" w:fill="FFFFFF"/>
        </w:rPr>
        <w:t>(</w:t>
      </w:r>
      <w:proofErr w:type="spellStart"/>
      <w:r w:rsidR="00AC77C6" w:rsidRPr="007B3988">
        <w:rPr>
          <w:shd w:val="clear" w:color="auto" w:fill="FFFFFF"/>
        </w:rPr>
        <w:t>Jouany</w:t>
      </w:r>
      <w:proofErr w:type="spellEnd"/>
      <w:r w:rsidR="00AC77C6" w:rsidRPr="007B3988">
        <w:rPr>
          <w:shd w:val="clear" w:color="auto" w:fill="FFFFFF"/>
        </w:rPr>
        <w:t>, 2020)</w:t>
      </w:r>
      <w:r w:rsidR="00F918DC" w:rsidRPr="007B3988">
        <w:t xml:space="preserve">. How employees are utilizing these </w:t>
      </w:r>
      <w:proofErr w:type="spellStart"/>
      <w:r w:rsidR="00F918DC" w:rsidRPr="007B3988">
        <w:t>programmes</w:t>
      </w:r>
      <w:proofErr w:type="spellEnd"/>
      <w:r w:rsidR="00F918DC" w:rsidRPr="007B3988">
        <w:t xml:space="preserve"> to keep with changes in business operations and industry would help of identify employee engagement as well.  Also higher participation in these </w:t>
      </w:r>
      <w:proofErr w:type="spellStart"/>
      <w:r w:rsidR="00F918DC" w:rsidRPr="007B3988">
        <w:t>programmes</w:t>
      </w:r>
      <w:proofErr w:type="spellEnd"/>
      <w:r w:rsidR="00F918DC" w:rsidRPr="007B3988">
        <w:t xml:space="preserve"> by employees indicates to lower employee turnover which viz. mean higher engagement rates. </w:t>
      </w:r>
    </w:p>
    <w:p w14:paraId="01202AEB" w14:textId="77777777" w:rsidR="00F918DC" w:rsidRPr="007B3988" w:rsidRDefault="00F918DC" w:rsidP="00C92D79">
      <w:pPr>
        <w:pStyle w:val="NormalWeb"/>
        <w:spacing w:before="0" w:beforeAutospacing="0" w:after="0" w:afterAutospacing="0" w:line="360" w:lineRule="auto"/>
        <w:jc w:val="both"/>
      </w:pPr>
      <w:r w:rsidRPr="007B3988">
        <w:t xml:space="preserve">Another diagnostic tool is staff and manager meeting rates. </w:t>
      </w:r>
      <w:r w:rsidR="00150ED0" w:rsidRPr="007B3988">
        <w:t xml:space="preserve">Higher rate of staff and manager meeting refers to providing the opportunity to resolve employee conflict and better team and </w:t>
      </w:r>
      <w:proofErr w:type="spellStart"/>
      <w:r w:rsidR="00150ED0" w:rsidRPr="007B3988">
        <w:t>collaborativeness</w:t>
      </w:r>
      <w:proofErr w:type="spellEnd"/>
      <w:r w:rsidR="00150ED0" w:rsidRPr="007B3988">
        <w:t xml:space="preserve"> among members. Also higher staff and manager meeting refer to fewer chances for miscommunication and misunderstanding that usually means higher engagement rates</w:t>
      </w:r>
      <w:r w:rsidR="00AC77C6" w:rsidRPr="007B3988">
        <w:t xml:space="preserve"> (</w:t>
      </w:r>
      <w:proofErr w:type="spellStart"/>
      <w:r w:rsidR="00AC77C6" w:rsidRPr="007B3988">
        <w:rPr>
          <w:shd w:val="clear" w:color="auto" w:fill="FFFFFF"/>
        </w:rPr>
        <w:t>Maltseva</w:t>
      </w:r>
      <w:proofErr w:type="spellEnd"/>
      <w:r w:rsidR="00AC77C6" w:rsidRPr="007B3988">
        <w:rPr>
          <w:shd w:val="clear" w:color="auto" w:fill="FFFFFF"/>
        </w:rPr>
        <w:t>, 2020)</w:t>
      </w:r>
      <w:r w:rsidR="00150ED0" w:rsidRPr="007B3988">
        <w:t xml:space="preserve">. Also, higher engagement rate of staff and manager indicate towards building relationship which usually means better collaborations and teamwork which indicates higher engagement as well. In addition, higher employee </w:t>
      </w:r>
      <w:proofErr w:type="spellStart"/>
      <w:r w:rsidR="00150ED0" w:rsidRPr="007B3988">
        <w:t>particiaptin</w:t>
      </w:r>
      <w:proofErr w:type="spellEnd"/>
      <w:r w:rsidR="00150ED0" w:rsidRPr="007B3988">
        <w:t xml:space="preserve"> in these meeting would mean higher chances for employees to stay up to date with</w:t>
      </w:r>
      <w:r w:rsidR="00230A76" w:rsidRPr="007B3988">
        <w:t xml:space="preserve"> newer ideas and feedback which would mean higher workplace engagement.</w:t>
      </w:r>
    </w:p>
    <w:p w14:paraId="4A1B3C48" w14:textId="77777777" w:rsidR="00C92D79" w:rsidRPr="007B3988" w:rsidRDefault="00BE442A" w:rsidP="00C92D79">
      <w:pPr>
        <w:pStyle w:val="NormalWeb"/>
        <w:spacing w:before="0" w:beforeAutospacing="0" w:after="0" w:afterAutospacing="0" w:line="360" w:lineRule="auto"/>
        <w:jc w:val="both"/>
      </w:pPr>
      <w:r w:rsidRPr="007B3988">
        <w:lastRenderedPageBreak/>
        <w:t xml:space="preserve">With the help of these tools, valuable information or insights could be gathered by management to properly measure employee engagement rates and improve productivity. </w:t>
      </w:r>
    </w:p>
    <w:p w14:paraId="11E477DE" w14:textId="77777777" w:rsidR="00C92D79" w:rsidRPr="007B3988" w:rsidRDefault="00BE442A" w:rsidP="00C92D79">
      <w:pPr>
        <w:pStyle w:val="Ttulo1"/>
        <w:rPr>
          <w:color w:val="auto"/>
        </w:rPr>
      </w:pPr>
      <w:bookmarkStart w:id="3" w:name="_Toc100157333"/>
      <w:r w:rsidRPr="007B3988">
        <w:rPr>
          <w:color w:val="auto"/>
        </w:rPr>
        <w:t>Employee value proposition</w:t>
      </w:r>
      <w:r w:rsidR="001B1A74" w:rsidRPr="007B3988">
        <w:rPr>
          <w:color w:val="auto"/>
        </w:rPr>
        <w:t xml:space="preserve"> linked with employee </w:t>
      </w:r>
      <w:proofErr w:type="spellStart"/>
      <w:r w:rsidR="001B1A74" w:rsidRPr="007B3988">
        <w:rPr>
          <w:color w:val="auto"/>
        </w:rPr>
        <w:t>engagment</w:t>
      </w:r>
      <w:bookmarkEnd w:id="3"/>
      <w:proofErr w:type="spellEnd"/>
    </w:p>
    <w:p w14:paraId="04D73933" w14:textId="77777777" w:rsidR="00C92D79" w:rsidRPr="007B3988" w:rsidRDefault="00BE442A" w:rsidP="00C92D79">
      <w:pPr>
        <w:pStyle w:val="NormalWeb"/>
        <w:spacing w:before="0" w:beforeAutospacing="0" w:after="0" w:afterAutospacing="0" w:line="360" w:lineRule="auto"/>
        <w:jc w:val="both"/>
      </w:pPr>
      <w:r w:rsidRPr="007B3988">
        <w:t xml:space="preserve">The employee value proposition model refers to the unique set of values or benefits that an employer could provide to its employees in return for the capabilities, skills, and experience they bring to the table for the company. Therefore the essence of EVP is to showcase how unique the company's offers stand in the market </w:t>
      </w:r>
      <w:r w:rsidRPr="007B3988">
        <w:rPr>
          <w:shd w:val="clear" w:color="auto" w:fill="FFFFFF"/>
        </w:rPr>
        <w:t>(</w:t>
      </w:r>
      <w:proofErr w:type="spellStart"/>
      <w:r w:rsidRPr="007B3988">
        <w:rPr>
          <w:shd w:val="clear" w:color="auto" w:fill="FFFFFF"/>
        </w:rPr>
        <w:t>Jouany</w:t>
      </w:r>
      <w:proofErr w:type="spellEnd"/>
      <w:r w:rsidRPr="007B3988">
        <w:rPr>
          <w:shd w:val="clear" w:color="auto" w:fill="FFFFFF"/>
        </w:rPr>
        <w:t>, 2020)</w:t>
      </w:r>
      <w:r w:rsidRPr="007B3988">
        <w:t xml:space="preserve">. There are five main components of the employee value proposition such as financial rewards, employee benefits, career development, work environment, and company culture. Therefore, learning from the above discussion, the company can utilize financial rewards in their EVP by covering different aspects of bonuses, salary, and stock options. In addition, the employee benefit component could involve paid leaves, company-sponsored holidays, health insurance, or retirement benefits. Apart from that, career development is foremost in employee engagement therefore, the company can include career development courses like technical training, leadership development training, proportion opportunities, opportunities to change employee domains, or mentoring and career guidance </w:t>
      </w:r>
      <w:r w:rsidRPr="007B3988">
        <w:rPr>
          <w:shd w:val="clear" w:color="auto" w:fill="FFFFFF"/>
        </w:rPr>
        <w:t>(</w:t>
      </w:r>
      <w:proofErr w:type="spellStart"/>
      <w:r w:rsidRPr="007B3988">
        <w:rPr>
          <w:shd w:val="clear" w:color="auto" w:fill="FFFFFF"/>
        </w:rPr>
        <w:t>Jouany</w:t>
      </w:r>
      <w:proofErr w:type="spellEnd"/>
      <w:r w:rsidRPr="007B3988">
        <w:rPr>
          <w:shd w:val="clear" w:color="auto" w:fill="FFFFFF"/>
        </w:rPr>
        <w:t>, 2020)</w:t>
      </w:r>
      <w:r w:rsidRPr="007B3988">
        <w:t xml:space="preserve">. Apart from that, EVP could include work environment benefits such as flexible working hours, employee wellbeing, workplace design, work-life balance, and recognition. On the other side, the most crucial element in the EVP should be motivating company culture  </w:t>
      </w:r>
      <w:r w:rsidRPr="007B3988">
        <w:rPr>
          <w:shd w:val="clear" w:color="auto" w:fill="FFFFFF"/>
        </w:rPr>
        <w:t>(CIPHR, 2022)</w:t>
      </w:r>
      <w:r w:rsidRPr="007B3988">
        <w:t xml:space="preserve">. As discussed in the above section, having a motivating culture enhances employee engagement rates as employees could look up to their leadership or management for support. </w:t>
      </w:r>
    </w:p>
    <w:p w14:paraId="4FB9F9D2" w14:textId="77777777" w:rsidR="00C92D79" w:rsidRPr="007B3988" w:rsidRDefault="00BE442A" w:rsidP="00C92D79">
      <w:pPr>
        <w:pStyle w:val="Ttulo1"/>
        <w:rPr>
          <w:color w:val="auto"/>
        </w:rPr>
      </w:pPr>
      <w:bookmarkStart w:id="4" w:name="_Toc100157334"/>
      <w:r w:rsidRPr="007B3988">
        <w:rPr>
          <w:color w:val="auto"/>
        </w:rPr>
        <w:t>Recommendations to improve engagement</w:t>
      </w:r>
      <w:bookmarkEnd w:id="4"/>
      <w:r w:rsidRPr="007B3988">
        <w:rPr>
          <w:color w:val="auto"/>
        </w:rPr>
        <w:t> </w:t>
      </w:r>
    </w:p>
    <w:p w14:paraId="2CB1D225" w14:textId="77777777" w:rsidR="00C92D79" w:rsidRPr="007B3988" w:rsidRDefault="00BE442A" w:rsidP="00C92D79">
      <w:pPr>
        <w:pStyle w:val="NormalWeb"/>
        <w:spacing w:before="0" w:beforeAutospacing="0" w:after="0" w:afterAutospacing="0" w:line="360" w:lineRule="auto"/>
        <w:jc w:val="both"/>
      </w:pPr>
      <w:r w:rsidRPr="007B3988">
        <w:t>In order to raise awareness, the company can take these measures as follows. </w:t>
      </w:r>
    </w:p>
    <w:p w14:paraId="3CD79BA6"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 xml:space="preserve">The management can develop strategies to communicate deliberately and regularly with different departments and help better communications to leave no employees in isolation. For this task manager could manage remote communication through different digital technologies to increase communication. This would be helpful in increasing the employee engagement rate. </w:t>
      </w:r>
    </w:p>
    <w:p w14:paraId="367B10B6"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 xml:space="preserve">Also, the company can invest in well-being measures for employees which would make them feel valued in the workplace </w:t>
      </w:r>
      <w:r w:rsidRPr="007B3988">
        <w:rPr>
          <w:shd w:val="clear" w:color="auto" w:fill="FFFFFF"/>
        </w:rPr>
        <w:t>(CIPHR, 2022)</w:t>
      </w:r>
      <w:r w:rsidRPr="007B3988">
        <w:t xml:space="preserve">. Different studies have shown that low </w:t>
      </w:r>
      <w:r w:rsidRPr="007B3988">
        <w:lastRenderedPageBreak/>
        <w:t xml:space="preserve">well-being measures put employees at the risk of burnout over time which leads to low engagement rates. Therefore, investing in programs such as employee assistance programs could help mitigate the mental strain that an employee goes through while working for the organization. </w:t>
      </w:r>
    </w:p>
    <w:p w14:paraId="2A3CF50E"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From the above discussion, it is evident that having proper enablers of engagement is key here and therefore management needs to work on the feedback received from invite feedback. </w:t>
      </w:r>
    </w:p>
    <w:p w14:paraId="7F91D2E1"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 xml:space="preserve">Also, properly defining the organizational goals and communicating effectively with the team or employees would help increase employee engagement </w:t>
      </w:r>
      <w:r w:rsidRPr="007B3988">
        <w:rPr>
          <w:shd w:val="clear" w:color="auto" w:fill="FFFFFF"/>
        </w:rPr>
        <w:t>(CIPHR, 2022)</w:t>
      </w:r>
      <w:r w:rsidRPr="007B3988">
        <w:t>. Also, with proper organization purpose stated to employees, they could better relate to them. </w:t>
      </w:r>
    </w:p>
    <w:p w14:paraId="1853F5CE"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In addition, the company can invest in empowering their employees by providing them more training or giving them more opportunities or autonomy which would be helpful in increasing their commitment to the organization.</w:t>
      </w:r>
    </w:p>
    <w:p w14:paraId="6809A13F" w14:textId="77777777" w:rsidR="00C92D79" w:rsidRPr="007B3988" w:rsidRDefault="00BE442A" w:rsidP="00C92D79">
      <w:pPr>
        <w:pStyle w:val="NormalWeb"/>
        <w:numPr>
          <w:ilvl w:val="0"/>
          <w:numId w:val="1"/>
        </w:numPr>
        <w:spacing w:before="0" w:beforeAutospacing="0" w:after="0" w:afterAutospacing="0" w:line="360" w:lineRule="auto"/>
        <w:jc w:val="both"/>
        <w:textAlignment w:val="baseline"/>
      </w:pPr>
      <w:r w:rsidRPr="007B3988">
        <w:t xml:space="preserve">Lastly,  proper reward and recognition policies need to be adopted in order to motivate employees </w:t>
      </w:r>
      <w:r w:rsidRPr="007B3988">
        <w:rPr>
          <w:shd w:val="clear" w:color="auto" w:fill="FFFFFF"/>
        </w:rPr>
        <w:t>(CIPHR, 2022)</w:t>
      </w:r>
      <w:r w:rsidRPr="007B3988">
        <w:t>. </w:t>
      </w:r>
    </w:p>
    <w:p w14:paraId="547BDDAE" w14:textId="77777777" w:rsidR="00C92D79" w:rsidRPr="007B3988" w:rsidRDefault="00BE442A" w:rsidP="00C92D79">
      <w:pPr>
        <w:pStyle w:val="Ttulo1"/>
        <w:rPr>
          <w:color w:val="auto"/>
        </w:rPr>
      </w:pPr>
      <w:bookmarkStart w:id="5" w:name="_Toc100157335"/>
      <w:r w:rsidRPr="007B3988">
        <w:rPr>
          <w:color w:val="auto"/>
        </w:rPr>
        <w:t>Concussion</w:t>
      </w:r>
      <w:bookmarkEnd w:id="5"/>
    </w:p>
    <w:p w14:paraId="2EF4365A" w14:textId="77777777" w:rsidR="00C92D79" w:rsidRPr="007B3988" w:rsidRDefault="00BE442A" w:rsidP="00C92D79">
      <w:pPr>
        <w:pStyle w:val="NormalWeb"/>
        <w:spacing w:before="0" w:beforeAutospacing="0" w:after="0" w:afterAutospacing="0" w:line="360" w:lineRule="auto"/>
        <w:jc w:val="both"/>
      </w:pPr>
      <w:r w:rsidRPr="007B3988">
        <w:t xml:space="preserve">The report provided a detailed overview of employee engagement concepts and also highlighted some of the main drivers of employee engagement. In addition, the report evaluated different tools which the management could use to measure employee engagement rates. Apart from that, the report constructed an employee value proposition for the company from the analysis of the idea discussed in the above report. Apart from that, the report discussed some strategies that the company can take to raise levels of employee engagement. </w:t>
      </w:r>
    </w:p>
    <w:p w14:paraId="69D5E1E0" w14:textId="77777777" w:rsidR="00C92D79" w:rsidRPr="007B3988" w:rsidRDefault="00BE442A" w:rsidP="00C92D79">
      <w:pPr>
        <w:spacing w:line="360" w:lineRule="auto"/>
        <w:jc w:val="both"/>
        <w:rPr>
          <w:rFonts w:ascii="Times New Roman" w:eastAsia="Times New Roman" w:hAnsi="Times New Roman" w:cs="Times New Roman"/>
          <w:b/>
          <w:bCs/>
          <w:sz w:val="24"/>
          <w:szCs w:val="24"/>
          <w:lang w:val="en-US"/>
        </w:rPr>
      </w:pPr>
      <w:r w:rsidRPr="007B3988">
        <w:rPr>
          <w:rFonts w:ascii="Times New Roman" w:hAnsi="Times New Roman" w:cs="Times New Roman"/>
          <w:b/>
          <w:bCs/>
          <w:sz w:val="24"/>
          <w:szCs w:val="24"/>
        </w:rPr>
        <w:br w:type="page"/>
      </w:r>
    </w:p>
    <w:p w14:paraId="4D473DA5" w14:textId="77777777" w:rsidR="00C92D79" w:rsidRPr="007B3988" w:rsidRDefault="00BE442A" w:rsidP="00C92D79">
      <w:pPr>
        <w:pStyle w:val="Ttulo1"/>
        <w:rPr>
          <w:color w:val="auto"/>
        </w:rPr>
      </w:pPr>
      <w:bookmarkStart w:id="6" w:name="_Toc100157336"/>
      <w:r w:rsidRPr="007B3988">
        <w:rPr>
          <w:color w:val="auto"/>
        </w:rPr>
        <w:lastRenderedPageBreak/>
        <w:t>References</w:t>
      </w:r>
      <w:bookmarkEnd w:id="6"/>
    </w:p>
    <w:p w14:paraId="4114B2AA"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Ahmed, T., Khan, M.S., </w:t>
      </w:r>
      <w:proofErr w:type="spellStart"/>
      <w:r w:rsidRPr="007B3988">
        <w:rPr>
          <w:shd w:val="clear" w:color="auto" w:fill="FFFFFF"/>
        </w:rPr>
        <w:t>Thitivesa</w:t>
      </w:r>
      <w:proofErr w:type="spellEnd"/>
      <w:r w:rsidRPr="007B3988">
        <w:rPr>
          <w:shd w:val="clear" w:color="auto" w:fill="FFFFFF"/>
        </w:rPr>
        <w:t xml:space="preserve">, D., </w:t>
      </w:r>
      <w:proofErr w:type="spellStart"/>
      <w:r w:rsidRPr="007B3988">
        <w:rPr>
          <w:shd w:val="clear" w:color="auto" w:fill="FFFFFF"/>
        </w:rPr>
        <w:t>Siraphatthada</w:t>
      </w:r>
      <w:proofErr w:type="spellEnd"/>
      <w:r w:rsidRPr="007B3988">
        <w:rPr>
          <w:shd w:val="clear" w:color="auto" w:fill="FFFFFF"/>
        </w:rPr>
        <w:t xml:space="preserve">, Y. and </w:t>
      </w:r>
      <w:proofErr w:type="spellStart"/>
      <w:r w:rsidRPr="007B3988">
        <w:rPr>
          <w:shd w:val="clear" w:color="auto" w:fill="FFFFFF"/>
        </w:rPr>
        <w:t>Phumdara</w:t>
      </w:r>
      <w:proofErr w:type="spellEnd"/>
      <w:r w:rsidRPr="007B3988">
        <w:rPr>
          <w:shd w:val="clear" w:color="auto" w:fill="FFFFFF"/>
        </w:rPr>
        <w:t xml:space="preserve">, T., 2020. Impact of employees engagement and knowledge sharing on organizational performance: Study of HR challenges in COVID-19 pandemic. </w:t>
      </w:r>
      <w:r w:rsidRPr="007B3988">
        <w:rPr>
          <w:i/>
          <w:iCs/>
        </w:rPr>
        <w:t>Human Systems Management</w:t>
      </w:r>
      <w:r w:rsidRPr="007B3988">
        <w:t xml:space="preserve">, </w:t>
      </w:r>
      <w:r w:rsidRPr="007B3988">
        <w:rPr>
          <w:i/>
          <w:iCs/>
        </w:rPr>
        <w:t>39</w:t>
      </w:r>
      <w:r w:rsidRPr="007B3988">
        <w:t>(4), pp.589-601.</w:t>
      </w:r>
    </w:p>
    <w:p w14:paraId="521707C9"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Alrowwad</w:t>
      </w:r>
      <w:proofErr w:type="spellEnd"/>
      <w:r w:rsidRPr="007B3988">
        <w:rPr>
          <w:shd w:val="clear" w:color="auto" w:fill="FFFFFF"/>
        </w:rPr>
        <w:t xml:space="preserve">, A.A., </w:t>
      </w:r>
      <w:proofErr w:type="spellStart"/>
      <w:r w:rsidRPr="007B3988">
        <w:rPr>
          <w:shd w:val="clear" w:color="auto" w:fill="FFFFFF"/>
        </w:rPr>
        <w:t>Obeidat</w:t>
      </w:r>
      <w:proofErr w:type="spellEnd"/>
      <w:r w:rsidRPr="007B3988">
        <w:rPr>
          <w:shd w:val="clear" w:color="auto" w:fill="FFFFFF"/>
        </w:rPr>
        <w:t xml:space="preserve">, D., Yousef, B., </w:t>
      </w:r>
      <w:proofErr w:type="spellStart"/>
      <w:r w:rsidRPr="007B3988">
        <w:rPr>
          <w:shd w:val="clear" w:color="auto" w:fill="FFFFFF"/>
        </w:rPr>
        <w:t>Al-Khateeb</w:t>
      </w:r>
      <w:proofErr w:type="spellEnd"/>
      <w:r w:rsidRPr="007B3988">
        <w:rPr>
          <w:shd w:val="clear" w:color="auto" w:fill="FFFFFF"/>
        </w:rPr>
        <w:t xml:space="preserve">, A. and </w:t>
      </w:r>
      <w:proofErr w:type="spellStart"/>
      <w:r w:rsidRPr="007B3988">
        <w:rPr>
          <w:shd w:val="clear" w:color="auto" w:fill="FFFFFF"/>
        </w:rPr>
        <w:t>Masa'deh</w:t>
      </w:r>
      <w:proofErr w:type="spellEnd"/>
      <w:r w:rsidRPr="007B3988">
        <w:rPr>
          <w:shd w:val="clear" w:color="auto" w:fill="FFFFFF"/>
        </w:rPr>
        <w:t xml:space="preserve">, R.E., 2018. The role of work/life balance and motivational drivers of employee engagement on the relationship between talent management and organization performance: a developing country perspective. </w:t>
      </w:r>
      <w:r w:rsidRPr="007B3988">
        <w:rPr>
          <w:i/>
          <w:iCs/>
        </w:rPr>
        <w:t>Modern Applied Science</w:t>
      </w:r>
      <w:r w:rsidRPr="007B3988">
        <w:t xml:space="preserve">, </w:t>
      </w:r>
      <w:r w:rsidRPr="007B3988">
        <w:rPr>
          <w:i/>
          <w:iCs/>
        </w:rPr>
        <w:t>12</w:t>
      </w:r>
      <w:r w:rsidRPr="007B3988">
        <w:t>(11).</w:t>
      </w:r>
    </w:p>
    <w:p w14:paraId="589296AA"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Antony, M.R., 2018. Paradigm shift in employee engagement–A critical analysis on the drivers of employee engagement. </w:t>
      </w:r>
      <w:r w:rsidRPr="007B3988">
        <w:rPr>
          <w:i/>
          <w:iCs/>
        </w:rPr>
        <w:t>International Journal of Information, Business and Management</w:t>
      </w:r>
      <w:r w:rsidRPr="007B3988">
        <w:t xml:space="preserve">, </w:t>
      </w:r>
      <w:r w:rsidRPr="007B3988">
        <w:rPr>
          <w:i/>
          <w:iCs/>
        </w:rPr>
        <w:t>10</w:t>
      </w:r>
      <w:r w:rsidRPr="007B3988">
        <w:t>(2), pp.32-46.</w:t>
      </w:r>
    </w:p>
    <w:p w14:paraId="0AAAE023"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Antony, M.R., 2018. Paradigm shift in employee engagement–A critical analysis on the drivers of employee engagement. </w:t>
      </w:r>
      <w:r w:rsidRPr="007B3988">
        <w:rPr>
          <w:i/>
          <w:iCs/>
        </w:rPr>
        <w:t>International Journal of Information, Business and Management</w:t>
      </w:r>
      <w:r w:rsidRPr="007B3988">
        <w:t xml:space="preserve">, </w:t>
      </w:r>
      <w:r w:rsidRPr="007B3988">
        <w:rPr>
          <w:i/>
          <w:iCs/>
        </w:rPr>
        <w:t>10</w:t>
      </w:r>
      <w:r w:rsidRPr="007B3988">
        <w:t>(2), pp.32-46.</w:t>
      </w:r>
    </w:p>
    <w:p w14:paraId="5865532A"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Burnett, J.R. and </w:t>
      </w:r>
      <w:proofErr w:type="spellStart"/>
      <w:r w:rsidRPr="007B3988">
        <w:rPr>
          <w:shd w:val="clear" w:color="auto" w:fill="FFFFFF"/>
        </w:rPr>
        <w:t>Lisk</w:t>
      </w:r>
      <w:proofErr w:type="spellEnd"/>
      <w:r w:rsidRPr="007B3988">
        <w:rPr>
          <w:shd w:val="clear" w:color="auto" w:fill="FFFFFF"/>
        </w:rPr>
        <w:t xml:space="preserve">, T.C., 2019. The future of employee engagement: Real-time monitoring and digital tools for engaging a workforce. </w:t>
      </w:r>
      <w:r w:rsidRPr="007B3988">
        <w:rPr>
          <w:i/>
          <w:iCs/>
        </w:rPr>
        <w:t>International Studies of Management &amp; Organization</w:t>
      </w:r>
      <w:r w:rsidRPr="007B3988">
        <w:t xml:space="preserve">, </w:t>
      </w:r>
      <w:r w:rsidRPr="007B3988">
        <w:rPr>
          <w:i/>
          <w:iCs/>
        </w:rPr>
        <w:t>49</w:t>
      </w:r>
      <w:r w:rsidRPr="007B3988">
        <w:t>(1), pp.108-119.</w:t>
      </w:r>
    </w:p>
    <w:p w14:paraId="423451CB"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CIPHR, 2022. </w:t>
      </w:r>
      <w:r w:rsidRPr="007B3988">
        <w:rPr>
          <w:i/>
          <w:iCs/>
        </w:rPr>
        <w:t>Six HR strategies for improving employee engagement - CIPHR</w:t>
      </w:r>
      <w:r w:rsidRPr="007B3988">
        <w:t>. [online] CIPHR. Available at: &lt;https://www.ciphr.com/advice/six-hr-strategies-for-improving-employee-engagement/&gt; [Accessed 6 April 2022].</w:t>
      </w:r>
    </w:p>
    <w:p w14:paraId="6C32A2EC"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Jouany</w:t>
      </w:r>
      <w:proofErr w:type="spellEnd"/>
      <w:r w:rsidRPr="007B3988">
        <w:rPr>
          <w:shd w:val="clear" w:color="auto" w:fill="FFFFFF"/>
        </w:rPr>
        <w:t xml:space="preserve">, V., 2020. </w:t>
      </w:r>
      <w:r w:rsidRPr="007B3988">
        <w:rPr>
          <w:i/>
          <w:iCs/>
        </w:rPr>
        <w:t>Employee Value Proposition: The Complete Guide to Building a Great EVP</w:t>
      </w:r>
      <w:r w:rsidRPr="007B3988">
        <w:t>. [online] Blog.smarp.com. Available at: &lt;https://blog.smarp.com/6-steps-to-build-your-employees-value-proposition&gt; [Accessed 6 April 2022].</w:t>
      </w:r>
    </w:p>
    <w:p w14:paraId="6DA13131"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Kertiriasih</w:t>
      </w:r>
      <w:proofErr w:type="spellEnd"/>
      <w:r w:rsidRPr="007B3988">
        <w:rPr>
          <w:shd w:val="clear" w:color="auto" w:fill="FFFFFF"/>
        </w:rPr>
        <w:t xml:space="preserve">, N.N.R., </w:t>
      </w:r>
      <w:proofErr w:type="spellStart"/>
      <w:r w:rsidRPr="007B3988">
        <w:rPr>
          <w:shd w:val="clear" w:color="auto" w:fill="FFFFFF"/>
        </w:rPr>
        <w:t>Sujana</w:t>
      </w:r>
      <w:proofErr w:type="spellEnd"/>
      <w:r w:rsidRPr="007B3988">
        <w:rPr>
          <w:shd w:val="clear" w:color="auto" w:fill="FFFFFF"/>
        </w:rPr>
        <w:t xml:space="preserve">, I.W. and </w:t>
      </w:r>
      <w:proofErr w:type="spellStart"/>
      <w:r w:rsidRPr="007B3988">
        <w:rPr>
          <w:shd w:val="clear" w:color="auto" w:fill="FFFFFF"/>
        </w:rPr>
        <w:t>Suardika</w:t>
      </w:r>
      <w:proofErr w:type="spellEnd"/>
      <w:r w:rsidRPr="007B3988">
        <w:rPr>
          <w:shd w:val="clear" w:color="auto" w:fill="FFFFFF"/>
        </w:rPr>
        <w:t xml:space="preserve">, I.N., 2018. The effect of leadership style to job satisfaction, employee engagement and employee performance (study at PT. </w:t>
      </w:r>
      <w:proofErr w:type="spellStart"/>
      <w:r w:rsidRPr="007B3988">
        <w:rPr>
          <w:shd w:val="clear" w:color="auto" w:fill="FFFFFF"/>
        </w:rPr>
        <w:t>Interbat</w:t>
      </w:r>
      <w:proofErr w:type="spellEnd"/>
      <w:r w:rsidRPr="007B3988">
        <w:rPr>
          <w:shd w:val="clear" w:color="auto" w:fill="FFFFFF"/>
        </w:rPr>
        <w:t xml:space="preserve">, Bali, </w:t>
      </w:r>
      <w:proofErr w:type="spellStart"/>
      <w:r w:rsidRPr="007B3988">
        <w:rPr>
          <w:shd w:val="clear" w:color="auto" w:fill="FFFFFF"/>
        </w:rPr>
        <w:t>Nusra</w:t>
      </w:r>
      <w:proofErr w:type="spellEnd"/>
      <w:r w:rsidRPr="007B3988">
        <w:rPr>
          <w:shd w:val="clear" w:color="auto" w:fill="FFFFFF"/>
        </w:rPr>
        <w:t xml:space="preserve">, and Ambon). </w:t>
      </w:r>
      <w:r w:rsidRPr="007B3988">
        <w:rPr>
          <w:i/>
          <w:iCs/>
        </w:rPr>
        <w:t>International Journal of Contemporary Research and Review</w:t>
      </w:r>
      <w:r w:rsidRPr="007B3988">
        <w:t xml:space="preserve">, </w:t>
      </w:r>
      <w:r w:rsidRPr="007B3988">
        <w:rPr>
          <w:i/>
          <w:iCs/>
        </w:rPr>
        <w:t>9</w:t>
      </w:r>
      <w:r w:rsidRPr="007B3988">
        <w:t>(03), pp.20592-20600.</w:t>
      </w:r>
    </w:p>
    <w:p w14:paraId="5BE90F92"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lastRenderedPageBreak/>
        <w:t>Kitto</w:t>
      </w:r>
      <w:proofErr w:type="spellEnd"/>
      <w:r w:rsidRPr="007B3988">
        <w:rPr>
          <w:shd w:val="clear" w:color="auto" w:fill="FFFFFF"/>
        </w:rPr>
        <w:t xml:space="preserve">, K., 2020. </w:t>
      </w:r>
      <w:r w:rsidRPr="007B3988">
        <w:rPr>
          <w:i/>
          <w:iCs/>
        </w:rPr>
        <w:t>What Are the Drivers of Employee Engagement? | Glint</w:t>
      </w:r>
      <w:r w:rsidRPr="007B3988">
        <w:t>. [online] Glint. Available at: &lt;https://www.glintinc.com/blog/drivers-of-employee-engagement/&gt; [Accessed 6 April 2022].</w:t>
      </w:r>
    </w:p>
    <w:p w14:paraId="17074E1A" w14:textId="77777777" w:rsidR="00C92D79" w:rsidRPr="007B3988" w:rsidRDefault="00BE442A" w:rsidP="00C92D79">
      <w:pPr>
        <w:pStyle w:val="NormalWeb"/>
        <w:spacing w:before="240" w:beforeAutospacing="0" w:after="240" w:afterAutospacing="0" w:line="360" w:lineRule="auto"/>
        <w:jc w:val="both"/>
      </w:pPr>
      <w:r w:rsidRPr="007B3988">
        <w:rPr>
          <w:shd w:val="clear" w:color="auto" w:fill="FFFFFF"/>
        </w:rPr>
        <w:t xml:space="preserve">Lemon, L.L. and </w:t>
      </w:r>
      <w:proofErr w:type="spellStart"/>
      <w:r w:rsidRPr="007B3988">
        <w:rPr>
          <w:shd w:val="clear" w:color="auto" w:fill="FFFFFF"/>
        </w:rPr>
        <w:t>Palenchar</w:t>
      </w:r>
      <w:proofErr w:type="spellEnd"/>
      <w:r w:rsidRPr="007B3988">
        <w:rPr>
          <w:shd w:val="clear" w:color="auto" w:fill="FFFFFF"/>
        </w:rPr>
        <w:t xml:space="preserve">, M.J., 2018. Public relations and zones of engagement: Employees’ lived experiences and the fundamental nature of employee engagement. </w:t>
      </w:r>
      <w:r w:rsidRPr="007B3988">
        <w:rPr>
          <w:i/>
          <w:iCs/>
        </w:rPr>
        <w:t>Public Relations Review</w:t>
      </w:r>
      <w:r w:rsidRPr="007B3988">
        <w:t xml:space="preserve">, </w:t>
      </w:r>
      <w:r w:rsidRPr="007B3988">
        <w:rPr>
          <w:i/>
          <w:iCs/>
        </w:rPr>
        <w:t>44</w:t>
      </w:r>
      <w:r w:rsidRPr="007B3988">
        <w:t>(1), pp.142-155.</w:t>
      </w:r>
    </w:p>
    <w:p w14:paraId="0E4BEACE"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Maltseva</w:t>
      </w:r>
      <w:proofErr w:type="spellEnd"/>
      <w:r w:rsidRPr="007B3988">
        <w:rPr>
          <w:shd w:val="clear" w:color="auto" w:fill="FFFFFF"/>
        </w:rPr>
        <w:t xml:space="preserve">, K., 2020. Wearables in the workplace: The brave new world of employee engagement. </w:t>
      </w:r>
      <w:r w:rsidRPr="007B3988">
        <w:rPr>
          <w:i/>
          <w:iCs/>
        </w:rPr>
        <w:t>Business Horizons</w:t>
      </w:r>
      <w:r w:rsidRPr="007B3988">
        <w:t xml:space="preserve">, </w:t>
      </w:r>
      <w:r w:rsidRPr="007B3988">
        <w:rPr>
          <w:i/>
          <w:iCs/>
        </w:rPr>
        <w:t>63</w:t>
      </w:r>
      <w:r w:rsidRPr="007B3988">
        <w:t>(4), pp.493-505.</w:t>
      </w:r>
    </w:p>
    <w:p w14:paraId="117B8C86"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Meijerink</w:t>
      </w:r>
      <w:proofErr w:type="spellEnd"/>
      <w:r w:rsidRPr="007B3988">
        <w:rPr>
          <w:shd w:val="clear" w:color="auto" w:fill="FFFFFF"/>
        </w:rPr>
        <w:t xml:space="preserve">, J., </w:t>
      </w:r>
      <w:proofErr w:type="spellStart"/>
      <w:r w:rsidRPr="007B3988">
        <w:rPr>
          <w:shd w:val="clear" w:color="auto" w:fill="FFFFFF"/>
        </w:rPr>
        <w:t>Bos-Nehles</w:t>
      </w:r>
      <w:proofErr w:type="spellEnd"/>
      <w:r w:rsidRPr="007B3988">
        <w:rPr>
          <w:shd w:val="clear" w:color="auto" w:fill="FFFFFF"/>
        </w:rPr>
        <w:t xml:space="preserve">, A. and de Leede, J., 2020. How employees’ pro-activity translates high-commitment HRM systems into work engagement: The mediating role of job crafting. </w:t>
      </w:r>
      <w:r w:rsidRPr="007B3988">
        <w:rPr>
          <w:i/>
          <w:iCs/>
        </w:rPr>
        <w:t>The International Journal of Human Resource Management</w:t>
      </w:r>
      <w:r w:rsidRPr="007B3988">
        <w:t xml:space="preserve">, </w:t>
      </w:r>
      <w:r w:rsidRPr="007B3988">
        <w:rPr>
          <w:i/>
          <w:iCs/>
        </w:rPr>
        <w:t>31</w:t>
      </w:r>
      <w:r w:rsidRPr="007B3988">
        <w:t>(22), pp.2893-2918.</w:t>
      </w:r>
    </w:p>
    <w:p w14:paraId="4BCAA02F" w14:textId="77777777" w:rsidR="00C92D79" w:rsidRPr="007B3988" w:rsidRDefault="00BE442A" w:rsidP="00C92D79">
      <w:pPr>
        <w:pStyle w:val="NormalWeb"/>
        <w:spacing w:before="240" w:beforeAutospacing="0" w:after="240" w:afterAutospacing="0" w:line="360" w:lineRule="auto"/>
        <w:jc w:val="both"/>
      </w:pPr>
      <w:proofErr w:type="spellStart"/>
      <w:r w:rsidRPr="007B3988">
        <w:rPr>
          <w:shd w:val="clear" w:color="auto" w:fill="FFFFFF"/>
        </w:rPr>
        <w:t>Obeidat</w:t>
      </w:r>
      <w:proofErr w:type="spellEnd"/>
      <w:r w:rsidRPr="007B3988">
        <w:rPr>
          <w:shd w:val="clear" w:color="auto" w:fill="FFFFFF"/>
        </w:rPr>
        <w:t xml:space="preserve">, B., </w:t>
      </w:r>
      <w:proofErr w:type="spellStart"/>
      <w:r w:rsidRPr="007B3988">
        <w:rPr>
          <w:shd w:val="clear" w:color="auto" w:fill="FFFFFF"/>
        </w:rPr>
        <w:t>Al-Khateeb</w:t>
      </w:r>
      <w:proofErr w:type="spellEnd"/>
      <w:r w:rsidRPr="007B3988">
        <w:rPr>
          <w:shd w:val="clear" w:color="auto" w:fill="FFFFFF"/>
        </w:rPr>
        <w:t xml:space="preserve">, A. and Abdallah, A.A., 2019. Reviewing the mediating role of work/life balance and motivational drivers of employee engagement on the relationship between talent management and organization performance. </w:t>
      </w:r>
      <w:r w:rsidRPr="007B3988">
        <w:rPr>
          <w:i/>
          <w:iCs/>
        </w:rPr>
        <w:t>Journal of Social Sciences (COES&amp;RJ-JSS)</w:t>
      </w:r>
      <w:r w:rsidRPr="007B3988">
        <w:t xml:space="preserve">, </w:t>
      </w:r>
      <w:r w:rsidRPr="007B3988">
        <w:rPr>
          <w:i/>
          <w:iCs/>
        </w:rPr>
        <w:t>8</w:t>
      </w:r>
      <w:r w:rsidRPr="007B3988">
        <w:t>(2), pp.306-326.</w:t>
      </w:r>
    </w:p>
    <w:p w14:paraId="37700B0F" w14:textId="77777777" w:rsidR="00566D6F" w:rsidRPr="007B3988" w:rsidRDefault="00566D6F" w:rsidP="00C92D79">
      <w:pPr>
        <w:spacing w:line="360" w:lineRule="auto"/>
        <w:jc w:val="both"/>
        <w:rPr>
          <w:rFonts w:ascii="Times New Roman" w:hAnsi="Times New Roman" w:cs="Times New Roman"/>
          <w:sz w:val="24"/>
          <w:szCs w:val="24"/>
        </w:rPr>
      </w:pPr>
    </w:p>
    <w:sectPr w:rsidR="00566D6F" w:rsidRPr="007B3988" w:rsidSect="00C92D79">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6742A" w14:textId="77777777" w:rsidR="00D7607C" w:rsidRDefault="00D7607C" w:rsidP="007C34D7">
      <w:pPr>
        <w:spacing w:after="0" w:line="240" w:lineRule="auto"/>
      </w:pPr>
      <w:r>
        <w:separator/>
      </w:r>
    </w:p>
  </w:endnote>
  <w:endnote w:type="continuationSeparator" w:id="0">
    <w:p w14:paraId="30288195" w14:textId="77777777" w:rsidR="00D7607C" w:rsidRDefault="00D7607C" w:rsidP="007C3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90751"/>
      <w:docPartObj>
        <w:docPartGallery w:val="Page Numbers (Bottom of Page)"/>
        <w:docPartUnique/>
      </w:docPartObj>
    </w:sdtPr>
    <w:sdtEndPr/>
    <w:sdtContent>
      <w:p w14:paraId="3335582B" w14:textId="77777777" w:rsidR="00150ED0" w:rsidRDefault="00D7607C">
        <w:pPr>
          <w:pStyle w:val="Piedepgina"/>
          <w:jc w:val="right"/>
        </w:pPr>
        <w:r>
          <w:fldChar w:fldCharType="begin"/>
        </w:r>
        <w:r>
          <w:instrText xml:space="preserve"> PAGE   \* MERGEFORMAT </w:instrText>
        </w:r>
        <w:r>
          <w:fldChar w:fldCharType="separate"/>
        </w:r>
        <w:r w:rsidR="00AC77C6">
          <w:rPr>
            <w:noProof/>
          </w:rPr>
          <w:t>10</w:t>
        </w:r>
        <w:r>
          <w:rPr>
            <w:noProof/>
          </w:rPr>
          <w:fldChar w:fldCharType="end"/>
        </w:r>
      </w:p>
    </w:sdtContent>
  </w:sdt>
  <w:p w14:paraId="2084359A" w14:textId="77777777" w:rsidR="00150ED0" w:rsidRDefault="00150E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506B2" w14:textId="77777777" w:rsidR="00D7607C" w:rsidRDefault="00D7607C" w:rsidP="007C34D7">
      <w:pPr>
        <w:spacing w:after="0" w:line="240" w:lineRule="auto"/>
      </w:pPr>
      <w:r>
        <w:separator/>
      </w:r>
    </w:p>
  </w:footnote>
  <w:footnote w:type="continuationSeparator" w:id="0">
    <w:p w14:paraId="790FD726" w14:textId="77777777" w:rsidR="00D7607C" w:rsidRDefault="00D7607C" w:rsidP="007C3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F66382"/>
    <w:multiLevelType w:val="multilevel"/>
    <w:tmpl w:val="E546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18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D6F"/>
    <w:rsid w:val="00001F70"/>
    <w:rsid w:val="00020EED"/>
    <w:rsid w:val="00024AC3"/>
    <w:rsid w:val="000269ED"/>
    <w:rsid w:val="000861E1"/>
    <w:rsid w:val="000902F3"/>
    <w:rsid w:val="000F7A2F"/>
    <w:rsid w:val="00150ED0"/>
    <w:rsid w:val="00157198"/>
    <w:rsid w:val="00175F8F"/>
    <w:rsid w:val="00196406"/>
    <w:rsid w:val="001A6FC9"/>
    <w:rsid w:val="001B1A74"/>
    <w:rsid w:val="001C2223"/>
    <w:rsid w:val="001D56A6"/>
    <w:rsid w:val="00230A76"/>
    <w:rsid w:val="00255689"/>
    <w:rsid w:val="0025569F"/>
    <w:rsid w:val="00331402"/>
    <w:rsid w:val="003577F2"/>
    <w:rsid w:val="00397AED"/>
    <w:rsid w:val="003F2BCC"/>
    <w:rsid w:val="0042799B"/>
    <w:rsid w:val="004816F7"/>
    <w:rsid w:val="004958AF"/>
    <w:rsid w:val="004D0175"/>
    <w:rsid w:val="004D33AA"/>
    <w:rsid w:val="004F2495"/>
    <w:rsid w:val="00505461"/>
    <w:rsid w:val="00525B24"/>
    <w:rsid w:val="005266D2"/>
    <w:rsid w:val="00541E26"/>
    <w:rsid w:val="00566D6F"/>
    <w:rsid w:val="005944AD"/>
    <w:rsid w:val="00596964"/>
    <w:rsid w:val="005C2DA8"/>
    <w:rsid w:val="005D0104"/>
    <w:rsid w:val="005D7A60"/>
    <w:rsid w:val="005F0255"/>
    <w:rsid w:val="00646B33"/>
    <w:rsid w:val="006518C7"/>
    <w:rsid w:val="00676D9E"/>
    <w:rsid w:val="006B2AB6"/>
    <w:rsid w:val="006C1EAC"/>
    <w:rsid w:val="006E6579"/>
    <w:rsid w:val="00723F73"/>
    <w:rsid w:val="0073171B"/>
    <w:rsid w:val="0076029C"/>
    <w:rsid w:val="00787226"/>
    <w:rsid w:val="007B3988"/>
    <w:rsid w:val="007C34D7"/>
    <w:rsid w:val="008311F6"/>
    <w:rsid w:val="00832052"/>
    <w:rsid w:val="00837814"/>
    <w:rsid w:val="00856C30"/>
    <w:rsid w:val="00863558"/>
    <w:rsid w:val="00882B65"/>
    <w:rsid w:val="00983244"/>
    <w:rsid w:val="009E085F"/>
    <w:rsid w:val="00A62021"/>
    <w:rsid w:val="00A66522"/>
    <w:rsid w:val="00A803C8"/>
    <w:rsid w:val="00A806BB"/>
    <w:rsid w:val="00AC77C6"/>
    <w:rsid w:val="00AE46C0"/>
    <w:rsid w:val="00B640A0"/>
    <w:rsid w:val="00BB03C6"/>
    <w:rsid w:val="00BC0C26"/>
    <w:rsid w:val="00BE442A"/>
    <w:rsid w:val="00C0360D"/>
    <w:rsid w:val="00C65ADA"/>
    <w:rsid w:val="00C770B9"/>
    <w:rsid w:val="00C92D79"/>
    <w:rsid w:val="00C9687F"/>
    <w:rsid w:val="00CC17CD"/>
    <w:rsid w:val="00CD5B39"/>
    <w:rsid w:val="00D03014"/>
    <w:rsid w:val="00D51978"/>
    <w:rsid w:val="00D6599A"/>
    <w:rsid w:val="00D7607C"/>
    <w:rsid w:val="00D949F9"/>
    <w:rsid w:val="00D97D55"/>
    <w:rsid w:val="00E33D5C"/>
    <w:rsid w:val="00E6085E"/>
    <w:rsid w:val="00E65BF0"/>
    <w:rsid w:val="00E701D4"/>
    <w:rsid w:val="00E7559B"/>
    <w:rsid w:val="00E853CF"/>
    <w:rsid w:val="00EA1FD9"/>
    <w:rsid w:val="00ED0C32"/>
    <w:rsid w:val="00EE6292"/>
    <w:rsid w:val="00EF47AB"/>
    <w:rsid w:val="00F06AB8"/>
    <w:rsid w:val="00F07919"/>
    <w:rsid w:val="00F5277E"/>
    <w:rsid w:val="00F54395"/>
    <w:rsid w:val="00F84A30"/>
    <w:rsid w:val="00F918DC"/>
    <w:rsid w:val="00FC1C5D"/>
    <w:rsid w:val="00FC523F"/>
    <w:rsid w:val="00FC6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38D8"/>
  <w15:docId w15:val="{A65D9080-688E-48D6-81B4-AE746E63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814"/>
    <w:rPr>
      <w:lang w:val="en-GB"/>
    </w:rPr>
  </w:style>
  <w:style w:type="paragraph" w:styleId="Ttulo1">
    <w:name w:val="heading 1"/>
    <w:basedOn w:val="Normal"/>
    <w:next w:val="Normal"/>
    <w:link w:val="Ttulo1Car"/>
    <w:uiPriority w:val="9"/>
    <w:qFormat/>
    <w:rsid w:val="00C92D79"/>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92D7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Fuentedeprrafopredeter"/>
    <w:rsid w:val="00C92D79"/>
  </w:style>
  <w:style w:type="character" w:customStyle="1" w:styleId="Ttulo1Car">
    <w:name w:val="Título 1 Car"/>
    <w:basedOn w:val="Fuentedeprrafopredeter"/>
    <w:link w:val="Ttulo1"/>
    <w:uiPriority w:val="9"/>
    <w:rsid w:val="00C92D79"/>
    <w:rPr>
      <w:rFonts w:ascii="Times New Roman" w:eastAsiaTheme="majorEastAsia" w:hAnsi="Times New Roman" w:cstheme="majorBidi"/>
      <w:b/>
      <w:bCs/>
      <w:color w:val="000000" w:themeColor="text1"/>
      <w:sz w:val="24"/>
      <w:szCs w:val="28"/>
      <w:lang w:val="en-GB"/>
    </w:rPr>
  </w:style>
  <w:style w:type="paragraph" w:styleId="Encabezado">
    <w:name w:val="header"/>
    <w:basedOn w:val="Normal"/>
    <w:link w:val="EncabezadoCar"/>
    <w:uiPriority w:val="99"/>
    <w:semiHidden/>
    <w:unhideWhenUsed/>
    <w:rsid w:val="00C92D7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C92D79"/>
    <w:rPr>
      <w:lang w:val="en-GB"/>
    </w:rPr>
  </w:style>
  <w:style w:type="paragraph" w:styleId="Piedepgina">
    <w:name w:val="footer"/>
    <w:basedOn w:val="Normal"/>
    <w:link w:val="PiedepginaCar"/>
    <w:uiPriority w:val="99"/>
    <w:unhideWhenUsed/>
    <w:rsid w:val="00C92D7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92D79"/>
    <w:rPr>
      <w:lang w:val="en-GB"/>
    </w:rPr>
  </w:style>
  <w:style w:type="paragraph" w:styleId="TtuloTDC">
    <w:name w:val="TOC Heading"/>
    <w:basedOn w:val="Ttulo1"/>
    <w:next w:val="Normal"/>
    <w:uiPriority w:val="39"/>
    <w:semiHidden/>
    <w:unhideWhenUsed/>
    <w:qFormat/>
    <w:rsid w:val="00C92D79"/>
    <w:pPr>
      <w:spacing w:line="276" w:lineRule="auto"/>
      <w:jc w:val="left"/>
      <w:outlineLvl w:val="9"/>
    </w:pPr>
    <w:rPr>
      <w:rFonts w:asciiTheme="majorHAnsi" w:hAnsiTheme="majorHAnsi"/>
      <w:color w:val="365F91" w:themeColor="accent1" w:themeShade="BF"/>
      <w:sz w:val="28"/>
      <w:lang w:val="en-US"/>
    </w:rPr>
  </w:style>
  <w:style w:type="paragraph" w:styleId="TDC1">
    <w:name w:val="toc 1"/>
    <w:basedOn w:val="Normal"/>
    <w:next w:val="Normal"/>
    <w:autoRedefine/>
    <w:uiPriority w:val="39"/>
    <w:unhideWhenUsed/>
    <w:rsid w:val="00C92D79"/>
    <w:pPr>
      <w:spacing w:after="100"/>
    </w:pPr>
  </w:style>
  <w:style w:type="character" w:styleId="Hipervnculo">
    <w:name w:val="Hyperlink"/>
    <w:basedOn w:val="Fuentedeprrafopredeter"/>
    <w:uiPriority w:val="99"/>
    <w:unhideWhenUsed/>
    <w:rsid w:val="00C92D79"/>
    <w:rPr>
      <w:color w:val="0000FF" w:themeColor="hyperlink"/>
      <w:u w:val="single"/>
    </w:rPr>
  </w:style>
  <w:style w:type="paragraph" w:styleId="Textodeglobo">
    <w:name w:val="Balloon Text"/>
    <w:basedOn w:val="Normal"/>
    <w:link w:val="TextodegloboCar"/>
    <w:uiPriority w:val="99"/>
    <w:semiHidden/>
    <w:unhideWhenUsed/>
    <w:rsid w:val="00C92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92D7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FE888-E1E1-4DC6-9144-162EF4B2C5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2832</Words>
  <Characters>15576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Costache (2021935)</cp:lastModifiedBy>
  <cp:revision>2</cp:revision>
  <dcterms:created xsi:type="dcterms:W3CDTF">2022-05-08T14:22:00Z</dcterms:created>
  <dcterms:modified xsi:type="dcterms:W3CDTF">2022-05-08T14:22:00Z</dcterms:modified>
</cp:coreProperties>
</file>