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CAD5C9" w14:textId="4911FCB2" w:rsidR="00D651F3" w:rsidRPr="00D651F3" w:rsidRDefault="00D651F3" w:rsidP="00350C35">
      <w:pPr>
        <w:rPr>
          <w:b/>
          <w:bCs/>
          <w:i/>
          <w:iCs/>
          <w:sz w:val="28"/>
          <w:szCs w:val="28"/>
        </w:rPr>
      </w:pPr>
      <w:r w:rsidRPr="00D651F3">
        <w:rPr>
          <w:b/>
          <w:bCs/>
          <w:i/>
          <w:iCs/>
          <w:sz w:val="28"/>
          <w:szCs w:val="28"/>
        </w:rPr>
        <w:t xml:space="preserve">Student Name: Claire Williams </w:t>
      </w:r>
    </w:p>
    <w:p w14:paraId="7E0C8D3E" w14:textId="6F3848DB" w:rsidR="00D651F3" w:rsidRDefault="00D651F3" w:rsidP="00350C35">
      <w:pPr>
        <w:rPr>
          <w:b/>
          <w:bCs/>
          <w:i/>
          <w:iCs/>
          <w:sz w:val="28"/>
          <w:szCs w:val="28"/>
        </w:rPr>
      </w:pPr>
      <w:r w:rsidRPr="00D651F3">
        <w:rPr>
          <w:b/>
          <w:bCs/>
          <w:i/>
          <w:iCs/>
          <w:sz w:val="28"/>
          <w:szCs w:val="28"/>
        </w:rPr>
        <w:t xml:space="preserve">Student Number: </w:t>
      </w:r>
      <w:r>
        <w:rPr>
          <w:b/>
          <w:bCs/>
          <w:i/>
          <w:iCs/>
          <w:sz w:val="28"/>
          <w:szCs w:val="28"/>
        </w:rPr>
        <w:t>2319912</w:t>
      </w:r>
    </w:p>
    <w:p w14:paraId="5C5F0B5A" w14:textId="77777777" w:rsidR="00D651F3" w:rsidRPr="00D651F3" w:rsidRDefault="00D651F3" w:rsidP="00350C35">
      <w:pPr>
        <w:rPr>
          <w:b/>
          <w:bCs/>
          <w:i/>
          <w:iCs/>
          <w:sz w:val="28"/>
          <w:szCs w:val="28"/>
        </w:rPr>
      </w:pPr>
    </w:p>
    <w:p w14:paraId="16B33A01" w14:textId="22CD733E" w:rsidR="00350C35" w:rsidRPr="00350C35" w:rsidRDefault="00350C35" w:rsidP="00350C35">
      <w:pPr>
        <w:rPr>
          <w:b/>
          <w:bCs/>
          <w:sz w:val="28"/>
          <w:szCs w:val="28"/>
          <w:u w:val="single"/>
        </w:rPr>
      </w:pPr>
      <w:r w:rsidRPr="00002741">
        <w:rPr>
          <w:b/>
          <w:bCs/>
          <w:sz w:val="28"/>
          <w:szCs w:val="28"/>
          <w:u w:val="single"/>
        </w:rPr>
        <w:t>Es</w:t>
      </w:r>
      <w:r w:rsidRPr="00350C35">
        <w:rPr>
          <w:b/>
          <w:bCs/>
          <w:sz w:val="28"/>
          <w:szCs w:val="28"/>
          <w:u w:val="single"/>
        </w:rPr>
        <w:t xml:space="preserve">say 1 </w:t>
      </w:r>
    </w:p>
    <w:p w14:paraId="38012F10" w14:textId="19886590" w:rsidR="00350C35" w:rsidRDefault="00350C35" w:rsidP="00350C35">
      <w:pPr>
        <w:rPr>
          <w:b/>
          <w:bCs/>
          <w:sz w:val="28"/>
          <w:szCs w:val="28"/>
        </w:rPr>
      </w:pPr>
      <w:bookmarkStart w:id="0" w:name="_Hlk184909665"/>
      <w:r w:rsidRPr="00350C35">
        <w:rPr>
          <w:b/>
          <w:bCs/>
          <w:sz w:val="28"/>
          <w:szCs w:val="28"/>
        </w:rPr>
        <w:t xml:space="preserve">How effectively has the police service adapted to accommodate diversity within the UK? </w:t>
      </w:r>
      <w:bookmarkEnd w:id="0"/>
    </w:p>
    <w:p w14:paraId="41DFBD8F" w14:textId="77777777" w:rsidR="00350C35" w:rsidRPr="00350C35" w:rsidRDefault="00350C35" w:rsidP="00350C35">
      <w:pPr>
        <w:rPr>
          <w:b/>
          <w:bCs/>
          <w:sz w:val="28"/>
          <w:szCs w:val="28"/>
        </w:rPr>
      </w:pPr>
    </w:p>
    <w:p w14:paraId="20774158" w14:textId="77777777" w:rsidR="00350C35" w:rsidRPr="00350C35" w:rsidRDefault="00350C35" w:rsidP="00350C35">
      <w:pPr>
        <w:rPr>
          <w:sz w:val="28"/>
          <w:szCs w:val="28"/>
        </w:rPr>
      </w:pPr>
      <w:r w:rsidRPr="00350C35">
        <w:rPr>
          <w:sz w:val="28"/>
          <w:szCs w:val="28"/>
        </w:rPr>
        <w:t xml:space="preserve">Diversity refers to ‘the characteristics and experiences that define each of us as individuals’ (Kapoor, 2011).  In the United Kingdon, population growth over the last three decades has seen neighbourhoods become more diverse (The Geographical Journal, 2023). Britain is now recognised to have a changing, more multiethnic and more multicultural population (Johnston, Poulsen and Forrest 2013). The change in population makeup undoubtedly has ramifications for the police service who must adapt to accommodate diversity. This essay will aim to review how effectively the police service has done this.  </w:t>
      </w:r>
    </w:p>
    <w:p w14:paraId="1A12A037" w14:textId="77777777" w:rsidR="00350C35" w:rsidRPr="00350C35" w:rsidRDefault="00350C35" w:rsidP="00350C35">
      <w:pPr>
        <w:rPr>
          <w:sz w:val="28"/>
          <w:szCs w:val="28"/>
        </w:rPr>
      </w:pPr>
      <w:r w:rsidRPr="00350C35">
        <w:rPr>
          <w:sz w:val="28"/>
          <w:szCs w:val="28"/>
        </w:rPr>
        <w:t xml:space="preserve">The Equality Act (2010) aims to prevent people receiving unfair treatment due to any protected characteristics, age, disability, gender reassignment, marriage and civil partnership, pregnancy and maternity, race, religion or belief, sex and sexual orientation. Although this legislation is designed to protect these characteristics, the police have a varied history when it comes to their approach and respect for a diverse society. </w:t>
      </w:r>
    </w:p>
    <w:p w14:paraId="57993040" w14:textId="6C404FD1" w:rsidR="00350C35" w:rsidRPr="00350C35" w:rsidRDefault="00350C35" w:rsidP="00350C35">
      <w:pPr>
        <w:rPr>
          <w:sz w:val="28"/>
          <w:szCs w:val="28"/>
        </w:rPr>
      </w:pPr>
      <w:r w:rsidRPr="00350C35">
        <w:rPr>
          <w:sz w:val="28"/>
          <w:szCs w:val="28"/>
        </w:rPr>
        <w:t>There has been a long line of public enquiries focusing on institutional racism within the force. The Brixton Riots in 1981 led to The Scarman report being published. The report concluded that while the force was not institutionally racist, there was “racially prejudiced conduct by some officers" (Leslie, C. 2020).  The report aimed to rebuild the relationship between black communities and police. Arguably the report was ineffective as twelve years later, as after the death of Stephen Lawrence, The Macpherson report found institutional racism within the police (</w:t>
      </w:r>
      <w:r w:rsidR="000E3C2C" w:rsidRPr="000E3C2C">
        <w:rPr>
          <w:sz w:val="28"/>
          <w:szCs w:val="28"/>
        </w:rPr>
        <w:t>Spalek</w:t>
      </w:r>
      <w:r w:rsidR="000E3C2C">
        <w:rPr>
          <w:sz w:val="28"/>
          <w:szCs w:val="28"/>
        </w:rPr>
        <w:t>, 2008</w:t>
      </w:r>
      <w:r w:rsidRPr="00350C35">
        <w:rPr>
          <w:sz w:val="28"/>
          <w:szCs w:val="28"/>
        </w:rPr>
        <w:t xml:space="preserve">). Likewise, homophobia and mistreatment of Lesbian, Gay, Bisexual and Transgender (LGBTQ+) individuals fractured the relationship between communities and the police force. Historic laws criminalising </w:t>
      </w:r>
      <w:r w:rsidRPr="00350C35">
        <w:rPr>
          <w:sz w:val="28"/>
          <w:szCs w:val="28"/>
        </w:rPr>
        <w:lastRenderedPageBreak/>
        <w:t>homosexuality caused long-term mistrust and resentment towards the police (Pickles, 2020).</w:t>
      </w:r>
    </w:p>
    <w:p w14:paraId="2ADCF206" w14:textId="77777777" w:rsidR="00350C35" w:rsidRPr="00350C35" w:rsidRDefault="00350C35" w:rsidP="00350C35">
      <w:pPr>
        <w:rPr>
          <w:sz w:val="28"/>
          <w:szCs w:val="28"/>
        </w:rPr>
      </w:pPr>
      <w:r w:rsidRPr="00350C35">
        <w:rPr>
          <w:sz w:val="28"/>
          <w:szCs w:val="28"/>
        </w:rPr>
        <w:t>Following The Macpherson report in 1999, the police establishment recognised the need to form relationships with minority groups. Independent advisory groups were formed to aid communication and allow the police to consult with minority communities through partner agencies (</w:t>
      </w:r>
      <w:proofErr w:type="spellStart"/>
      <w:r w:rsidRPr="00350C35">
        <w:rPr>
          <w:sz w:val="28"/>
          <w:szCs w:val="28"/>
        </w:rPr>
        <w:t>Cox,C</w:t>
      </w:r>
      <w:proofErr w:type="spellEnd"/>
      <w:r w:rsidRPr="00350C35">
        <w:rPr>
          <w:sz w:val="28"/>
          <w:szCs w:val="28"/>
        </w:rPr>
        <w:t xml:space="preserve">. 2019). The force has also endeavoured to recruit more diverse officers. From 2007 to 2022 police officers from each minority group increased with the largest increase in Asian officers from 1.5% to 3.7%. The ‘Ethnicity facts and figures report’ published by the UK Government (2022), revealed that 91.9% of police officers were white and 8.1% were from other ethnic backgrounds. Considering this clear underrepresentation forces across the country now actively encourage people from minority backgrounds to apply, offering extra support throughout the recruitment phase (South Wales Police, 2025). </w:t>
      </w:r>
    </w:p>
    <w:p w14:paraId="793DA3CC" w14:textId="77777777" w:rsidR="00350C35" w:rsidRPr="00350C35" w:rsidRDefault="00350C35" w:rsidP="00350C35">
      <w:pPr>
        <w:rPr>
          <w:sz w:val="28"/>
          <w:szCs w:val="28"/>
        </w:rPr>
      </w:pPr>
      <w:r w:rsidRPr="00350C35">
        <w:rPr>
          <w:sz w:val="28"/>
          <w:szCs w:val="28"/>
        </w:rPr>
        <w:t>Changes to police training have been made to appeal to minority groups. The ‘Police Education Qualifications Framework’ (PEQF) means that all officers will be educated to a level appropriate for their role (</w:t>
      </w:r>
      <w:proofErr w:type="spellStart"/>
      <w:r w:rsidRPr="00350C35">
        <w:rPr>
          <w:sz w:val="28"/>
          <w:szCs w:val="28"/>
        </w:rPr>
        <w:t>Cox,C</w:t>
      </w:r>
      <w:proofErr w:type="spellEnd"/>
      <w:r w:rsidRPr="00350C35">
        <w:rPr>
          <w:sz w:val="28"/>
          <w:szCs w:val="28"/>
        </w:rPr>
        <w:t xml:space="preserve">. 2019). All training is overseen by The College of policing (COP) (2024), which is an independent public body, responsible for the education, accreditation and professional development of officers. COP use evidence-based research to set standards and help provide better service to the public. During training, all officers and Police Community Support Officers (PCSOs) learn about ‘The code of Ethics’, Standards of professional behaviour and ‘The Police Principles’. These standards are set and must be adhered to by officers on and off duty. Most relevant in this case is No 3 from ‘Standards of professional behaviour’ which states “Equality and Diversity – Police Officers act with fairness and impartiality. They do not discriminate unlawfully or unfairly” (Blackstone’s, 2023 p. 78).  </w:t>
      </w:r>
    </w:p>
    <w:p w14:paraId="4CC1BE39" w14:textId="77777777" w:rsidR="00350C35" w:rsidRPr="00350C35" w:rsidRDefault="00350C35" w:rsidP="00350C35">
      <w:pPr>
        <w:rPr>
          <w:sz w:val="28"/>
          <w:szCs w:val="28"/>
        </w:rPr>
      </w:pPr>
      <w:r w:rsidRPr="00350C35">
        <w:rPr>
          <w:sz w:val="28"/>
          <w:szCs w:val="28"/>
        </w:rPr>
        <w:t>Despite changes in training, standards, recruitment and work with partner agencies to build a more diverse police force, on 3</w:t>
      </w:r>
      <w:r w:rsidRPr="00350C35">
        <w:rPr>
          <w:sz w:val="28"/>
          <w:szCs w:val="28"/>
          <w:vertAlign w:val="superscript"/>
        </w:rPr>
        <w:t>rd</w:t>
      </w:r>
      <w:r w:rsidRPr="00350C35">
        <w:rPr>
          <w:sz w:val="28"/>
          <w:szCs w:val="28"/>
        </w:rPr>
        <w:t xml:space="preserve"> March 2021 Sarah Everard was murdered by Wayne Couzens, a member of the Metropolitan Police Force (MPF) as she walked home from a friend’s house. Couzens’ actions catastrophically impacted public trust in the police (Crime and investigation, 2025). Research commissioned by The End Violence Against Women Coalition (2021) shows that out of a sample of 1699 adults in the </w:t>
      </w:r>
      <w:r w:rsidRPr="00350C35">
        <w:rPr>
          <w:sz w:val="28"/>
          <w:szCs w:val="28"/>
        </w:rPr>
        <w:lastRenderedPageBreak/>
        <w:t xml:space="preserve">UK, 47% of women and 40% of men reported declining trust in the police following the grotesque murder of Everard. </w:t>
      </w:r>
    </w:p>
    <w:p w14:paraId="3FAB66F3" w14:textId="77777777" w:rsidR="00350C35" w:rsidRPr="00350C35" w:rsidRDefault="00350C35" w:rsidP="00350C35">
      <w:pPr>
        <w:rPr>
          <w:sz w:val="28"/>
          <w:szCs w:val="28"/>
        </w:rPr>
      </w:pPr>
      <w:r w:rsidRPr="00350C35">
        <w:rPr>
          <w:sz w:val="28"/>
          <w:szCs w:val="28"/>
        </w:rPr>
        <w:t xml:space="preserve">As a result of Sarah Everard’s murder, ‘An Independent Review into the Standards of Behaviour and Internal Culture of the Metropolitan Police Service’ was carried out by Baroness Casey (2023). The findings of the review highlighted many failings around how the MPF has responded to diversity. The review spotlighted ‘institutional homophobia, misogyny and racism’ directed both to the public but also internally at officers and staff through biased processes and attitudes. Similarly, externally minority communities receive ‘unfair outcomes due to being under protected and over policed’ by the MPF (Casey, 2023). </w:t>
      </w:r>
    </w:p>
    <w:p w14:paraId="2D9954BE" w14:textId="77777777" w:rsidR="00350C35" w:rsidRPr="00350C35" w:rsidRDefault="00350C35" w:rsidP="00350C35">
      <w:pPr>
        <w:rPr>
          <w:sz w:val="28"/>
          <w:szCs w:val="28"/>
        </w:rPr>
      </w:pPr>
      <w:r w:rsidRPr="00350C35">
        <w:rPr>
          <w:sz w:val="28"/>
          <w:szCs w:val="28"/>
        </w:rPr>
        <w:t xml:space="preserve">Further to the Casey review, several other UK forces have recognised institutional racism (UK Parliament, 2021). Gavin Stephenson, the leader of the ‘British Police Chiefs Organisation’ stating that his opinion is that ‘discrimination in policing operated at an institutional level’ (Dodd, 2024). Accepting that there are problems could be seen as the key to resolving institutional, systemic issues, however not all forces believe that they have problems with racism or diversity (Thompson, 2023). </w:t>
      </w:r>
    </w:p>
    <w:p w14:paraId="6E54B60B" w14:textId="77777777" w:rsidR="00350C35" w:rsidRPr="00350C35" w:rsidRDefault="00350C35" w:rsidP="00350C35">
      <w:pPr>
        <w:rPr>
          <w:sz w:val="28"/>
          <w:szCs w:val="28"/>
        </w:rPr>
      </w:pPr>
      <w:r w:rsidRPr="00350C35">
        <w:rPr>
          <w:sz w:val="28"/>
          <w:szCs w:val="28"/>
        </w:rPr>
        <w:t xml:space="preserve">Post Machperson, events such as Brexit coupling with a growth in isolationism have stalled and in many cases reversed diversity in society and policing (Basu, 2024). Changing practices, codes, training and recruitment in policing has been done in an effort to improve diversity. Nevertheless, the initiatives in place are ineffective with a low percentage of people from minority groups being recruited into the force. Respected reports evaluating prejudice within the police as well as the widespread, long-term fall-out from Sarah Everard’s murder, demonstrate that Police Forces have not adapted proactively or positively to accommodate diversity. </w:t>
      </w:r>
    </w:p>
    <w:p w14:paraId="1BE3E9E9" w14:textId="4A1D2336" w:rsidR="001A2243" w:rsidRPr="00CB3B59" w:rsidRDefault="00CB3B59" w:rsidP="009E4D0D">
      <w:pPr>
        <w:ind w:right="531"/>
        <w:jc w:val="both"/>
        <w:rPr>
          <w:rFonts w:cs="Arial"/>
          <w:b/>
          <w:bCs/>
          <w:sz w:val="28"/>
          <w:szCs w:val="28"/>
        </w:rPr>
      </w:pPr>
      <w:r w:rsidRPr="00CB3B59">
        <w:rPr>
          <w:rFonts w:cs="Arial"/>
          <w:b/>
          <w:bCs/>
          <w:sz w:val="28"/>
          <w:szCs w:val="28"/>
        </w:rPr>
        <w:t>Word Count</w:t>
      </w:r>
      <w:r>
        <w:rPr>
          <w:rFonts w:cs="Arial"/>
          <w:b/>
          <w:bCs/>
          <w:sz w:val="28"/>
          <w:szCs w:val="28"/>
        </w:rPr>
        <w:t>:</w:t>
      </w:r>
      <w:r w:rsidRPr="00CB3B59">
        <w:rPr>
          <w:rFonts w:cs="Arial"/>
          <w:b/>
          <w:bCs/>
          <w:sz w:val="28"/>
          <w:szCs w:val="28"/>
        </w:rPr>
        <w:t xml:space="preserve"> 910 </w:t>
      </w:r>
    </w:p>
    <w:p w14:paraId="5922D0FA" w14:textId="77777777" w:rsidR="00350C35" w:rsidRPr="00350C35" w:rsidRDefault="00350C35" w:rsidP="009D105B">
      <w:pPr>
        <w:spacing w:line="257" w:lineRule="auto"/>
        <w:ind w:right="531"/>
        <w:rPr>
          <w:rFonts w:cs="Arial"/>
          <w:b/>
          <w:bCs/>
          <w:sz w:val="28"/>
          <w:szCs w:val="28"/>
        </w:rPr>
      </w:pPr>
      <w:bookmarkStart w:id="1" w:name="_Hlk197363318"/>
    </w:p>
    <w:p w14:paraId="3BE43DF6" w14:textId="77777777" w:rsidR="00350C35" w:rsidRPr="00350C35" w:rsidRDefault="00350C35" w:rsidP="009D105B">
      <w:pPr>
        <w:spacing w:line="257" w:lineRule="auto"/>
        <w:ind w:right="531"/>
        <w:rPr>
          <w:rFonts w:cs="Arial"/>
          <w:b/>
          <w:bCs/>
          <w:sz w:val="28"/>
          <w:szCs w:val="28"/>
        </w:rPr>
      </w:pPr>
    </w:p>
    <w:p w14:paraId="68E6F346" w14:textId="77777777" w:rsidR="00350C35" w:rsidRPr="00350C35" w:rsidRDefault="00350C35" w:rsidP="009D105B">
      <w:pPr>
        <w:spacing w:line="257" w:lineRule="auto"/>
        <w:ind w:right="531"/>
        <w:rPr>
          <w:rFonts w:cs="Arial"/>
          <w:b/>
          <w:bCs/>
          <w:sz w:val="28"/>
          <w:szCs w:val="28"/>
        </w:rPr>
      </w:pPr>
    </w:p>
    <w:p w14:paraId="1AE8ED2C" w14:textId="77777777" w:rsidR="00350C35" w:rsidRPr="00350C35" w:rsidRDefault="00350C35" w:rsidP="009D105B">
      <w:pPr>
        <w:spacing w:line="257" w:lineRule="auto"/>
        <w:ind w:right="531"/>
        <w:rPr>
          <w:rFonts w:cs="Arial"/>
          <w:b/>
          <w:bCs/>
          <w:sz w:val="28"/>
          <w:szCs w:val="28"/>
        </w:rPr>
      </w:pPr>
    </w:p>
    <w:p w14:paraId="1188C07D" w14:textId="77777777" w:rsidR="00350C35" w:rsidRPr="00350C35" w:rsidRDefault="00350C35" w:rsidP="009D105B">
      <w:pPr>
        <w:spacing w:line="257" w:lineRule="auto"/>
        <w:ind w:right="531"/>
        <w:rPr>
          <w:rFonts w:cs="Arial"/>
          <w:b/>
          <w:bCs/>
          <w:sz w:val="28"/>
          <w:szCs w:val="28"/>
        </w:rPr>
      </w:pPr>
    </w:p>
    <w:p w14:paraId="17CF06BB" w14:textId="77777777" w:rsidR="00350C35" w:rsidRPr="00350C35" w:rsidRDefault="00350C35" w:rsidP="00350C35">
      <w:pPr>
        <w:rPr>
          <w:b/>
          <w:bCs/>
          <w:sz w:val="28"/>
          <w:szCs w:val="28"/>
          <w:u w:val="single"/>
        </w:rPr>
      </w:pPr>
      <w:r w:rsidRPr="00350C35">
        <w:rPr>
          <w:b/>
          <w:bCs/>
          <w:sz w:val="28"/>
          <w:szCs w:val="28"/>
          <w:u w:val="single"/>
        </w:rPr>
        <w:lastRenderedPageBreak/>
        <w:t xml:space="preserve">Essay 2 </w:t>
      </w:r>
    </w:p>
    <w:p w14:paraId="7C41F92A" w14:textId="77777777" w:rsidR="00350C35" w:rsidRPr="00350C35" w:rsidRDefault="00350C35" w:rsidP="00350C35">
      <w:pPr>
        <w:spacing w:after="0" w:line="257" w:lineRule="auto"/>
        <w:ind w:right="531"/>
        <w:rPr>
          <w:rFonts w:eastAsia="Calibri" w:cs="Arial"/>
          <w:b/>
          <w:bCs/>
          <w:sz w:val="28"/>
          <w:szCs w:val="28"/>
        </w:rPr>
      </w:pPr>
      <w:r w:rsidRPr="00350C35">
        <w:rPr>
          <w:rFonts w:eastAsia="Calibri" w:cs="Arial"/>
          <w:b/>
          <w:bCs/>
          <w:sz w:val="28"/>
          <w:szCs w:val="28"/>
        </w:rPr>
        <w:t>Response policing – Why is it important to manage mental wellbeing in policing? What can be the consequences if mental wellbeing is not managed appropriately?</w:t>
      </w:r>
    </w:p>
    <w:p w14:paraId="7574E893" w14:textId="77777777" w:rsidR="00350C35" w:rsidRPr="00350C35" w:rsidRDefault="00350C35" w:rsidP="00350C35">
      <w:pPr>
        <w:spacing w:line="257" w:lineRule="auto"/>
        <w:ind w:right="531"/>
        <w:rPr>
          <w:rFonts w:eastAsia="Calibri" w:cs="Arial"/>
          <w:b/>
          <w:bCs/>
          <w:sz w:val="28"/>
          <w:szCs w:val="28"/>
        </w:rPr>
      </w:pPr>
    </w:p>
    <w:p w14:paraId="210B46C4" w14:textId="77777777" w:rsidR="00350C35" w:rsidRPr="00350C35" w:rsidRDefault="00350C35" w:rsidP="00350C35">
      <w:pPr>
        <w:rPr>
          <w:sz w:val="28"/>
          <w:szCs w:val="28"/>
        </w:rPr>
      </w:pPr>
      <w:r w:rsidRPr="00350C35">
        <w:rPr>
          <w:sz w:val="28"/>
          <w:szCs w:val="28"/>
        </w:rPr>
        <w:t xml:space="preserve">According to a report published by the Metropolitan Police (2024), 30% of all sick days taken by Police Officers in 2023 were due to mental health problems. This is an increase from 20.4% in 2019. There are many reasons why it is crucial Officers manage their mental wellbeing. This essay will explore the contributing factors linked to rising mental health concerns within UK police forces. Equally it will discuss the potential consequences for Officers, the force as a whole and the wider community. </w:t>
      </w:r>
    </w:p>
    <w:p w14:paraId="48A68E51" w14:textId="77777777" w:rsidR="00350C35" w:rsidRPr="00350C35" w:rsidRDefault="00350C35" w:rsidP="00350C35">
      <w:pPr>
        <w:rPr>
          <w:sz w:val="28"/>
          <w:szCs w:val="28"/>
        </w:rPr>
      </w:pPr>
      <w:r w:rsidRPr="00350C35">
        <w:rPr>
          <w:sz w:val="28"/>
          <w:szCs w:val="28"/>
        </w:rPr>
        <w:t xml:space="preserve">A Police Officer is repeatedly placed in high risk, high stress situations. Encountering danger is considered part of the job (Velazquez and Hernandez, 2018).  This consistent exposure to high levels of stress can lead to serious mental health problems (Mental Health Foundation, 2018). A 2018 study involving 16,857 police officers and staff found that 9/10 respondents had been “exposed to trauma”. With 1 in 5 of these experiencing symptoms of PTSD or complex PTSD within the 4 Weeks of the incident (Police Care UK, 2018). The relationship between repeated traumatic encounters and mental health impact cannot be understated. </w:t>
      </w:r>
    </w:p>
    <w:p w14:paraId="38AE8D59" w14:textId="77777777" w:rsidR="00350C35" w:rsidRPr="00350C35" w:rsidRDefault="00350C35" w:rsidP="00350C35">
      <w:pPr>
        <w:rPr>
          <w:sz w:val="28"/>
          <w:szCs w:val="28"/>
        </w:rPr>
      </w:pPr>
      <w:r w:rsidRPr="00350C35">
        <w:rPr>
          <w:sz w:val="28"/>
          <w:szCs w:val="28"/>
        </w:rPr>
        <w:t xml:space="preserve">Well-being can also be impacted by working irregular shift patterns which can have a detrimental effect particularly on sleep and mental health (Harris, et al, 2024). Furthermore, it has been recognised that shift work leads to increased cortisol levels (Millard, 2020). Subsequently, shift working patterns, long and irregular hours mean Officers often eat poorly (Allen, Safi and Deb, 2022). A 2024 study by </w:t>
      </w:r>
      <w:proofErr w:type="spellStart"/>
      <w:r w:rsidRPr="00350C35">
        <w:rPr>
          <w:sz w:val="28"/>
          <w:szCs w:val="28"/>
        </w:rPr>
        <w:t>Hepsomali</w:t>
      </w:r>
      <w:proofErr w:type="spellEnd"/>
      <w:r w:rsidRPr="00350C35">
        <w:rPr>
          <w:sz w:val="28"/>
          <w:szCs w:val="28"/>
        </w:rPr>
        <w:t xml:space="preserve"> et al, linked poor-quality diet with brain changes connected to depression and anxiety, this is yet another example of the Officer lifestyle potentially negatively impacting mental health. </w:t>
      </w:r>
    </w:p>
    <w:p w14:paraId="1B715398" w14:textId="77777777" w:rsidR="00350C35" w:rsidRPr="00350C35" w:rsidRDefault="00350C35" w:rsidP="00350C35">
      <w:pPr>
        <w:rPr>
          <w:sz w:val="28"/>
          <w:szCs w:val="28"/>
        </w:rPr>
      </w:pPr>
      <w:r w:rsidRPr="00350C35">
        <w:rPr>
          <w:sz w:val="28"/>
          <w:szCs w:val="28"/>
        </w:rPr>
        <w:t>The consequences of not managing mental health and well-being can be far reaching and significant for serving officers. Research suggests that burnout, anxiety, depression, PTSD and familial issues are some of the challenges that Officers face (</w:t>
      </w:r>
      <w:proofErr w:type="spellStart"/>
      <w:r w:rsidRPr="00350C35">
        <w:rPr>
          <w:sz w:val="28"/>
          <w:szCs w:val="28"/>
        </w:rPr>
        <w:t>Demou</w:t>
      </w:r>
      <w:proofErr w:type="spellEnd"/>
      <w:r w:rsidRPr="00350C35">
        <w:rPr>
          <w:sz w:val="28"/>
          <w:szCs w:val="28"/>
        </w:rPr>
        <w:t xml:space="preserve">, Hale and Hunt, 2020). Throughout the UK most police forces have implemented Trauma Risk Management </w:t>
      </w:r>
      <w:r w:rsidRPr="00350C35">
        <w:rPr>
          <w:sz w:val="28"/>
          <w:szCs w:val="28"/>
        </w:rPr>
        <w:lastRenderedPageBreak/>
        <w:t>(</w:t>
      </w:r>
      <w:proofErr w:type="spellStart"/>
      <w:r w:rsidRPr="00350C35">
        <w:rPr>
          <w:sz w:val="28"/>
          <w:szCs w:val="28"/>
        </w:rPr>
        <w:t>TRiM</w:t>
      </w:r>
      <w:proofErr w:type="spellEnd"/>
      <w:r w:rsidRPr="00350C35">
        <w:rPr>
          <w:sz w:val="28"/>
          <w:szCs w:val="28"/>
        </w:rPr>
        <w:t xml:space="preserve">) to tackle mental health issues. </w:t>
      </w:r>
      <w:proofErr w:type="spellStart"/>
      <w:r w:rsidRPr="00350C35">
        <w:rPr>
          <w:sz w:val="28"/>
          <w:szCs w:val="28"/>
        </w:rPr>
        <w:t>TRiM</w:t>
      </w:r>
      <w:proofErr w:type="spellEnd"/>
      <w:r w:rsidRPr="00350C35">
        <w:rPr>
          <w:sz w:val="28"/>
          <w:szCs w:val="28"/>
        </w:rPr>
        <w:t xml:space="preserve"> is a service where volunteers assess peers that have been exposed to traumatic incidents to see if they are at risk of mental health (Auth, 2022). However, for this to be a success Officers must be open to engaging with services.</w:t>
      </w:r>
    </w:p>
    <w:p w14:paraId="65A0B3E6" w14:textId="77777777" w:rsidR="00350C35" w:rsidRPr="00350C35" w:rsidRDefault="00350C35" w:rsidP="00350C35">
      <w:pPr>
        <w:rPr>
          <w:sz w:val="28"/>
          <w:szCs w:val="28"/>
        </w:rPr>
      </w:pPr>
      <w:r w:rsidRPr="00350C35">
        <w:rPr>
          <w:sz w:val="28"/>
          <w:szCs w:val="28"/>
        </w:rPr>
        <w:t>Historically, within policing even raising mental health issues has been difficult due to the prevalence of stigma surrounding the topic. Discussing mental health was seen as “career destroying” (Bell and Eski, 2015). Public perception also impacts the stigma surrounding police officer’s mental health. Officers uphold the law and historically have been viewed as “superhuman” individuals expected to adhere to a superior standard versus the general public. This perception may have exacerbated an already tight-lipped, culture within policing. Equally, outdated ideas surrounding masculinity and unrealistic ideals have led to the suppression and denial of emotions (Velaquez and Hernandez, 2018). Mental illness is one of the most stigmatised topics in policing and wider society (</w:t>
      </w:r>
      <w:proofErr w:type="spellStart"/>
      <w:r w:rsidRPr="00350C35">
        <w:rPr>
          <w:sz w:val="28"/>
          <w:szCs w:val="28"/>
        </w:rPr>
        <w:t>Hakik</w:t>
      </w:r>
      <w:proofErr w:type="spellEnd"/>
      <w:r w:rsidRPr="00350C35">
        <w:rPr>
          <w:sz w:val="28"/>
          <w:szCs w:val="28"/>
        </w:rPr>
        <w:t xml:space="preserve"> and Langlois, 2020). While initiatives such as </w:t>
      </w:r>
      <w:proofErr w:type="spellStart"/>
      <w:r w:rsidRPr="00350C35">
        <w:rPr>
          <w:sz w:val="28"/>
          <w:szCs w:val="28"/>
        </w:rPr>
        <w:t>TRiM</w:t>
      </w:r>
      <w:proofErr w:type="spellEnd"/>
      <w:r w:rsidRPr="00350C35">
        <w:rPr>
          <w:sz w:val="28"/>
          <w:szCs w:val="28"/>
        </w:rPr>
        <w:t xml:space="preserve"> were implemented to combat the rising numbers of mental health concerns amongst officers, Auth et al (2022) concluded Emergency Workers found informal support from trusted colleagues more beneficial than trauma interventions such as </w:t>
      </w:r>
      <w:proofErr w:type="spellStart"/>
      <w:r w:rsidRPr="00350C35">
        <w:rPr>
          <w:sz w:val="28"/>
          <w:szCs w:val="28"/>
        </w:rPr>
        <w:t>TRiM</w:t>
      </w:r>
      <w:proofErr w:type="spellEnd"/>
      <w:r w:rsidRPr="00350C35">
        <w:rPr>
          <w:sz w:val="28"/>
          <w:szCs w:val="28"/>
        </w:rPr>
        <w:t xml:space="preserve">. This suggests the unique camaraderie and understanding between serving police officers may be more beneficial than organised, official schemes. </w:t>
      </w:r>
    </w:p>
    <w:p w14:paraId="61227BE8" w14:textId="77777777" w:rsidR="00350C35" w:rsidRPr="00350C35" w:rsidRDefault="00350C35" w:rsidP="00350C35">
      <w:pPr>
        <w:rPr>
          <w:sz w:val="28"/>
          <w:szCs w:val="28"/>
        </w:rPr>
      </w:pPr>
      <w:r w:rsidRPr="00350C35">
        <w:rPr>
          <w:sz w:val="28"/>
          <w:szCs w:val="28"/>
        </w:rPr>
        <w:t xml:space="preserve">The consequences of not managing Mental Health are potentially devastating with 6,069 reported suicides in England and Wales in the year 2023. Males accounted for around three quarters of the total (Office for National Statistics, 2024). In 2024 in England and Wales 65% of serving officers were male (Allen and Wong, 2024). This is relevant as males aged 35-55 are recognised as the most at risk of suicide. Some of the reasons for this include the “desire to be perfect”, feeling they are not meeting a “masculine gold standard”, inability to process and talk about emotions and misusing drink as a stress response (Samaritans 2012). The idea of an unobtainable gold standard is concerning when specifically discussing police officers, as impossible standards contribute to the stigma surrounding mental health topics. A 2020 study found that serving officers who had attended a traumatic incident within the previous six months were twice as likely to suffer with anxiety or depression and six times as likely to suffer with PTSD (Sharon et al, 2020). </w:t>
      </w:r>
    </w:p>
    <w:p w14:paraId="02F86F11" w14:textId="77777777" w:rsidR="00350C35" w:rsidRPr="00350C35" w:rsidRDefault="00350C35" w:rsidP="00350C35">
      <w:pPr>
        <w:rPr>
          <w:sz w:val="28"/>
          <w:szCs w:val="28"/>
        </w:rPr>
      </w:pPr>
      <w:r w:rsidRPr="00350C35">
        <w:rPr>
          <w:sz w:val="28"/>
          <w:szCs w:val="28"/>
        </w:rPr>
        <w:lastRenderedPageBreak/>
        <w:t>Suffering long term with PTSD can have a significant impact on an officer’s ability to do their job adequately. Symptoms include becoming “easily upset or angry”, “irritability or aggressive behaviour” and “finding it hard to concentrate” (Mind, 2021). This is uniquely significant in the case of a serving officer, due to the specific and unique nature of their job. Police officers regularly encounter and are expected to deal with challenging and often stressful situations (</w:t>
      </w:r>
      <w:proofErr w:type="spellStart"/>
      <w:r w:rsidRPr="00350C35">
        <w:rPr>
          <w:sz w:val="28"/>
          <w:szCs w:val="28"/>
        </w:rPr>
        <w:t>Demou</w:t>
      </w:r>
      <w:proofErr w:type="spellEnd"/>
      <w:r w:rsidRPr="00350C35">
        <w:rPr>
          <w:sz w:val="28"/>
          <w:szCs w:val="28"/>
        </w:rPr>
        <w:t xml:space="preserve">, Hale and Hunt, 2020). If an officer is already agitated or angry as a result of untreated or unmanaged PTSD, it stands to reason that they are ill equipped to perform their duties, effectively manage volatile persons and serve the public. </w:t>
      </w:r>
    </w:p>
    <w:p w14:paraId="0FC9955A" w14:textId="77777777" w:rsidR="00350C35" w:rsidRPr="00350C35" w:rsidRDefault="00350C35" w:rsidP="00350C35">
      <w:pPr>
        <w:rPr>
          <w:sz w:val="28"/>
          <w:szCs w:val="28"/>
        </w:rPr>
      </w:pPr>
      <w:r w:rsidRPr="00350C35">
        <w:rPr>
          <w:sz w:val="28"/>
          <w:szCs w:val="28"/>
        </w:rPr>
        <w:t>Overall, public attitudes towards mental health have improved over time, particularly with wide-scale awareness campaigns working to challenge historic stigmas (Henderson, Potts and Robinson, 2020). This piece has explored the factors that contribute to poor mental health of serving officers and the consequences of unmanaged mental health problems. Effectively and loudly recognising the importance of this wider topic must come from those in leadership positions. For widespread change within the Force, must see their superiors advocating for their mental health (Edwards, 2023).</w:t>
      </w:r>
    </w:p>
    <w:p w14:paraId="43735DB0" w14:textId="77777777" w:rsidR="00350C35" w:rsidRPr="00350C35" w:rsidRDefault="00350C35" w:rsidP="00350C35">
      <w:pPr>
        <w:rPr>
          <w:sz w:val="28"/>
          <w:szCs w:val="28"/>
        </w:rPr>
      </w:pPr>
      <w:r w:rsidRPr="00350C35">
        <w:rPr>
          <w:sz w:val="28"/>
          <w:szCs w:val="28"/>
        </w:rPr>
        <w:t>In addition to the role those in management positions must play, long term, serving officers themselves must be conscious of their uniquely high-risk position when it comes to mental health. Their exposure to traumatic incidents as well as the anti-social hours they work, place them in a volatile situation. They must advocate for themselves, their colleagues and be able to rely on supervisors who recognise their position and the elevated risk factors facing serving officers.</w:t>
      </w:r>
    </w:p>
    <w:p w14:paraId="3BDDF810" w14:textId="54856D11" w:rsidR="00350C35" w:rsidRPr="00CB3B59" w:rsidRDefault="00CB3B59" w:rsidP="00350C35">
      <w:pPr>
        <w:rPr>
          <w:b/>
          <w:bCs/>
          <w:sz w:val="28"/>
          <w:szCs w:val="28"/>
        </w:rPr>
      </w:pPr>
      <w:r w:rsidRPr="00CB3B59">
        <w:rPr>
          <w:b/>
          <w:bCs/>
          <w:sz w:val="28"/>
          <w:szCs w:val="28"/>
        </w:rPr>
        <w:t>Word Count</w:t>
      </w:r>
      <w:r>
        <w:rPr>
          <w:b/>
          <w:bCs/>
          <w:sz w:val="28"/>
          <w:szCs w:val="28"/>
        </w:rPr>
        <w:t>:</w:t>
      </w:r>
      <w:r w:rsidRPr="00CB3B59">
        <w:rPr>
          <w:b/>
          <w:bCs/>
          <w:sz w:val="28"/>
          <w:szCs w:val="28"/>
        </w:rPr>
        <w:t xml:space="preserve"> 990</w:t>
      </w:r>
    </w:p>
    <w:p w14:paraId="19C78F3E" w14:textId="77777777" w:rsidR="00350C35" w:rsidRPr="00350C35" w:rsidRDefault="00350C35" w:rsidP="009D105B">
      <w:pPr>
        <w:spacing w:line="257" w:lineRule="auto"/>
        <w:ind w:right="531"/>
        <w:rPr>
          <w:rFonts w:cs="Arial"/>
          <w:b/>
          <w:bCs/>
          <w:sz w:val="28"/>
          <w:szCs w:val="28"/>
        </w:rPr>
      </w:pPr>
    </w:p>
    <w:p w14:paraId="3C25F19F" w14:textId="77777777" w:rsidR="00350C35" w:rsidRPr="00350C35" w:rsidRDefault="00350C35" w:rsidP="009D105B">
      <w:pPr>
        <w:spacing w:line="257" w:lineRule="auto"/>
        <w:ind w:right="531"/>
        <w:rPr>
          <w:rFonts w:cs="Arial"/>
          <w:b/>
          <w:bCs/>
          <w:sz w:val="28"/>
          <w:szCs w:val="28"/>
        </w:rPr>
      </w:pPr>
    </w:p>
    <w:p w14:paraId="2BE2C57A" w14:textId="77777777" w:rsidR="00350C35" w:rsidRPr="00350C35" w:rsidRDefault="00350C35" w:rsidP="009D105B">
      <w:pPr>
        <w:spacing w:line="257" w:lineRule="auto"/>
        <w:ind w:right="531"/>
        <w:rPr>
          <w:rFonts w:cs="Arial"/>
          <w:b/>
          <w:bCs/>
          <w:sz w:val="28"/>
          <w:szCs w:val="28"/>
        </w:rPr>
      </w:pPr>
    </w:p>
    <w:p w14:paraId="6E930D15" w14:textId="77777777" w:rsidR="00350C35" w:rsidRPr="00350C35" w:rsidRDefault="00350C35" w:rsidP="009D105B">
      <w:pPr>
        <w:spacing w:line="257" w:lineRule="auto"/>
        <w:ind w:right="531"/>
        <w:rPr>
          <w:rFonts w:cs="Arial"/>
          <w:b/>
          <w:bCs/>
          <w:sz w:val="28"/>
          <w:szCs w:val="28"/>
        </w:rPr>
      </w:pPr>
    </w:p>
    <w:p w14:paraId="69E42B24" w14:textId="77777777" w:rsidR="00350C35" w:rsidRPr="00350C35" w:rsidRDefault="00350C35" w:rsidP="009D105B">
      <w:pPr>
        <w:spacing w:line="257" w:lineRule="auto"/>
        <w:ind w:right="531"/>
        <w:rPr>
          <w:rFonts w:cs="Arial"/>
          <w:b/>
          <w:bCs/>
          <w:sz w:val="28"/>
          <w:szCs w:val="28"/>
        </w:rPr>
      </w:pPr>
    </w:p>
    <w:p w14:paraId="087E1EC0" w14:textId="77777777" w:rsidR="00350C35" w:rsidRPr="00350C35" w:rsidRDefault="00350C35" w:rsidP="009D105B">
      <w:pPr>
        <w:spacing w:line="257" w:lineRule="auto"/>
        <w:ind w:right="531"/>
        <w:rPr>
          <w:rFonts w:cs="Arial"/>
          <w:b/>
          <w:bCs/>
          <w:sz w:val="28"/>
          <w:szCs w:val="28"/>
        </w:rPr>
      </w:pPr>
    </w:p>
    <w:p w14:paraId="6FCE8C2F" w14:textId="77777777" w:rsidR="00350C35" w:rsidRPr="00350C35" w:rsidRDefault="00350C35" w:rsidP="00350C35">
      <w:pPr>
        <w:ind w:right="531"/>
        <w:jc w:val="both"/>
        <w:rPr>
          <w:rFonts w:cs="Arial"/>
          <w:b/>
          <w:bCs/>
          <w:sz w:val="28"/>
          <w:szCs w:val="28"/>
          <w:u w:val="single"/>
        </w:rPr>
      </w:pPr>
      <w:r w:rsidRPr="00350C35">
        <w:rPr>
          <w:rFonts w:cs="Arial"/>
          <w:b/>
          <w:bCs/>
          <w:sz w:val="28"/>
          <w:szCs w:val="28"/>
          <w:u w:val="single"/>
        </w:rPr>
        <w:lastRenderedPageBreak/>
        <w:t>Essay three</w:t>
      </w:r>
    </w:p>
    <w:p w14:paraId="61E4E135" w14:textId="77777777" w:rsidR="00350C35" w:rsidRPr="00350C35" w:rsidRDefault="00350C35" w:rsidP="00350C35">
      <w:pPr>
        <w:spacing w:line="257" w:lineRule="auto"/>
        <w:ind w:right="531"/>
        <w:rPr>
          <w:rFonts w:eastAsia="Calibri" w:cs="Arial"/>
          <w:b/>
          <w:bCs/>
          <w:sz w:val="28"/>
          <w:szCs w:val="28"/>
        </w:rPr>
      </w:pPr>
      <w:r w:rsidRPr="00350C35">
        <w:rPr>
          <w:rFonts w:eastAsia="Calibri" w:cs="Arial"/>
          <w:b/>
          <w:bCs/>
          <w:sz w:val="28"/>
          <w:szCs w:val="28"/>
        </w:rPr>
        <w:t>How might personal attitudes, values and bias impact upon the effective investigation of volume crime?</w:t>
      </w:r>
    </w:p>
    <w:p w14:paraId="76C65DE1" w14:textId="77777777" w:rsidR="00350C35" w:rsidRDefault="00350C35" w:rsidP="00350C35">
      <w:pPr>
        <w:jc w:val="both"/>
        <w:rPr>
          <w:rFonts w:eastAsia="Calibri" w:cs="Arial"/>
          <w:b/>
          <w:bCs/>
          <w:sz w:val="28"/>
          <w:szCs w:val="28"/>
        </w:rPr>
      </w:pPr>
    </w:p>
    <w:p w14:paraId="3E04CD38" w14:textId="3F77ECDB" w:rsidR="00350C35" w:rsidRPr="00350C35" w:rsidRDefault="00350C35" w:rsidP="00350C35">
      <w:pPr>
        <w:jc w:val="both"/>
        <w:rPr>
          <w:sz w:val="28"/>
          <w:szCs w:val="28"/>
        </w:rPr>
      </w:pPr>
      <w:r w:rsidRPr="00350C35">
        <w:rPr>
          <w:sz w:val="28"/>
          <w:szCs w:val="28"/>
        </w:rPr>
        <w:t xml:space="preserve">Volume crimes are offences that significantly impact the community. Due to the number of these offences reported, public perception of the local police force could be jeopardised if they are not effectively investigated (College of Policing, 2018). Officers in the United Kingdom are required to investigation reported offences without bias and to follow all relevant leads without prejudice (Stainton and Ewin, 2022). Biases are when individuals are stereotyped or generalised based on certain characteristics such as race, religion, sexuality (Fridell, 2016). Biases can lead to unconscious decisions or judgements based on previous experiences, thought patterns and interpretations (Imperial, 2025). This essay will explore the different ways bias, attitudes and values may impact upon the effective investigation of volume crime. </w:t>
      </w:r>
    </w:p>
    <w:p w14:paraId="5941AB58" w14:textId="77777777" w:rsidR="00350C35" w:rsidRPr="00350C35" w:rsidRDefault="00350C35" w:rsidP="00350C35">
      <w:pPr>
        <w:rPr>
          <w:sz w:val="28"/>
          <w:szCs w:val="28"/>
        </w:rPr>
      </w:pPr>
      <w:r w:rsidRPr="00350C35">
        <w:rPr>
          <w:sz w:val="28"/>
          <w:szCs w:val="28"/>
        </w:rPr>
        <w:t>An Officers first interaction with an offence is often with the victim who has reported the crime. According to the</w:t>
      </w:r>
      <w:r w:rsidRPr="00350C35">
        <w:rPr>
          <w:i/>
          <w:iCs/>
          <w:sz w:val="28"/>
          <w:szCs w:val="28"/>
        </w:rPr>
        <w:t xml:space="preserve"> Code of Practice for Victims</w:t>
      </w:r>
      <w:r w:rsidRPr="00350C35">
        <w:rPr>
          <w:sz w:val="28"/>
          <w:szCs w:val="28"/>
        </w:rPr>
        <w:t xml:space="preserve"> </w:t>
      </w:r>
      <w:r w:rsidRPr="00350C35">
        <w:rPr>
          <w:i/>
          <w:iCs/>
          <w:sz w:val="28"/>
          <w:szCs w:val="28"/>
        </w:rPr>
        <w:t xml:space="preserve">of Crime 2005, </w:t>
      </w:r>
      <w:r w:rsidRPr="00350C35">
        <w:rPr>
          <w:sz w:val="28"/>
          <w:szCs w:val="28"/>
        </w:rPr>
        <w:t xml:space="preserve">victims have the right to respectful and sensitive treatment from all sections of the Criminal Justice System. However, Officer’s bias and prejudices may negatively impact both the victim’s experience with the Police and also the quality of the criminal investigation. Historically, there have been many reports of institutional racism within the police, with The Macpherson Report the </w:t>
      </w:r>
      <w:r w:rsidRPr="00350C35">
        <w:rPr>
          <w:i/>
          <w:iCs/>
          <w:sz w:val="28"/>
          <w:szCs w:val="28"/>
        </w:rPr>
        <w:t>Home Office1999</w:t>
      </w:r>
      <w:r w:rsidRPr="00350C35">
        <w:rPr>
          <w:sz w:val="28"/>
          <w:szCs w:val="28"/>
        </w:rPr>
        <w:t xml:space="preserve"> arguably the most well-known. The report found the Met Police “institutionally racist”, following the murder of Stehen Lawrence and the failure of the Metropolitan Police to thoroughly investigate the crime. Twenty-two years after the Macpherson report was published, UK Parliament published a subsequent report evaluating the changes in policing in the years since. The report found that black men and women still report they are treated as perpetrators rather than the victims of the crimes they report (UK Parliament, 2021).  </w:t>
      </w:r>
    </w:p>
    <w:p w14:paraId="47572C2E" w14:textId="77777777" w:rsidR="00350C35" w:rsidRPr="00350C35" w:rsidRDefault="00350C35" w:rsidP="00350C35">
      <w:pPr>
        <w:rPr>
          <w:sz w:val="28"/>
          <w:szCs w:val="28"/>
        </w:rPr>
      </w:pPr>
      <w:r w:rsidRPr="00350C35">
        <w:rPr>
          <w:sz w:val="28"/>
          <w:szCs w:val="28"/>
        </w:rPr>
        <w:t xml:space="preserve">According to the 2024 Annual Victim Survey carried out by the Victim’s Commissioner, 73% of all victims are not confident reporting a crime to the police will lead to justice. Disabled individuals were the most displeased demographic with 45% dissatisfied with the treatment they received from </w:t>
      </w:r>
      <w:r w:rsidRPr="00350C35">
        <w:rPr>
          <w:sz w:val="28"/>
          <w:szCs w:val="28"/>
        </w:rPr>
        <w:lastRenderedPageBreak/>
        <w:t xml:space="preserve">police (Victims Commissioner, 2024). This is of particular concern as individuals with a disability are more likely to have crimes committed against them than those without a disability (Cook et al, 2009). Therefore, Officers must be aware of their biases when dealing with minority groups and ensure they treat them with the respect and sensitivity they are entitled to. </w:t>
      </w:r>
    </w:p>
    <w:p w14:paraId="7646B90C" w14:textId="77777777" w:rsidR="00350C35" w:rsidRPr="00350C35" w:rsidRDefault="00350C35" w:rsidP="00350C35">
      <w:pPr>
        <w:rPr>
          <w:sz w:val="28"/>
          <w:szCs w:val="28"/>
        </w:rPr>
      </w:pPr>
      <w:r w:rsidRPr="00350C35">
        <w:rPr>
          <w:sz w:val="28"/>
          <w:szCs w:val="28"/>
        </w:rPr>
        <w:t xml:space="preserve">Moreover, socioeconomic status can also impact and individual’s experience with the criminal justice system. Much has been written around what society requires from victims of crime, with Nils Christie’s 1986 work ‘The Ideal Victim’ a well-known example of this idea. One of Christie’s requirements for the ideal victim is that they have enough power or visibility to be acknowledged, either by society or by the criminal justice system. When specifically considering victims with low socioeconomic status, it stands to reason they may fall outside of this definition if they are without status or power. It has been said that the poorer you are, the more likely you are to be involved in crime whether as perpetrator or victim (Newburn, 2016). When police officer’s biases against socioeconomically poor individuals go unchecked, they leave those more likely to see crime vulnerable and unrepresented. </w:t>
      </w:r>
    </w:p>
    <w:p w14:paraId="1236077C" w14:textId="77777777" w:rsidR="00350C35" w:rsidRPr="00350C35" w:rsidRDefault="00350C35" w:rsidP="00350C35">
      <w:pPr>
        <w:rPr>
          <w:sz w:val="28"/>
          <w:szCs w:val="28"/>
        </w:rPr>
      </w:pPr>
      <w:r w:rsidRPr="00350C35">
        <w:rPr>
          <w:sz w:val="28"/>
          <w:szCs w:val="28"/>
        </w:rPr>
        <w:t xml:space="preserve">Bias can impact the effectiveness of an investigation in many ways. Suspect profiling historically led to events such as The Brixton Riots which began due to “Operation Swamp” which was a ten-day operation in which 150 plain-clothes officers carried out 1000 stop searches and 150 arrests most targeted and arrested young black men (Jefferson, 2015).  Racial Profiling no longer has a place in policing. If certain groups are disproportionately targeted due to their race or other protected characteristic, this can lead to over-policing of certain communities which can skew official figures, have long term negative </w:t>
      </w:r>
      <w:proofErr w:type="spellStart"/>
      <w:r w:rsidRPr="00350C35">
        <w:rPr>
          <w:sz w:val="28"/>
          <w:szCs w:val="28"/>
        </w:rPr>
        <w:t>affects</w:t>
      </w:r>
      <w:proofErr w:type="spellEnd"/>
      <w:r w:rsidRPr="00350C35">
        <w:rPr>
          <w:sz w:val="28"/>
          <w:szCs w:val="28"/>
        </w:rPr>
        <w:t xml:space="preserve"> on said community while also impacting their relationship with police as a whole (Glaser, 2014). However, an officer’s individual bias could still impact an investigation in this same way. </w:t>
      </w:r>
    </w:p>
    <w:p w14:paraId="3DC9D8EB" w14:textId="77777777" w:rsidR="00350C35" w:rsidRPr="00350C35" w:rsidRDefault="00350C35" w:rsidP="00350C35">
      <w:pPr>
        <w:rPr>
          <w:sz w:val="28"/>
          <w:szCs w:val="28"/>
        </w:rPr>
      </w:pPr>
      <w:r w:rsidRPr="00350C35">
        <w:rPr>
          <w:sz w:val="28"/>
          <w:szCs w:val="28"/>
        </w:rPr>
        <w:t xml:space="preserve">An officer’s approach to an investigation can be heavily impacted by unmanaged confirmation bias – the tendency to look for evidence or information that supports their pre-held beliefs (Peters, 2020). This cognition can also lead to any contradictory of conflicting evidence being considered less important to evidence that fits their chosen narrative. </w:t>
      </w:r>
      <w:r w:rsidRPr="00350C35">
        <w:rPr>
          <w:sz w:val="28"/>
          <w:szCs w:val="28"/>
        </w:rPr>
        <w:lastRenderedPageBreak/>
        <w:t xml:space="preserve">However, it is crucial to note that a critical element of confirmation bias is that it occurs subconsciously (Liden, 2023). Should an officer operate unaware of their unconscious bias, victim’s may not receive the outcome they deserve and there may be a higher chance of wrongful arrests, all of which impacts public perception and trust in the police. </w:t>
      </w:r>
    </w:p>
    <w:p w14:paraId="0393840B" w14:textId="77777777" w:rsidR="00350C35" w:rsidRPr="00350C35" w:rsidRDefault="00350C35" w:rsidP="00350C35">
      <w:pPr>
        <w:rPr>
          <w:sz w:val="28"/>
          <w:szCs w:val="28"/>
        </w:rPr>
      </w:pPr>
      <w:r w:rsidRPr="00350C35">
        <w:rPr>
          <w:sz w:val="28"/>
          <w:szCs w:val="28"/>
        </w:rPr>
        <w:t xml:space="preserve">Subsequently, it is well known that a relatively narrow pool of individuals are frequent callers of emergency services. The disproportionate nature of policing is that a small number of people account for a large proportion of police work (College of Policing, 2015). The individuals who are known to frequently call police are often socially vulnerable or experiencing mental health difficulties. In certain parts of the force, these individuals are considered “time wasters” and not genuinely in-need of police help (Lane, 2019). This attitude can have significant consequences for vulnerable communities who can “slip through the net” if not adequately supported by public services. One particular case where a regular caller was dismissed with dire consequences was the case of Fiona Pilkington and her disabled daughter, Francecca Hardwick. They were consistently harassed by local youths but received little to no help from police until eventually Fiona took her own life and the life of her daughter (Travis, 2012). This is just one case but demonstrates how momentous police officer’s attitudes and approaches are to the outcome of a case. </w:t>
      </w:r>
    </w:p>
    <w:p w14:paraId="4825DE50" w14:textId="4D3D5736" w:rsidR="00350C35" w:rsidRPr="00350C35" w:rsidRDefault="00350C35" w:rsidP="00350C35">
      <w:pPr>
        <w:spacing w:line="257" w:lineRule="auto"/>
        <w:ind w:right="531"/>
        <w:rPr>
          <w:rFonts w:cs="Arial"/>
          <w:b/>
          <w:bCs/>
          <w:sz w:val="28"/>
          <w:szCs w:val="28"/>
        </w:rPr>
      </w:pPr>
      <w:r w:rsidRPr="00350C35">
        <w:rPr>
          <w:sz w:val="28"/>
          <w:szCs w:val="28"/>
        </w:rPr>
        <w:t>The findings of this essay are that Officer’s bias, attitudes and values can have a dire impact on the outcome of an investigation and can contribute negatively to public perception and trust in police (Owen-Evans and Low, 2024). Failure to remain impartial in an investigation can lead to an ineffective investigation and unfair outcomes for individuals and the wider community. Officers must make a conscious effort to remain aware of bias, especially unconscious bias which usually occurs without the individual being aware. When we are aware of our biases we can actively work to remain objective and prioritise the right outcome for victims, keeping an investigative mindset throughout an investigation.</w:t>
      </w:r>
    </w:p>
    <w:p w14:paraId="13A4FA5A" w14:textId="7C3DC69C" w:rsidR="00350C35" w:rsidRPr="00350C35" w:rsidRDefault="00CB3B59" w:rsidP="009D105B">
      <w:pPr>
        <w:spacing w:line="257" w:lineRule="auto"/>
        <w:ind w:right="531"/>
        <w:rPr>
          <w:rFonts w:cs="Arial"/>
          <w:b/>
          <w:bCs/>
          <w:sz w:val="28"/>
          <w:szCs w:val="28"/>
        </w:rPr>
      </w:pPr>
      <w:r>
        <w:rPr>
          <w:rFonts w:cs="Arial"/>
          <w:b/>
          <w:bCs/>
          <w:sz w:val="28"/>
          <w:szCs w:val="28"/>
        </w:rPr>
        <w:t>Word count: 1054</w:t>
      </w:r>
    </w:p>
    <w:p w14:paraId="163B7EE0" w14:textId="77777777" w:rsidR="00350C35" w:rsidRDefault="00350C35" w:rsidP="009D105B">
      <w:pPr>
        <w:spacing w:line="257" w:lineRule="auto"/>
        <w:ind w:right="531"/>
        <w:rPr>
          <w:rFonts w:cs="Arial"/>
          <w:b/>
          <w:bCs/>
          <w:sz w:val="28"/>
          <w:szCs w:val="28"/>
        </w:rPr>
      </w:pPr>
    </w:p>
    <w:p w14:paraId="190E0E95" w14:textId="77777777" w:rsidR="00CB3B59" w:rsidRPr="00350C35" w:rsidRDefault="00CB3B59" w:rsidP="009D105B">
      <w:pPr>
        <w:spacing w:line="257" w:lineRule="auto"/>
        <w:ind w:right="531"/>
        <w:rPr>
          <w:rFonts w:cs="Arial"/>
          <w:b/>
          <w:bCs/>
          <w:sz w:val="28"/>
          <w:szCs w:val="28"/>
        </w:rPr>
      </w:pPr>
    </w:p>
    <w:p w14:paraId="3AC6402F" w14:textId="3B2504F2" w:rsidR="009D105B" w:rsidRPr="00350C35" w:rsidRDefault="009D105B" w:rsidP="009D105B">
      <w:pPr>
        <w:spacing w:line="257" w:lineRule="auto"/>
        <w:ind w:right="531"/>
        <w:rPr>
          <w:rFonts w:cs="Arial"/>
          <w:b/>
          <w:bCs/>
          <w:sz w:val="28"/>
          <w:szCs w:val="28"/>
        </w:rPr>
      </w:pPr>
      <w:r w:rsidRPr="00350C35">
        <w:rPr>
          <w:rFonts w:cs="Arial"/>
          <w:b/>
          <w:bCs/>
          <w:sz w:val="28"/>
          <w:szCs w:val="28"/>
        </w:rPr>
        <w:lastRenderedPageBreak/>
        <w:t xml:space="preserve">Essay four: </w:t>
      </w:r>
    </w:p>
    <w:p w14:paraId="62991E9E" w14:textId="77777777" w:rsidR="009D105B" w:rsidRPr="00350C35" w:rsidRDefault="009D105B" w:rsidP="009D105B">
      <w:pPr>
        <w:spacing w:line="257" w:lineRule="auto"/>
        <w:ind w:right="531"/>
        <w:rPr>
          <w:rFonts w:eastAsia="Calibri" w:cs="Arial"/>
          <w:b/>
          <w:bCs/>
          <w:sz w:val="28"/>
          <w:szCs w:val="28"/>
        </w:rPr>
      </w:pPr>
      <w:r w:rsidRPr="00350C35">
        <w:rPr>
          <w:rFonts w:eastAsia="Calibri" w:cs="Arial"/>
          <w:b/>
          <w:bCs/>
          <w:sz w:val="28"/>
          <w:szCs w:val="28"/>
        </w:rPr>
        <w:t>Outline potential links between serious and organised crime and public protection issues. What characteristics make some people more vulnerable to exploitation by serious and organised crime gangs?</w:t>
      </w:r>
    </w:p>
    <w:bookmarkEnd w:id="1"/>
    <w:p w14:paraId="40245500" w14:textId="77777777" w:rsidR="00350C35" w:rsidRDefault="00350C35" w:rsidP="009D105B">
      <w:pPr>
        <w:ind w:right="531"/>
        <w:rPr>
          <w:rFonts w:eastAsia="Calibri" w:cs="Arial"/>
          <w:b/>
          <w:bCs/>
          <w:sz w:val="28"/>
          <w:szCs w:val="28"/>
        </w:rPr>
      </w:pPr>
    </w:p>
    <w:p w14:paraId="7AE94DE2" w14:textId="070E06B7" w:rsidR="000E0607" w:rsidRPr="00350C35" w:rsidRDefault="0001428D" w:rsidP="009D105B">
      <w:pPr>
        <w:ind w:right="531"/>
        <w:rPr>
          <w:rFonts w:cs="Arial"/>
          <w:sz w:val="28"/>
          <w:szCs w:val="28"/>
        </w:rPr>
      </w:pPr>
      <w:r w:rsidRPr="00350C35">
        <w:rPr>
          <w:rFonts w:cs="Arial"/>
          <w:sz w:val="28"/>
          <w:szCs w:val="28"/>
        </w:rPr>
        <w:t>Organised crime groups’ modus operandi is almost always to drive the maximum profit from an illicit activity while undertaking the minimum risk of discovery (Home Office, 2023). To do this, it is widely acknowledged OCG’s will target the most vulnerable individuals in society as a means to reaching their goals (Meredith, 2025).</w:t>
      </w:r>
      <w:r w:rsidR="000E0607" w:rsidRPr="00350C35">
        <w:rPr>
          <w:rFonts w:cs="Arial"/>
          <w:sz w:val="28"/>
          <w:szCs w:val="28"/>
        </w:rPr>
        <w:t xml:space="preserve"> </w:t>
      </w:r>
      <w:r w:rsidR="002D45FA" w:rsidRPr="00350C35">
        <w:rPr>
          <w:rFonts w:cs="Arial"/>
          <w:sz w:val="28"/>
          <w:szCs w:val="28"/>
        </w:rPr>
        <w:t>Criminal gangs will use coercion, intimidation, violence (including sexual violence) and weapons to manipulate vulnerable people into criminal activities (HM Government, 20</w:t>
      </w:r>
      <w:r w:rsidR="00E716C7" w:rsidRPr="00350C35">
        <w:rPr>
          <w:rFonts w:cs="Arial"/>
          <w:sz w:val="28"/>
          <w:szCs w:val="28"/>
        </w:rPr>
        <w:t>18</w:t>
      </w:r>
      <w:r w:rsidR="002D45FA" w:rsidRPr="00350C35">
        <w:rPr>
          <w:rFonts w:cs="Arial"/>
          <w:sz w:val="28"/>
          <w:szCs w:val="28"/>
        </w:rPr>
        <w:t xml:space="preserve">). </w:t>
      </w:r>
      <w:r w:rsidR="000E0607" w:rsidRPr="00350C35">
        <w:rPr>
          <w:rFonts w:cs="Arial"/>
          <w:sz w:val="28"/>
          <w:szCs w:val="28"/>
        </w:rPr>
        <w:t xml:space="preserve">This essay will explore the potential links between serious and organised crime and public protection issues and then go on to look at </w:t>
      </w:r>
      <w:r w:rsidR="00F31AD4" w:rsidRPr="00350C35">
        <w:rPr>
          <w:rFonts w:cs="Arial"/>
          <w:sz w:val="28"/>
          <w:szCs w:val="28"/>
        </w:rPr>
        <w:t xml:space="preserve">the </w:t>
      </w:r>
      <w:r w:rsidR="000E0607" w:rsidRPr="00350C35">
        <w:rPr>
          <w:rFonts w:cs="Arial"/>
          <w:sz w:val="28"/>
          <w:szCs w:val="28"/>
        </w:rPr>
        <w:t>characteristics</w:t>
      </w:r>
      <w:r w:rsidR="00F31AD4" w:rsidRPr="00350C35">
        <w:rPr>
          <w:rFonts w:cs="Arial"/>
          <w:sz w:val="28"/>
          <w:szCs w:val="28"/>
        </w:rPr>
        <w:t xml:space="preserve"> that</w:t>
      </w:r>
      <w:r w:rsidR="000E0607" w:rsidRPr="00350C35">
        <w:rPr>
          <w:rFonts w:cs="Arial"/>
          <w:sz w:val="28"/>
          <w:szCs w:val="28"/>
        </w:rPr>
        <w:t xml:space="preserve"> make some people more vulnerable to exploitation from these groups. </w:t>
      </w:r>
    </w:p>
    <w:p w14:paraId="23C309F2" w14:textId="2F7B203E" w:rsidR="000E0607" w:rsidRPr="00350C35" w:rsidRDefault="00FD0218" w:rsidP="009D105B">
      <w:pPr>
        <w:ind w:right="531"/>
        <w:rPr>
          <w:rFonts w:cs="Arial"/>
          <w:sz w:val="28"/>
          <w:szCs w:val="28"/>
        </w:rPr>
      </w:pPr>
      <w:r w:rsidRPr="00350C35">
        <w:rPr>
          <w:rFonts w:cs="Arial"/>
          <w:sz w:val="28"/>
          <w:szCs w:val="28"/>
        </w:rPr>
        <w:t>The Home Office (2023) defines serious and organised crime as groups or individuals who plan, coordinate or commit serious offences</w:t>
      </w:r>
      <w:r w:rsidR="00262042" w:rsidRPr="00350C35">
        <w:rPr>
          <w:rFonts w:cs="Arial"/>
          <w:sz w:val="28"/>
          <w:szCs w:val="28"/>
        </w:rPr>
        <w:t>, it is</w:t>
      </w:r>
      <w:r w:rsidRPr="00350C35">
        <w:rPr>
          <w:rFonts w:cs="Arial"/>
          <w:sz w:val="28"/>
          <w:szCs w:val="28"/>
        </w:rPr>
        <w:t xml:space="preserve"> estimate</w:t>
      </w:r>
      <w:r w:rsidR="00262042" w:rsidRPr="00350C35">
        <w:rPr>
          <w:rFonts w:cs="Arial"/>
          <w:sz w:val="28"/>
          <w:szCs w:val="28"/>
        </w:rPr>
        <w:t>d</w:t>
      </w:r>
      <w:r w:rsidRPr="00350C35">
        <w:rPr>
          <w:rFonts w:cs="Arial"/>
          <w:sz w:val="28"/>
          <w:szCs w:val="28"/>
        </w:rPr>
        <w:t xml:space="preserve"> </w:t>
      </w:r>
      <w:r w:rsidR="00262042" w:rsidRPr="00350C35">
        <w:rPr>
          <w:rFonts w:cs="Arial"/>
          <w:sz w:val="28"/>
          <w:szCs w:val="28"/>
        </w:rPr>
        <w:t xml:space="preserve">to </w:t>
      </w:r>
      <w:r w:rsidRPr="00350C35">
        <w:rPr>
          <w:rFonts w:cs="Arial"/>
          <w:sz w:val="28"/>
          <w:szCs w:val="28"/>
        </w:rPr>
        <w:t xml:space="preserve">cost the UK economy at least £47 billion each year. Organised crime in the UK is has a serious impact when it comes to public protection issues and is said to affect more people, more frequently than any other national-security threat (Davies, 2024). </w:t>
      </w:r>
      <w:r w:rsidR="00262042" w:rsidRPr="00350C35">
        <w:rPr>
          <w:rFonts w:cs="Arial"/>
          <w:sz w:val="28"/>
          <w:szCs w:val="28"/>
        </w:rPr>
        <w:t xml:space="preserve">Criminal groups will target vulnerable individuals to avoid detection from the authorities. </w:t>
      </w:r>
      <w:r w:rsidR="00CB5B5C" w:rsidRPr="00350C35">
        <w:rPr>
          <w:rFonts w:cs="Arial"/>
          <w:sz w:val="28"/>
          <w:szCs w:val="28"/>
        </w:rPr>
        <w:t xml:space="preserve">One crucial example of the exploitation of vulnerable people is known as County Lines. This is when an organised crime group from a city move into smaller towns to supply drugs, recruiting vulnerable people and manipulating them into selling drugs for them (Stone, 2018). </w:t>
      </w:r>
      <w:r w:rsidR="00E82816" w:rsidRPr="00350C35">
        <w:rPr>
          <w:rFonts w:cs="Arial"/>
          <w:sz w:val="28"/>
          <w:szCs w:val="28"/>
        </w:rPr>
        <w:t>Adolescents are often those recruited via county lines and as a result, child criminal exploitation is now recognised as a form of child abuse with a multi-agency child safeguarding partnership required to respond (Wroe, 2021).</w:t>
      </w:r>
    </w:p>
    <w:p w14:paraId="578078A5" w14:textId="7CE0C1B8" w:rsidR="00973E83" w:rsidRPr="00350C35" w:rsidRDefault="002D45FA" w:rsidP="009D105B">
      <w:pPr>
        <w:ind w:right="531"/>
        <w:rPr>
          <w:rFonts w:cs="Arial"/>
          <w:sz w:val="28"/>
          <w:szCs w:val="28"/>
        </w:rPr>
      </w:pPr>
      <w:r w:rsidRPr="00350C35">
        <w:rPr>
          <w:rFonts w:cs="Arial"/>
          <w:sz w:val="28"/>
          <w:szCs w:val="28"/>
        </w:rPr>
        <w:t xml:space="preserve">When it comes to terminology, criminal exploitation is used interchangeably with the term ‘county lines (Meredith, 2025). </w:t>
      </w:r>
      <w:r w:rsidR="00EF0F77" w:rsidRPr="00350C35">
        <w:rPr>
          <w:rFonts w:cs="Arial"/>
          <w:sz w:val="28"/>
          <w:szCs w:val="28"/>
        </w:rPr>
        <w:t xml:space="preserve">A unique type of exploitation often linked with county lines </w:t>
      </w:r>
      <w:r w:rsidR="00D16B26" w:rsidRPr="00350C35">
        <w:rPr>
          <w:rFonts w:cs="Arial"/>
          <w:sz w:val="28"/>
          <w:szCs w:val="28"/>
        </w:rPr>
        <w:t>model</w:t>
      </w:r>
      <w:r w:rsidR="00EF0F77" w:rsidRPr="00350C35">
        <w:rPr>
          <w:rFonts w:cs="Arial"/>
          <w:sz w:val="28"/>
          <w:szCs w:val="28"/>
        </w:rPr>
        <w:t xml:space="preserve">, is </w:t>
      </w:r>
      <w:r w:rsidR="00EF0F77" w:rsidRPr="00350C35">
        <w:rPr>
          <w:rFonts w:cs="Arial"/>
          <w:sz w:val="28"/>
          <w:szCs w:val="28"/>
        </w:rPr>
        <w:lastRenderedPageBreak/>
        <w:t>‘Cuckooing’. This is where</w:t>
      </w:r>
      <w:r w:rsidR="00D16B26" w:rsidRPr="00350C35">
        <w:rPr>
          <w:rFonts w:cs="Arial"/>
          <w:sz w:val="28"/>
          <w:szCs w:val="28"/>
        </w:rPr>
        <w:t xml:space="preserve"> criminals manipulate and intimidate vulnerable people into allowing them to use their home as a base from which to distribute drugs, mainly crack cocaine and </w:t>
      </w:r>
      <w:r w:rsidR="00FD46DA" w:rsidRPr="00350C35">
        <w:rPr>
          <w:rFonts w:cs="Arial"/>
          <w:sz w:val="28"/>
          <w:szCs w:val="28"/>
        </w:rPr>
        <w:t>heroin</w:t>
      </w:r>
      <w:r w:rsidR="00D16B26" w:rsidRPr="00350C35">
        <w:rPr>
          <w:rFonts w:cs="Arial"/>
          <w:sz w:val="28"/>
          <w:szCs w:val="28"/>
        </w:rPr>
        <w:t xml:space="preserve"> (Spicer, Moyle and Coomber, 2020).</w:t>
      </w:r>
      <w:r w:rsidR="00762FAC" w:rsidRPr="00350C35">
        <w:rPr>
          <w:rFonts w:cs="Arial"/>
          <w:sz w:val="28"/>
          <w:szCs w:val="28"/>
        </w:rPr>
        <w:t xml:space="preserve"> The term cuckooing is a reference to the practices of the cuckoo bird which invades the nest of other birds (</w:t>
      </w:r>
      <w:r w:rsidR="00C24AE0" w:rsidRPr="00350C35">
        <w:rPr>
          <w:rFonts w:cs="Arial"/>
          <w:sz w:val="28"/>
          <w:szCs w:val="28"/>
        </w:rPr>
        <w:t>Butera, 2013).</w:t>
      </w:r>
      <w:r w:rsidR="00973E83" w:rsidRPr="00350C35">
        <w:rPr>
          <w:rFonts w:cs="Arial"/>
          <w:sz w:val="28"/>
          <w:szCs w:val="28"/>
        </w:rPr>
        <w:t xml:space="preserve"> </w:t>
      </w:r>
      <w:r w:rsidR="00DB6B76" w:rsidRPr="00350C35">
        <w:rPr>
          <w:rFonts w:cs="Arial"/>
          <w:sz w:val="28"/>
          <w:szCs w:val="28"/>
        </w:rPr>
        <w:t xml:space="preserve">Vulnerable people are particularly at risk of criminal exploitation and there are many different demographics who fall into the category of ‘vulnerable’. </w:t>
      </w:r>
      <w:r w:rsidR="00E45DC2" w:rsidRPr="00350C35">
        <w:rPr>
          <w:rFonts w:cs="Arial"/>
          <w:sz w:val="28"/>
          <w:szCs w:val="28"/>
        </w:rPr>
        <w:t>A person is considered vulnerable if they are in need of specialist care or additional support and protection due to “age, disability or risk of abuse or neglect” (Moyle, 2019).</w:t>
      </w:r>
    </w:p>
    <w:p w14:paraId="3D4BEC5F" w14:textId="07E2B986" w:rsidR="00EF0F77" w:rsidRPr="00350C35" w:rsidRDefault="00E233AA" w:rsidP="009D105B">
      <w:pPr>
        <w:ind w:right="531"/>
        <w:rPr>
          <w:rFonts w:cs="Arial"/>
          <w:sz w:val="28"/>
          <w:szCs w:val="28"/>
        </w:rPr>
      </w:pPr>
      <w:r w:rsidRPr="00350C35">
        <w:rPr>
          <w:rFonts w:cs="Arial"/>
          <w:sz w:val="28"/>
          <w:szCs w:val="28"/>
        </w:rPr>
        <w:t>The term exploitation is broad but generally is recognised to mean using another individual or group’s vulnerability for one’s own gain or profit (Abubakar et al, 2024) and i</w:t>
      </w:r>
      <w:r w:rsidR="00137F8E" w:rsidRPr="00350C35">
        <w:rPr>
          <w:rFonts w:cs="Arial"/>
          <w:sz w:val="28"/>
          <w:szCs w:val="28"/>
        </w:rPr>
        <w:t>t has been suggested that criminal exploitation of vulnerable people often occurs when a power disparity is present (</w:t>
      </w:r>
      <w:r w:rsidR="000C188C" w:rsidRPr="00350C35">
        <w:rPr>
          <w:rFonts w:cs="Arial"/>
          <w:sz w:val="28"/>
          <w:szCs w:val="28"/>
        </w:rPr>
        <w:t xml:space="preserve">Lambert et al, 2024). </w:t>
      </w:r>
      <w:r w:rsidR="00973E83" w:rsidRPr="00350C35">
        <w:rPr>
          <w:rFonts w:cs="Arial"/>
          <w:sz w:val="28"/>
          <w:szCs w:val="28"/>
        </w:rPr>
        <w:t>One demographic particularly vulnerable to exploitation by serious and organised crime gangs is people with disabilities. Disabled individuals have been highlighted as particularly at risk of cuckooing with research suggesting this occurs due to a lack of adult services</w:t>
      </w:r>
      <w:r w:rsidR="00841BE9" w:rsidRPr="00350C35">
        <w:rPr>
          <w:rFonts w:cs="Arial"/>
          <w:sz w:val="28"/>
          <w:szCs w:val="28"/>
        </w:rPr>
        <w:t>. This leaves disabled individuals vulnerable and they are often identified by illicit gangs as ‘easy targets’ (Macdonald et al, 2021).</w:t>
      </w:r>
      <w:r w:rsidR="00973E83" w:rsidRPr="00350C35">
        <w:rPr>
          <w:rFonts w:cs="Arial"/>
          <w:sz w:val="28"/>
          <w:szCs w:val="28"/>
        </w:rPr>
        <w:t xml:space="preserve"> </w:t>
      </w:r>
      <w:r w:rsidR="000120A5" w:rsidRPr="00350C35">
        <w:rPr>
          <w:rFonts w:cs="Arial"/>
          <w:sz w:val="28"/>
          <w:szCs w:val="28"/>
        </w:rPr>
        <w:t>More research is required on the risk of exploitation of vulnerable adults as, generally academic research in this area predominantly focuses on children (Abubakar et al, 2024).</w:t>
      </w:r>
    </w:p>
    <w:p w14:paraId="7037E2B3" w14:textId="7CEFE564" w:rsidR="000120A5" w:rsidRPr="00350C35" w:rsidRDefault="00FD46DA" w:rsidP="009D105B">
      <w:pPr>
        <w:ind w:right="531"/>
        <w:rPr>
          <w:rFonts w:cs="Arial"/>
          <w:sz w:val="28"/>
          <w:szCs w:val="28"/>
        </w:rPr>
      </w:pPr>
      <w:r w:rsidRPr="00350C35">
        <w:rPr>
          <w:rFonts w:cs="Arial"/>
          <w:sz w:val="28"/>
          <w:szCs w:val="28"/>
        </w:rPr>
        <w:t>As a demographic, c</w:t>
      </w:r>
      <w:r w:rsidR="000120A5" w:rsidRPr="00350C35">
        <w:rPr>
          <w:rFonts w:cs="Arial"/>
          <w:sz w:val="28"/>
          <w:szCs w:val="28"/>
        </w:rPr>
        <w:t>hildren are uniquely vulnerable to criminal exploitation. Organised crime groups target young vulnerable people, often those without stable accommodation</w:t>
      </w:r>
      <w:r w:rsidR="00227B60" w:rsidRPr="00350C35">
        <w:rPr>
          <w:rFonts w:cs="Arial"/>
          <w:sz w:val="28"/>
          <w:szCs w:val="28"/>
        </w:rPr>
        <w:t>, within the care system or unable to escape poverty (Stone, 2018). Child criminal exploitation</w:t>
      </w:r>
      <w:r w:rsidRPr="00350C35">
        <w:rPr>
          <w:rFonts w:cs="Arial"/>
          <w:sz w:val="28"/>
          <w:szCs w:val="28"/>
        </w:rPr>
        <w:t xml:space="preserve"> (CCE)</w:t>
      </w:r>
      <w:r w:rsidR="00227B60" w:rsidRPr="00350C35">
        <w:rPr>
          <w:rFonts w:cs="Arial"/>
          <w:sz w:val="28"/>
          <w:szCs w:val="28"/>
        </w:rPr>
        <w:t xml:space="preserve"> is particularly difficult to prevent as it’s not defined by fixed definitions but more so a pattern of behaviour and events that occur as a result of motivated criminals and children in uniquely traumatic and vulnerable long-term environments (Barlow et al, 2022). </w:t>
      </w:r>
      <w:r w:rsidR="002230B2" w:rsidRPr="00350C35">
        <w:rPr>
          <w:rFonts w:cs="Arial"/>
          <w:sz w:val="28"/>
          <w:szCs w:val="28"/>
        </w:rPr>
        <w:t xml:space="preserve">One significant characteristic that </w:t>
      </w:r>
      <w:r w:rsidR="006670F0" w:rsidRPr="00350C35">
        <w:rPr>
          <w:rFonts w:cs="Arial"/>
          <w:sz w:val="28"/>
          <w:szCs w:val="28"/>
        </w:rPr>
        <w:t xml:space="preserve">puts </w:t>
      </w:r>
      <w:r w:rsidR="002230B2" w:rsidRPr="00350C35">
        <w:rPr>
          <w:rFonts w:cs="Arial"/>
          <w:sz w:val="28"/>
          <w:szCs w:val="28"/>
        </w:rPr>
        <w:t>children at higher risk of criminal</w:t>
      </w:r>
      <w:r w:rsidR="006670F0" w:rsidRPr="00350C35">
        <w:rPr>
          <w:rFonts w:cs="Arial"/>
          <w:sz w:val="28"/>
          <w:szCs w:val="28"/>
        </w:rPr>
        <w:t xml:space="preserve"> exploitation and effectively criminalisation, is those who have experience of maltreatment and abuse (</w:t>
      </w:r>
      <w:proofErr w:type="spellStart"/>
      <w:r w:rsidR="006670F0" w:rsidRPr="00350C35">
        <w:rPr>
          <w:rFonts w:cs="Arial"/>
          <w:sz w:val="28"/>
          <w:szCs w:val="28"/>
        </w:rPr>
        <w:t>Baidawi</w:t>
      </w:r>
      <w:proofErr w:type="spellEnd"/>
      <w:r w:rsidR="006670F0" w:rsidRPr="00350C35">
        <w:rPr>
          <w:rFonts w:cs="Arial"/>
          <w:sz w:val="28"/>
          <w:szCs w:val="28"/>
        </w:rPr>
        <w:t xml:space="preserve">, Sheehan and Flynn, 2020). </w:t>
      </w:r>
      <w:r w:rsidR="00627F8A" w:rsidRPr="00350C35">
        <w:rPr>
          <w:rFonts w:cs="Arial"/>
          <w:sz w:val="28"/>
          <w:szCs w:val="28"/>
        </w:rPr>
        <w:t xml:space="preserve">In the past, it has been difficult for child protective agencies to support exploited children as the law labels them as criminals when they are apprehended carrying out illegal activities. This fact has </w:t>
      </w:r>
      <w:r w:rsidR="00627F8A" w:rsidRPr="00350C35">
        <w:rPr>
          <w:rFonts w:cs="Arial"/>
          <w:sz w:val="28"/>
          <w:szCs w:val="28"/>
        </w:rPr>
        <w:lastRenderedPageBreak/>
        <w:t>marked children widely recognised to be victims of exploitation as mere criminals (Lloyd, Manister and Wroe, 2023).</w:t>
      </w:r>
      <w:r w:rsidRPr="00350C35">
        <w:rPr>
          <w:rFonts w:cs="Arial"/>
          <w:sz w:val="28"/>
          <w:szCs w:val="28"/>
        </w:rPr>
        <w:t xml:space="preserve"> The UK Government has recognised this gap and is in the process of introducing a new offence against adults who use a child to commit a crime. The objective of this new legislation is that it will go some way to improve protections for the 14,500 children identified as at risk of criminal exploitation in the UK from 2023 – 2024 (Home Office, 2025).</w:t>
      </w:r>
    </w:p>
    <w:p w14:paraId="01ECD51A" w14:textId="605B9E6C" w:rsidR="00B5606F" w:rsidRPr="00350C35" w:rsidRDefault="00FD46DA" w:rsidP="009D105B">
      <w:pPr>
        <w:ind w:right="531"/>
        <w:rPr>
          <w:rFonts w:cs="Arial"/>
          <w:sz w:val="28"/>
          <w:szCs w:val="28"/>
        </w:rPr>
      </w:pPr>
      <w:r w:rsidRPr="00350C35">
        <w:rPr>
          <w:rFonts w:cs="Arial"/>
          <w:sz w:val="28"/>
          <w:szCs w:val="28"/>
        </w:rPr>
        <w:t xml:space="preserve">In the United Kingdom, individuals with drug dependencies are </w:t>
      </w:r>
      <w:r w:rsidR="00B5606F" w:rsidRPr="00350C35">
        <w:rPr>
          <w:rFonts w:cs="Arial"/>
          <w:sz w:val="28"/>
          <w:szCs w:val="28"/>
        </w:rPr>
        <w:t>distinctly susceptible to criminal exploitation due to outstanding drug debts or reliance on their own supply (Spicer, 2018).</w:t>
      </w:r>
      <w:r w:rsidR="00867BB4" w:rsidRPr="00350C35">
        <w:rPr>
          <w:rFonts w:cs="Arial"/>
          <w:sz w:val="28"/>
          <w:szCs w:val="28"/>
        </w:rPr>
        <w:t xml:space="preserve"> </w:t>
      </w:r>
      <w:r w:rsidR="002D45FA" w:rsidRPr="00350C35">
        <w:rPr>
          <w:rFonts w:cs="Arial"/>
          <w:sz w:val="28"/>
          <w:szCs w:val="28"/>
        </w:rPr>
        <w:t xml:space="preserve">Those with drug addictions will often be manipulated </w:t>
      </w:r>
      <w:r w:rsidR="00114179" w:rsidRPr="00350C35">
        <w:rPr>
          <w:rFonts w:cs="Arial"/>
          <w:sz w:val="28"/>
          <w:szCs w:val="28"/>
        </w:rPr>
        <w:t xml:space="preserve">or lured </w:t>
      </w:r>
      <w:r w:rsidR="002D45FA" w:rsidRPr="00350C35">
        <w:rPr>
          <w:rFonts w:cs="Arial"/>
          <w:sz w:val="28"/>
          <w:szCs w:val="28"/>
        </w:rPr>
        <w:t xml:space="preserve">by criminal gangs to </w:t>
      </w:r>
      <w:r w:rsidR="00114179" w:rsidRPr="00350C35">
        <w:rPr>
          <w:rFonts w:cs="Arial"/>
          <w:sz w:val="28"/>
          <w:szCs w:val="28"/>
        </w:rPr>
        <w:t xml:space="preserve">deal or deliver drugs with the promise of a regular supply to their own addiction the convincing factor. However, the reality often turns out to be quite different with hard labour expected and little pay-off (Moyle, </w:t>
      </w:r>
      <w:r w:rsidR="004B5084" w:rsidRPr="00350C35">
        <w:rPr>
          <w:rFonts w:cs="Arial"/>
          <w:sz w:val="28"/>
          <w:szCs w:val="28"/>
        </w:rPr>
        <w:t xml:space="preserve">2019). </w:t>
      </w:r>
      <w:r w:rsidR="00E90B71" w:rsidRPr="00350C35">
        <w:rPr>
          <w:rFonts w:cs="Arial"/>
          <w:sz w:val="28"/>
          <w:szCs w:val="28"/>
        </w:rPr>
        <w:t>F</w:t>
      </w:r>
      <w:r w:rsidR="00B5606F" w:rsidRPr="00350C35">
        <w:rPr>
          <w:rFonts w:cs="Arial"/>
          <w:sz w:val="28"/>
          <w:szCs w:val="28"/>
        </w:rPr>
        <w:t xml:space="preserve">requent drug users are </w:t>
      </w:r>
      <w:r w:rsidR="00E90B71" w:rsidRPr="00350C35">
        <w:rPr>
          <w:rFonts w:cs="Arial"/>
          <w:sz w:val="28"/>
          <w:szCs w:val="28"/>
        </w:rPr>
        <w:t xml:space="preserve">often </w:t>
      </w:r>
      <w:r w:rsidR="00B5606F" w:rsidRPr="00350C35">
        <w:rPr>
          <w:rFonts w:cs="Arial"/>
          <w:sz w:val="28"/>
          <w:szCs w:val="28"/>
        </w:rPr>
        <w:t>responding to trauma from adv</w:t>
      </w:r>
      <w:r w:rsidR="00E90B71" w:rsidRPr="00350C35">
        <w:rPr>
          <w:rFonts w:cs="Arial"/>
          <w:sz w:val="28"/>
          <w:szCs w:val="28"/>
        </w:rPr>
        <w:t>e</w:t>
      </w:r>
      <w:r w:rsidR="00B5606F" w:rsidRPr="00350C35">
        <w:rPr>
          <w:rFonts w:cs="Arial"/>
          <w:sz w:val="28"/>
          <w:szCs w:val="28"/>
        </w:rPr>
        <w:t xml:space="preserve">rse childhood experiences </w:t>
      </w:r>
      <w:r w:rsidR="00E90B71" w:rsidRPr="00350C35">
        <w:rPr>
          <w:rFonts w:cs="Arial"/>
          <w:sz w:val="28"/>
          <w:szCs w:val="28"/>
        </w:rPr>
        <w:t xml:space="preserve">(ACEs) </w:t>
      </w:r>
      <w:r w:rsidR="00B5606F" w:rsidRPr="00350C35">
        <w:rPr>
          <w:rFonts w:cs="Arial"/>
          <w:sz w:val="28"/>
          <w:szCs w:val="28"/>
        </w:rPr>
        <w:t>or socioeconomic deprivation</w:t>
      </w:r>
      <w:r w:rsidR="00E90B71" w:rsidRPr="00350C35">
        <w:rPr>
          <w:rFonts w:cs="Arial"/>
          <w:sz w:val="28"/>
          <w:szCs w:val="28"/>
        </w:rPr>
        <w:t>.</w:t>
      </w:r>
      <w:r w:rsidR="00B5606F" w:rsidRPr="00350C35">
        <w:rPr>
          <w:rFonts w:cs="Arial"/>
          <w:sz w:val="28"/>
          <w:szCs w:val="28"/>
        </w:rPr>
        <w:t xml:space="preserve"> </w:t>
      </w:r>
      <w:r w:rsidR="00E90B71" w:rsidRPr="00350C35">
        <w:rPr>
          <w:rFonts w:cs="Arial"/>
          <w:sz w:val="28"/>
          <w:szCs w:val="28"/>
        </w:rPr>
        <w:t>I</w:t>
      </w:r>
      <w:r w:rsidR="00B5606F" w:rsidRPr="00350C35">
        <w:rPr>
          <w:rFonts w:cs="Arial"/>
          <w:sz w:val="28"/>
          <w:szCs w:val="28"/>
        </w:rPr>
        <w:t xml:space="preserve">n these cases, prosecution from the criminal justice system </w:t>
      </w:r>
      <w:r w:rsidR="00E90B71" w:rsidRPr="00350C35">
        <w:rPr>
          <w:rFonts w:cs="Arial"/>
          <w:sz w:val="28"/>
          <w:szCs w:val="28"/>
        </w:rPr>
        <w:t>t</w:t>
      </w:r>
      <w:r w:rsidR="00B5606F" w:rsidRPr="00350C35">
        <w:rPr>
          <w:rFonts w:cs="Arial"/>
          <w:sz w:val="28"/>
          <w:szCs w:val="28"/>
        </w:rPr>
        <w:t>o exacerbate their social disadvantages</w:t>
      </w:r>
      <w:r w:rsidR="00E90B71" w:rsidRPr="00350C35">
        <w:rPr>
          <w:rFonts w:cs="Arial"/>
          <w:sz w:val="28"/>
          <w:szCs w:val="28"/>
        </w:rPr>
        <w:t xml:space="preserve"> (Holland, 2020). This creates an endless vicious circle that ‘managers’ put in a rural area to oversee the recruitment and manipulation of vulnerable people, capitalises on (Stone, 2018). </w:t>
      </w:r>
    </w:p>
    <w:p w14:paraId="712541F8" w14:textId="0A22AE1C" w:rsidR="004B5084" w:rsidRPr="00350C35" w:rsidRDefault="004B5084" w:rsidP="009D105B">
      <w:pPr>
        <w:ind w:right="531"/>
        <w:rPr>
          <w:rFonts w:cs="Arial"/>
          <w:sz w:val="28"/>
          <w:szCs w:val="28"/>
        </w:rPr>
      </w:pPr>
      <w:r w:rsidRPr="00350C35">
        <w:rPr>
          <w:rFonts w:cs="Arial"/>
          <w:sz w:val="28"/>
          <w:szCs w:val="28"/>
        </w:rPr>
        <w:t xml:space="preserve">Public services in the United Kingdom have recognised the gap left by previous legislation. Care and support for vulnerable adults has been recognised as lacking and leaving these individuals open to exploitation by organised gangs </w:t>
      </w:r>
      <w:r w:rsidRPr="00350C35">
        <w:rPr>
          <w:rFonts w:cs="Arial"/>
          <w:sz w:val="28"/>
          <w:szCs w:val="28"/>
        </w:rPr>
        <w:t>(Macdonald et al, 2021).</w:t>
      </w:r>
      <w:r w:rsidRPr="00350C35">
        <w:rPr>
          <w:rFonts w:cs="Arial"/>
          <w:sz w:val="28"/>
          <w:szCs w:val="28"/>
        </w:rPr>
        <w:t xml:space="preserve"> Equally, previously the law has made it complex for child protective services to adequately recognise vulnerable children exploited by OCGs as victims. However there is new legislation currently working its way through Parliament to address these gaps (Home Office, 2025). It can be seen that there are many characteristics that leave individuals of certain demographics more at risk of criminal exploitation, these demographics are in clear need of greater, tailored public protection services designed to address the unique needs of these vulnerable groups.</w:t>
      </w:r>
    </w:p>
    <w:p w14:paraId="32EBC2FA" w14:textId="390C7970" w:rsidR="009D105B" w:rsidRPr="00350C35" w:rsidRDefault="00CB3B59" w:rsidP="009D105B">
      <w:pPr>
        <w:ind w:right="531"/>
        <w:rPr>
          <w:rFonts w:cs="Arial"/>
          <w:b/>
          <w:bCs/>
          <w:sz w:val="28"/>
          <w:szCs w:val="28"/>
        </w:rPr>
      </w:pPr>
      <w:r>
        <w:rPr>
          <w:rFonts w:cs="Arial"/>
          <w:b/>
          <w:bCs/>
          <w:sz w:val="28"/>
          <w:szCs w:val="28"/>
        </w:rPr>
        <w:t>Word count: 1021</w:t>
      </w:r>
    </w:p>
    <w:p w14:paraId="0A549D43" w14:textId="77777777" w:rsidR="00350C35" w:rsidRDefault="00350C35" w:rsidP="00002741">
      <w:pPr>
        <w:rPr>
          <w:rFonts w:cs="Arial"/>
          <w:b/>
          <w:bCs/>
          <w:sz w:val="28"/>
          <w:szCs w:val="28"/>
          <w:u w:val="single"/>
        </w:rPr>
      </w:pPr>
    </w:p>
    <w:p w14:paraId="4ACD41A1" w14:textId="13B4635D" w:rsidR="00002741" w:rsidRPr="00350C35" w:rsidRDefault="00002741" w:rsidP="00002741">
      <w:pPr>
        <w:rPr>
          <w:sz w:val="28"/>
          <w:szCs w:val="28"/>
        </w:rPr>
      </w:pPr>
      <w:r w:rsidRPr="00350C35">
        <w:rPr>
          <w:b/>
          <w:bCs/>
          <w:sz w:val="28"/>
          <w:szCs w:val="28"/>
          <w:u w:val="single"/>
        </w:rPr>
        <w:lastRenderedPageBreak/>
        <w:t>Bibliography</w:t>
      </w:r>
    </w:p>
    <w:p w14:paraId="3C95100D" w14:textId="5196334C" w:rsidR="00E233AA" w:rsidRPr="00350C35" w:rsidRDefault="00E233AA" w:rsidP="00002741">
      <w:pPr>
        <w:rPr>
          <w:sz w:val="28"/>
          <w:szCs w:val="28"/>
        </w:rPr>
      </w:pPr>
      <w:r w:rsidRPr="00350C35">
        <w:rPr>
          <w:sz w:val="28"/>
          <w:szCs w:val="28"/>
        </w:rPr>
        <w:t>Abubakar, M et al. (2024). ‘</w:t>
      </w:r>
      <w:r w:rsidRPr="00350C35">
        <w:rPr>
          <w:sz w:val="28"/>
          <w:szCs w:val="28"/>
        </w:rPr>
        <w:t>Cognitive impairment and exploitation: connecting fragments of a bigger picture through data</w:t>
      </w:r>
      <w:r w:rsidRPr="00350C35">
        <w:rPr>
          <w:sz w:val="28"/>
          <w:szCs w:val="28"/>
        </w:rPr>
        <w:t>’</w:t>
      </w:r>
      <w:r w:rsidRPr="00350C35">
        <w:rPr>
          <w:sz w:val="28"/>
          <w:szCs w:val="28"/>
        </w:rPr>
        <w:t>, </w:t>
      </w:r>
      <w:r w:rsidRPr="00350C35">
        <w:rPr>
          <w:i/>
          <w:iCs/>
          <w:sz w:val="28"/>
          <w:szCs w:val="28"/>
        </w:rPr>
        <w:t>Journal of Public Health</w:t>
      </w:r>
      <w:r w:rsidRPr="00350C35">
        <w:rPr>
          <w:sz w:val="28"/>
          <w:szCs w:val="28"/>
        </w:rPr>
        <w:t>, 46</w:t>
      </w:r>
      <w:r w:rsidRPr="00350C35">
        <w:rPr>
          <w:sz w:val="28"/>
          <w:szCs w:val="28"/>
        </w:rPr>
        <w:t>(</w:t>
      </w:r>
      <w:r w:rsidRPr="00350C35">
        <w:rPr>
          <w:sz w:val="28"/>
          <w:szCs w:val="28"/>
        </w:rPr>
        <w:t>4</w:t>
      </w:r>
      <w:r w:rsidRPr="00350C35">
        <w:rPr>
          <w:sz w:val="28"/>
          <w:szCs w:val="28"/>
        </w:rPr>
        <w:t>)</w:t>
      </w:r>
      <w:r w:rsidRPr="00350C35">
        <w:rPr>
          <w:sz w:val="28"/>
          <w:szCs w:val="28"/>
        </w:rPr>
        <w:t xml:space="preserve">, </w:t>
      </w:r>
      <w:r w:rsidRPr="00350C35">
        <w:rPr>
          <w:sz w:val="28"/>
          <w:szCs w:val="28"/>
        </w:rPr>
        <w:t>pp</w:t>
      </w:r>
      <w:r w:rsidRPr="00350C35">
        <w:rPr>
          <w:sz w:val="28"/>
          <w:szCs w:val="28"/>
        </w:rPr>
        <w:t xml:space="preserve"> 498–505</w:t>
      </w:r>
      <w:r w:rsidRPr="00350C35">
        <w:rPr>
          <w:sz w:val="28"/>
          <w:szCs w:val="28"/>
        </w:rPr>
        <w:t>. DOI:</w:t>
      </w:r>
      <w:r w:rsidRPr="00350C35">
        <w:rPr>
          <w:sz w:val="28"/>
          <w:szCs w:val="28"/>
        </w:rPr>
        <w:t> </w:t>
      </w:r>
      <w:hyperlink r:id="rId5" w:history="1">
        <w:r w:rsidRPr="00350C35">
          <w:rPr>
            <w:rStyle w:val="Hyperlink"/>
            <w:sz w:val="28"/>
            <w:szCs w:val="28"/>
          </w:rPr>
          <w:t>https://doi.org/10.1093/pubmed/fdae266</w:t>
        </w:r>
      </w:hyperlink>
      <w:r w:rsidR="006670F0" w:rsidRPr="00350C35">
        <w:rPr>
          <w:sz w:val="28"/>
          <w:szCs w:val="28"/>
        </w:rPr>
        <w:t xml:space="preserve"> </w:t>
      </w:r>
      <w:r w:rsidR="006670F0" w:rsidRPr="00350C35">
        <w:rPr>
          <w:sz w:val="28"/>
          <w:szCs w:val="28"/>
        </w:rPr>
        <w:t>(Accessed: 10</w:t>
      </w:r>
      <w:r w:rsidR="006670F0" w:rsidRPr="00350C35">
        <w:rPr>
          <w:sz w:val="28"/>
          <w:szCs w:val="28"/>
          <w:vertAlign w:val="superscript"/>
        </w:rPr>
        <w:t>th</w:t>
      </w:r>
      <w:r w:rsidR="006670F0" w:rsidRPr="00350C35">
        <w:rPr>
          <w:sz w:val="28"/>
          <w:szCs w:val="28"/>
        </w:rPr>
        <w:t xml:space="preserve"> May 2025)</w:t>
      </w:r>
    </w:p>
    <w:p w14:paraId="770EBB10" w14:textId="2727CA9F" w:rsidR="0050526F" w:rsidRPr="00350C35" w:rsidRDefault="0050526F" w:rsidP="00002741">
      <w:pPr>
        <w:rPr>
          <w:sz w:val="28"/>
          <w:szCs w:val="28"/>
        </w:rPr>
      </w:pPr>
      <w:r w:rsidRPr="00350C35">
        <w:rPr>
          <w:sz w:val="28"/>
          <w:szCs w:val="28"/>
        </w:rPr>
        <w:t xml:space="preserve">Allen, G and Wong, H. (2024). </w:t>
      </w:r>
      <w:r w:rsidRPr="00350C35">
        <w:rPr>
          <w:i/>
          <w:iCs/>
          <w:sz w:val="28"/>
          <w:szCs w:val="28"/>
        </w:rPr>
        <w:t>Police Service Strength</w:t>
      </w:r>
      <w:r w:rsidRPr="00350C35">
        <w:rPr>
          <w:sz w:val="28"/>
          <w:szCs w:val="28"/>
        </w:rPr>
        <w:t xml:space="preserve">. Available at: </w:t>
      </w:r>
      <w:hyperlink r:id="rId6" w:history="1">
        <w:r w:rsidRPr="00350C35">
          <w:rPr>
            <w:rStyle w:val="Hyperlink"/>
            <w:sz w:val="28"/>
            <w:szCs w:val="28"/>
          </w:rPr>
          <w:t>https://commonslibrary.parliament.uk/research-briefings/sn00634/</w:t>
        </w:r>
      </w:hyperlink>
      <w:r w:rsidRPr="00350C35">
        <w:rPr>
          <w:sz w:val="28"/>
          <w:szCs w:val="28"/>
        </w:rPr>
        <w:t xml:space="preserve">  (Accessed: 1</w:t>
      </w:r>
      <w:r w:rsidRPr="00350C35">
        <w:rPr>
          <w:sz w:val="28"/>
          <w:szCs w:val="28"/>
          <w:vertAlign w:val="superscript"/>
        </w:rPr>
        <w:t>st</w:t>
      </w:r>
      <w:r w:rsidRPr="00350C35">
        <w:rPr>
          <w:sz w:val="28"/>
          <w:szCs w:val="28"/>
        </w:rPr>
        <w:t xml:space="preserve"> May 2025)</w:t>
      </w:r>
    </w:p>
    <w:p w14:paraId="18D445E2" w14:textId="2B8060CF" w:rsidR="00E8084D" w:rsidRPr="00350C35" w:rsidRDefault="00E8084D" w:rsidP="00002741">
      <w:pPr>
        <w:rPr>
          <w:sz w:val="28"/>
          <w:szCs w:val="28"/>
        </w:rPr>
      </w:pPr>
      <w:r w:rsidRPr="00350C35">
        <w:rPr>
          <w:sz w:val="28"/>
          <w:szCs w:val="28"/>
        </w:rPr>
        <w:t xml:space="preserve">Allen, K, Safi, A and Deb, S. (2022). ‘An Exploration into the Impact That Shift Work has on the Nutritional Behaviours of UK Police Officers’, </w:t>
      </w:r>
      <w:r w:rsidRPr="00350C35">
        <w:rPr>
          <w:i/>
          <w:iCs/>
          <w:sz w:val="28"/>
          <w:szCs w:val="28"/>
        </w:rPr>
        <w:t xml:space="preserve">British Journal of Nutrition, </w:t>
      </w:r>
      <w:r w:rsidRPr="00350C35">
        <w:rPr>
          <w:sz w:val="28"/>
          <w:szCs w:val="28"/>
        </w:rPr>
        <w:t xml:space="preserve">130, pp 284-293. DOI: </w:t>
      </w:r>
      <w:hyperlink r:id="rId7" w:history="1">
        <w:r w:rsidR="00B630D2" w:rsidRPr="00350C35">
          <w:rPr>
            <w:rStyle w:val="Hyperlink"/>
            <w:sz w:val="28"/>
            <w:szCs w:val="28"/>
          </w:rPr>
          <w:t>https://doi.org/10.1017/S0007114522002999</w:t>
        </w:r>
      </w:hyperlink>
      <w:r w:rsidR="00B630D2" w:rsidRPr="00350C35">
        <w:rPr>
          <w:sz w:val="28"/>
          <w:szCs w:val="28"/>
        </w:rPr>
        <w:t xml:space="preserve"> </w:t>
      </w:r>
      <w:r w:rsidRPr="00350C35">
        <w:rPr>
          <w:i/>
          <w:iCs/>
          <w:sz w:val="28"/>
          <w:szCs w:val="28"/>
        </w:rPr>
        <w:t xml:space="preserve"> </w:t>
      </w:r>
      <w:r w:rsidR="00B630D2" w:rsidRPr="00350C35">
        <w:rPr>
          <w:i/>
          <w:iCs/>
          <w:sz w:val="28"/>
          <w:szCs w:val="28"/>
        </w:rPr>
        <w:br/>
      </w:r>
      <w:r w:rsidRPr="00350C35">
        <w:rPr>
          <w:sz w:val="28"/>
          <w:szCs w:val="28"/>
        </w:rPr>
        <w:t>(Accessed:26</w:t>
      </w:r>
      <w:r w:rsidRPr="00350C35">
        <w:rPr>
          <w:sz w:val="28"/>
          <w:szCs w:val="28"/>
          <w:vertAlign w:val="superscript"/>
        </w:rPr>
        <w:t>th</w:t>
      </w:r>
      <w:r w:rsidRPr="00350C35">
        <w:rPr>
          <w:sz w:val="28"/>
          <w:szCs w:val="28"/>
        </w:rPr>
        <w:t xml:space="preserve"> April 2025)</w:t>
      </w:r>
    </w:p>
    <w:p w14:paraId="4D8F093A" w14:textId="2CDF5567" w:rsidR="00536152" w:rsidRPr="00350C35" w:rsidRDefault="00536152" w:rsidP="00002741">
      <w:pPr>
        <w:rPr>
          <w:sz w:val="28"/>
          <w:szCs w:val="28"/>
        </w:rPr>
      </w:pPr>
      <w:r w:rsidRPr="00350C35">
        <w:rPr>
          <w:sz w:val="28"/>
          <w:szCs w:val="28"/>
        </w:rPr>
        <w:t xml:space="preserve">Auth, N et al. (2022). Mental health and help seeking among trauma-exposed emergency service staff: a qualitative evidence synthesis. </w:t>
      </w:r>
      <w:r w:rsidRPr="00350C35">
        <w:rPr>
          <w:i/>
          <w:iCs/>
          <w:sz w:val="28"/>
          <w:szCs w:val="28"/>
        </w:rPr>
        <w:t xml:space="preserve">BJM Open, </w:t>
      </w:r>
      <w:r w:rsidRPr="00350C35">
        <w:rPr>
          <w:sz w:val="28"/>
          <w:szCs w:val="28"/>
        </w:rPr>
        <w:t xml:space="preserve">12(2). DOI: </w:t>
      </w:r>
      <w:hyperlink r:id="rId8" w:history="1">
        <w:r w:rsidRPr="00350C35">
          <w:rPr>
            <w:rStyle w:val="Hyperlink"/>
            <w:sz w:val="28"/>
            <w:szCs w:val="28"/>
          </w:rPr>
          <w:t>https://doi.org.10.1136/bmjopen-2020-047814</w:t>
        </w:r>
      </w:hyperlink>
      <w:r w:rsidRPr="00350C35">
        <w:rPr>
          <w:sz w:val="28"/>
          <w:szCs w:val="28"/>
        </w:rPr>
        <w:t xml:space="preserve"> (Accessed: 28th April 2025)</w:t>
      </w:r>
    </w:p>
    <w:p w14:paraId="222859A6" w14:textId="6F7E1F17" w:rsidR="006670F0" w:rsidRPr="00350C35" w:rsidRDefault="006670F0" w:rsidP="00002741">
      <w:pPr>
        <w:rPr>
          <w:sz w:val="28"/>
          <w:szCs w:val="28"/>
        </w:rPr>
      </w:pPr>
      <w:proofErr w:type="spellStart"/>
      <w:r w:rsidRPr="00350C35">
        <w:rPr>
          <w:sz w:val="28"/>
          <w:szCs w:val="28"/>
        </w:rPr>
        <w:t>Baidawi</w:t>
      </w:r>
      <w:proofErr w:type="spellEnd"/>
      <w:r w:rsidRPr="00350C35">
        <w:rPr>
          <w:sz w:val="28"/>
          <w:szCs w:val="28"/>
        </w:rPr>
        <w:t>, S, Sheehan, R and Flynn, C. (2020). ‘</w:t>
      </w:r>
      <w:r w:rsidRPr="00350C35">
        <w:rPr>
          <w:sz w:val="28"/>
          <w:szCs w:val="28"/>
        </w:rPr>
        <w:t>Criminal exploitation of child protection-involved youth</w:t>
      </w:r>
      <w:r w:rsidRPr="00350C35">
        <w:rPr>
          <w:sz w:val="28"/>
          <w:szCs w:val="28"/>
        </w:rPr>
        <w:t xml:space="preserve">’. </w:t>
      </w:r>
      <w:r w:rsidRPr="00350C35">
        <w:rPr>
          <w:i/>
          <w:iCs/>
          <w:sz w:val="28"/>
          <w:szCs w:val="28"/>
        </w:rPr>
        <w:t xml:space="preserve">Children and Youth Services Review. </w:t>
      </w:r>
      <w:r w:rsidRPr="00350C35">
        <w:rPr>
          <w:sz w:val="28"/>
          <w:szCs w:val="28"/>
        </w:rPr>
        <w:t xml:space="preserve">118(10). DOI: </w:t>
      </w:r>
      <w:hyperlink r:id="rId9" w:tgtFrame="_blank" w:tooltip="Persistent link using digital object identifier" w:history="1">
        <w:r w:rsidRPr="00350C35">
          <w:rPr>
            <w:rStyle w:val="Hyperlink"/>
            <w:sz w:val="28"/>
            <w:szCs w:val="28"/>
          </w:rPr>
          <w:t>https://doi.org/10.1016/j.childyouth.2020.105396</w:t>
        </w:r>
      </w:hyperlink>
      <w:r w:rsidRPr="00350C35">
        <w:rPr>
          <w:sz w:val="28"/>
          <w:szCs w:val="28"/>
        </w:rPr>
        <w:t xml:space="preserve"> </w:t>
      </w:r>
      <w:r w:rsidR="00350C35">
        <w:rPr>
          <w:sz w:val="28"/>
          <w:szCs w:val="28"/>
        </w:rPr>
        <w:br/>
      </w:r>
      <w:r w:rsidRPr="00350C35">
        <w:rPr>
          <w:sz w:val="28"/>
          <w:szCs w:val="28"/>
        </w:rPr>
        <w:t>(Accessed: 10</w:t>
      </w:r>
      <w:r w:rsidRPr="00350C35">
        <w:rPr>
          <w:sz w:val="28"/>
          <w:szCs w:val="28"/>
          <w:vertAlign w:val="superscript"/>
        </w:rPr>
        <w:t>th</w:t>
      </w:r>
      <w:r w:rsidRPr="00350C35">
        <w:rPr>
          <w:sz w:val="28"/>
          <w:szCs w:val="28"/>
        </w:rPr>
        <w:t xml:space="preserve"> May 2025)</w:t>
      </w:r>
    </w:p>
    <w:p w14:paraId="610F0AF0" w14:textId="32C5DF2C" w:rsidR="00227B60" w:rsidRPr="00350C35" w:rsidRDefault="00227B60" w:rsidP="00002741">
      <w:pPr>
        <w:rPr>
          <w:sz w:val="28"/>
          <w:szCs w:val="28"/>
        </w:rPr>
      </w:pPr>
      <w:r w:rsidRPr="00350C35">
        <w:rPr>
          <w:sz w:val="28"/>
          <w:szCs w:val="28"/>
        </w:rPr>
        <w:t xml:space="preserve">Barlow, C et al. (2022). </w:t>
      </w:r>
      <w:r w:rsidRPr="00350C35">
        <w:rPr>
          <w:sz w:val="28"/>
          <w:szCs w:val="28"/>
        </w:rPr>
        <w:t>Circles of analysis: a systemic model of child criminal exploitation. </w:t>
      </w:r>
      <w:r w:rsidRPr="00350C35">
        <w:rPr>
          <w:i/>
          <w:iCs/>
          <w:sz w:val="28"/>
          <w:szCs w:val="28"/>
        </w:rPr>
        <w:t>Journal of Children's Services, </w:t>
      </w:r>
      <w:r w:rsidRPr="00350C35">
        <w:rPr>
          <w:sz w:val="28"/>
          <w:szCs w:val="28"/>
        </w:rPr>
        <w:t>17(3), pp 158-174.</w:t>
      </w:r>
      <w:r w:rsidRPr="00350C35">
        <w:rPr>
          <w:sz w:val="28"/>
          <w:szCs w:val="28"/>
        </w:rPr>
        <w:t xml:space="preserve"> </w:t>
      </w:r>
      <w:r w:rsidRPr="00350C35">
        <w:rPr>
          <w:sz w:val="28"/>
          <w:szCs w:val="28"/>
        </w:rPr>
        <w:t>DOI:</w:t>
      </w:r>
      <w:r w:rsidRPr="00350C35">
        <w:rPr>
          <w:sz w:val="28"/>
          <w:szCs w:val="28"/>
        </w:rPr>
        <w:t xml:space="preserve"> </w:t>
      </w:r>
      <w:hyperlink r:id="rId10" w:history="1">
        <w:r w:rsidRPr="00350C35">
          <w:rPr>
            <w:rStyle w:val="Hyperlink"/>
            <w:sz w:val="28"/>
            <w:szCs w:val="28"/>
          </w:rPr>
          <w:t>https://doi.org.</w:t>
        </w:r>
        <w:r w:rsidRPr="00350C35">
          <w:rPr>
            <w:rStyle w:val="Hyperlink"/>
            <w:sz w:val="28"/>
            <w:szCs w:val="28"/>
          </w:rPr>
          <w:t>10.1108/JCS-04-2021-0016</w:t>
        </w:r>
      </w:hyperlink>
      <w:r w:rsidRPr="00350C35">
        <w:rPr>
          <w:sz w:val="28"/>
          <w:szCs w:val="28"/>
        </w:rPr>
        <w:t xml:space="preserve"> </w:t>
      </w:r>
      <w:r w:rsidR="00350C35">
        <w:rPr>
          <w:sz w:val="28"/>
          <w:szCs w:val="28"/>
        </w:rPr>
        <w:br/>
      </w:r>
      <w:r w:rsidR="006670F0" w:rsidRPr="00350C35">
        <w:rPr>
          <w:sz w:val="28"/>
          <w:szCs w:val="28"/>
        </w:rPr>
        <w:t xml:space="preserve">(Accessed: </w:t>
      </w:r>
      <w:r w:rsidR="006670F0" w:rsidRPr="00350C35">
        <w:rPr>
          <w:sz w:val="28"/>
          <w:szCs w:val="28"/>
        </w:rPr>
        <w:t>9</w:t>
      </w:r>
      <w:r w:rsidR="006670F0" w:rsidRPr="00350C35">
        <w:rPr>
          <w:sz w:val="28"/>
          <w:szCs w:val="28"/>
          <w:vertAlign w:val="superscript"/>
        </w:rPr>
        <w:t>th</w:t>
      </w:r>
      <w:r w:rsidR="006670F0" w:rsidRPr="00350C35">
        <w:rPr>
          <w:sz w:val="28"/>
          <w:szCs w:val="28"/>
        </w:rPr>
        <w:t xml:space="preserve"> May 2025)</w:t>
      </w:r>
    </w:p>
    <w:p w14:paraId="3F5BA3EA" w14:textId="1B1EA47F" w:rsidR="00002741" w:rsidRPr="00350C35" w:rsidRDefault="00002741" w:rsidP="00002741">
      <w:pPr>
        <w:rPr>
          <w:sz w:val="28"/>
          <w:szCs w:val="28"/>
        </w:rPr>
      </w:pPr>
      <w:r w:rsidRPr="00350C35">
        <w:rPr>
          <w:sz w:val="28"/>
          <w:szCs w:val="28"/>
        </w:rPr>
        <w:t>Baroness Casey of Blackstock DBE CB. (2023</w:t>
      </w:r>
      <w:r w:rsidRPr="00350C35">
        <w:rPr>
          <w:i/>
          <w:iCs/>
          <w:sz w:val="28"/>
          <w:szCs w:val="28"/>
        </w:rPr>
        <w:t xml:space="preserve">) An Independent Review into the Standards of Behaviour and Internal Culture of the MPS. </w:t>
      </w:r>
      <w:r w:rsidRPr="00350C35">
        <w:rPr>
          <w:i/>
          <w:iCs/>
          <w:sz w:val="28"/>
          <w:szCs w:val="28"/>
        </w:rPr>
        <w:tab/>
      </w:r>
      <w:r w:rsidRPr="00350C35">
        <w:rPr>
          <w:i/>
          <w:iCs/>
          <w:sz w:val="28"/>
          <w:szCs w:val="28"/>
        </w:rPr>
        <w:tab/>
        <w:t xml:space="preserve"> </w:t>
      </w:r>
      <w:r w:rsidRPr="00350C35">
        <w:rPr>
          <w:sz w:val="28"/>
          <w:szCs w:val="28"/>
        </w:rPr>
        <w:t xml:space="preserve">Available at: </w:t>
      </w:r>
      <w:hyperlink r:id="rId11" w:history="1">
        <w:r w:rsidR="00257409" w:rsidRPr="00BD1B9C">
          <w:rPr>
            <w:rStyle w:val="Hyperlink"/>
            <w:sz w:val="28"/>
            <w:szCs w:val="28"/>
          </w:rPr>
          <w:t>https://www.met.police.uk/SysSiteAssets/media/downloads/met/about-us/baroness-casey-review/update-march-2023/baroness-casey-review-march-2023a.pdf</w:t>
        </w:r>
      </w:hyperlink>
      <w:r w:rsidR="00257409">
        <w:rPr>
          <w:sz w:val="28"/>
          <w:szCs w:val="28"/>
        </w:rPr>
        <w:t xml:space="preserve"> </w:t>
      </w:r>
      <w:r w:rsidRPr="00350C35">
        <w:rPr>
          <w:sz w:val="28"/>
          <w:szCs w:val="28"/>
        </w:rPr>
        <w:tab/>
      </w:r>
      <w:r w:rsidRPr="00350C35">
        <w:rPr>
          <w:sz w:val="28"/>
          <w:szCs w:val="28"/>
        </w:rPr>
        <w:tab/>
        <w:t xml:space="preserve">          </w:t>
      </w:r>
      <w:r w:rsidR="00257409">
        <w:rPr>
          <w:sz w:val="28"/>
          <w:szCs w:val="28"/>
        </w:rPr>
        <w:br/>
      </w:r>
      <w:r w:rsidRPr="00350C35">
        <w:rPr>
          <w:sz w:val="28"/>
          <w:szCs w:val="28"/>
        </w:rPr>
        <w:t>(Accessed on: 22</w:t>
      </w:r>
      <w:r w:rsidRPr="00350C35">
        <w:rPr>
          <w:sz w:val="28"/>
          <w:szCs w:val="28"/>
          <w:vertAlign w:val="superscript"/>
        </w:rPr>
        <w:t>nd</w:t>
      </w:r>
      <w:r w:rsidRPr="00350C35">
        <w:rPr>
          <w:sz w:val="28"/>
          <w:szCs w:val="28"/>
        </w:rPr>
        <w:t xml:space="preserve"> January 2025) </w:t>
      </w:r>
    </w:p>
    <w:p w14:paraId="07F9699C" w14:textId="0199644C" w:rsidR="000E3C2C" w:rsidRDefault="00002741" w:rsidP="00002741">
      <w:pPr>
        <w:rPr>
          <w:sz w:val="28"/>
          <w:szCs w:val="28"/>
        </w:rPr>
      </w:pPr>
      <w:r w:rsidRPr="00350C35">
        <w:rPr>
          <w:sz w:val="28"/>
          <w:szCs w:val="28"/>
        </w:rPr>
        <w:t xml:space="preserve">Blackstone’s. (2023) </w:t>
      </w:r>
      <w:r w:rsidRPr="00350C35">
        <w:rPr>
          <w:i/>
          <w:iCs/>
          <w:sz w:val="28"/>
          <w:szCs w:val="28"/>
        </w:rPr>
        <w:t xml:space="preserve">Handbook </w:t>
      </w:r>
      <w:r w:rsidR="00350C35">
        <w:rPr>
          <w:i/>
          <w:iCs/>
          <w:sz w:val="28"/>
          <w:szCs w:val="28"/>
        </w:rPr>
        <w:t>f</w:t>
      </w:r>
      <w:r w:rsidRPr="00350C35">
        <w:rPr>
          <w:i/>
          <w:iCs/>
          <w:sz w:val="28"/>
          <w:szCs w:val="28"/>
        </w:rPr>
        <w:t xml:space="preserve">or Policing Students. </w:t>
      </w:r>
      <w:r w:rsidRPr="00350C35">
        <w:rPr>
          <w:sz w:val="28"/>
          <w:szCs w:val="28"/>
        </w:rPr>
        <w:t>17</w:t>
      </w:r>
      <w:r w:rsidRPr="00350C35">
        <w:rPr>
          <w:sz w:val="28"/>
          <w:szCs w:val="28"/>
          <w:vertAlign w:val="superscript"/>
        </w:rPr>
        <w:t>th</w:t>
      </w:r>
      <w:r w:rsidRPr="00350C35">
        <w:rPr>
          <w:sz w:val="28"/>
          <w:szCs w:val="28"/>
        </w:rPr>
        <w:t xml:space="preserve"> </w:t>
      </w:r>
      <w:proofErr w:type="spellStart"/>
      <w:r w:rsidRPr="00350C35">
        <w:rPr>
          <w:sz w:val="28"/>
          <w:szCs w:val="28"/>
        </w:rPr>
        <w:t>edn</w:t>
      </w:r>
      <w:proofErr w:type="spellEnd"/>
      <w:r w:rsidRPr="00350C35">
        <w:rPr>
          <w:sz w:val="28"/>
          <w:szCs w:val="28"/>
        </w:rPr>
        <w:t xml:space="preserve">. </w:t>
      </w:r>
      <w:r w:rsidR="00350C35">
        <w:rPr>
          <w:sz w:val="28"/>
          <w:szCs w:val="28"/>
        </w:rPr>
        <w:t xml:space="preserve">Oxford: </w:t>
      </w:r>
      <w:r w:rsidRPr="00350C35">
        <w:rPr>
          <w:sz w:val="28"/>
          <w:szCs w:val="28"/>
        </w:rPr>
        <w:t xml:space="preserve">Oxford university press. </w:t>
      </w:r>
    </w:p>
    <w:p w14:paraId="3EE022A8" w14:textId="06554298" w:rsidR="00C24AE0" w:rsidRPr="00350C35" w:rsidRDefault="00C24AE0" w:rsidP="00002741">
      <w:pPr>
        <w:rPr>
          <w:b/>
          <w:bCs/>
          <w:sz w:val="28"/>
          <w:szCs w:val="28"/>
        </w:rPr>
      </w:pPr>
      <w:r w:rsidRPr="00350C35">
        <w:rPr>
          <w:sz w:val="28"/>
          <w:szCs w:val="28"/>
        </w:rPr>
        <w:lastRenderedPageBreak/>
        <w:t xml:space="preserve">Butera, J. (2013). </w:t>
      </w:r>
      <w:r w:rsidRPr="00350C35">
        <w:rPr>
          <w:i/>
          <w:iCs/>
          <w:sz w:val="28"/>
          <w:szCs w:val="28"/>
        </w:rPr>
        <w:t>Cuckooing: Home Takeovers of Vulnerable Tenants</w:t>
      </w:r>
      <w:r w:rsidRPr="00350C35">
        <w:rPr>
          <w:sz w:val="28"/>
          <w:szCs w:val="28"/>
        </w:rPr>
        <w:t xml:space="preserve">. Ottawa: Crime Prevention Ottawa. Available at: </w:t>
      </w:r>
      <w:hyperlink r:id="rId12" w:history="1">
        <w:r w:rsidRPr="00350C35">
          <w:rPr>
            <w:rStyle w:val="Hyperlink"/>
            <w:sz w:val="28"/>
            <w:szCs w:val="28"/>
          </w:rPr>
          <w:t>https://www.homelesshub.ca/sites/default/files/Cuckooing-Home%20takeovers%20of%20vulnerable%20tenants.pdf</w:t>
        </w:r>
      </w:hyperlink>
      <w:r w:rsidRPr="00350C35">
        <w:rPr>
          <w:sz w:val="28"/>
          <w:szCs w:val="28"/>
        </w:rPr>
        <w:t xml:space="preserve"> </w:t>
      </w:r>
      <w:r w:rsidR="000E3C2C">
        <w:rPr>
          <w:sz w:val="28"/>
          <w:szCs w:val="28"/>
        </w:rPr>
        <w:br/>
      </w:r>
      <w:r w:rsidRPr="00350C35">
        <w:rPr>
          <w:sz w:val="28"/>
          <w:szCs w:val="28"/>
        </w:rPr>
        <w:t>(Accessed: 9</w:t>
      </w:r>
      <w:r w:rsidRPr="00350C35">
        <w:rPr>
          <w:sz w:val="28"/>
          <w:szCs w:val="28"/>
          <w:vertAlign w:val="superscript"/>
        </w:rPr>
        <w:t>th</w:t>
      </w:r>
      <w:r w:rsidRPr="00350C35">
        <w:rPr>
          <w:sz w:val="28"/>
          <w:szCs w:val="28"/>
        </w:rPr>
        <w:t xml:space="preserve"> May 2025)</w:t>
      </w:r>
    </w:p>
    <w:p w14:paraId="560B0E37" w14:textId="7125EDC9" w:rsidR="00A928C4" w:rsidRPr="00350C35" w:rsidRDefault="00A928C4" w:rsidP="00002741">
      <w:pPr>
        <w:rPr>
          <w:sz w:val="28"/>
          <w:szCs w:val="28"/>
        </w:rPr>
      </w:pPr>
      <w:r w:rsidRPr="00350C35">
        <w:rPr>
          <w:sz w:val="28"/>
          <w:szCs w:val="28"/>
        </w:rPr>
        <w:t xml:space="preserve">Christie, N. (1986). ‘The </w:t>
      </w:r>
      <w:r w:rsidR="0001628B" w:rsidRPr="00350C35">
        <w:rPr>
          <w:sz w:val="28"/>
          <w:szCs w:val="28"/>
        </w:rPr>
        <w:t>I</w:t>
      </w:r>
      <w:r w:rsidRPr="00350C35">
        <w:rPr>
          <w:sz w:val="28"/>
          <w:szCs w:val="28"/>
        </w:rPr>
        <w:t>deal Victim’. London: Macmillan.</w:t>
      </w:r>
    </w:p>
    <w:p w14:paraId="2C3BC894" w14:textId="0FE8682F" w:rsidR="00C66E0D" w:rsidRPr="00350C35" w:rsidRDefault="00C66E0D" w:rsidP="00002741">
      <w:pPr>
        <w:rPr>
          <w:sz w:val="28"/>
          <w:szCs w:val="28"/>
        </w:rPr>
      </w:pPr>
      <w:r w:rsidRPr="00350C35">
        <w:rPr>
          <w:i/>
          <w:iCs/>
          <w:sz w:val="28"/>
          <w:szCs w:val="28"/>
        </w:rPr>
        <w:t>Code of Practice for Victims of Crime 20</w:t>
      </w:r>
      <w:r w:rsidR="003F4E6A" w:rsidRPr="00350C35">
        <w:rPr>
          <w:i/>
          <w:iCs/>
          <w:sz w:val="28"/>
          <w:szCs w:val="28"/>
        </w:rPr>
        <w:t>0</w:t>
      </w:r>
      <w:r w:rsidRPr="00350C35">
        <w:rPr>
          <w:i/>
          <w:iCs/>
          <w:sz w:val="28"/>
          <w:szCs w:val="28"/>
        </w:rPr>
        <w:t>5</w:t>
      </w:r>
      <w:r w:rsidRPr="00350C35">
        <w:rPr>
          <w:sz w:val="28"/>
          <w:szCs w:val="28"/>
        </w:rPr>
        <w:t xml:space="preserve">. Available at: </w:t>
      </w:r>
      <w:hyperlink r:id="rId13" w:history="1">
        <w:r w:rsidRPr="00350C35">
          <w:rPr>
            <w:rStyle w:val="Hyperlink"/>
            <w:sz w:val="28"/>
            <w:szCs w:val="28"/>
          </w:rPr>
          <w:t>https://www.gov.uk/government/publications/the-code-of-practice-for-victims-of-crime/code-of-practice-for-victims-of-crime-in-england-and-wales-victims-code</w:t>
        </w:r>
      </w:hyperlink>
      <w:r w:rsidRPr="00350C35">
        <w:rPr>
          <w:sz w:val="28"/>
          <w:szCs w:val="28"/>
        </w:rPr>
        <w:t xml:space="preserve"> </w:t>
      </w:r>
      <w:r w:rsidR="000E3C2C">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 </w:t>
      </w:r>
    </w:p>
    <w:p w14:paraId="4B838B2F" w14:textId="61F197EE" w:rsidR="008646C0" w:rsidRPr="00350C35" w:rsidRDefault="008646C0" w:rsidP="00002741">
      <w:pPr>
        <w:rPr>
          <w:sz w:val="28"/>
          <w:szCs w:val="28"/>
        </w:rPr>
      </w:pPr>
      <w:r w:rsidRPr="00350C35">
        <w:rPr>
          <w:sz w:val="28"/>
          <w:szCs w:val="28"/>
        </w:rPr>
        <w:t xml:space="preserve">College of Policing. (2015). </w:t>
      </w:r>
      <w:r w:rsidRPr="00350C35">
        <w:rPr>
          <w:i/>
          <w:iCs/>
          <w:sz w:val="28"/>
          <w:szCs w:val="28"/>
        </w:rPr>
        <w:t>College of Policing Analysis: Estimatin</w:t>
      </w:r>
      <w:r w:rsidR="00322D55" w:rsidRPr="00350C35">
        <w:rPr>
          <w:i/>
          <w:iCs/>
          <w:sz w:val="28"/>
          <w:szCs w:val="28"/>
        </w:rPr>
        <w:t>g</w:t>
      </w:r>
      <w:r w:rsidRPr="00350C35">
        <w:rPr>
          <w:i/>
          <w:iCs/>
          <w:sz w:val="28"/>
          <w:szCs w:val="28"/>
        </w:rPr>
        <w:t xml:space="preserve"> Demand on the Police Service.</w:t>
      </w:r>
      <w:r w:rsidRPr="00350C35">
        <w:rPr>
          <w:sz w:val="28"/>
          <w:szCs w:val="28"/>
        </w:rPr>
        <w:t xml:space="preserve"> Available at</w:t>
      </w:r>
      <w:r w:rsidR="00322D55" w:rsidRPr="00350C35">
        <w:rPr>
          <w:sz w:val="28"/>
          <w:szCs w:val="28"/>
        </w:rPr>
        <w:t xml:space="preserve">: </w:t>
      </w:r>
      <w:hyperlink r:id="rId14" w:history="1">
        <w:r w:rsidR="00322D55" w:rsidRPr="00350C35">
          <w:rPr>
            <w:rStyle w:val="Hyperlink"/>
            <w:sz w:val="28"/>
            <w:szCs w:val="28"/>
          </w:rPr>
          <w:t>https://assets.college.police.uk/s3fs-public/2021-03/demand-on-policing-report.pdf</w:t>
        </w:r>
      </w:hyperlink>
      <w:r w:rsidR="00322D55" w:rsidRPr="00350C35">
        <w:rPr>
          <w:sz w:val="28"/>
          <w:szCs w:val="28"/>
        </w:rPr>
        <w:t xml:space="preserve"> </w:t>
      </w:r>
      <w:r w:rsidR="000E3C2C">
        <w:rPr>
          <w:sz w:val="28"/>
          <w:szCs w:val="28"/>
        </w:rPr>
        <w:br/>
      </w:r>
      <w:r w:rsidR="00322D55" w:rsidRPr="00350C35">
        <w:rPr>
          <w:sz w:val="28"/>
          <w:szCs w:val="28"/>
        </w:rPr>
        <w:t>(Accessed: 4</w:t>
      </w:r>
      <w:r w:rsidR="00322D55" w:rsidRPr="00350C35">
        <w:rPr>
          <w:sz w:val="28"/>
          <w:szCs w:val="28"/>
          <w:vertAlign w:val="superscript"/>
        </w:rPr>
        <w:t>th</w:t>
      </w:r>
      <w:r w:rsidR="00322D55" w:rsidRPr="00350C35">
        <w:rPr>
          <w:sz w:val="28"/>
          <w:szCs w:val="28"/>
        </w:rPr>
        <w:t xml:space="preserve"> May 2025)</w:t>
      </w:r>
    </w:p>
    <w:p w14:paraId="0F3E880A" w14:textId="4B2C135C" w:rsidR="00EC6F00" w:rsidRPr="00350C35" w:rsidRDefault="00EC6F00" w:rsidP="00002741">
      <w:pPr>
        <w:rPr>
          <w:sz w:val="28"/>
          <w:szCs w:val="28"/>
        </w:rPr>
      </w:pPr>
      <w:r w:rsidRPr="00350C35">
        <w:rPr>
          <w:sz w:val="28"/>
          <w:szCs w:val="28"/>
        </w:rPr>
        <w:t xml:space="preserve">College of Policing. (2018). </w:t>
      </w:r>
      <w:r w:rsidRPr="00350C35">
        <w:rPr>
          <w:i/>
          <w:iCs/>
          <w:sz w:val="28"/>
          <w:szCs w:val="28"/>
        </w:rPr>
        <w:t xml:space="preserve">Professionalising Investigations Programme. </w:t>
      </w:r>
      <w:r w:rsidRPr="00350C35">
        <w:rPr>
          <w:sz w:val="28"/>
          <w:szCs w:val="28"/>
        </w:rPr>
        <w:t xml:space="preserve">Available at: </w:t>
      </w:r>
      <w:hyperlink r:id="rId15" w:history="1">
        <w:r w:rsidRPr="00350C35">
          <w:rPr>
            <w:rStyle w:val="Hyperlink"/>
            <w:sz w:val="28"/>
            <w:szCs w:val="28"/>
          </w:rPr>
          <w:t>https://assets.college.police.uk/s3fs-public/2020-11/Professionalising-Investigations-Progamme.pdf</w:t>
        </w:r>
      </w:hyperlink>
      <w:r w:rsidRPr="00350C35">
        <w:rPr>
          <w:sz w:val="28"/>
          <w:szCs w:val="28"/>
        </w:rPr>
        <w:t xml:space="preserve"> </w:t>
      </w:r>
      <w:r w:rsidRPr="00350C35">
        <w:rPr>
          <w:sz w:val="28"/>
          <w:szCs w:val="28"/>
        </w:rPr>
        <w:br/>
        <w:t>(Accessed: 3</w:t>
      </w:r>
      <w:r w:rsidRPr="00350C35">
        <w:rPr>
          <w:sz w:val="28"/>
          <w:szCs w:val="28"/>
          <w:vertAlign w:val="superscript"/>
        </w:rPr>
        <w:t>rd</w:t>
      </w:r>
      <w:r w:rsidRPr="00350C35">
        <w:rPr>
          <w:sz w:val="28"/>
          <w:szCs w:val="28"/>
        </w:rPr>
        <w:t xml:space="preserve"> May 2025)</w:t>
      </w:r>
    </w:p>
    <w:p w14:paraId="020AFC45" w14:textId="1215B9AE" w:rsidR="00002741" w:rsidRPr="00350C35" w:rsidRDefault="00002741" w:rsidP="00002741">
      <w:pPr>
        <w:rPr>
          <w:sz w:val="28"/>
          <w:szCs w:val="28"/>
        </w:rPr>
      </w:pPr>
      <w:r w:rsidRPr="00350C35">
        <w:rPr>
          <w:sz w:val="28"/>
          <w:szCs w:val="28"/>
        </w:rPr>
        <w:t>College of Policing</w:t>
      </w:r>
      <w:r w:rsidR="00EC6F00" w:rsidRPr="00350C35">
        <w:rPr>
          <w:sz w:val="28"/>
          <w:szCs w:val="28"/>
        </w:rPr>
        <w:t>.</w:t>
      </w:r>
      <w:r w:rsidRPr="00350C35">
        <w:rPr>
          <w:sz w:val="28"/>
          <w:szCs w:val="28"/>
        </w:rPr>
        <w:t xml:space="preserve"> (2024)</w:t>
      </w:r>
      <w:r w:rsidR="00EC6F00" w:rsidRPr="00350C35">
        <w:rPr>
          <w:sz w:val="28"/>
          <w:szCs w:val="28"/>
        </w:rPr>
        <w:t>.</w:t>
      </w:r>
      <w:r w:rsidRPr="00350C35">
        <w:rPr>
          <w:sz w:val="28"/>
          <w:szCs w:val="28"/>
        </w:rPr>
        <w:t xml:space="preserve"> </w:t>
      </w:r>
      <w:r w:rsidRPr="00350C35">
        <w:rPr>
          <w:i/>
          <w:iCs/>
          <w:sz w:val="28"/>
          <w:szCs w:val="28"/>
        </w:rPr>
        <w:t xml:space="preserve">About us. </w:t>
      </w:r>
      <w:r w:rsidRPr="00350C35">
        <w:rPr>
          <w:sz w:val="28"/>
          <w:szCs w:val="28"/>
        </w:rPr>
        <w:t xml:space="preserve">Available at: </w:t>
      </w:r>
      <w:hyperlink r:id="rId16" w:history="1">
        <w:r w:rsidRPr="00350C35">
          <w:rPr>
            <w:rStyle w:val="Hyperlink"/>
            <w:sz w:val="28"/>
            <w:szCs w:val="28"/>
          </w:rPr>
          <w:t>https://www.college.police.uk/about</w:t>
        </w:r>
      </w:hyperlink>
      <w:r w:rsidRPr="00350C35">
        <w:rPr>
          <w:sz w:val="28"/>
          <w:szCs w:val="28"/>
        </w:rPr>
        <w:t xml:space="preserve"> </w:t>
      </w:r>
      <w:r w:rsidR="000E3C2C">
        <w:rPr>
          <w:sz w:val="28"/>
          <w:szCs w:val="28"/>
        </w:rPr>
        <w:br/>
      </w:r>
      <w:r w:rsidRPr="00350C35">
        <w:rPr>
          <w:sz w:val="28"/>
          <w:szCs w:val="28"/>
        </w:rPr>
        <w:t>(Accessed: 21</w:t>
      </w:r>
      <w:r w:rsidRPr="00350C35">
        <w:rPr>
          <w:sz w:val="28"/>
          <w:szCs w:val="28"/>
          <w:vertAlign w:val="superscript"/>
        </w:rPr>
        <w:t>st</w:t>
      </w:r>
      <w:r w:rsidRPr="00350C35">
        <w:rPr>
          <w:sz w:val="28"/>
          <w:szCs w:val="28"/>
        </w:rPr>
        <w:t xml:space="preserve"> January 2025)</w:t>
      </w:r>
    </w:p>
    <w:p w14:paraId="064C49BD" w14:textId="4647B3E9" w:rsidR="003C1BA1" w:rsidRPr="00350C35" w:rsidRDefault="003C1BA1" w:rsidP="00002741">
      <w:pPr>
        <w:rPr>
          <w:sz w:val="28"/>
          <w:szCs w:val="28"/>
        </w:rPr>
      </w:pPr>
      <w:r w:rsidRPr="00350C35">
        <w:rPr>
          <w:sz w:val="28"/>
          <w:szCs w:val="28"/>
        </w:rPr>
        <w:t xml:space="preserve">Cook et al. (2009). </w:t>
      </w:r>
      <w:r w:rsidRPr="00350C35">
        <w:rPr>
          <w:i/>
          <w:iCs/>
          <w:sz w:val="28"/>
          <w:szCs w:val="28"/>
        </w:rPr>
        <w:t>Disabled People’s Experiences of Targeted Violence and Hostility.</w:t>
      </w:r>
      <w:r w:rsidRPr="00350C35">
        <w:rPr>
          <w:sz w:val="28"/>
          <w:szCs w:val="28"/>
        </w:rPr>
        <w:t xml:space="preserve"> Equality and Human Rights Commissioner Research Report Series. Available at: </w:t>
      </w:r>
      <w:hyperlink r:id="rId17" w:history="1">
        <w:r w:rsidRPr="00350C35">
          <w:rPr>
            <w:rStyle w:val="Hyperlink"/>
            <w:sz w:val="28"/>
            <w:szCs w:val="28"/>
          </w:rPr>
          <w:t>https://www.equalityhumanrights.com/sites/default/files/research_report_21_disabled_people_s_experiences_of_targeted_violence_and_hostility.pdf</w:t>
        </w:r>
      </w:hyperlink>
      <w:r w:rsidRPr="00350C35">
        <w:rPr>
          <w:sz w:val="28"/>
          <w:szCs w:val="28"/>
        </w:rPr>
        <w:t xml:space="preserve"> (Accessed: 4</w:t>
      </w:r>
      <w:r w:rsidRPr="00350C35">
        <w:rPr>
          <w:sz w:val="28"/>
          <w:szCs w:val="28"/>
          <w:vertAlign w:val="superscript"/>
        </w:rPr>
        <w:t>th</w:t>
      </w:r>
      <w:r w:rsidRPr="00350C35">
        <w:rPr>
          <w:sz w:val="28"/>
          <w:szCs w:val="28"/>
        </w:rPr>
        <w:t xml:space="preserve"> May 2025)</w:t>
      </w:r>
    </w:p>
    <w:p w14:paraId="057CB7D4" w14:textId="2CCA4E3B" w:rsidR="003F4E6A" w:rsidRPr="00350C35" w:rsidRDefault="003F4E6A" w:rsidP="00002741">
      <w:pPr>
        <w:rPr>
          <w:sz w:val="28"/>
          <w:szCs w:val="28"/>
        </w:rPr>
      </w:pPr>
      <w:r w:rsidRPr="00350C35">
        <w:rPr>
          <w:sz w:val="28"/>
          <w:szCs w:val="28"/>
        </w:rPr>
        <w:t xml:space="preserve">Cox, C. (2019) </w:t>
      </w:r>
      <w:r w:rsidRPr="00350C35">
        <w:rPr>
          <w:i/>
          <w:iCs/>
          <w:sz w:val="28"/>
          <w:szCs w:val="28"/>
        </w:rPr>
        <w:t>Multi-Agency Working in Criminal Justice 2e: Theory, Policy and Practice</w:t>
      </w:r>
      <w:r w:rsidRPr="00350C35">
        <w:rPr>
          <w:sz w:val="28"/>
          <w:szCs w:val="28"/>
        </w:rPr>
        <w:t xml:space="preserve">. </w:t>
      </w:r>
      <w:proofErr w:type="spellStart"/>
      <w:r w:rsidRPr="00350C35">
        <w:rPr>
          <w:sz w:val="28"/>
          <w:szCs w:val="28"/>
        </w:rPr>
        <w:t>JSTOR:Bristol</w:t>
      </w:r>
      <w:proofErr w:type="spellEnd"/>
      <w:r w:rsidRPr="00350C35">
        <w:rPr>
          <w:sz w:val="28"/>
          <w:szCs w:val="28"/>
        </w:rPr>
        <w:t xml:space="preserve"> University </w:t>
      </w:r>
      <w:proofErr w:type="spellStart"/>
      <w:r w:rsidRPr="00350C35">
        <w:rPr>
          <w:sz w:val="28"/>
          <w:szCs w:val="28"/>
        </w:rPr>
        <w:t>Press.pp</w:t>
      </w:r>
      <w:proofErr w:type="spellEnd"/>
      <w:r w:rsidRPr="00350C35">
        <w:rPr>
          <w:sz w:val="28"/>
          <w:szCs w:val="28"/>
        </w:rPr>
        <w:t xml:space="preserve">. 105-120 (16 pages). Available at: </w:t>
      </w:r>
      <w:hyperlink r:id="rId18" w:history="1">
        <w:r w:rsidR="00257409" w:rsidRPr="00BD1B9C">
          <w:rPr>
            <w:rStyle w:val="Hyperlink"/>
            <w:sz w:val="28"/>
            <w:szCs w:val="28"/>
          </w:rPr>
          <w:t>https://www-jstor</w:t>
        </w:r>
        <w:r w:rsidR="00257409" w:rsidRPr="00BD1B9C">
          <w:rPr>
            <w:rStyle w:val="Hyperlink"/>
            <w:sz w:val="28"/>
            <w:szCs w:val="28"/>
          </w:rPr>
          <w:t>-</w:t>
        </w:r>
        <w:r w:rsidR="00257409" w:rsidRPr="00BD1B9C">
          <w:rPr>
            <w:rStyle w:val="Hyperlink"/>
            <w:sz w:val="28"/>
            <w:szCs w:val="28"/>
          </w:rPr>
          <w:t>org.ezproxy.uwtsd.ac.uk/stable/j.ctvq4c0j8.12?seq=1</w:t>
        </w:r>
      </w:hyperlink>
      <w:r w:rsidR="00257409">
        <w:rPr>
          <w:sz w:val="28"/>
          <w:szCs w:val="28"/>
        </w:rPr>
        <w:t xml:space="preserve"> </w:t>
      </w:r>
      <w:r w:rsidR="000E3C2C">
        <w:rPr>
          <w:color w:val="467886" w:themeColor="hyperlink"/>
          <w:sz w:val="28"/>
          <w:szCs w:val="28"/>
        </w:rPr>
        <w:br/>
      </w:r>
      <w:r w:rsidRPr="00350C35">
        <w:rPr>
          <w:sz w:val="28"/>
          <w:szCs w:val="28"/>
        </w:rPr>
        <w:t>(Accessed on: 5</w:t>
      </w:r>
      <w:r w:rsidRPr="00350C35">
        <w:rPr>
          <w:sz w:val="28"/>
          <w:szCs w:val="28"/>
          <w:vertAlign w:val="superscript"/>
        </w:rPr>
        <w:t xml:space="preserve">th </w:t>
      </w:r>
      <w:r w:rsidRPr="00350C35">
        <w:rPr>
          <w:sz w:val="28"/>
          <w:szCs w:val="28"/>
        </w:rPr>
        <w:t>January 2025).</w:t>
      </w:r>
    </w:p>
    <w:p w14:paraId="7A7CA620" w14:textId="77777777" w:rsidR="00002741" w:rsidRPr="00350C35" w:rsidRDefault="00002741" w:rsidP="00002741">
      <w:pPr>
        <w:rPr>
          <w:sz w:val="28"/>
          <w:szCs w:val="28"/>
        </w:rPr>
      </w:pPr>
      <w:r w:rsidRPr="00350C35">
        <w:rPr>
          <w:sz w:val="28"/>
          <w:szCs w:val="28"/>
        </w:rPr>
        <w:lastRenderedPageBreak/>
        <w:t xml:space="preserve">Crime and investigation (2025) </w:t>
      </w:r>
      <w:r w:rsidRPr="00350C35">
        <w:rPr>
          <w:i/>
          <w:iCs/>
          <w:sz w:val="28"/>
          <w:szCs w:val="28"/>
        </w:rPr>
        <w:t>The murder of Sarah Everard: How the Met Police failed women</w:t>
      </w:r>
      <w:r w:rsidRPr="00350C35">
        <w:rPr>
          <w:sz w:val="28"/>
          <w:szCs w:val="28"/>
        </w:rPr>
        <w:t xml:space="preserve">. </w:t>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t xml:space="preserve">  Available at: </w:t>
      </w:r>
      <w:hyperlink r:id="rId19" w:history="1">
        <w:r w:rsidRPr="00350C35">
          <w:rPr>
            <w:rStyle w:val="Hyperlink"/>
            <w:sz w:val="28"/>
            <w:szCs w:val="28"/>
          </w:rPr>
          <w:t>https://www.crimeandinvestigation.co.uk/articles/murder-sarah-everard</w:t>
        </w:r>
      </w:hyperlink>
      <w:r w:rsidRPr="00350C35">
        <w:rPr>
          <w:sz w:val="28"/>
          <w:szCs w:val="28"/>
        </w:rPr>
        <w:t xml:space="preserve"> </w:t>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t xml:space="preserve">         (Accessed: 21</w:t>
      </w:r>
      <w:r w:rsidRPr="00350C35">
        <w:rPr>
          <w:sz w:val="28"/>
          <w:szCs w:val="28"/>
          <w:vertAlign w:val="superscript"/>
        </w:rPr>
        <w:t>st</w:t>
      </w:r>
      <w:r w:rsidRPr="00350C35">
        <w:rPr>
          <w:sz w:val="28"/>
          <w:szCs w:val="28"/>
        </w:rPr>
        <w:t xml:space="preserve"> January 2025)</w:t>
      </w:r>
    </w:p>
    <w:p w14:paraId="4F5FCC69" w14:textId="3B40DA06" w:rsidR="00794FE5" w:rsidRPr="00350C35" w:rsidRDefault="00FD0218" w:rsidP="00002741">
      <w:pPr>
        <w:rPr>
          <w:b/>
          <w:bCs/>
          <w:sz w:val="28"/>
          <w:szCs w:val="28"/>
        </w:rPr>
      </w:pPr>
      <w:r w:rsidRPr="00350C35">
        <w:rPr>
          <w:sz w:val="28"/>
          <w:szCs w:val="28"/>
        </w:rPr>
        <w:t xml:space="preserve">Davis, S. (2024). </w:t>
      </w:r>
      <w:r w:rsidRPr="00350C35">
        <w:rPr>
          <w:i/>
          <w:iCs/>
          <w:sz w:val="28"/>
          <w:szCs w:val="28"/>
        </w:rPr>
        <w:t xml:space="preserve">A New Approach to Serious and Organised Crime in the UK. </w:t>
      </w:r>
      <w:r w:rsidR="00794FE5" w:rsidRPr="00350C35">
        <w:rPr>
          <w:i/>
          <w:iCs/>
          <w:sz w:val="28"/>
          <w:szCs w:val="28"/>
        </w:rPr>
        <w:t xml:space="preserve"> </w:t>
      </w:r>
      <w:r w:rsidR="00794FE5" w:rsidRPr="00350C35">
        <w:rPr>
          <w:sz w:val="28"/>
          <w:szCs w:val="28"/>
        </w:rPr>
        <w:t>Tony Blair Institute for Global Change.</w:t>
      </w:r>
      <w:r w:rsidR="00794FE5" w:rsidRPr="00350C35">
        <w:rPr>
          <w:i/>
          <w:iCs/>
          <w:sz w:val="28"/>
          <w:szCs w:val="28"/>
        </w:rPr>
        <w:t xml:space="preserve"> </w:t>
      </w:r>
      <w:r w:rsidR="00794FE5" w:rsidRPr="00350C35">
        <w:rPr>
          <w:sz w:val="28"/>
          <w:szCs w:val="28"/>
        </w:rPr>
        <w:t xml:space="preserve">Available at: </w:t>
      </w:r>
      <w:hyperlink r:id="rId20" w:history="1">
        <w:r w:rsidR="00794FE5" w:rsidRPr="00350C35">
          <w:rPr>
            <w:rStyle w:val="Hyperlink"/>
            <w:sz w:val="28"/>
            <w:szCs w:val="28"/>
          </w:rPr>
          <w:t>https://institute.global/insights/public-services/a-new-approach-to-serious-and-organised-crime-in-the-uk</w:t>
        </w:r>
      </w:hyperlink>
      <w:r w:rsidR="00794FE5" w:rsidRPr="00350C35">
        <w:rPr>
          <w:b/>
          <w:bCs/>
          <w:sz w:val="28"/>
          <w:szCs w:val="28"/>
        </w:rPr>
        <w:t xml:space="preserve"> </w:t>
      </w:r>
      <w:r w:rsidR="000E3C2C">
        <w:rPr>
          <w:b/>
          <w:bCs/>
          <w:sz w:val="28"/>
          <w:szCs w:val="28"/>
        </w:rPr>
        <w:br/>
      </w:r>
      <w:r w:rsidR="00794FE5" w:rsidRPr="00350C35">
        <w:rPr>
          <w:sz w:val="28"/>
          <w:szCs w:val="28"/>
        </w:rPr>
        <w:t>(Accessed: 9</w:t>
      </w:r>
      <w:r w:rsidR="00794FE5" w:rsidRPr="00350C35">
        <w:rPr>
          <w:sz w:val="28"/>
          <w:szCs w:val="28"/>
          <w:vertAlign w:val="superscript"/>
        </w:rPr>
        <w:t>th</w:t>
      </w:r>
      <w:r w:rsidR="00794FE5" w:rsidRPr="00350C35">
        <w:rPr>
          <w:sz w:val="28"/>
          <w:szCs w:val="28"/>
        </w:rPr>
        <w:t xml:space="preserve"> May 2025)</w:t>
      </w:r>
    </w:p>
    <w:p w14:paraId="50236230" w14:textId="77A0AD0F" w:rsidR="00EC6DC1" w:rsidRPr="00350C35" w:rsidRDefault="00EC6DC1" w:rsidP="00002741">
      <w:pPr>
        <w:rPr>
          <w:sz w:val="28"/>
          <w:szCs w:val="28"/>
        </w:rPr>
      </w:pPr>
      <w:proofErr w:type="spellStart"/>
      <w:r w:rsidRPr="00350C35">
        <w:rPr>
          <w:sz w:val="28"/>
          <w:szCs w:val="28"/>
        </w:rPr>
        <w:t>Demou</w:t>
      </w:r>
      <w:proofErr w:type="spellEnd"/>
      <w:r w:rsidRPr="00350C35">
        <w:rPr>
          <w:sz w:val="28"/>
          <w:szCs w:val="28"/>
        </w:rPr>
        <w:t xml:space="preserve">, E, Hale, H and Hunt, K. (2020). ‘Understanding the mental health and wellbeing needs of police officers and staff in Scotland’, </w:t>
      </w:r>
      <w:r w:rsidRPr="00350C35">
        <w:rPr>
          <w:i/>
          <w:iCs/>
          <w:sz w:val="28"/>
          <w:szCs w:val="28"/>
        </w:rPr>
        <w:t>Police Practice and Research</w:t>
      </w:r>
      <w:r w:rsidRPr="00350C35">
        <w:rPr>
          <w:sz w:val="28"/>
          <w:szCs w:val="28"/>
        </w:rPr>
        <w:t xml:space="preserve">, 21(6), pp 702 – 716. </w:t>
      </w:r>
      <w:r w:rsidRPr="00350C35">
        <w:rPr>
          <w:sz w:val="28"/>
          <w:szCs w:val="28"/>
        </w:rPr>
        <w:br/>
        <w:t xml:space="preserve">DOI: </w:t>
      </w:r>
      <w:hyperlink r:id="rId21" w:history="1">
        <w:r w:rsidRPr="00350C35">
          <w:rPr>
            <w:rStyle w:val="Hyperlink"/>
            <w:sz w:val="28"/>
            <w:szCs w:val="28"/>
          </w:rPr>
          <w:t>https://doi.org/10.1080/15614263.2020.1772782</w:t>
        </w:r>
      </w:hyperlink>
      <w:r w:rsidRPr="00350C35">
        <w:rPr>
          <w:sz w:val="28"/>
          <w:szCs w:val="28"/>
        </w:rPr>
        <w:br/>
        <w:t>(Accessed: 26</w:t>
      </w:r>
      <w:r w:rsidRPr="00350C35">
        <w:rPr>
          <w:sz w:val="28"/>
          <w:szCs w:val="28"/>
          <w:vertAlign w:val="superscript"/>
        </w:rPr>
        <w:t>th</w:t>
      </w:r>
      <w:r w:rsidRPr="00350C35">
        <w:rPr>
          <w:sz w:val="28"/>
          <w:szCs w:val="28"/>
        </w:rPr>
        <w:t xml:space="preserve"> April 2025)</w:t>
      </w:r>
    </w:p>
    <w:p w14:paraId="1AFE0946" w14:textId="45C03E95" w:rsidR="00002741" w:rsidRPr="00350C35" w:rsidRDefault="00002741" w:rsidP="00002741">
      <w:pPr>
        <w:rPr>
          <w:sz w:val="28"/>
          <w:szCs w:val="28"/>
        </w:rPr>
      </w:pPr>
      <w:r w:rsidRPr="00350C35">
        <w:rPr>
          <w:sz w:val="28"/>
          <w:szCs w:val="28"/>
        </w:rPr>
        <w:t xml:space="preserve">Dodd, V. (2024) </w:t>
      </w:r>
      <w:r w:rsidRPr="00350C35">
        <w:rPr>
          <w:i/>
          <w:iCs/>
          <w:sz w:val="28"/>
          <w:szCs w:val="28"/>
        </w:rPr>
        <w:t xml:space="preserve">Head of Britain’s police chiefs says force ‘institutionally racist’. </w:t>
      </w:r>
      <w:r w:rsidRPr="00350C35">
        <w:rPr>
          <w:sz w:val="28"/>
          <w:szCs w:val="28"/>
        </w:rPr>
        <w:t>The Guardian, 5</w:t>
      </w:r>
      <w:r w:rsidRPr="00350C35">
        <w:rPr>
          <w:sz w:val="28"/>
          <w:szCs w:val="28"/>
          <w:vertAlign w:val="superscript"/>
        </w:rPr>
        <w:t>th</w:t>
      </w:r>
      <w:r w:rsidRPr="00350C35">
        <w:rPr>
          <w:sz w:val="28"/>
          <w:szCs w:val="28"/>
        </w:rPr>
        <w:t xml:space="preserve"> Jan. </w:t>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r>
      <w:r w:rsidRPr="00350C35">
        <w:rPr>
          <w:sz w:val="28"/>
          <w:szCs w:val="28"/>
        </w:rPr>
        <w:tab/>
        <w:t xml:space="preserve"> Available at</w:t>
      </w:r>
      <w:r w:rsidR="00257409">
        <w:rPr>
          <w:sz w:val="28"/>
          <w:szCs w:val="28"/>
        </w:rPr>
        <w:t>:</w:t>
      </w:r>
      <w:r w:rsidR="00257409" w:rsidRPr="00257409">
        <w:t xml:space="preserve"> </w:t>
      </w:r>
      <w:hyperlink r:id="rId22" w:history="1">
        <w:r w:rsidR="00257409" w:rsidRPr="00BD1B9C">
          <w:rPr>
            <w:rStyle w:val="Hyperlink"/>
            <w:sz w:val="28"/>
            <w:szCs w:val="28"/>
          </w:rPr>
          <w:t>https://www.theguardian.com/uk-news/2024/jan/05/head-of-britains-police-chiefs-says-force-is-institutionally-racist-gavin-stephens</w:t>
        </w:r>
      </w:hyperlink>
      <w:r w:rsidR="00257409">
        <w:rPr>
          <w:sz w:val="28"/>
          <w:szCs w:val="28"/>
        </w:rPr>
        <w:t xml:space="preserve"> </w:t>
      </w:r>
      <w:r w:rsidRPr="00350C35">
        <w:rPr>
          <w:sz w:val="28"/>
          <w:szCs w:val="28"/>
        </w:rPr>
        <w:t xml:space="preserve">  (Accessed on: 22</w:t>
      </w:r>
      <w:r w:rsidRPr="00350C35">
        <w:rPr>
          <w:sz w:val="28"/>
          <w:szCs w:val="28"/>
          <w:vertAlign w:val="superscript"/>
        </w:rPr>
        <w:t>nd</w:t>
      </w:r>
      <w:r w:rsidRPr="00350C35">
        <w:rPr>
          <w:sz w:val="28"/>
          <w:szCs w:val="28"/>
        </w:rPr>
        <w:t xml:space="preserve"> January 2025)</w:t>
      </w:r>
    </w:p>
    <w:p w14:paraId="51093D20" w14:textId="31E6F478" w:rsidR="00570BDD" w:rsidRPr="00350C35" w:rsidRDefault="00570BDD" w:rsidP="00002741">
      <w:pPr>
        <w:rPr>
          <w:i/>
          <w:iCs/>
          <w:sz w:val="28"/>
          <w:szCs w:val="28"/>
        </w:rPr>
      </w:pPr>
      <w:r w:rsidRPr="00350C35">
        <w:rPr>
          <w:sz w:val="28"/>
          <w:szCs w:val="28"/>
        </w:rPr>
        <w:t xml:space="preserve">Edwards, G. (2023). ‘I’m Not Faking Being Sick, I’m Faking Being Well: the need for Leadership in Mental Health for Policing’. </w:t>
      </w:r>
      <w:r w:rsidRPr="00350C35">
        <w:rPr>
          <w:i/>
          <w:iCs/>
          <w:sz w:val="28"/>
          <w:szCs w:val="28"/>
        </w:rPr>
        <w:t xml:space="preserve">Journal of Community Safety and Wellbeing, 8(1), pp 50 – 56. </w:t>
      </w:r>
      <w:r w:rsidR="000E3C2C">
        <w:rPr>
          <w:i/>
          <w:iCs/>
          <w:sz w:val="28"/>
          <w:szCs w:val="28"/>
        </w:rPr>
        <w:br/>
      </w:r>
      <w:r w:rsidRPr="000E3C2C">
        <w:rPr>
          <w:sz w:val="28"/>
          <w:szCs w:val="28"/>
        </w:rPr>
        <w:t xml:space="preserve">DOI: </w:t>
      </w:r>
      <w:hyperlink r:id="rId23" w:history="1">
        <w:r w:rsidRPr="000E3C2C">
          <w:rPr>
            <w:rStyle w:val="Hyperlink"/>
            <w:sz w:val="28"/>
            <w:szCs w:val="28"/>
          </w:rPr>
          <w:t>https://doi.org/10.35502/jcswb.294</w:t>
        </w:r>
      </w:hyperlink>
      <w:r w:rsidRPr="00350C35">
        <w:rPr>
          <w:i/>
          <w:iCs/>
          <w:sz w:val="28"/>
          <w:szCs w:val="28"/>
        </w:rPr>
        <w:t xml:space="preserve"> </w:t>
      </w:r>
      <w:r w:rsidR="000E3C2C">
        <w:rPr>
          <w:i/>
          <w:iCs/>
          <w:sz w:val="28"/>
          <w:szCs w:val="28"/>
        </w:rPr>
        <w:br/>
      </w:r>
      <w:r w:rsidR="000E3C2C" w:rsidRPr="00350C35">
        <w:rPr>
          <w:sz w:val="28"/>
          <w:szCs w:val="28"/>
        </w:rPr>
        <w:t>(Accessed: 4</w:t>
      </w:r>
      <w:r w:rsidR="000E3C2C" w:rsidRPr="00350C35">
        <w:rPr>
          <w:sz w:val="28"/>
          <w:szCs w:val="28"/>
          <w:vertAlign w:val="superscript"/>
        </w:rPr>
        <w:t>th</w:t>
      </w:r>
      <w:r w:rsidR="000E3C2C" w:rsidRPr="00350C35">
        <w:rPr>
          <w:sz w:val="28"/>
          <w:szCs w:val="28"/>
        </w:rPr>
        <w:t xml:space="preserve"> May 2025)</w:t>
      </w:r>
    </w:p>
    <w:p w14:paraId="79FB2A89" w14:textId="721B14AF" w:rsidR="00C22C3D" w:rsidRPr="00350C35" w:rsidRDefault="00C22C3D" w:rsidP="00002741">
      <w:pPr>
        <w:rPr>
          <w:sz w:val="28"/>
          <w:szCs w:val="28"/>
        </w:rPr>
      </w:pPr>
      <w:r w:rsidRPr="00350C35">
        <w:rPr>
          <w:sz w:val="28"/>
          <w:szCs w:val="28"/>
        </w:rPr>
        <w:t>Fridell, A. (2016). Producing Bias-Free Policing: A Science-Based Approach. Florida: Springer International Publishing AG.</w:t>
      </w:r>
    </w:p>
    <w:p w14:paraId="6DCE704F" w14:textId="02AE6C09" w:rsidR="00E65C83" w:rsidRDefault="00E65C83" w:rsidP="00002741">
      <w:pPr>
        <w:rPr>
          <w:sz w:val="28"/>
          <w:szCs w:val="28"/>
        </w:rPr>
      </w:pPr>
      <w:r w:rsidRPr="00350C35">
        <w:rPr>
          <w:sz w:val="28"/>
          <w:szCs w:val="28"/>
        </w:rPr>
        <w:t>Glaser, J. (2</w:t>
      </w:r>
      <w:r w:rsidR="000E3C2C">
        <w:rPr>
          <w:sz w:val="28"/>
          <w:szCs w:val="28"/>
        </w:rPr>
        <w:t>01</w:t>
      </w:r>
      <w:r w:rsidRPr="00350C35">
        <w:rPr>
          <w:sz w:val="28"/>
          <w:szCs w:val="28"/>
        </w:rPr>
        <w:t xml:space="preserve">4). ‘What Is Racial Profiling?’, </w:t>
      </w:r>
      <w:r w:rsidRPr="00350C35">
        <w:rPr>
          <w:i/>
          <w:iCs/>
          <w:sz w:val="28"/>
          <w:szCs w:val="28"/>
        </w:rPr>
        <w:t xml:space="preserve">Suspect Race: Causes and Consequences of Racial Profiling, </w:t>
      </w:r>
      <w:r w:rsidRPr="00350C35">
        <w:rPr>
          <w:sz w:val="28"/>
          <w:szCs w:val="28"/>
        </w:rPr>
        <w:t xml:space="preserve">pp 1 – 20. </w:t>
      </w:r>
      <w:r w:rsidR="000E3C2C">
        <w:rPr>
          <w:sz w:val="28"/>
          <w:szCs w:val="28"/>
        </w:rPr>
        <w:br/>
      </w:r>
      <w:r w:rsidRPr="00350C35">
        <w:rPr>
          <w:sz w:val="28"/>
          <w:szCs w:val="28"/>
        </w:rPr>
        <w:t xml:space="preserve">DOI: </w:t>
      </w:r>
      <w:hyperlink r:id="rId24" w:history="1">
        <w:r w:rsidRPr="00350C35">
          <w:rPr>
            <w:rStyle w:val="Hyperlink"/>
            <w:sz w:val="28"/>
            <w:szCs w:val="28"/>
          </w:rPr>
          <w:t>https://doi.org/10.1093/acprof:oso/9780195370409.003.0001</w:t>
        </w:r>
      </w:hyperlink>
      <w:r w:rsidR="006369FD">
        <w:rPr>
          <w:sz w:val="28"/>
          <w:szCs w:val="28"/>
        </w:rPr>
        <w:br/>
        <w:t>(Accessed:1</w:t>
      </w:r>
      <w:r w:rsidR="006369FD" w:rsidRPr="006369FD">
        <w:rPr>
          <w:sz w:val="28"/>
          <w:szCs w:val="28"/>
          <w:vertAlign w:val="superscript"/>
        </w:rPr>
        <w:t>st</w:t>
      </w:r>
      <w:r w:rsidR="006369FD">
        <w:rPr>
          <w:sz w:val="28"/>
          <w:szCs w:val="28"/>
        </w:rPr>
        <w:t xml:space="preserve"> May 2025)</w:t>
      </w:r>
    </w:p>
    <w:p w14:paraId="2EDDFD42" w14:textId="77777777" w:rsidR="00CB3B59" w:rsidRDefault="00CB3B59" w:rsidP="00002741">
      <w:pPr>
        <w:rPr>
          <w:sz w:val="28"/>
          <w:szCs w:val="28"/>
        </w:rPr>
      </w:pPr>
    </w:p>
    <w:p w14:paraId="4247377E" w14:textId="77777777" w:rsidR="00CB3B59" w:rsidRPr="00350C35" w:rsidRDefault="00CB3B59" w:rsidP="00002741">
      <w:pPr>
        <w:rPr>
          <w:sz w:val="28"/>
          <w:szCs w:val="28"/>
        </w:rPr>
      </w:pPr>
    </w:p>
    <w:p w14:paraId="5A4046A8" w14:textId="57346F6C" w:rsidR="00002741" w:rsidRPr="00350C35" w:rsidRDefault="00002741" w:rsidP="00002741">
      <w:pPr>
        <w:rPr>
          <w:sz w:val="28"/>
          <w:szCs w:val="28"/>
        </w:rPr>
      </w:pPr>
      <w:r w:rsidRPr="00350C35">
        <w:rPr>
          <w:sz w:val="28"/>
          <w:szCs w:val="28"/>
        </w:rPr>
        <w:lastRenderedPageBreak/>
        <w:t xml:space="preserve">Government. (2022) </w:t>
      </w:r>
      <w:r w:rsidRPr="00350C35">
        <w:rPr>
          <w:i/>
          <w:iCs/>
          <w:sz w:val="28"/>
          <w:szCs w:val="28"/>
        </w:rPr>
        <w:t>Ethnicity facts and figures</w:t>
      </w:r>
      <w:r w:rsidRPr="00350C35">
        <w:rPr>
          <w:sz w:val="28"/>
          <w:szCs w:val="28"/>
        </w:rPr>
        <w:t xml:space="preserve">. UK. Available at: </w:t>
      </w:r>
      <w:hyperlink r:id="rId25" w:history="1">
        <w:r w:rsidR="006369FD" w:rsidRPr="00BD1B9C">
          <w:rPr>
            <w:rStyle w:val="Hyperlink"/>
            <w:sz w:val="28"/>
            <w:szCs w:val="28"/>
          </w:rPr>
          <w:t>https://www.ethnicity-facts-figures.service.gov.uk/workforce-and-business/workforce-diversity/police-workforce/latest/</w:t>
        </w:r>
      </w:hyperlink>
      <w:r w:rsidR="006369FD">
        <w:rPr>
          <w:sz w:val="28"/>
          <w:szCs w:val="28"/>
        </w:rPr>
        <w:t xml:space="preserve"> </w:t>
      </w:r>
      <w:r w:rsidRPr="00350C35">
        <w:rPr>
          <w:sz w:val="28"/>
          <w:szCs w:val="28"/>
        </w:rPr>
        <w:tab/>
      </w:r>
      <w:r w:rsidRPr="00350C35">
        <w:rPr>
          <w:sz w:val="28"/>
          <w:szCs w:val="28"/>
        </w:rPr>
        <w:tab/>
      </w:r>
      <w:r w:rsidRPr="00350C35">
        <w:rPr>
          <w:sz w:val="28"/>
          <w:szCs w:val="28"/>
        </w:rPr>
        <w:tab/>
        <w:t xml:space="preserve">          (Accessed: </w:t>
      </w:r>
      <w:r w:rsidR="000E3C2C">
        <w:rPr>
          <w:sz w:val="28"/>
          <w:szCs w:val="28"/>
        </w:rPr>
        <w:t>6</w:t>
      </w:r>
      <w:r w:rsidR="000E3C2C" w:rsidRPr="000E3C2C">
        <w:rPr>
          <w:sz w:val="28"/>
          <w:szCs w:val="28"/>
          <w:vertAlign w:val="superscript"/>
        </w:rPr>
        <w:t>th</w:t>
      </w:r>
      <w:r w:rsidR="000E3C2C">
        <w:rPr>
          <w:sz w:val="28"/>
          <w:szCs w:val="28"/>
        </w:rPr>
        <w:t xml:space="preserve"> January </w:t>
      </w:r>
      <w:r w:rsidRPr="00350C35">
        <w:rPr>
          <w:sz w:val="28"/>
          <w:szCs w:val="28"/>
        </w:rPr>
        <w:t>2025)</w:t>
      </w:r>
    </w:p>
    <w:p w14:paraId="67BD7574" w14:textId="4ED9A19E" w:rsidR="00F350CB" w:rsidRPr="00F350CB" w:rsidRDefault="00736F8E" w:rsidP="00002741">
      <w:pPr>
        <w:rPr>
          <w:sz w:val="28"/>
          <w:szCs w:val="28"/>
        </w:rPr>
      </w:pPr>
      <w:proofErr w:type="spellStart"/>
      <w:r w:rsidRPr="00350C35">
        <w:rPr>
          <w:sz w:val="28"/>
          <w:szCs w:val="28"/>
        </w:rPr>
        <w:t>Hakik</w:t>
      </w:r>
      <w:proofErr w:type="spellEnd"/>
      <w:r w:rsidRPr="00350C35">
        <w:rPr>
          <w:sz w:val="28"/>
          <w:szCs w:val="28"/>
        </w:rPr>
        <w:t xml:space="preserve">, S and Langlois, K. (2020). ‘To Serve and Protect Their Mental </w:t>
      </w:r>
      <w:proofErr w:type="spellStart"/>
      <w:r w:rsidRPr="00350C35">
        <w:rPr>
          <w:sz w:val="28"/>
          <w:szCs w:val="28"/>
        </w:rPr>
        <w:t>Health:The</w:t>
      </w:r>
      <w:proofErr w:type="spellEnd"/>
      <w:r w:rsidRPr="00350C35">
        <w:rPr>
          <w:sz w:val="28"/>
          <w:szCs w:val="28"/>
        </w:rPr>
        <w:t xml:space="preserve"> Effects of Police Occupational Culture on Police Officers</w:t>
      </w:r>
      <w:r w:rsidR="00F350CB">
        <w:rPr>
          <w:sz w:val="28"/>
          <w:szCs w:val="28"/>
        </w:rPr>
        <w:t xml:space="preserve">. Salus Journal: </w:t>
      </w:r>
      <w:r w:rsidR="00F350CB">
        <w:rPr>
          <w:i/>
          <w:iCs/>
          <w:sz w:val="28"/>
          <w:szCs w:val="28"/>
        </w:rPr>
        <w:t xml:space="preserve">Law Enforcement, National Security and Emergency Management. </w:t>
      </w:r>
      <w:r w:rsidR="00F350CB">
        <w:rPr>
          <w:sz w:val="28"/>
          <w:szCs w:val="28"/>
        </w:rPr>
        <w:t xml:space="preserve">8(2), pp117-115. Available at: </w:t>
      </w:r>
      <w:hyperlink r:id="rId26" w:history="1">
        <w:r w:rsidR="00F350CB" w:rsidRPr="00BD1B9C">
          <w:rPr>
            <w:rStyle w:val="Hyperlink"/>
            <w:sz w:val="28"/>
            <w:szCs w:val="28"/>
          </w:rPr>
          <w:t>https://view.salusjournal.com/index.php/salusjournal/article/view/121</w:t>
        </w:r>
      </w:hyperlink>
      <w:r w:rsidR="00F350CB">
        <w:rPr>
          <w:sz w:val="28"/>
          <w:szCs w:val="28"/>
        </w:rPr>
        <w:t xml:space="preserve"> </w:t>
      </w:r>
      <w:r w:rsidR="00F350CB">
        <w:rPr>
          <w:sz w:val="28"/>
          <w:szCs w:val="28"/>
        </w:rPr>
        <w:br/>
        <w:t>(Accessed: 5</w:t>
      </w:r>
      <w:r w:rsidR="00F350CB" w:rsidRPr="00F350CB">
        <w:rPr>
          <w:sz w:val="28"/>
          <w:szCs w:val="28"/>
          <w:vertAlign w:val="superscript"/>
        </w:rPr>
        <w:t>th</w:t>
      </w:r>
      <w:r w:rsidR="00F350CB">
        <w:rPr>
          <w:sz w:val="28"/>
          <w:szCs w:val="28"/>
        </w:rPr>
        <w:t xml:space="preserve"> May 2025)</w:t>
      </w:r>
    </w:p>
    <w:p w14:paraId="10784FF1" w14:textId="5A985124" w:rsidR="009268F5" w:rsidRPr="00350C35" w:rsidRDefault="009268F5" w:rsidP="00002741">
      <w:pPr>
        <w:rPr>
          <w:sz w:val="28"/>
          <w:szCs w:val="28"/>
        </w:rPr>
      </w:pPr>
      <w:r w:rsidRPr="00350C35">
        <w:rPr>
          <w:sz w:val="28"/>
          <w:szCs w:val="28"/>
        </w:rPr>
        <w:t xml:space="preserve">Harris, R et al. (2024). ‘Sleep, Mental Health and Physical Health in new shift Workers Transitioning to Shift Work: Systematic Review and Meta-analysis’, </w:t>
      </w:r>
      <w:r w:rsidRPr="00350C35">
        <w:rPr>
          <w:i/>
          <w:iCs/>
          <w:sz w:val="28"/>
          <w:szCs w:val="28"/>
        </w:rPr>
        <w:t>Journal of sleep research</w:t>
      </w:r>
      <w:r w:rsidRPr="00350C35">
        <w:rPr>
          <w:sz w:val="28"/>
          <w:szCs w:val="28"/>
        </w:rPr>
        <w:t>, 75</w:t>
      </w:r>
      <w:r w:rsidR="00F350CB">
        <w:rPr>
          <w:sz w:val="28"/>
          <w:szCs w:val="28"/>
        </w:rPr>
        <w:t>.</w:t>
      </w:r>
      <w:r w:rsidRPr="00350C35">
        <w:rPr>
          <w:sz w:val="28"/>
          <w:szCs w:val="28"/>
        </w:rPr>
        <w:t xml:space="preserve"> </w:t>
      </w:r>
      <w:r w:rsidR="00F350CB">
        <w:rPr>
          <w:sz w:val="28"/>
          <w:szCs w:val="28"/>
        </w:rPr>
        <w:br/>
      </w:r>
      <w:r w:rsidRPr="00350C35">
        <w:rPr>
          <w:sz w:val="28"/>
          <w:szCs w:val="28"/>
        </w:rPr>
        <w:t xml:space="preserve">DOI: </w:t>
      </w:r>
      <w:hyperlink r:id="rId27" w:history="1">
        <w:r w:rsidRPr="00350C35">
          <w:rPr>
            <w:rStyle w:val="Hyperlink"/>
            <w:sz w:val="28"/>
            <w:szCs w:val="28"/>
          </w:rPr>
          <w:t>https://doi.org/10.1016/j.smrv.2024.101927</w:t>
        </w:r>
      </w:hyperlink>
      <w:r w:rsidRPr="00350C35">
        <w:rPr>
          <w:sz w:val="28"/>
          <w:szCs w:val="28"/>
        </w:rPr>
        <w:t xml:space="preserve"> </w:t>
      </w:r>
      <w:r w:rsidR="00F350CB">
        <w:rPr>
          <w:sz w:val="28"/>
          <w:szCs w:val="28"/>
        </w:rPr>
        <w:br/>
      </w:r>
      <w:r w:rsidRPr="00350C35">
        <w:rPr>
          <w:sz w:val="28"/>
          <w:szCs w:val="28"/>
        </w:rPr>
        <w:t>(Accessed: 26</w:t>
      </w:r>
      <w:r w:rsidRPr="00350C35">
        <w:rPr>
          <w:sz w:val="28"/>
          <w:szCs w:val="28"/>
          <w:vertAlign w:val="superscript"/>
        </w:rPr>
        <w:t>th</w:t>
      </w:r>
      <w:r w:rsidRPr="00350C35">
        <w:rPr>
          <w:sz w:val="28"/>
          <w:szCs w:val="28"/>
        </w:rPr>
        <w:t xml:space="preserve"> April 2025)</w:t>
      </w:r>
    </w:p>
    <w:p w14:paraId="35EF2CE8" w14:textId="0C66888F" w:rsidR="0004081A" w:rsidRPr="00350C35" w:rsidRDefault="0004081A" w:rsidP="00002741">
      <w:pPr>
        <w:rPr>
          <w:sz w:val="28"/>
          <w:szCs w:val="28"/>
        </w:rPr>
      </w:pPr>
      <w:r w:rsidRPr="00350C35">
        <w:rPr>
          <w:sz w:val="28"/>
          <w:szCs w:val="28"/>
        </w:rPr>
        <w:t>Henderson, C, Potts, L and Robinson E. (2020) ‘Mental Illness Stigma After a Decade of Time to Change England: Inequalities as Targets for Further Improvement’</w:t>
      </w:r>
      <w:r w:rsidRPr="00350C35">
        <w:rPr>
          <w:i/>
          <w:iCs/>
          <w:sz w:val="28"/>
          <w:szCs w:val="28"/>
        </w:rPr>
        <w:t xml:space="preserve">. </w:t>
      </w:r>
      <w:proofErr w:type="spellStart"/>
      <w:r w:rsidRPr="00350C35">
        <w:rPr>
          <w:i/>
          <w:iCs/>
          <w:sz w:val="28"/>
          <w:szCs w:val="28"/>
        </w:rPr>
        <w:t>Eur</w:t>
      </w:r>
      <w:proofErr w:type="spellEnd"/>
      <w:r w:rsidRPr="00350C35">
        <w:rPr>
          <w:i/>
          <w:iCs/>
          <w:sz w:val="28"/>
          <w:szCs w:val="28"/>
        </w:rPr>
        <w:t xml:space="preserve"> J Public Health, </w:t>
      </w:r>
      <w:r w:rsidRPr="00350C35">
        <w:rPr>
          <w:sz w:val="28"/>
          <w:szCs w:val="28"/>
        </w:rPr>
        <w:t xml:space="preserve">30(3), pp 526 – 532. </w:t>
      </w:r>
      <w:r w:rsidR="00F350CB">
        <w:rPr>
          <w:sz w:val="28"/>
          <w:szCs w:val="28"/>
        </w:rPr>
        <w:br/>
      </w:r>
      <w:r w:rsidRPr="00350C35">
        <w:rPr>
          <w:sz w:val="28"/>
          <w:szCs w:val="28"/>
        </w:rPr>
        <w:t xml:space="preserve">DOI: </w:t>
      </w:r>
      <w:hyperlink r:id="rId28" w:history="1">
        <w:r w:rsidRPr="00350C35">
          <w:rPr>
            <w:rStyle w:val="Hyperlink"/>
            <w:sz w:val="28"/>
            <w:szCs w:val="28"/>
          </w:rPr>
          <w:t>https://doi.org/10.1093/eurpub/ckaa013</w:t>
        </w:r>
      </w:hyperlink>
      <w:r w:rsidRPr="00350C35">
        <w:rPr>
          <w:sz w:val="28"/>
          <w:szCs w:val="28"/>
        </w:rPr>
        <w:t xml:space="preserve"> </w:t>
      </w:r>
      <w:r w:rsidR="00F350CB">
        <w:rPr>
          <w:sz w:val="28"/>
          <w:szCs w:val="28"/>
        </w:rPr>
        <w:br/>
      </w:r>
      <w:r w:rsidR="00F350CB">
        <w:rPr>
          <w:sz w:val="28"/>
          <w:szCs w:val="28"/>
        </w:rPr>
        <w:t>(Accessed: 5</w:t>
      </w:r>
      <w:r w:rsidR="00F350CB" w:rsidRPr="00F350CB">
        <w:rPr>
          <w:sz w:val="28"/>
          <w:szCs w:val="28"/>
          <w:vertAlign w:val="superscript"/>
        </w:rPr>
        <w:t>th</w:t>
      </w:r>
      <w:r w:rsidR="00F350CB">
        <w:rPr>
          <w:sz w:val="28"/>
          <w:szCs w:val="28"/>
        </w:rPr>
        <w:t xml:space="preserve"> May 2025)</w:t>
      </w:r>
    </w:p>
    <w:p w14:paraId="4FB65CED" w14:textId="4F939812" w:rsidR="00B630D2" w:rsidRPr="00350C35" w:rsidRDefault="00B630D2" w:rsidP="00002741">
      <w:pPr>
        <w:rPr>
          <w:sz w:val="28"/>
          <w:szCs w:val="28"/>
        </w:rPr>
      </w:pPr>
      <w:proofErr w:type="spellStart"/>
      <w:r w:rsidRPr="00350C35">
        <w:rPr>
          <w:sz w:val="28"/>
          <w:szCs w:val="28"/>
        </w:rPr>
        <w:t>Hepsomali</w:t>
      </w:r>
      <w:proofErr w:type="spellEnd"/>
      <w:r w:rsidRPr="00350C35">
        <w:rPr>
          <w:sz w:val="28"/>
          <w:szCs w:val="28"/>
        </w:rPr>
        <w:t xml:space="preserve">, P et al. (2024). ‘Adherence to unhealthy diets is associated with altered frontal gamma-aminobutyric acid and glutamate concentrations and grey matter volume: preliminary findings’, </w:t>
      </w:r>
      <w:r w:rsidRPr="00350C35">
        <w:rPr>
          <w:i/>
          <w:iCs/>
          <w:sz w:val="28"/>
          <w:szCs w:val="28"/>
        </w:rPr>
        <w:t xml:space="preserve">Nutritional Neuroscience, </w:t>
      </w:r>
      <w:r w:rsidRPr="00350C35">
        <w:rPr>
          <w:sz w:val="28"/>
          <w:szCs w:val="28"/>
        </w:rPr>
        <w:t xml:space="preserve">28(2), pp 125-137. DOI: </w:t>
      </w:r>
      <w:hyperlink r:id="rId29" w:history="1">
        <w:r w:rsidRPr="00350C35">
          <w:rPr>
            <w:rStyle w:val="Hyperlink"/>
            <w:sz w:val="28"/>
            <w:szCs w:val="28"/>
          </w:rPr>
          <w:t>https://doi.org/10.1080/1028415X.2024.2355603</w:t>
        </w:r>
      </w:hyperlink>
      <w:r w:rsidRPr="00350C35">
        <w:rPr>
          <w:sz w:val="28"/>
          <w:szCs w:val="28"/>
        </w:rPr>
        <w:t xml:space="preserve">  </w:t>
      </w:r>
    </w:p>
    <w:p w14:paraId="4C264BCA" w14:textId="54919111" w:rsidR="002D45FA" w:rsidRPr="00350C35" w:rsidRDefault="002D45FA" w:rsidP="00002741">
      <w:pPr>
        <w:rPr>
          <w:sz w:val="28"/>
          <w:szCs w:val="28"/>
        </w:rPr>
      </w:pPr>
      <w:r w:rsidRPr="00350C35">
        <w:rPr>
          <w:sz w:val="28"/>
          <w:szCs w:val="28"/>
        </w:rPr>
        <w:t xml:space="preserve">HM Government. (2018). </w:t>
      </w:r>
      <w:r w:rsidRPr="00350C35">
        <w:rPr>
          <w:i/>
          <w:iCs/>
          <w:sz w:val="28"/>
          <w:szCs w:val="28"/>
        </w:rPr>
        <w:t xml:space="preserve"> Serious Violence Strategy 2023-2028. </w:t>
      </w:r>
      <w:r w:rsidRPr="00350C35">
        <w:rPr>
          <w:sz w:val="28"/>
          <w:szCs w:val="28"/>
        </w:rPr>
        <w:t xml:space="preserve">Available at: </w:t>
      </w:r>
      <w:hyperlink r:id="rId30" w:history="1">
        <w:r w:rsidRPr="00350C35">
          <w:rPr>
            <w:rStyle w:val="Hyperlink"/>
            <w:sz w:val="28"/>
            <w:szCs w:val="28"/>
          </w:rPr>
          <w:t>https://assets.publishing.service.gov.uk/media/5acb21d140f0b64fed0afd55/serious-violence-strategy.pdf</w:t>
        </w:r>
      </w:hyperlink>
      <w:r w:rsidRPr="00350C35">
        <w:rPr>
          <w:sz w:val="28"/>
          <w:szCs w:val="28"/>
        </w:rPr>
        <w:t xml:space="preserve"> </w:t>
      </w:r>
      <w:r w:rsidR="00F350CB">
        <w:rPr>
          <w:sz w:val="28"/>
          <w:szCs w:val="28"/>
        </w:rPr>
        <w:br/>
      </w:r>
      <w:r w:rsidRPr="00350C35">
        <w:rPr>
          <w:sz w:val="28"/>
          <w:szCs w:val="28"/>
        </w:rPr>
        <w:t>(Accessed: 10</w:t>
      </w:r>
      <w:r w:rsidRPr="00350C35">
        <w:rPr>
          <w:sz w:val="28"/>
          <w:szCs w:val="28"/>
          <w:vertAlign w:val="superscript"/>
        </w:rPr>
        <w:t>th</w:t>
      </w:r>
      <w:r w:rsidRPr="00350C35">
        <w:rPr>
          <w:sz w:val="28"/>
          <w:szCs w:val="28"/>
        </w:rPr>
        <w:t xml:space="preserve"> May 2025)</w:t>
      </w:r>
    </w:p>
    <w:p w14:paraId="59465A98" w14:textId="47F01D4E" w:rsidR="00E90B71" w:rsidRPr="00350C35" w:rsidRDefault="00E90B71" w:rsidP="00002741">
      <w:pPr>
        <w:rPr>
          <w:sz w:val="28"/>
          <w:szCs w:val="28"/>
        </w:rPr>
      </w:pPr>
      <w:r w:rsidRPr="00350C35">
        <w:rPr>
          <w:sz w:val="28"/>
          <w:szCs w:val="28"/>
        </w:rPr>
        <w:t>Holland, A. (2020). ‘</w:t>
      </w:r>
      <w:r w:rsidRPr="00350C35">
        <w:rPr>
          <w:sz w:val="28"/>
          <w:szCs w:val="28"/>
        </w:rPr>
        <w:t>An ethical analysis of UK drug policy as an example of a criminal justice approach to drugs: a commentary on the short film</w:t>
      </w:r>
      <w:r w:rsidRPr="00350C35">
        <w:rPr>
          <w:sz w:val="28"/>
          <w:szCs w:val="28"/>
        </w:rPr>
        <w:t>:</w:t>
      </w:r>
      <w:r w:rsidRPr="00350C35">
        <w:rPr>
          <w:sz w:val="28"/>
          <w:szCs w:val="28"/>
        </w:rPr>
        <w:t> Putting UK Drug Policy into Focus</w:t>
      </w:r>
      <w:r w:rsidRPr="00350C35">
        <w:rPr>
          <w:sz w:val="28"/>
          <w:szCs w:val="28"/>
        </w:rPr>
        <w:t>’</w:t>
      </w:r>
      <w:r w:rsidRPr="00350C35">
        <w:rPr>
          <w:sz w:val="28"/>
          <w:szCs w:val="28"/>
        </w:rPr>
        <w:t>. </w:t>
      </w:r>
      <w:r w:rsidRPr="00350C35">
        <w:rPr>
          <w:i/>
          <w:iCs/>
          <w:sz w:val="28"/>
          <w:szCs w:val="28"/>
        </w:rPr>
        <w:t>Harm Reduct</w:t>
      </w:r>
      <w:r w:rsidRPr="00350C35">
        <w:rPr>
          <w:i/>
          <w:iCs/>
          <w:sz w:val="28"/>
          <w:szCs w:val="28"/>
        </w:rPr>
        <w:t>ion</w:t>
      </w:r>
      <w:r w:rsidRPr="00350C35">
        <w:rPr>
          <w:i/>
          <w:iCs/>
          <w:sz w:val="28"/>
          <w:szCs w:val="28"/>
        </w:rPr>
        <w:t xml:space="preserve"> J</w:t>
      </w:r>
      <w:r w:rsidRPr="00350C35">
        <w:rPr>
          <w:i/>
          <w:iCs/>
          <w:sz w:val="28"/>
          <w:szCs w:val="28"/>
        </w:rPr>
        <w:t>ournal,</w:t>
      </w:r>
      <w:r w:rsidRPr="00350C35">
        <w:rPr>
          <w:sz w:val="28"/>
          <w:szCs w:val="28"/>
        </w:rPr>
        <w:t> </w:t>
      </w:r>
      <w:r w:rsidRPr="00350C35">
        <w:rPr>
          <w:sz w:val="28"/>
          <w:szCs w:val="28"/>
        </w:rPr>
        <w:t>17(</w:t>
      </w:r>
      <w:r w:rsidRPr="00350C35">
        <w:rPr>
          <w:sz w:val="28"/>
          <w:szCs w:val="28"/>
        </w:rPr>
        <w:t>97</w:t>
      </w:r>
      <w:r w:rsidRPr="00350C35">
        <w:rPr>
          <w:sz w:val="28"/>
          <w:szCs w:val="28"/>
        </w:rPr>
        <w:t>)</w:t>
      </w:r>
      <w:r w:rsidRPr="00350C35">
        <w:rPr>
          <w:sz w:val="28"/>
          <w:szCs w:val="28"/>
        </w:rPr>
        <w:t>.</w:t>
      </w:r>
      <w:r w:rsidRPr="00350C35">
        <w:rPr>
          <w:sz w:val="28"/>
          <w:szCs w:val="28"/>
        </w:rPr>
        <w:t xml:space="preserve"> </w:t>
      </w:r>
      <w:r w:rsidR="00F350CB">
        <w:rPr>
          <w:sz w:val="28"/>
          <w:szCs w:val="28"/>
        </w:rPr>
        <w:br/>
      </w:r>
      <w:r w:rsidRPr="00350C35">
        <w:rPr>
          <w:sz w:val="28"/>
          <w:szCs w:val="28"/>
        </w:rPr>
        <w:t>DOI:</w:t>
      </w:r>
      <w:r w:rsidRPr="00350C35">
        <w:rPr>
          <w:sz w:val="28"/>
          <w:szCs w:val="28"/>
        </w:rPr>
        <w:t xml:space="preserve"> </w:t>
      </w:r>
      <w:hyperlink r:id="rId31" w:history="1">
        <w:r w:rsidRPr="00350C35">
          <w:rPr>
            <w:rStyle w:val="Hyperlink"/>
            <w:sz w:val="28"/>
            <w:szCs w:val="28"/>
          </w:rPr>
          <w:t>https://doi.org/10.1186/s12954-020-00434-8</w:t>
        </w:r>
      </w:hyperlink>
      <w:r w:rsidRPr="00350C35">
        <w:rPr>
          <w:sz w:val="28"/>
          <w:szCs w:val="28"/>
        </w:rPr>
        <w:t xml:space="preserve"> </w:t>
      </w:r>
      <w:r w:rsidR="00F350CB">
        <w:rPr>
          <w:sz w:val="28"/>
          <w:szCs w:val="28"/>
        </w:rPr>
        <w:br/>
      </w:r>
      <w:r w:rsidR="002D45FA" w:rsidRPr="00350C35">
        <w:rPr>
          <w:sz w:val="28"/>
          <w:szCs w:val="28"/>
        </w:rPr>
        <w:t>(Accessed: 10</w:t>
      </w:r>
      <w:r w:rsidR="002D45FA" w:rsidRPr="00350C35">
        <w:rPr>
          <w:sz w:val="28"/>
          <w:szCs w:val="28"/>
          <w:vertAlign w:val="superscript"/>
        </w:rPr>
        <w:t>th</w:t>
      </w:r>
      <w:r w:rsidR="002D45FA" w:rsidRPr="00350C35">
        <w:rPr>
          <w:sz w:val="28"/>
          <w:szCs w:val="28"/>
        </w:rPr>
        <w:t xml:space="preserve"> May 2025)</w:t>
      </w:r>
    </w:p>
    <w:p w14:paraId="49D2545E" w14:textId="2F6F3B65" w:rsidR="00AE6D88" w:rsidRPr="00350C35" w:rsidRDefault="00AE6D88" w:rsidP="00002741">
      <w:pPr>
        <w:rPr>
          <w:sz w:val="28"/>
          <w:szCs w:val="28"/>
        </w:rPr>
      </w:pPr>
      <w:r w:rsidRPr="00350C35">
        <w:rPr>
          <w:sz w:val="28"/>
          <w:szCs w:val="28"/>
        </w:rPr>
        <w:lastRenderedPageBreak/>
        <w:t xml:space="preserve">Home Office (1999). </w:t>
      </w:r>
      <w:r w:rsidRPr="00350C35">
        <w:rPr>
          <w:i/>
          <w:iCs/>
          <w:sz w:val="28"/>
          <w:szCs w:val="28"/>
        </w:rPr>
        <w:t>The Stephen Lawrence Inquiry: Report of an Inquiry by Sir William Macpherson of Cluny.</w:t>
      </w:r>
      <w:r w:rsidRPr="00350C35">
        <w:rPr>
          <w:sz w:val="28"/>
          <w:szCs w:val="28"/>
        </w:rPr>
        <w:t xml:space="preserve"> London: The Stationary Office. </w:t>
      </w:r>
      <w:r w:rsidRPr="00350C35">
        <w:rPr>
          <w:sz w:val="28"/>
          <w:szCs w:val="28"/>
        </w:rPr>
        <w:br/>
        <w:t xml:space="preserve">Available at: </w:t>
      </w:r>
      <w:hyperlink r:id="rId32" w:history="1">
        <w:r w:rsidRPr="00350C35">
          <w:rPr>
            <w:rStyle w:val="Hyperlink"/>
            <w:sz w:val="28"/>
            <w:szCs w:val="28"/>
          </w:rPr>
          <w:t>https://assets.publishing.service.gov.uk/media/5a7c2af540f0b645ba3c7202/4262.pdf</w:t>
        </w:r>
      </w:hyperlink>
      <w:r w:rsidRPr="00350C35">
        <w:rPr>
          <w:sz w:val="28"/>
          <w:szCs w:val="28"/>
        </w:rPr>
        <w:t xml:space="preserve"> </w:t>
      </w:r>
      <w:r w:rsidRPr="00350C35">
        <w:rPr>
          <w:sz w:val="28"/>
          <w:szCs w:val="28"/>
        </w:rPr>
        <w:br/>
        <w:t>(Accessed: 4</w:t>
      </w:r>
      <w:r w:rsidRPr="00350C35">
        <w:rPr>
          <w:sz w:val="28"/>
          <w:szCs w:val="28"/>
          <w:vertAlign w:val="superscript"/>
        </w:rPr>
        <w:t>th</w:t>
      </w:r>
      <w:r w:rsidRPr="00350C35">
        <w:rPr>
          <w:sz w:val="28"/>
          <w:szCs w:val="28"/>
        </w:rPr>
        <w:t xml:space="preserve"> May 2025).</w:t>
      </w:r>
    </w:p>
    <w:p w14:paraId="7813462A" w14:textId="61A1077C" w:rsidR="00552771" w:rsidRPr="00350C35" w:rsidRDefault="00552771" w:rsidP="00002741">
      <w:pPr>
        <w:rPr>
          <w:sz w:val="28"/>
          <w:szCs w:val="28"/>
        </w:rPr>
      </w:pPr>
      <w:r w:rsidRPr="00350C35">
        <w:rPr>
          <w:sz w:val="28"/>
          <w:szCs w:val="28"/>
        </w:rPr>
        <w:t xml:space="preserve">Home Office (2023). </w:t>
      </w:r>
      <w:r w:rsidRPr="00350C35">
        <w:rPr>
          <w:i/>
          <w:iCs/>
          <w:sz w:val="28"/>
          <w:szCs w:val="28"/>
        </w:rPr>
        <w:t>No place to hide: serious and organised crime strategy 2023 to 2028.</w:t>
      </w:r>
      <w:r w:rsidRPr="00350C35">
        <w:rPr>
          <w:sz w:val="28"/>
          <w:szCs w:val="28"/>
        </w:rPr>
        <w:t xml:space="preserve"> Available at: </w:t>
      </w:r>
      <w:hyperlink r:id="rId33" w:history="1">
        <w:r w:rsidRPr="00350C35">
          <w:rPr>
            <w:rStyle w:val="Hyperlink"/>
            <w:sz w:val="28"/>
            <w:szCs w:val="28"/>
          </w:rPr>
          <w:t>https://www.gov.uk/government/publications/serious-and-organised-crime-strategy-2023-to-2028/no-place-to-hide-serious-and-organised-crime-strategy-2023-to-2028-accessible-version</w:t>
        </w:r>
      </w:hyperlink>
      <w:r w:rsidRPr="00350C35">
        <w:rPr>
          <w:sz w:val="28"/>
          <w:szCs w:val="28"/>
        </w:rPr>
        <w:t xml:space="preserve"> </w:t>
      </w:r>
      <w:r w:rsidR="00F350CB">
        <w:rPr>
          <w:sz w:val="28"/>
          <w:szCs w:val="28"/>
        </w:rPr>
        <w:br/>
      </w:r>
      <w:r w:rsidRPr="00350C35">
        <w:rPr>
          <w:sz w:val="28"/>
          <w:szCs w:val="28"/>
        </w:rPr>
        <w:t>(Accessed: 9</w:t>
      </w:r>
      <w:r w:rsidRPr="00350C35">
        <w:rPr>
          <w:sz w:val="28"/>
          <w:szCs w:val="28"/>
          <w:vertAlign w:val="superscript"/>
        </w:rPr>
        <w:t>th</w:t>
      </w:r>
      <w:r w:rsidRPr="00350C35">
        <w:rPr>
          <w:sz w:val="28"/>
          <w:szCs w:val="28"/>
        </w:rPr>
        <w:t xml:space="preserve"> May 2025)</w:t>
      </w:r>
    </w:p>
    <w:p w14:paraId="6D2B0BEB" w14:textId="007EDCAC" w:rsidR="0050526F" w:rsidRPr="00350C35" w:rsidRDefault="0050526F" w:rsidP="00002741">
      <w:pPr>
        <w:rPr>
          <w:sz w:val="28"/>
          <w:szCs w:val="28"/>
        </w:rPr>
      </w:pPr>
      <w:r w:rsidRPr="00350C35">
        <w:rPr>
          <w:sz w:val="28"/>
          <w:szCs w:val="28"/>
        </w:rPr>
        <w:t xml:space="preserve">Imperial. (2025). </w:t>
      </w:r>
      <w:r w:rsidRPr="00350C35">
        <w:rPr>
          <w:i/>
          <w:iCs/>
          <w:sz w:val="28"/>
          <w:szCs w:val="28"/>
        </w:rPr>
        <w:t xml:space="preserve">Unconscious bias. </w:t>
      </w:r>
      <w:r w:rsidRPr="00350C35">
        <w:rPr>
          <w:sz w:val="28"/>
          <w:szCs w:val="28"/>
        </w:rPr>
        <w:t xml:space="preserve">Available at: </w:t>
      </w:r>
      <w:hyperlink r:id="rId34" w:history="1">
        <w:r w:rsidR="00A233FF" w:rsidRPr="00350C35">
          <w:rPr>
            <w:rStyle w:val="Hyperlink"/>
            <w:sz w:val="28"/>
            <w:szCs w:val="28"/>
          </w:rPr>
          <w:t>https://www.imperial.ac.uk/equality/resources/unconscious-bias/</w:t>
        </w:r>
      </w:hyperlink>
      <w:r w:rsidR="00A233FF" w:rsidRPr="00350C35">
        <w:rPr>
          <w:sz w:val="28"/>
          <w:szCs w:val="28"/>
        </w:rPr>
        <w:t xml:space="preserve"> </w:t>
      </w:r>
      <w:r w:rsidRPr="00350C35">
        <w:rPr>
          <w:sz w:val="28"/>
          <w:szCs w:val="28"/>
        </w:rPr>
        <w:t xml:space="preserve"> (Accessed: </w:t>
      </w:r>
      <w:r w:rsidR="00A233FF" w:rsidRPr="00350C35">
        <w:rPr>
          <w:sz w:val="28"/>
          <w:szCs w:val="28"/>
        </w:rPr>
        <w:t>4</w:t>
      </w:r>
      <w:r w:rsidR="00A233FF" w:rsidRPr="00350C35">
        <w:rPr>
          <w:sz w:val="28"/>
          <w:szCs w:val="28"/>
          <w:vertAlign w:val="superscript"/>
        </w:rPr>
        <w:t>th</w:t>
      </w:r>
      <w:r w:rsidR="00A233FF" w:rsidRPr="00350C35">
        <w:rPr>
          <w:sz w:val="28"/>
          <w:szCs w:val="28"/>
        </w:rPr>
        <w:t xml:space="preserve"> May 2025)</w:t>
      </w:r>
    </w:p>
    <w:p w14:paraId="580A0F26" w14:textId="79A90B31" w:rsidR="009268F5" w:rsidRPr="00350C35" w:rsidRDefault="009268F5" w:rsidP="00002741">
      <w:pPr>
        <w:rPr>
          <w:sz w:val="28"/>
          <w:szCs w:val="28"/>
        </w:rPr>
      </w:pPr>
      <w:r w:rsidRPr="00350C35">
        <w:rPr>
          <w:sz w:val="28"/>
          <w:szCs w:val="28"/>
        </w:rPr>
        <w:t xml:space="preserve">Jefferson, T. (2015). Policing the riots: from Bristol and Brixton to Tottenham, via Toxteth, Handsworth, etc. </w:t>
      </w:r>
      <w:r w:rsidR="00F06F1A" w:rsidRPr="00350C35">
        <w:rPr>
          <w:sz w:val="28"/>
          <w:szCs w:val="28"/>
        </w:rPr>
        <w:t xml:space="preserve">Available at: </w:t>
      </w:r>
      <w:hyperlink r:id="rId35" w:history="1">
        <w:r w:rsidR="00F06F1A" w:rsidRPr="00350C35">
          <w:rPr>
            <w:rStyle w:val="Hyperlink"/>
            <w:sz w:val="28"/>
            <w:szCs w:val="28"/>
          </w:rPr>
          <w:t>https://www.crimeandjustice.org.uk/publications/cjm/article/policing-riots-bristol-and-brixton-tottenham-toxteth-handsworth-etc</w:t>
        </w:r>
      </w:hyperlink>
      <w:r w:rsidR="00F06F1A" w:rsidRPr="00350C35">
        <w:rPr>
          <w:sz w:val="28"/>
          <w:szCs w:val="28"/>
        </w:rPr>
        <w:t xml:space="preserve">  </w:t>
      </w:r>
      <w:r w:rsidR="00F350CB">
        <w:rPr>
          <w:sz w:val="28"/>
          <w:szCs w:val="28"/>
        </w:rPr>
        <w:br/>
      </w:r>
      <w:r w:rsidR="00F06F1A" w:rsidRPr="00350C35">
        <w:rPr>
          <w:sz w:val="28"/>
          <w:szCs w:val="28"/>
        </w:rPr>
        <w:t>(Accessed: 4</w:t>
      </w:r>
      <w:r w:rsidR="00F06F1A" w:rsidRPr="00350C35">
        <w:rPr>
          <w:sz w:val="28"/>
          <w:szCs w:val="28"/>
          <w:vertAlign w:val="superscript"/>
        </w:rPr>
        <w:t>th</w:t>
      </w:r>
      <w:r w:rsidR="00F06F1A" w:rsidRPr="00350C35">
        <w:rPr>
          <w:sz w:val="28"/>
          <w:szCs w:val="28"/>
        </w:rPr>
        <w:t xml:space="preserve"> May 2025)</w:t>
      </w:r>
    </w:p>
    <w:p w14:paraId="18F14125" w14:textId="651F4D43" w:rsidR="0070451F" w:rsidRPr="00350C35" w:rsidRDefault="0070451F" w:rsidP="00002741">
      <w:pPr>
        <w:rPr>
          <w:sz w:val="28"/>
          <w:szCs w:val="28"/>
        </w:rPr>
      </w:pPr>
      <w:r w:rsidRPr="00350C35">
        <w:rPr>
          <w:sz w:val="28"/>
          <w:szCs w:val="28"/>
        </w:rPr>
        <w:t>Johnston, R, Poulsen, M and Forrest J. (2013). ‘</w:t>
      </w:r>
      <w:r w:rsidRPr="00350C35">
        <w:rPr>
          <w:sz w:val="28"/>
          <w:szCs w:val="28"/>
        </w:rPr>
        <w:t xml:space="preserve">Increasing Diversity Within Increasing Diversity: </w:t>
      </w:r>
      <w:r w:rsidRPr="00350C35">
        <w:rPr>
          <w:sz w:val="28"/>
          <w:szCs w:val="28"/>
        </w:rPr>
        <w:t>The</w:t>
      </w:r>
      <w:r w:rsidRPr="00350C35">
        <w:rPr>
          <w:sz w:val="28"/>
          <w:szCs w:val="28"/>
        </w:rPr>
        <w:t xml:space="preserve"> Changing Ethnic Composition of London's Neighbourhoods, 2001–2011</w:t>
      </w:r>
      <w:r w:rsidRPr="00350C35">
        <w:rPr>
          <w:sz w:val="28"/>
          <w:szCs w:val="28"/>
        </w:rPr>
        <w:t xml:space="preserve">’. </w:t>
      </w:r>
      <w:r w:rsidRPr="00350C35">
        <w:rPr>
          <w:i/>
          <w:iCs/>
          <w:sz w:val="28"/>
          <w:szCs w:val="28"/>
        </w:rPr>
        <w:t xml:space="preserve">Population, Space and Place, </w:t>
      </w:r>
      <w:r w:rsidRPr="00350C35">
        <w:rPr>
          <w:sz w:val="28"/>
          <w:szCs w:val="28"/>
        </w:rPr>
        <w:t xml:space="preserve">21(1), pp 38 – 53. DOI: </w:t>
      </w:r>
      <w:r w:rsidRPr="00350C35">
        <w:rPr>
          <w:sz w:val="28"/>
          <w:szCs w:val="28"/>
        </w:rPr>
        <w:t> </w:t>
      </w:r>
      <w:hyperlink r:id="rId36" w:history="1">
        <w:r w:rsidRPr="0070451F">
          <w:rPr>
            <w:rStyle w:val="Hyperlink"/>
            <w:sz w:val="28"/>
            <w:szCs w:val="28"/>
          </w:rPr>
          <w:t>https://doi.org/10.1002/psp.1838</w:t>
        </w:r>
      </w:hyperlink>
      <w:r w:rsidRPr="00350C35">
        <w:rPr>
          <w:sz w:val="28"/>
          <w:szCs w:val="28"/>
        </w:rPr>
        <w:t xml:space="preserve"> </w:t>
      </w:r>
      <w:r w:rsidR="00F350CB">
        <w:rPr>
          <w:sz w:val="28"/>
          <w:szCs w:val="28"/>
        </w:rPr>
        <w:br/>
      </w:r>
      <w:r w:rsidRPr="00350C35">
        <w:rPr>
          <w:sz w:val="28"/>
          <w:szCs w:val="28"/>
        </w:rPr>
        <w:t>(Accessed on: 12</w:t>
      </w:r>
      <w:r w:rsidRPr="00350C35">
        <w:rPr>
          <w:sz w:val="28"/>
          <w:szCs w:val="28"/>
          <w:vertAlign w:val="superscript"/>
        </w:rPr>
        <w:t>th</w:t>
      </w:r>
      <w:r w:rsidRPr="00350C35">
        <w:rPr>
          <w:sz w:val="28"/>
          <w:szCs w:val="28"/>
        </w:rPr>
        <w:t xml:space="preserve"> December 2024)</w:t>
      </w:r>
    </w:p>
    <w:p w14:paraId="0234E59E" w14:textId="7CE3E3EB" w:rsidR="0070451F" w:rsidRPr="00350C35" w:rsidRDefault="0070451F" w:rsidP="00002741">
      <w:pPr>
        <w:rPr>
          <w:sz w:val="28"/>
          <w:szCs w:val="28"/>
        </w:rPr>
      </w:pPr>
      <w:r w:rsidRPr="00350C35">
        <w:rPr>
          <w:sz w:val="28"/>
          <w:szCs w:val="28"/>
        </w:rPr>
        <w:t xml:space="preserve">Kapoor, C. (2011). Defining diversity: the evolution of diversity’. </w:t>
      </w:r>
      <w:r w:rsidRPr="00350C35">
        <w:rPr>
          <w:i/>
          <w:iCs/>
          <w:sz w:val="28"/>
          <w:szCs w:val="28"/>
        </w:rPr>
        <w:t xml:space="preserve"> Worldwide Hospitality and Tourism Themes, </w:t>
      </w:r>
      <w:r w:rsidRPr="00350C35">
        <w:rPr>
          <w:sz w:val="28"/>
          <w:szCs w:val="28"/>
        </w:rPr>
        <w:t xml:space="preserve">3(4), pp 284-293. Available at: </w:t>
      </w:r>
      <w:hyperlink r:id="rId37" w:history="1">
        <w:r w:rsidRPr="00350C35">
          <w:rPr>
            <w:rStyle w:val="Hyperlink"/>
            <w:sz w:val="28"/>
            <w:szCs w:val="28"/>
          </w:rPr>
          <w:t>https://doi.org/10.1108/117554211111162408</w:t>
        </w:r>
      </w:hyperlink>
      <w:r w:rsidRPr="00350C35">
        <w:rPr>
          <w:sz w:val="28"/>
          <w:szCs w:val="28"/>
        </w:rPr>
        <w:t xml:space="preserve"> </w:t>
      </w:r>
      <w:r w:rsidR="00F350CB">
        <w:rPr>
          <w:sz w:val="28"/>
          <w:szCs w:val="28"/>
        </w:rPr>
        <w:br/>
      </w:r>
      <w:r w:rsidRPr="00350C35">
        <w:rPr>
          <w:sz w:val="28"/>
          <w:szCs w:val="28"/>
        </w:rPr>
        <w:t>(Accessed on: 12</w:t>
      </w:r>
      <w:r w:rsidRPr="00350C35">
        <w:rPr>
          <w:sz w:val="28"/>
          <w:szCs w:val="28"/>
          <w:vertAlign w:val="superscript"/>
        </w:rPr>
        <w:t>th</w:t>
      </w:r>
      <w:r w:rsidRPr="00350C35">
        <w:rPr>
          <w:sz w:val="28"/>
          <w:szCs w:val="28"/>
        </w:rPr>
        <w:t xml:space="preserve"> December 2024)</w:t>
      </w:r>
    </w:p>
    <w:p w14:paraId="54D40910" w14:textId="25620206" w:rsidR="000C188C" w:rsidRPr="00350C35" w:rsidRDefault="000C188C" w:rsidP="00002741">
      <w:pPr>
        <w:rPr>
          <w:sz w:val="28"/>
          <w:szCs w:val="28"/>
        </w:rPr>
      </w:pPr>
      <w:r w:rsidRPr="00350C35">
        <w:rPr>
          <w:sz w:val="28"/>
          <w:szCs w:val="28"/>
        </w:rPr>
        <w:t xml:space="preserve">Lambert, I et al. (2024). ‘Cognitive Impairment as a Vulnerability for Exploitation: A Scoping Review’. </w:t>
      </w:r>
      <w:r w:rsidRPr="00350C35">
        <w:rPr>
          <w:i/>
          <w:iCs/>
          <w:sz w:val="28"/>
          <w:szCs w:val="28"/>
        </w:rPr>
        <w:t xml:space="preserve">Trauma, Violence &amp; Abuse. </w:t>
      </w:r>
      <w:r w:rsidRPr="00350C35">
        <w:rPr>
          <w:sz w:val="28"/>
          <w:szCs w:val="28"/>
        </w:rPr>
        <w:t xml:space="preserve">DOI: </w:t>
      </w:r>
      <w:hyperlink r:id="rId38" w:history="1">
        <w:r w:rsidRPr="00350C35">
          <w:rPr>
            <w:rStyle w:val="Hyperlink"/>
            <w:sz w:val="28"/>
            <w:szCs w:val="28"/>
          </w:rPr>
          <w:t>https://doi.org/10.1177/15248380241282993</w:t>
        </w:r>
      </w:hyperlink>
      <w:r w:rsidRPr="00350C35">
        <w:rPr>
          <w:sz w:val="28"/>
          <w:szCs w:val="28"/>
        </w:rPr>
        <w:t xml:space="preserve"> </w:t>
      </w:r>
      <w:r w:rsidR="006369FD">
        <w:rPr>
          <w:sz w:val="28"/>
          <w:szCs w:val="28"/>
        </w:rPr>
        <w:br/>
      </w:r>
      <w:r w:rsidR="00627F8A" w:rsidRPr="00350C35">
        <w:rPr>
          <w:sz w:val="28"/>
          <w:szCs w:val="28"/>
        </w:rPr>
        <w:t>(Accessed: 10</w:t>
      </w:r>
      <w:r w:rsidR="00627F8A" w:rsidRPr="00350C35">
        <w:rPr>
          <w:sz w:val="28"/>
          <w:szCs w:val="28"/>
          <w:vertAlign w:val="superscript"/>
        </w:rPr>
        <w:t>th</w:t>
      </w:r>
      <w:r w:rsidR="00627F8A" w:rsidRPr="00350C35">
        <w:rPr>
          <w:sz w:val="28"/>
          <w:szCs w:val="28"/>
        </w:rPr>
        <w:t xml:space="preserve"> May 2025)</w:t>
      </w:r>
    </w:p>
    <w:p w14:paraId="6C346238" w14:textId="25DC51F2" w:rsidR="00F350CB" w:rsidRPr="00350C35" w:rsidRDefault="006F177D" w:rsidP="00002741">
      <w:pPr>
        <w:rPr>
          <w:sz w:val="28"/>
          <w:szCs w:val="28"/>
        </w:rPr>
      </w:pPr>
      <w:r w:rsidRPr="00350C35">
        <w:rPr>
          <w:sz w:val="28"/>
          <w:szCs w:val="28"/>
        </w:rPr>
        <w:lastRenderedPageBreak/>
        <w:t xml:space="preserve">Lane, R. (2019). ‘ “I'm a police officer not a social worker or mental health nurse”: Online discourses of exclusion and resistance regarding mental health related police work.’ </w:t>
      </w:r>
      <w:r w:rsidRPr="00350C35">
        <w:rPr>
          <w:i/>
          <w:iCs/>
          <w:sz w:val="28"/>
          <w:szCs w:val="28"/>
        </w:rPr>
        <w:t>Journal of Community and Applied Social Psychology</w:t>
      </w:r>
      <w:r w:rsidRPr="00350C35">
        <w:rPr>
          <w:sz w:val="28"/>
          <w:szCs w:val="28"/>
        </w:rPr>
        <w:t>, 29 (5), pp. 429-442.</w:t>
      </w:r>
      <w:r w:rsidR="00F350CB">
        <w:rPr>
          <w:sz w:val="28"/>
          <w:szCs w:val="28"/>
        </w:rPr>
        <w:t xml:space="preserve"> </w:t>
      </w:r>
      <w:r w:rsidRPr="00350C35">
        <w:rPr>
          <w:sz w:val="28"/>
          <w:szCs w:val="28"/>
        </w:rPr>
        <w:t xml:space="preserve">DOI: </w:t>
      </w:r>
      <w:hyperlink r:id="rId39" w:history="1">
        <w:r w:rsidRPr="00350C35">
          <w:rPr>
            <w:rStyle w:val="Hyperlink"/>
            <w:sz w:val="28"/>
            <w:szCs w:val="28"/>
          </w:rPr>
          <w:t>http://dx.doi.org/10.1002/casp.2410</w:t>
        </w:r>
      </w:hyperlink>
      <w:r w:rsidRPr="00350C35">
        <w:rPr>
          <w:sz w:val="28"/>
          <w:szCs w:val="28"/>
        </w:rPr>
        <w:t xml:space="preserve"> </w:t>
      </w:r>
      <w:r w:rsidR="00F350CB">
        <w:rPr>
          <w:sz w:val="28"/>
          <w:szCs w:val="28"/>
        </w:rPr>
        <w:br/>
        <w:t>(Accessed: 5</w:t>
      </w:r>
      <w:r w:rsidR="00F350CB" w:rsidRPr="00F350CB">
        <w:rPr>
          <w:sz w:val="28"/>
          <w:szCs w:val="28"/>
          <w:vertAlign w:val="superscript"/>
        </w:rPr>
        <w:t>th</w:t>
      </w:r>
      <w:r w:rsidR="00F350CB">
        <w:rPr>
          <w:sz w:val="28"/>
          <w:szCs w:val="28"/>
        </w:rPr>
        <w:t xml:space="preserve"> May 2025)</w:t>
      </w:r>
    </w:p>
    <w:p w14:paraId="6EE38640" w14:textId="2326E2ED" w:rsidR="00002741" w:rsidRPr="00350C35" w:rsidRDefault="00002741" w:rsidP="00002741">
      <w:pPr>
        <w:rPr>
          <w:sz w:val="28"/>
          <w:szCs w:val="28"/>
        </w:rPr>
      </w:pPr>
      <w:r w:rsidRPr="00350C35">
        <w:rPr>
          <w:sz w:val="28"/>
          <w:szCs w:val="28"/>
        </w:rPr>
        <w:t xml:space="preserve">Leslie, C. (2020). Police racism inquiries in the UK: Do they change how things work? BBC. 10 Aug. Available at: </w:t>
      </w:r>
      <w:hyperlink r:id="rId40" w:history="1">
        <w:r w:rsidRPr="00350C35">
          <w:rPr>
            <w:rStyle w:val="Hyperlink"/>
            <w:sz w:val="28"/>
            <w:szCs w:val="28"/>
          </w:rPr>
          <w:t>https://www.bbc.co.uk/news/newsbeat-53365011</w:t>
        </w:r>
      </w:hyperlink>
      <w:r w:rsidRPr="00350C35">
        <w:rPr>
          <w:sz w:val="28"/>
          <w:szCs w:val="28"/>
        </w:rPr>
        <w:t xml:space="preserve">     </w:t>
      </w:r>
      <w:r w:rsidR="00F350CB">
        <w:rPr>
          <w:sz w:val="28"/>
          <w:szCs w:val="28"/>
        </w:rPr>
        <w:br/>
      </w:r>
      <w:r w:rsidRPr="00350C35">
        <w:rPr>
          <w:sz w:val="28"/>
          <w:szCs w:val="28"/>
        </w:rPr>
        <w:t>(Accessed on: 12</w:t>
      </w:r>
      <w:r w:rsidRPr="00350C35">
        <w:rPr>
          <w:sz w:val="28"/>
          <w:szCs w:val="28"/>
          <w:vertAlign w:val="superscript"/>
        </w:rPr>
        <w:t>th</w:t>
      </w:r>
      <w:r w:rsidRPr="00350C35">
        <w:rPr>
          <w:sz w:val="28"/>
          <w:szCs w:val="28"/>
        </w:rPr>
        <w:t xml:space="preserve"> December 2024)</w:t>
      </w:r>
    </w:p>
    <w:p w14:paraId="0B9D64C1" w14:textId="375241B1" w:rsidR="00553CCE" w:rsidRPr="00350C35" w:rsidRDefault="00553CCE" w:rsidP="00002741">
      <w:pPr>
        <w:rPr>
          <w:sz w:val="28"/>
          <w:szCs w:val="28"/>
        </w:rPr>
      </w:pPr>
      <w:r w:rsidRPr="00350C35">
        <w:rPr>
          <w:sz w:val="28"/>
          <w:szCs w:val="28"/>
        </w:rPr>
        <w:t xml:space="preserve">Liden, M. (2023). </w:t>
      </w:r>
      <w:r w:rsidRPr="00350C35">
        <w:rPr>
          <w:i/>
          <w:iCs/>
          <w:sz w:val="28"/>
          <w:szCs w:val="28"/>
        </w:rPr>
        <w:t>Confirmation Bias in Criminal Cases</w:t>
      </w:r>
      <w:r w:rsidRPr="00350C35">
        <w:rPr>
          <w:sz w:val="28"/>
          <w:szCs w:val="28"/>
        </w:rPr>
        <w:t>. Oxford; Oxford University Press.</w:t>
      </w:r>
    </w:p>
    <w:p w14:paraId="3CC204B3" w14:textId="5FD5D3F2" w:rsidR="00627F8A" w:rsidRPr="00350C35" w:rsidRDefault="00627F8A" w:rsidP="00002741">
      <w:pPr>
        <w:rPr>
          <w:sz w:val="28"/>
          <w:szCs w:val="28"/>
        </w:rPr>
      </w:pPr>
      <w:r w:rsidRPr="00350C35">
        <w:rPr>
          <w:sz w:val="28"/>
          <w:szCs w:val="28"/>
        </w:rPr>
        <w:t xml:space="preserve">Lloyd, J, Manister, M and Wroe, L. (2023). Social Care Responses to Children who Experience Criminal Exploitation and </w:t>
      </w:r>
      <w:proofErr w:type="spellStart"/>
      <w:r w:rsidRPr="00350C35">
        <w:rPr>
          <w:sz w:val="28"/>
          <w:szCs w:val="28"/>
        </w:rPr>
        <w:t>Violence:The</w:t>
      </w:r>
      <w:proofErr w:type="spellEnd"/>
      <w:r w:rsidRPr="00350C35">
        <w:rPr>
          <w:sz w:val="28"/>
          <w:szCs w:val="28"/>
        </w:rPr>
        <w:t xml:space="preserve"> Conditions for a Welfare Response. </w:t>
      </w:r>
      <w:r w:rsidRPr="00350C35">
        <w:rPr>
          <w:i/>
          <w:iCs/>
          <w:sz w:val="28"/>
          <w:szCs w:val="28"/>
        </w:rPr>
        <w:t xml:space="preserve">The British Journal of Social Work, </w:t>
      </w:r>
      <w:r w:rsidRPr="00350C35">
        <w:rPr>
          <w:sz w:val="28"/>
          <w:szCs w:val="28"/>
        </w:rPr>
        <w:t xml:space="preserve">53(8), pp 3725 – 3743. DOI: </w:t>
      </w:r>
      <w:hyperlink r:id="rId41" w:history="1">
        <w:r w:rsidRPr="00350C35">
          <w:rPr>
            <w:rStyle w:val="Hyperlink"/>
            <w:sz w:val="28"/>
            <w:szCs w:val="28"/>
          </w:rPr>
          <w:t>https://doi.org/10.1093/bjsw/bcad145</w:t>
        </w:r>
      </w:hyperlink>
      <w:r w:rsidRPr="00350C35">
        <w:rPr>
          <w:sz w:val="28"/>
          <w:szCs w:val="28"/>
        </w:rPr>
        <w:t xml:space="preserve"> </w:t>
      </w:r>
      <w:r w:rsidRPr="00350C35">
        <w:rPr>
          <w:sz w:val="28"/>
          <w:szCs w:val="28"/>
        </w:rPr>
        <w:t>(Accessed: 10</w:t>
      </w:r>
      <w:r w:rsidRPr="00350C35">
        <w:rPr>
          <w:sz w:val="28"/>
          <w:szCs w:val="28"/>
          <w:vertAlign w:val="superscript"/>
        </w:rPr>
        <w:t>th</w:t>
      </w:r>
      <w:r w:rsidRPr="00350C35">
        <w:rPr>
          <w:sz w:val="28"/>
          <w:szCs w:val="28"/>
        </w:rPr>
        <w:t xml:space="preserve"> May 2025)</w:t>
      </w:r>
    </w:p>
    <w:p w14:paraId="30C7E47F" w14:textId="12789755" w:rsidR="00841BE9" w:rsidRPr="00350C35" w:rsidRDefault="00841BE9" w:rsidP="00002741">
      <w:pPr>
        <w:rPr>
          <w:sz w:val="28"/>
          <w:szCs w:val="28"/>
        </w:rPr>
      </w:pPr>
      <w:r w:rsidRPr="00350C35">
        <w:rPr>
          <w:sz w:val="28"/>
          <w:szCs w:val="28"/>
        </w:rPr>
        <w:t xml:space="preserve">Macdonald, S et al. (2021). ‘Becoming cuckooed: conceptualising the relationship between disability, home takeovers and criminal exploitation. </w:t>
      </w:r>
      <w:r w:rsidRPr="00350C35">
        <w:rPr>
          <w:i/>
          <w:iCs/>
          <w:sz w:val="28"/>
          <w:szCs w:val="28"/>
        </w:rPr>
        <w:t xml:space="preserve">Disability and society, </w:t>
      </w:r>
      <w:r w:rsidRPr="00350C35">
        <w:rPr>
          <w:sz w:val="28"/>
          <w:szCs w:val="28"/>
        </w:rPr>
        <w:t xml:space="preserve">39(2), pp 1-21. </w:t>
      </w:r>
      <w:r w:rsidR="00F350CB">
        <w:rPr>
          <w:sz w:val="28"/>
          <w:szCs w:val="28"/>
        </w:rPr>
        <w:br/>
      </w:r>
      <w:r w:rsidRPr="00350C35">
        <w:rPr>
          <w:sz w:val="28"/>
          <w:szCs w:val="28"/>
        </w:rPr>
        <w:t xml:space="preserve">DOI: </w:t>
      </w:r>
      <w:hyperlink r:id="rId42" w:history="1">
        <w:r w:rsidRPr="00350C35">
          <w:rPr>
            <w:rStyle w:val="Hyperlink"/>
            <w:sz w:val="28"/>
            <w:szCs w:val="28"/>
          </w:rPr>
          <w:t>https://doi.org/10.1080/09687599.2022.2071680</w:t>
        </w:r>
      </w:hyperlink>
      <w:r w:rsidRPr="00350C35">
        <w:rPr>
          <w:sz w:val="28"/>
          <w:szCs w:val="28"/>
        </w:rPr>
        <w:t xml:space="preserve">   </w:t>
      </w:r>
      <w:r w:rsidR="00F350CB">
        <w:rPr>
          <w:sz w:val="28"/>
          <w:szCs w:val="28"/>
        </w:rPr>
        <w:br/>
        <w:t>(Accessed: 9</w:t>
      </w:r>
      <w:r w:rsidR="00F350CB" w:rsidRPr="00F350CB">
        <w:rPr>
          <w:sz w:val="28"/>
          <w:szCs w:val="28"/>
          <w:vertAlign w:val="superscript"/>
        </w:rPr>
        <w:t>th</w:t>
      </w:r>
      <w:r w:rsidR="00F350CB">
        <w:rPr>
          <w:sz w:val="28"/>
          <w:szCs w:val="28"/>
        </w:rPr>
        <w:t xml:space="preserve"> May 2025)</w:t>
      </w:r>
    </w:p>
    <w:p w14:paraId="5E1D54D0" w14:textId="523DBBFF" w:rsidR="006731C2" w:rsidRPr="00350C35" w:rsidRDefault="006731C2" w:rsidP="00002741">
      <w:pPr>
        <w:rPr>
          <w:sz w:val="28"/>
          <w:szCs w:val="28"/>
        </w:rPr>
      </w:pPr>
      <w:r w:rsidRPr="00350C35">
        <w:rPr>
          <w:sz w:val="28"/>
          <w:szCs w:val="28"/>
        </w:rPr>
        <w:t xml:space="preserve">Mental Health Foundation. (2018). </w:t>
      </w:r>
      <w:r w:rsidRPr="00350C35">
        <w:rPr>
          <w:i/>
          <w:iCs/>
          <w:sz w:val="28"/>
          <w:szCs w:val="28"/>
        </w:rPr>
        <w:t xml:space="preserve">Stress: Are we Coping? </w:t>
      </w:r>
      <w:r w:rsidRPr="00350C35">
        <w:rPr>
          <w:sz w:val="28"/>
          <w:szCs w:val="28"/>
        </w:rPr>
        <w:t xml:space="preserve">Available at: </w:t>
      </w:r>
      <w:hyperlink r:id="rId43" w:history="1">
        <w:r w:rsidRPr="00350C35">
          <w:rPr>
            <w:rStyle w:val="Hyperlink"/>
            <w:sz w:val="28"/>
            <w:szCs w:val="28"/>
          </w:rPr>
          <w:t>https://www.mentalhealth.org.uk/sites/default/files/2022-08/stress-are-we-coping.pdf</w:t>
        </w:r>
      </w:hyperlink>
      <w:r w:rsidRPr="00350C35">
        <w:rPr>
          <w:sz w:val="28"/>
          <w:szCs w:val="28"/>
        </w:rPr>
        <w:t xml:space="preserve"> </w:t>
      </w:r>
      <w:r w:rsidR="006369FD">
        <w:rPr>
          <w:sz w:val="28"/>
          <w:szCs w:val="28"/>
        </w:rPr>
        <w:br/>
      </w:r>
      <w:r w:rsidRPr="00350C35">
        <w:rPr>
          <w:sz w:val="28"/>
          <w:szCs w:val="28"/>
        </w:rPr>
        <w:t>(Accessed: 26</w:t>
      </w:r>
      <w:r w:rsidRPr="00350C35">
        <w:rPr>
          <w:sz w:val="28"/>
          <w:szCs w:val="28"/>
          <w:vertAlign w:val="superscript"/>
        </w:rPr>
        <w:t>th</w:t>
      </w:r>
      <w:r w:rsidRPr="00350C35">
        <w:rPr>
          <w:sz w:val="28"/>
          <w:szCs w:val="28"/>
        </w:rPr>
        <w:t xml:space="preserve"> April 2025)</w:t>
      </w:r>
    </w:p>
    <w:p w14:paraId="34FD3414" w14:textId="70C3A965" w:rsidR="0004081A" w:rsidRPr="00350C35" w:rsidRDefault="0004081A" w:rsidP="00002741">
      <w:pPr>
        <w:rPr>
          <w:sz w:val="28"/>
          <w:szCs w:val="28"/>
        </w:rPr>
      </w:pPr>
      <w:r w:rsidRPr="00350C35">
        <w:rPr>
          <w:sz w:val="28"/>
          <w:szCs w:val="28"/>
        </w:rPr>
        <w:t>Mental Health’</w:t>
      </w:r>
      <w:r w:rsidRPr="00350C35">
        <w:rPr>
          <w:i/>
          <w:iCs/>
          <w:sz w:val="28"/>
          <w:szCs w:val="28"/>
        </w:rPr>
        <w:t xml:space="preserve">, Salus Journal, </w:t>
      </w:r>
      <w:r w:rsidRPr="00350C35">
        <w:rPr>
          <w:sz w:val="28"/>
          <w:szCs w:val="28"/>
        </w:rPr>
        <w:t xml:space="preserve">8(2), pp 117 – 151. Available at: </w:t>
      </w:r>
      <w:hyperlink r:id="rId44" w:history="1">
        <w:r w:rsidRPr="00350C35">
          <w:rPr>
            <w:rStyle w:val="Hyperlink"/>
            <w:sz w:val="28"/>
            <w:szCs w:val="28"/>
          </w:rPr>
          <w:t>https://salusjournal.com/wp-content/uploads/2020/09/Hakik_Salus_Journal_Volume_8_Number_2_2020_pp_117-151.pdf</w:t>
        </w:r>
      </w:hyperlink>
      <w:r w:rsidRPr="00350C35">
        <w:rPr>
          <w:sz w:val="28"/>
          <w:szCs w:val="28"/>
        </w:rPr>
        <w:t xml:space="preserve"> </w:t>
      </w:r>
      <w:r w:rsidRPr="00350C35">
        <w:rPr>
          <w:sz w:val="28"/>
          <w:szCs w:val="28"/>
        </w:rPr>
        <w:br/>
        <w:t>(Accessed: 26</w:t>
      </w:r>
      <w:r w:rsidRPr="00350C35">
        <w:rPr>
          <w:sz w:val="28"/>
          <w:szCs w:val="28"/>
          <w:vertAlign w:val="superscript"/>
        </w:rPr>
        <w:t>th</w:t>
      </w:r>
      <w:r w:rsidRPr="00350C35">
        <w:rPr>
          <w:sz w:val="28"/>
          <w:szCs w:val="28"/>
        </w:rPr>
        <w:t xml:space="preserve"> April 2025)</w:t>
      </w:r>
    </w:p>
    <w:p w14:paraId="4EDBFA45" w14:textId="77777777" w:rsidR="00CB3B59" w:rsidRDefault="00CB3B59" w:rsidP="00002741">
      <w:pPr>
        <w:rPr>
          <w:sz w:val="28"/>
          <w:szCs w:val="28"/>
        </w:rPr>
      </w:pPr>
    </w:p>
    <w:p w14:paraId="3F104CE8" w14:textId="77777777" w:rsidR="00CB3B59" w:rsidRDefault="00CB3B59" w:rsidP="00002741">
      <w:pPr>
        <w:rPr>
          <w:sz w:val="28"/>
          <w:szCs w:val="28"/>
        </w:rPr>
      </w:pPr>
    </w:p>
    <w:p w14:paraId="4C047115" w14:textId="77777777" w:rsidR="00CB3B59" w:rsidRDefault="00CB3B59" w:rsidP="00002741">
      <w:pPr>
        <w:rPr>
          <w:sz w:val="28"/>
          <w:szCs w:val="28"/>
        </w:rPr>
      </w:pPr>
    </w:p>
    <w:p w14:paraId="4A96AC4C" w14:textId="6F633566" w:rsidR="0001428D" w:rsidRPr="00350C35" w:rsidRDefault="0001428D" w:rsidP="00002741">
      <w:pPr>
        <w:rPr>
          <w:sz w:val="28"/>
          <w:szCs w:val="28"/>
        </w:rPr>
      </w:pPr>
      <w:r w:rsidRPr="00350C35">
        <w:rPr>
          <w:sz w:val="28"/>
          <w:szCs w:val="28"/>
        </w:rPr>
        <w:lastRenderedPageBreak/>
        <w:t xml:space="preserve">Meredith, I. (2025). Unsuspectingly vulnerable: A rapid evidence assessment on the vulnerability of university students to criminal exploitation. </w:t>
      </w:r>
      <w:r w:rsidRPr="00350C35">
        <w:rPr>
          <w:i/>
          <w:iCs/>
          <w:sz w:val="28"/>
          <w:szCs w:val="28"/>
        </w:rPr>
        <w:t xml:space="preserve">The International Journal of Offender Therapy and Comparative Criminology. </w:t>
      </w:r>
      <w:r w:rsidR="00F350CB">
        <w:rPr>
          <w:i/>
          <w:iCs/>
          <w:sz w:val="28"/>
          <w:szCs w:val="28"/>
        </w:rPr>
        <w:br/>
      </w:r>
      <w:r w:rsidRPr="00350C35">
        <w:rPr>
          <w:sz w:val="28"/>
          <w:szCs w:val="28"/>
        </w:rPr>
        <w:t xml:space="preserve">DOI: </w:t>
      </w:r>
      <w:hyperlink r:id="rId45" w:history="1">
        <w:r w:rsidRPr="00350C35">
          <w:rPr>
            <w:rStyle w:val="Hyperlink"/>
            <w:sz w:val="28"/>
            <w:szCs w:val="28"/>
          </w:rPr>
          <w:t>https://doi.org/10.1177/0306624X251329944</w:t>
        </w:r>
      </w:hyperlink>
      <w:r w:rsidR="00552771" w:rsidRPr="00350C35">
        <w:rPr>
          <w:sz w:val="28"/>
          <w:szCs w:val="28"/>
        </w:rPr>
        <w:t xml:space="preserve"> </w:t>
      </w:r>
      <w:r w:rsidR="00F350CB">
        <w:rPr>
          <w:sz w:val="28"/>
          <w:szCs w:val="28"/>
        </w:rPr>
        <w:br/>
      </w:r>
      <w:r w:rsidR="00552771" w:rsidRPr="00350C35">
        <w:rPr>
          <w:sz w:val="28"/>
          <w:szCs w:val="28"/>
        </w:rPr>
        <w:t>(Accessed: 9</w:t>
      </w:r>
      <w:r w:rsidR="00552771" w:rsidRPr="00350C35">
        <w:rPr>
          <w:sz w:val="28"/>
          <w:szCs w:val="28"/>
          <w:vertAlign w:val="superscript"/>
        </w:rPr>
        <w:t>th</w:t>
      </w:r>
      <w:r w:rsidR="00552771" w:rsidRPr="00350C35">
        <w:rPr>
          <w:sz w:val="28"/>
          <w:szCs w:val="28"/>
        </w:rPr>
        <w:t xml:space="preserve"> May 2025)</w:t>
      </w:r>
    </w:p>
    <w:p w14:paraId="443A5C7E" w14:textId="6173032D" w:rsidR="000D7972" w:rsidRPr="00350C35" w:rsidRDefault="000D7972" w:rsidP="00002741">
      <w:pPr>
        <w:rPr>
          <w:sz w:val="28"/>
          <w:szCs w:val="28"/>
        </w:rPr>
      </w:pPr>
      <w:r w:rsidRPr="00350C35">
        <w:rPr>
          <w:sz w:val="28"/>
          <w:szCs w:val="28"/>
        </w:rPr>
        <w:t xml:space="preserve">Metropolitan Police. (2024). </w:t>
      </w:r>
      <w:r w:rsidRPr="00350C35">
        <w:rPr>
          <w:i/>
          <w:iCs/>
          <w:sz w:val="28"/>
          <w:szCs w:val="28"/>
        </w:rPr>
        <w:t>Sick Days Taken Off by Police Officers Due to Mental Health: 2019 – 2023.</w:t>
      </w:r>
      <w:r w:rsidRPr="00350C35">
        <w:rPr>
          <w:sz w:val="28"/>
          <w:szCs w:val="28"/>
        </w:rPr>
        <w:t xml:space="preserve"> Available at: </w:t>
      </w:r>
      <w:hyperlink r:id="rId46" w:history="1">
        <w:r w:rsidRPr="00350C35">
          <w:rPr>
            <w:rStyle w:val="Hyperlink"/>
            <w:sz w:val="28"/>
            <w:szCs w:val="28"/>
          </w:rPr>
          <w:t>https://www.met.police.uk/foi-ai/metropolitan-police/disclosure-2024/july-2024/sick-days-taken-off-police-officers-due-mental-health-2019-2023/</w:t>
        </w:r>
      </w:hyperlink>
      <w:r w:rsidRPr="00350C35">
        <w:rPr>
          <w:sz w:val="28"/>
          <w:szCs w:val="28"/>
        </w:rPr>
        <w:t xml:space="preserve"> </w:t>
      </w:r>
      <w:r w:rsidRPr="00350C35">
        <w:rPr>
          <w:sz w:val="28"/>
          <w:szCs w:val="28"/>
        </w:rPr>
        <w:br/>
        <w:t>(Accessed: 1</w:t>
      </w:r>
      <w:r w:rsidRPr="00350C35">
        <w:rPr>
          <w:sz w:val="28"/>
          <w:szCs w:val="28"/>
          <w:vertAlign w:val="superscript"/>
        </w:rPr>
        <w:t>st</w:t>
      </w:r>
      <w:r w:rsidRPr="00350C35">
        <w:rPr>
          <w:sz w:val="28"/>
          <w:szCs w:val="28"/>
        </w:rPr>
        <w:t xml:space="preserve"> May 2025)</w:t>
      </w:r>
    </w:p>
    <w:p w14:paraId="65DF5083" w14:textId="66FA439E" w:rsidR="008B1B8F" w:rsidRPr="00350C35" w:rsidRDefault="008B1B8F" w:rsidP="00002741">
      <w:pPr>
        <w:rPr>
          <w:sz w:val="28"/>
          <w:szCs w:val="28"/>
        </w:rPr>
      </w:pPr>
      <w:r w:rsidRPr="00350C35">
        <w:rPr>
          <w:sz w:val="28"/>
          <w:szCs w:val="28"/>
        </w:rPr>
        <w:t xml:space="preserve">Millard, B. (2020). ‘Utilization and Impact of Peer-Support Programs on Police Officers’ Mental Health’, </w:t>
      </w:r>
      <w:r w:rsidRPr="00350C35">
        <w:rPr>
          <w:i/>
          <w:iCs/>
          <w:sz w:val="28"/>
          <w:szCs w:val="28"/>
        </w:rPr>
        <w:t xml:space="preserve">Police, Trauma, Loss and Resilience. </w:t>
      </w:r>
      <w:r w:rsidRPr="00350C35">
        <w:rPr>
          <w:sz w:val="28"/>
          <w:szCs w:val="28"/>
        </w:rPr>
        <w:t xml:space="preserve">11. DOI: </w:t>
      </w:r>
      <w:hyperlink r:id="rId47" w:history="1">
        <w:r w:rsidRPr="00350C35">
          <w:rPr>
            <w:rStyle w:val="Hyperlink"/>
            <w:sz w:val="28"/>
            <w:szCs w:val="28"/>
          </w:rPr>
          <w:t>https://doi.org/10.3389/fpsyg.2020.01686</w:t>
        </w:r>
      </w:hyperlink>
      <w:r w:rsidRPr="00350C35">
        <w:rPr>
          <w:sz w:val="28"/>
          <w:szCs w:val="28"/>
        </w:rPr>
        <w:t xml:space="preserve"> </w:t>
      </w:r>
      <w:r w:rsidR="00F350CB">
        <w:rPr>
          <w:sz w:val="28"/>
          <w:szCs w:val="28"/>
        </w:rPr>
        <w:br/>
      </w:r>
      <w:r w:rsidRPr="00350C35">
        <w:rPr>
          <w:sz w:val="28"/>
          <w:szCs w:val="28"/>
        </w:rPr>
        <w:t>(Accessed: 1</w:t>
      </w:r>
      <w:r w:rsidRPr="00350C35">
        <w:rPr>
          <w:sz w:val="28"/>
          <w:szCs w:val="28"/>
          <w:vertAlign w:val="superscript"/>
        </w:rPr>
        <w:t>st</w:t>
      </w:r>
      <w:r w:rsidRPr="00350C35">
        <w:rPr>
          <w:sz w:val="28"/>
          <w:szCs w:val="28"/>
        </w:rPr>
        <w:t xml:space="preserve"> May 2025)</w:t>
      </w:r>
    </w:p>
    <w:p w14:paraId="6E83EBB3" w14:textId="144DB94E" w:rsidR="006D0792" w:rsidRPr="00350C35" w:rsidRDefault="006D0792" w:rsidP="00002741">
      <w:pPr>
        <w:rPr>
          <w:sz w:val="28"/>
          <w:szCs w:val="28"/>
        </w:rPr>
      </w:pPr>
      <w:r w:rsidRPr="00350C35">
        <w:rPr>
          <w:sz w:val="28"/>
          <w:szCs w:val="28"/>
        </w:rPr>
        <w:t xml:space="preserve">Mind. (2021). </w:t>
      </w:r>
      <w:r w:rsidR="003F75CB" w:rsidRPr="00350C35">
        <w:rPr>
          <w:i/>
          <w:iCs/>
          <w:sz w:val="28"/>
          <w:szCs w:val="28"/>
        </w:rPr>
        <w:t xml:space="preserve">Post Traumatic Stress Disorder. </w:t>
      </w:r>
      <w:r w:rsidR="003F75CB" w:rsidRPr="00350C35">
        <w:rPr>
          <w:sz w:val="28"/>
          <w:szCs w:val="28"/>
        </w:rPr>
        <w:t xml:space="preserve">Available at: </w:t>
      </w:r>
      <w:hyperlink r:id="rId48" w:history="1">
        <w:r w:rsidR="003F75CB" w:rsidRPr="00350C35">
          <w:rPr>
            <w:rStyle w:val="Hyperlink"/>
            <w:sz w:val="28"/>
            <w:szCs w:val="28"/>
          </w:rPr>
          <w:t>https://www.mind.org.uk/information-support/types-of-mental-health-problems/post-traumatic-stress-disorder-ptsd-and-complex-ptsd/symptoms/</w:t>
        </w:r>
      </w:hyperlink>
      <w:r w:rsidR="003F75CB" w:rsidRPr="00350C35">
        <w:rPr>
          <w:sz w:val="28"/>
          <w:szCs w:val="28"/>
        </w:rPr>
        <w:t xml:space="preserve">  </w:t>
      </w:r>
      <w:r w:rsidR="00F350CB">
        <w:rPr>
          <w:sz w:val="28"/>
          <w:szCs w:val="28"/>
        </w:rPr>
        <w:br/>
      </w:r>
      <w:r w:rsidR="003F75CB" w:rsidRPr="00350C35">
        <w:rPr>
          <w:sz w:val="28"/>
          <w:szCs w:val="28"/>
        </w:rPr>
        <w:t>(Accessed: 2</w:t>
      </w:r>
      <w:r w:rsidR="003F75CB" w:rsidRPr="00350C35">
        <w:rPr>
          <w:sz w:val="28"/>
          <w:szCs w:val="28"/>
          <w:vertAlign w:val="superscript"/>
        </w:rPr>
        <w:t>nd</w:t>
      </w:r>
      <w:r w:rsidR="003F75CB" w:rsidRPr="00350C35">
        <w:rPr>
          <w:sz w:val="28"/>
          <w:szCs w:val="28"/>
        </w:rPr>
        <w:t xml:space="preserve"> May 2025)</w:t>
      </w:r>
    </w:p>
    <w:p w14:paraId="158BEDCA" w14:textId="20ED675C" w:rsidR="00E45DC2" w:rsidRPr="00350C35" w:rsidRDefault="00E45DC2" w:rsidP="00002741">
      <w:pPr>
        <w:rPr>
          <w:sz w:val="28"/>
          <w:szCs w:val="28"/>
        </w:rPr>
      </w:pPr>
      <w:r w:rsidRPr="00350C35">
        <w:rPr>
          <w:sz w:val="28"/>
          <w:szCs w:val="28"/>
        </w:rPr>
        <w:t xml:space="preserve">Moyle, L. (2019). ‘Situating Vulnerability and Exploitation in Street-Level Drug Markets: Cuckooing, Commuting, and the “County Lines” Drug Supply Model’, </w:t>
      </w:r>
      <w:r w:rsidRPr="00350C35">
        <w:rPr>
          <w:i/>
          <w:iCs/>
          <w:sz w:val="28"/>
          <w:szCs w:val="28"/>
        </w:rPr>
        <w:t>Journal of Drug Issues</w:t>
      </w:r>
      <w:r w:rsidRPr="00350C35">
        <w:rPr>
          <w:sz w:val="28"/>
          <w:szCs w:val="28"/>
        </w:rPr>
        <w:t xml:space="preserve">, 49(4), pp 739-755. DOI: </w:t>
      </w:r>
      <w:hyperlink r:id="rId49" w:history="1">
        <w:r w:rsidRPr="00350C35">
          <w:rPr>
            <w:rStyle w:val="Hyperlink"/>
            <w:sz w:val="28"/>
            <w:szCs w:val="28"/>
          </w:rPr>
          <w:t>https://doi-org.ezproxy.uwtsd.ac.uk/10.1177/0022042619861938</w:t>
        </w:r>
      </w:hyperlink>
      <w:r w:rsidR="00F350CB">
        <w:rPr>
          <w:sz w:val="28"/>
          <w:szCs w:val="28"/>
        </w:rPr>
        <w:t xml:space="preserve"> </w:t>
      </w:r>
      <w:r w:rsidR="00F350CB">
        <w:rPr>
          <w:sz w:val="28"/>
          <w:szCs w:val="28"/>
        </w:rPr>
        <w:br/>
        <w:t>(Accessed: 9</w:t>
      </w:r>
      <w:r w:rsidR="00F350CB" w:rsidRPr="00F350CB">
        <w:rPr>
          <w:sz w:val="28"/>
          <w:szCs w:val="28"/>
          <w:vertAlign w:val="superscript"/>
        </w:rPr>
        <w:t>th</w:t>
      </w:r>
      <w:r w:rsidR="00F350CB">
        <w:rPr>
          <w:sz w:val="28"/>
          <w:szCs w:val="28"/>
        </w:rPr>
        <w:t xml:space="preserve"> May)</w:t>
      </w:r>
    </w:p>
    <w:p w14:paraId="090997C4" w14:textId="6DA5F3A5" w:rsidR="00CE14C4" w:rsidRPr="00350C35" w:rsidRDefault="00CE14C4" w:rsidP="00002741">
      <w:pPr>
        <w:rPr>
          <w:sz w:val="28"/>
          <w:szCs w:val="28"/>
        </w:rPr>
      </w:pPr>
      <w:r w:rsidRPr="00350C35">
        <w:rPr>
          <w:sz w:val="28"/>
          <w:szCs w:val="28"/>
        </w:rPr>
        <w:t xml:space="preserve">Newburn, T. (2016). </w:t>
      </w:r>
      <w:r w:rsidRPr="00350C35">
        <w:rPr>
          <w:i/>
          <w:iCs/>
          <w:sz w:val="28"/>
          <w:szCs w:val="28"/>
        </w:rPr>
        <w:t>Social Disadvantage, Crime and Punishment</w:t>
      </w:r>
      <w:r w:rsidRPr="00350C35">
        <w:rPr>
          <w:sz w:val="28"/>
          <w:szCs w:val="28"/>
        </w:rPr>
        <w:t>. Oxford; Oxford University Press</w:t>
      </w:r>
    </w:p>
    <w:p w14:paraId="2384CF97" w14:textId="4E8B2656" w:rsidR="00523E66" w:rsidRDefault="00523E66" w:rsidP="00002741">
      <w:pPr>
        <w:rPr>
          <w:sz w:val="28"/>
          <w:szCs w:val="28"/>
        </w:rPr>
      </w:pPr>
      <w:r w:rsidRPr="00350C35">
        <w:rPr>
          <w:sz w:val="28"/>
          <w:szCs w:val="28"/>
        </w:rPr>
        <w:t>Office for National Statistics. (2024).</w:t>
      </w:r>
      <w:r w:rsidR="00613A36" w:rsidRPr="00350C35">
        <w:rPr>
          <w:sz w:val="28"/>
          <w:szCs w:val="28"/>
        </w:rPr>
        <w:t xml:space="preserve"> </w:t>
      </w:r>
      <w:r w:rsidR="00613A36" w:rsidRPr="00350C35">
        <w:rPr>
          <w:i/>
          <w:iCs/>
          <w:sz w:val="28"/>
          <w:szCs w:val="28"/>
        </w:rPr>
        <w:t xml:space="preserve">Suicides in England and Wales: 2023 Registrations. </w:t>
      </w:r>
      <w:r w:rsidR="00613A36" w:rsidRPr="00350C35">
        <w:rPr>
          <w:sz w:val="28"/>
          <w:szCs w:val="28"/>
        </w:rPr>
        <w:t xml:space="preserve">Available at: </w:t>
      </w:r>
      <w:hyperlink r:id="rId50" w:history="1">
        <w:r w:rsidR="00613A36" w:rsidRPr="00350C35">
          <w:rPr>
            <w:rStyle w:val="Hyperlink"/>
            <w:sz w:val="28"/>
            <w:szCs w:val="28"/>
          </w:rPr>
          <w:t>https://www.ons.gov.uk/peoplepopulationandcommunity/birthsdeathsandmarriages/deaths/bulletins/suicidesintheunitedkingdom/2023</w:t>
        </w:r>
      </w:hyperlink>
      <w:r w:rsidR="00613A36" w:rsidRPr="00350C35">
        <w:rPr>
          <w:sz w:val="28"/>
          <w:szCs w:val="28"/>
        </w:rPr>
        <w:t xml:space="preserve"> </w:t>
      </w:r>
      <w:r w:rsidR="00613A36" w:rsidRPr="00350C35">
        <w:rPr>
          <w:sz w:val="28"/>
          <w:szCs w:val="28"/>
        </w:rPr>
        <w:br/>
        <w:t>(Accessed:28</w:t>
      </w:r>
      <w:r w:rsidR="00613A36" w:rsidRPr="00350C35">
        <w:rPr>
          <w:sz w:val="28"/>
          <w:szCs w:val="28"/>
          <w:vertAlign w:val="superscript"/>
        </w:rPr>
        <w:t>th</w:t>
      </w:r>
      <w:r w:rsidR="00613A36" w:rsidRPr="00350C35">
        <w:rPr>
          <w:sz w:val="28"/>
          <w:szCs w:val="28"/>
        </w:rPr>
        <w:t xml:space="preserve"> April)</w:t>
      </w:r>
    </w:p>
    <w:p w14:paraId="6D1B60CC" w14:textId="77777777" w:rsidR="00CB3B59" w:rsidRPr="00350C35" w:rsidRDefault="00CB3B59" w:rsidP="00002741">
      <w:pPr>
        <w:rPr>
          <w:sz w:val="28"/>
          <w:szCs w:val="28"/>
        </w:rPr>
      </w:pPr>
    </w:p>
    <w:p w14:paraId="3D6B4C72" w14:textId="36B768A2" w:rsidR="004C596B" w:rsidRPr="00350C35" w:rsidRDefault="004C596B" w:rsidP="00002741">
      <w:pPr>
        <w:rPr>
          <w:sz w:val="28"/>
          <w:szCs w:val="28"/>
        </w:rPr>
      </w:pPr>
      <w:r w:rsidRPr="00350C35">
        <w:rPr>
          <w:sz w:val="28"/>
          <w:szCs w:val="28"/>
        </w:rPr>
        <w:lastRenderedPageBreak/>
        <w:t xml:space="preserve">Owen-Evans, R and Low, N. (2024). </w:t>
      </w:r>
      <w:r w:rsidRPr="00350C35">
        <w:rPr>
          <w:i/>
          <w:iCs/>
          <w:sz w:val="28"/>
          <w:szCs w:val="28"/>
        </w:rPr>
        <w:t>Public Trust and Confidence in the Police.</w:t>
      </w:r>
      <w:r w:rsidRPr="00350C35">
        <w:rPr>
          <w:sz w:val="28"/>
          <w:szCs w:val="28"/>
        </w:rPr>
        <w:t xml:space="preserve"> Available at: </w:t>
      </w:r>
      <w:hyperlink r:id="rId51" w:history="1">
        <w:r w:rsidRPr="00350C35">
          <w:rPr>
            <w:rStyle w:val="Hyperlink"/>
            <w:sz w:val="28"/>
            <w:szCs w:val="28"/>
          </w:rPr>
          <w:t>https://post.parliament.uk/public-trust-and-confidence-in-the-police/</w:t>
        </w:r>
      </w:hyperlink>
      <w:r w:rsidRPr="00350C35">
        <w:rPr>
          <w:sz w:val="28"/>
          <w:szCs w:val="28"/>
        </w:rPr>
        <w:t xml:space="preserve"> </w:t>
      </w:r>
      <w:r w:rsidRPr="00350C35">
        <w:rPr>
          <w:sz w:val="28"/>
          <w:szCs w:val="28"/>
        </w:rPr>
        <w:br/>
        <w:t>(Accessed: 4</w:t>
      </w:r>
      <w:r w:rsidRPr="00350C35">
        <w:rPr>
          <w:sz w:val="28"/>
          <w:szCs w:val="28"/>
          <w:vertAlign w:val="superscript"/>
        </w:rPr>
        <w:t>th</w:t>
      </w:r>
      <w:r w:rsidRPr="00350C35">
        <w:rPr>
          <w:sz w:val="28"/>
          <w:szCs w:val="28"/>
        </w:rPr>
        <w:t xml:space="preserve"> May 2025)</w:t>
      </w:r>
    </w:p>
    <w:p w14:paraId="7752A010" w14:textId="1B2D5F8D" w:rsidR="004C596B" w:rsidRPr="00350C35" w:rsidRDefault="004C596B" w:rsidP="004C596B">
      <w:pPr>
        <w:rPr>
          <w:sz w:val="28"/>
          <w:szCs w:val="28"/>
        </w:rPr>
      </w:pPr>
      <w:r w:rsidRPr="00350C35">
        <w:rPr>
          <w:sz w:val="28"/>
          <w:szCs w:val="28"/>
        </w:rPr>
        <w:t xml:space="preserve">Peters, U. (2020). ‘What is the Function of Confirmation Bias?’, </w:t>
      </w:r>
      <w:proofErr w:type="spellStart"/>
      <w:r w:rsidRPr="00350C35">
        <w:rPr>
          <w:i/>
          <w:iCs/>
          <w:sz w:val="28"/>
          <w:szCs w:val="28"/>
        </w:rPr>
        <w:t>Erkenntnis</w:t>
      </w:r>
      <w:proofErr w:type="spellEnd"/>
      <w:r w:rsidR="006369FD">
        <w:rPr>
          <w:i/>
          <w:iCs/>
          <w:sz w:val="28"/>
          <w:szCs w:val="28"/>
        </w:rPr>
        <w:t xml:space="preserve">, </w:t>
      </w:r>
      <w:r w:rsidR="006369FD">
        <w:rPr>
          <w:sz w:val="28"/>
          <w:szCs w:val="28"/>
        </w:rPr>
        <w:t>87, pp 1351 – 1376.</w:t>
      </w:r>
      <w:r w:rsidRPr="00350C35">
        <w:rPr>
          <w:i/>
          <w:iCs/>
          <w:sz w:val="28"/>
          <w:szCs w:val="28"/>
        </w:rPr>
        <w:t xml:space="preserve"> </w:t>
      </w:r>
      <w:r w:rsidRPr="00350C35">
        <w:rPr>
          <w:sz w:val="28"/>
          <w:szCs w:val="28"/>
        </w:rPr>
        <w:t xml:space="preserve">DOI: </w:t>
      </w:r>
      <w:hyperlink r:id="rId52" w:history="1">
        <w:r w:rsidRPr="00350C35">
          <w:rPr>
            <w:rStyle w:val="Hyperlink"/>
            <w:sz w:val="28"/>
            <w:szCs w:val="28"/>
          </w:rPr>
          <w:t>https://doi.org/10.1007/s1</w:t>
        </w:r>
        <w:r w:rsidRPr="00350C35">
          <w:rPr>
            <w:rStyle w:val="Hyperlink"/>
            <w:sz w:val="28"/>
            <w:szCs w:val="28"/>
          </w:rPr>
          <w:t>0</w:t>
        </w:r>
        <w:r w:rsidRPr="00350C35">
          <w:rPr>
            <w:rStyle w:val="Hyperlink"/>
            <w:sz w:val="28"/>
            <w:szCs w:val="28"/>
          </w:rPr>
          <w:t>670-020-00252-1</w:t>
        </w:r>
      </w:hyperlink>
      <w:r w:rsidRPr="00350C35">
        <w:rPr>
          <w:sz w:val="28"/>
          <w:szCs w:val="28"/>
        </w:rPr>
        <w:t xml:space="preserve"> </w:t>
      </w:r>
      <w:r w:rsidR="006369FD">
        <w:rPr>
          <w:sz w:val="28"/>
          <w:szCs w:val="28"/>
        </w:rPr>
        <w:br/>
        <w:t>(Accessed: 1</w:t>
      </w:r>
      <w:r w:rsidR="006369FD" w:rsidRPr="006369FD">
        <w:rPr>
          <w:sz w:val="28"/>
          <w:szCs w:val="28"/>
          <w:vertAlign w:val="superscript"/>
        </w:rPr>
        <w:t>st</w:t>
      </w:r>
      <w:r w:rsidR="006369FD">
        <w:rPr>
          <w:sz w:val="28"/>
          <w:szCs w:val="28"/>
        </w:rPr>
        <w:t xml:space="preserve"> May 2025)</w:t>
      </w:r>
    </w:p>
    <w:p w14:paraId="3D8A224C" w14:textId="04262517" w:rsidR="004C596B" w:rsidRPr="00350C35" w:rsidRDefault="004C596B" w:rsidP="00002741">
      <w:pPr>
        <w:rPr>
          <w:sz w:val="28"/>
          <w:szCs w:val="28"/>
        </w:rPr>
      </w:pPr>
      <w:r w:rsidRPr="00350C35">
        <w:rPr>
          <w:sz w:val="28"/>
          <w:szCs w:val="28"/>
        </w:rPr>
        <w:t xml:space="preserve">Pickles, J. (2020) </w:t>
      </w:r>
      <w:r w:rsidRPr="00350C35">
        <w:rPr>
          <w:i/>
          <w:iCs/>
          <w:sz w:val="28"/>
          <w:szCs w:val="28"/>
        </w:rPr>
        <w:t>Policing hate and bridging communities: a qualitative evaluation of relations between LGBT+ people and the police within the North East of England, Policing and Society</w:t>
      </w:r>
      <w:r w:rsidRPr="00350C35">
        <w:rPr>
          <w:sz w:val="28"/>
          <w:szCs w:val="28"/>
        </w:rPr>
        <w:t xml:space="preserve">. 30:7, </w:t>
      </w:r>
      <w:r w:rsidR="006369FD">
        <w:rPr>
          <w:sz w:val="28"/>
          <w:szCs w:val="28"/>
        </w:rPr>
        <w:t xml:space="preserve">pp </w:t>
      </w:r>
      <w:r w:rsidRPr="00350C35">
        <w:rPr>
          <w:sz w:val="28"/>
          <w:szCs w:val="28"/>
        </w:rPr>
        <w:t xml:space="preserve">741-759. </w:t>
      </w:r>
      <w:r w:rsidRPr="00350C35">
        <w:rPr>
          <w:sz w:val="28"/>
          <w:szCs w:val="28"/>
        </w:rPr>
        <w:tab/>
      </w:r>
      <w:r w:rsidRPr="00350C35">
        <w:rPr>
          <w:sz w:val="28"/>
          <w:szCs w:val="28"/>
        </w:rPr>
        <w:tab/>
        <w:t xml:space="preserve">          DOI: </w:t>
      </w:r>
      <w:hyperlink r:id="rId53" w:history="1">
        <w:r w:rsidR="006369FD" w:rsidRPr="00BD1B9C">
          <w:rPr>
            <w:rStyle w:val="Hyperlink"/>
            <w:sz w:val="28"/>
            <w:szCs w:val="28"/>
          </w:rPr>
          <w:t>https://doi.org/10.1080/10439463.2019.1588269</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 22</w:t>
      </w:r>
      <w:r w:rsidRPr="00350C35">
        <w:rPr>
          <w:sz w:val="28"/>
          <w:szCs w:val="28"/>
          <w:vertAlign w:val="superscript"/>
        </w:rPr>
        <w:t>nd</w:t>
      </w:r>
      <w:r w:rsidRPr="00350C35">
        <w:rPr>
          <w:sz w:val="28"/>
          <w:szCs w:val="28"/>
        </w:rPr>
        <w:t xml:space="preserve"> January 2025)</w:t>
      </w:r>
    </w:p>
    <w:p w14:paraId="11A36B9C" w14:textId="4669A4EB" w:rsidR="004C596B" w:rsidRPr="00350C35" w:rsidRDefault="004C596B" w:rsidP="00002741">
      <w:pPr>
        <w:rPr>
          <w:sz w:val="28"/>
          <w:szCs w:val="28"/>
        </w:rPr>
      </w:pPr>
      <w:r w:rsidRPr="00350C35">
        <w:rPr>
          <w:sz w:val="28"/>
          <w:szCs w:val="28"/>
        </w:rPr>
        <w:t xml:space="preserve">Samaritans. (2012). </w:t>
      </w:r>
      <w:r w:rsidRPr="00350C35">
        <w:rPr>
          <w:i/>
          <w:iCs/>
          <w:sz w:val="28"/>
          <w:szCs w:val="28"/>
        </w:rPr>
        <w:t xml:space="preserve">Men and Suicide: Why it’s a Social Issue. </w:t>
      </w:r>
      <w:r w:rsidRPr="00350C35">
        <w:rPr>
          <w:sz w:val="28"/>
          <w:szCs w:val="28"/>
        </w:rPr>
        <w:t xml:space="preserve">Available at: </w:t>
      </w:r>
      <w:hyperlink r:id="rId54" w:history="1">
        <w:r w:rsidRPr="00350C35">
          <w:rPr>
            <w:rStyle w:val="Hyperlink"/>
            <w:sz w:val="28"/>
            <w:szCs w:val="28"/>
          </w:rPr>
          <w:t>https://media.samaritans.org/documents/Men-and-Suicide-Report-Samaritans.pdf</w:t>
        </w:r>
      </w:hyperlink>
      <w:r w:rsidRPr="00350C35">
        <w:rPr>
          <w:sz w:val="28"/>
          <w:szCs w:val="28"/>
        </w:rPr>
        <w:t xml:space="preserve">  </w:t>
      </w:r>
      <w:r w:rsidR="006369FD">
        <w:rPr>
          <w:sz w:val="28"/>
          <w:szCs w:val="28"/>
        </w:rPr>
        <w:br/>
      </w:r>
      <w:r w:rsidRPr="00350C35">
        <w:rPr>
          <w:sz w:val="28"/>
          <w:szCs w:val="28"/>
        </w:rPr>
        <w:t>(Accessed: 1</w:t>
      </w:r>
      <w:r w:rsidRPr="00350C35">
        <w:rPr>
          <w:sz w:val="28"/>
          <w:szCs w:val="28"/>
          <w:vertAlign w:val="superscript"/>
        </w:rPr>
        <w:t>st</w:t>
      </w:r>
      <w:r w:rsidRPr="00350C35">
        <w:rPr>
          <w:sz w:val="28"/>
          <w:szCs w:val="28"/>
        </w:rPr>
        <w:t xml:space="preserve"> May 2025)</w:t>
      </w:r>
    </w:p>
    <w:p w14:paraId="58535D59" w14:textId="1B44ED14" w:rsidR="00F704DA" w:rsidRPr="006369FD" w:rsidRDefault="00F704DA" w:rsidP="00002741">
      <w:pPr>
        <w:rPr>
          <w:sz w:val="28"/>
          <w:szCs w:val="28"/>
        </w:rPr>
      </w:pPr>
      <w:r w:rsidRPr="00350C35">
        <w:rPr>
          <w:sz w:val="28"/>
          <w:szCs w:val="28"/>
        </w:rPr>
        <w:t xml:space="preserve">Sharon, A et al. (2020). ‘Probable PTSD, depression and anxiety in 40,299 UK Police Officers and Staff: Prevalence, Risk Factors and Associations with Blood Pressure’, </w:t>
      </w:r>
      <w:proofErr w:type="spellStart"/>
      <w:r w:rsidRPr="00350C35">
        <w:rPr>
          <w:i/>
          <w:iCs/>
          <w:sz w:val="28"/>
          <w:szCs w:val="28"/>
        </w:rPr>
        <w:t>PLoS</w:t>
      </w:r>
      <w:proofErr w:type="spellEnd"/>
      <w:r w:rsidRPr="00350C35">
        <w:rPr>
          <w:i/>
          <w:iCs/>
          <w:sz w:val="28"/>
          <w:szCs w:val="28"/>
        </w:rPr>
        <w:t xml:space="preserve"> ONE, 15(11). </w:t>
      </w:r>
      <w:r w:rsidR="006369FD">
        <w:rPr>
          <w:i/>
          <w:iCs/>
          <w:sz w:val="28"/>
          <w:szCs w:val="28"/>
        </w:rPr>
        <w:br/>
      </w:r>
      <w:r w:rsidRPr="00350C35">
        <w:rPr>
          <w:i/>
          <w:iCs/>
          <w:sz w:val="28"/>
          <w:szCs w:val="28"/>
        </w:rPr>
        <w:t xml:space="preserve">DOI: </w:t>
      </w:r>
      <w:hyperlink r:id="rId55" w:history="1">
        <w:r w:rsidR="006369FD" w:rsidRPr="00BD1B9C">
          <w:rPr>
            <w:rStyle w:val="Hyperlink"/>
            <w:i/>
            <w:iCs/>
            <w:sz w:val="28"/>
            <w:szCs w:val="28"/>
          </w:rPr>
          <w:t>https://doi.org/10.1371/journal.pone.0240902</w:t>
        </w:r>
      </w:hyperlink>
      <w:r w:rsidR="006369FD">
        <w:rPr>
          <w:i/>
          <w:iCs/>
          <w:sz w:val="28"/>
          <w:szCs w:val="28"/>
        </w:rPr>
        <w:t xml:space="preserve"> </w:t>
      </w:r>
      <w:r w:rsidR="006369FD">
        <w:rPr>
          <w:i/>
          <w:iCs/>
          <w:sz w:val="28"/>
          <w:szCs w:val="28"/>
        </w:rPr>
        <w:br/>
      </w:r>
      <w:r w:rsidR="006369FD">
        <w:rPr>
          <w:sz w:val="28"/>
          <w:szCs w:val="28"/>
        </w:rPr>
        <w:t>(Accessed: 2</w:t>
      </w:r>
      <w:r w:rsidR="006369FD" w:rsidRPr="006369FD">
        <w:rPr>
          <w:sz w:val="28"/>
          <w:szCs w:val="28"/>
          <w:vertAlign w:val="superscript"/>
        </w:rPr>
        <w:t>nd</w:t>
      </w:r>
      <w:r w:rsidR="006369FD">
        <w:rPr>
          <w:sz w:val="28"/>
          <w:szCs w:val="28"/>
        </w:rPr>
        <w:t xml:space="preserve"> May 2025)</w:t>
      </w:r>
    </w:p>
    <w:p w14:paraId="29A242AF" w14:textId="1CD94EC3" w:rsidR="00002741" w:rsidRDefault="00002741" w:rsidP="00002741">
      <w:pPr>
        <w:rPr>
          <w:sz w:val="28"/>
          <w:szCs w:val="28"/>
        </w:rPr>
      </w:pPr>
      <w:r w:rsidRPr="00350C35">
        <w:rPr>
          <w:sz w:val="28"/>
          <w:szCs w:val="28"/>
        </w:rPr>
        <w:t xml:space="preserve">South Wales Police (2025) </w:t>
      </w:r>
      <w:r w:rsidRPr="00350C35">
        <w:rPr>
          <w:i/>
          <w:iCs/>
          <w:sz w:val="28"/>
          <w:szCs w:val="28"/>
        </w:rPr>
        <w:t>Positive Action Support.</w:t>
      </w:r>
      <w:r w:rsidR="006369FD">
        <w:rPr>
          <w:i/>
          <w:iCs/>
          <w:sz w:val="28"/>
          <w:szCs w:val="28"/>
        </w:rPr>
        <w:t xml:space="preserve"> </w:t>
      </w:r>
      <w:r w:rsidRPr="00350C35">
        <w:rPr>
          <w:sz w:val="28"/>
          <w:szCs w:val="28"/>
        </w:rPr>
        <w:t xml:space="preserve">Available at: </w:t>
      </w:r>
      <w:hyperlink r:id="rId56" w:history="1">
        <w:r w:rsidR="006369FD" w:rsidRPr="00BD1B9C">
          <w:rPr>
            <w:rStyle w:val="Hyperlink"/>
            <w:sz w:val="28"/>
            <w:szCs w:val="28"/>
          </w:rPr>
          <w:t>https://www.south-wales.police.uk/police-forces/south-wales-police/areas/careers/careers/positive-action/#:~:text=South%20Wales%20Police%20is%20currently,including%20attendance%20at%20upskill%20events</w:t>
        </w:r>
      </w:hyperlink>
      <w:r w:rsidR="006369FD" w:rsidRPr="006369FD">
        <w:rPr>
          <w:sz w:val="28"/>
          <w:szCs w:val="28"/>
        </w:rPr>
        <w:t>.</w:t>
      </w:r>
      <w:r w:rsidR="006369FD">
        <w:rPr>
          <w:sz w:val="28"/>
          <w:szCs w:val="28"/>
        </w:rPr>
        <w:t xml:space="preserve"> </w:t>
      </w:r>
      <w:r w:rsidRPr="00350C35">
        <w:rPr>
          <w:sz w:val="28"/>
          <w:szCs w:val="28"/>
        </w:rPr>
        <w:tab/>
        <w:t xml:space="preserve">           </w:t>
      </w:r>
      <w:r w:rsidR="006369FD">
        <w:rPr>
          <w:sz w:val="28"/>
          <w:szCs w:val="28"/>
        </w:rPr>
        <w:br/>
      </w:r>
      <w:r w:rsidRPr="00350C35">
        <w:rPr>
          <w:sz w:val="28"/>
          <w:szCs w:val="28"/>
        </w:rPr>
        <w:t>(Accessed on: 21</w:t>
      </w:r>
      <w:r w:rsidRPr="00350C35">
        <w:rPr>
          <w:sz w:val="28"/>
          <w:szCs w:val="28"/>
          <w:vertAlign w:val="superscript"/>
        </w:rPr>
        <w:t>st</w:t>
      </w:r>
      <w:r w:rsidRPr="00350C35">
        <w:rPr>
          <w:sz w:val="28"/>
          <w:szCs w:val="28"/>
        </w:rPr>
        <w:t xml:space="preserve"> January 2025)</w:t>
      </w:r>
    </w:p>
    <w:p w14:paraId="6BB23423" w14:textId="19A55D5B" w:rsidR="000E3C2C" w:rsidRDefault="000E3C2C" w:rsidP="00002741">
      <w:pPr>
        <w:rPr>
          <w:sz w:val="28"/>
          <w:szCs w:val="28"/>
        </w:rPr>
      </w:pPr>
      <w:r w:rsidRPr="000E3C2C">
        <w:rPr>
          <w:sz w:val="28"/>
          <w:szCs w:val="28"/>
        </w:rPr>
        <w:t>Spalek, B. (2008).</w:t>
      </w:r>
      <w:r>
        <w:rPr>
          <w:i/>
          <w:iCs/>
          <w:sz w:val="28"/>
          <w:szCs w:val="28"/>
        </w:rPr>
        <w:t xml:space="preserve"> </w:t>
      </w:r>
      <w:r w:rsidRPr="00350C35">
        <w:rPr>
          <w:i/>
          <w:iCs/>
          <w:sz w:val="28"/>
          <w:szCs w:val="28"/>
        </w:rPr>
        <w:t>Ethnicity and Crime</w:t>
      </w:r>
      <w:r>
        <w:rPr>
          <w:sz w:val="28"/>
          <w:szCs w:val="28"/>
        </w:rPr>
        <w:t>. Berkshire</w:t>
      </w:r>
      <w:r w:rsidRPr="00350C35">
        <w:rPr>
          <w:sz w:val="28"/>
          <w:szCs w:val="28"/>
        </w:rPr>
        <w:t>: McGraw-Hill Education.</w:t>
      </w:r>
      <w:r w:rsidR="006369FD">
        <w:rPr>
          <w:sz w:val="28"/>
          <w:szCs w:val="28"/>
        </w:rPr>
        <w:t xml:space="preserve"> </w:t>
      </w:r>
      <w:r w:rsidRPr="00350C35">
        <w:rPr>
          <w:sz w:val="28"/>
          <w:szCs w:val="28"/>
        </w:rPr>
        <w:t xml:space="preserve">Available at: </w:t>
      </w:r>
      <w:hyperlink r:id="rId57" w:history="1">
        <w:r w:rsidR="006369FD" w:rsidRPr="00BD1B9C">
          <w:rPr>
            <w:rStyle w:val="Hyperlink"/>
            <w:sz w:val="28"/>
            <w:szCs w:val="28"/>
          </w:rPr>
          <w:t>https://www.google.co.uk/books/edition/_/-Wj4AAAAQBAJ?hl=en&amp;gbpv=1</w:t>
        </w:r>
      </w:hyperlink>
      <w:r w:rsidR="006369FD">
        <w:rPr>
          <w:sz w:val="28"/>
          <w:szCs w:val="28"/>
        </w:rPr>
        <w:t xml:space="preserve"> </w:t>
      </w:r>
      <w:r w:rsidRPr="00350C35">
        <w:rPr>
          <w:sz w:val="28"/>
          <w:szCs w:val="28"/>
        </w:rPr>
        <w:t xml:space="preserve"> </w:t>
      </w:r>
      <w:r w:rsidRPr="00350C35">
        <w:rPr>
          <w:sz w:val="28"/>
          <w:szCs w:val="28"/>
        </w:rPr>
        <w:tab/>
      </w:r>
      <w:r w:rsidRPr="00350C35">
        <w:rPr>
          <w:sz w:val="28"/>
          <w:szCs w:val="28"/>
        </w:rPr>
        <w:tab/>
        <w:t xml:space="preserve">          </w:t>
      </w:r>
      <w:r w:rsidR="006369FD">
        <w:rPr>
          <w:sz w:val="28"/>
          <w:szCs w:val="28"/>
        </w:rPr>
        <w:br/>
      </w:r>
      <w:r w:rsidRPr="00350C35">
        <w:rPr>
          <w:sz w:val="28"/>
          <w:szCs w:val="28"/>
        </w:rPr>
        <w:t>(Accessed on: 12</w:t>
      </w:r>
      <w:r w:rsidRPr="00350C35">
        <w:rPr>
          <w:sz w:val="28"/>
          <w:szCs w:val="28"/>
          <w:vertAlign w:val="superscript"/>
        </w:rPr>
        <w:t>th</w:t>
      </w:r>
      <w:r w:rsidRPr="00350C35">
        <w:rPr>
          <w:sz w:val="28"/>
          <w:szCs w:val="28"/>
        </w:rPr>
        <w:t xml:space="preserve"> December 2024)</w:t>
      </w:r>
    </w:p>
    <w:p w14:paraId="720E37C6" w14:textId="77777777" w:rsidR="00CB3B59" w:rsidRDefault="00CB3B59" w:rsidP="00002741">
      <w:pPr>
        <w:rPr>
          <w:sz w:val="28"/>
          <w:szCs w:val="28"/>
        </w:rPr>
      </w:pPr>
    </w:p>
    <w:p w14:paraId="5FE7E2D3" w14:textId="77777777" w:rsidR="00CB3B59" w:rsidRPr="00350C35" w:rsidRDefault="00CB3B59" w:rsidP="00002741">
      <w:pPr>
        <w:rPr>
          <w:sz w:val="28"/>
          <w:szCs w:val="28"/>
        </w:rPr>
      </w:pPr>
    </w:p>
    <w:p w14:paraId="02F55BE6" w14:textId="2F3922B8" w:rsidR="00B5606F" w:rsidRPr="00350C35" w:rsidRDefault="00B5606F" w:rsidP="00002741">
      <w:pPr>
        <w:rPr>
          <w:sz w:val="28"/>
          <w:szCs w:val="28"/>
        </w:rPr>
      </w:pPr>
      <w:r w:rsidRPr="00350C35">
        <w:rPr>
          <w:sz w:val="28"/>
          <w:szCs w:val="28"/>
        </w:rPr>
        <w:lastRenderedPageBreak/>
        <w:t xml:space="preserve">Spicer, J. (2018). </w:t>
      </w:r>
      <w:r w:rsidRPr="00350C35">
        <w:rPr>
          <w:sz w:val="28"/>
          <w:szCs w:val="28"/>
        </w:rPr>
        <w:t>‘That’s their brand, their business’: how police officers are interpreting County Lines</w:t>
      </w:r>
      <w:r w:rsidRPr="00350C35">
        <w:rPr>
          <w:sz w:val="28"/>
          <w:szCs w:val="28"/>
        </w:rPr>
        <w:t>’</w:t>
      </w:r>
      <w:r w:rsidRPr="00350C35">
        <w:rPr>
          <w:sz w:val="28"/>
          <w:szCs w:val="28"/>
        </w:rPr>
        <w:t>. </w:t>
      </w:r>
      <w:r w:rsidRPr="00350C35">
        <w:rPr>
          <w:i/>
          <w:iCs/>
          <w:sz w:val="28"/>
          <w:szCs w:val="28"/>
        </w:rPr>
        <w:t>Policing and Society</w:t>
      </w:r>
      <w:r w:rsidRPr="00350C35">
        <w:rPr>
          <w:sz w:val="28"/>
          <w:szCs w:val="28"/>
        </w:rPr>
        <w:t>, </w:t>
      </w:r>
      <w:r w:rsidRPr="00350C35">
        <w:rPr>
          <w:i/>
          <w:iCs/>
          <w:sz w:val="28"/>
          <w:szCs w:val="28"/>
        </w:rPr>
        <w:t>29</w:t>
      </w:r>
      <w:r w:rsidRPr="00350C35">
        <w:rPr>
          <w:sz w:val="28"/>
          <w:szCs w:val="28"/>
        </w:rPr>
        <w:t xml:space="preserve">(8), </w:t>
      </w:r>
      <w:r w:rsidRPr="00350C35">
        <w:rPr>
          <w:sz w:val="28"/>
          <w:szCs w:val="28"/>
        </w:rPr>
        <w:t xml:space="preserve">pp </w:t>
      </w:r>
      <w:r w:rsidRPr="00350C35">
        <w:rPr>
          <w:sz w:val="28"/>
          <w:szCs w:val="28"/>
        </w:rPr>
        <w:t xml:space="preserve">873–886. </w:t>
      </w:r>
      <w:hyperlink r:id="rId58" w:history="1">
        <w:r w:rsidRPr="00350C35">
          <w:rPr>
            <w:rStyle w:val="Hyperlink"/>
            <w:sz w:val="28"/>
            <w:szCs w:val="28"/>
          </w:rPr>
          <w:t>https://doi-org.ezproxy.uwtsd.ac.uk/10.1080/10439463.2018.1445742</w:t>
        </w:r>
      </w:hyperlink>
      <w:r w:rsidRPr="00350C35">
        <w:rPr>
          <w:sz w:val="28"/>
          <w:szCs w:val="28"/>
        </w:rPr>
        <w:t xml:space="preserve"> </w:t>
      </w:r>
      <w:r w:rsidR="006369FD">
        <w:rPr>
          <w:sz w:val="28"/>
          <w:szCs w:val="28"/>
        </w:rPr>
        <w:br/>
        <w:t>(Accessed: 8</w:t>
      </w:r>
      <w:r w:rsidR="006369FD" w:rsidRPr="006369FD">
        <w:rPr>
          <w:sz w:val="28"/>
          <w:szCs w:val="28"/>
          <w:vertAlign w:val="superscript"/>
        </w:rPr>
        <w:t>th</w:t>
      </w:r>
      <w:r w:rsidR="006369FD">
        <w:rPr>
          <w:sz w:val="28"/>
          <w:szCs w:val="28"/>
        </w:rPr>
        <w:t xml:space="preserve"> May 2025)</w:t>
      </w:r>
    </w:p>
    <w:p w14:paraId="6E509156" w14:textId="3DF5C389" w:rsidR="00D16B26" w:rsidRPr="00350C35" w:rsidRDefault="00D16B26" w:rsidP="00002741">
      <w:pPr>
        <w:rPr>
          <w:sz w:val="28"/>
          <w:szCs w:val="28"/>
        </w:rPr>
      </w:pPr>
      <w:r w:rsidRPr="00350C35">
        <w:rPr>
          <w:sz w:val="28"/>
          <w:szCs w:val="28"/>
        </w:rPr>
        <w:t xml:space="preserve">Spicer, J, Moyle, L and Coomber, R. (2020). ‘The variable and evolving nature of ‘cuckooing’ as a form of criminal exploitation in street level drug markets’. </w:t>
      </w:r>
      <w:r w:rsidRPr="00350C35">
        <w:rPr>
          <w:i/>
          <w:iCs/>
          <w:sz w:val="28"/>
          <w:szCs w:val="28"/>
        </w:rPr>
        <w:t>Trends Organ Crim</w:t>
      </w:r>
      <w:r w:rsidRPr="00350C35">
        <w:rPr>
          <w:sz w:val="28"/>
          <w:szCs w:val="28"/>
        </w:rPr>
        <w:t xml:space="preserve">, 23, pp 301–323. DOI: </w:t>
      </w:r>
      <w:hyperlink r:id="rId59" w:history="1">
        <w:r w:rsidRPr="00350C35">
          <w:rPr>
            <w:rStyle w:val="Hyperlink"/>
            <w:sz w:val="28"/>
            <w:szCs w:val="28"/>
          </w:rPr>
          <w:t>https://doi.org/10.1007/s12117-019-09368-5</w:t>
        </w:r>
      </w:hyperlink>
      <w:r w:rsidRPr="00350C35">
        <w:rPr>
          <w:sz w:val="28"/>
          <w:szCs w:val="28"/>
        </w:rPr>
        <w:t xml:space="preserve"> </w:t>
      </w:r>
      <w:r w:rsidR="006369FD">
        <w:rPr>
          <w:sz w:val="28"/>
          <w:szCs w:val="28"/>
        </w:rPr>
        <w:br/>
      </w:r>
      <w:r w:rsidRPr="00350C35">
        <w:rPr>
          <w:sz w:val="28"/>
          <w:szCs w:val="28"/>
        </w:rPr>
        <w:t>(Accessed: 9</w:t>
      </w:r>
      <w:r w:rsidRPr="00350C35">
        <w:rPr>
          <w:sz w:val="28"/>
          <w:szCs w:val="28"/>
          <w:vertAlign w:val="superscript"/>
        </w:rPr>
        <w:t>th</w:t>
      </w:r>
      <w:r w:rsidRPr="00350C35">
        <w:rPr>
          <w:sz w:val="28"/>
          <w:szCs w:val="28"/>
        </w:rPr>
        <w:t xml:space="preserve"> May 2025)</w:t>
      </w:r>
    </w:p>
    <w:p w14:paraId="17E89739" w14:textId="5DF59CE8" w:rsidR="006369FD" w:rsidRPr="00350C35" w:rsidRDefault="004C596B" w:rsidP="00002741">
      <w:pPr>
        <w:rPr>
          <w:rFonts w:eastAsia="Arial" w:cs="Times New Roman"/>
          <w:sz w:val="28"/>
          <w:szCs w:val="28"/>
          <w:lang w:eastAsia="zh-TW"/>
        </w:rPr>
      </w:pPr>
      <w:r w:rsidRPr="00350C35">
        <w:rPr>
          <w:rFonts w:eastAsia="Arial" w:cs="Times New Roman"/>
          <w:sz w:val="28"/>
          <w:szCs w:val="28"/>
          <w:lang w:eastAsia="zh-TW"/>
        </w:rPr>
        <w:t xml:space="preserve">Stainton, I and Ewin R. (2022). </w:t>
      </w:r>
      <w:r w:rsidRPr="00350C35">
        <w:rPr>
          <w:rFonts w:eastAsia="Arial" w:cs="Times New Roman"/>
          <w:i/>
          <w:iCs/>
          <w:sz w:val="28"/>
          <w:szCs w:val="28"/>
          <w:lang w:eastAsia="zh-TW"/>
        </w:rPr>
        <w:t>Criminal Investigation</w:t>
      </w:r>
      <w:r w:rsidRPr="00350C35">
        <w:rPr>
          <w:rFonts w:eastAsia="Arial" w:cs="Times New Roman"/>
          <w:sz w:val="28"/>
          <w:szCs w:val="28"/>
          <w:lang w:eastAsia="zh-TW"/>
        </w:rPr>
        <w:t>. 1</w:t>
      </w:r>
      <w:r w:rsidRPr="00350C35">
        <w:rPr>
          <w:rFonts w:eastAsia="Arial" w:cs="Times New Roman"/>
          <w:sz w:val="28"/>
          <w:szCs w:val="28"/>
          <w:vertAlign w:val="superscript"/>
          <w:lang w:eastAsia="zh-TW"/>
        </w:rPr>
        <w:t>st</w:t>
      </w:r>
      <w:r w:rsidRPr="00350C35">
        <w:rPr>
          <w:rFonts w:eastAsia="Arial" w:cs="Times New Roman"/>
          <w:sz w:val="28"/>
          <w:szCs w:val="28"/>
          <w:lang w:eastAsia="zh-TW"/>
        </w:rPr>
        <w:t xml:space="preserve"> </w:t>
      </w:r>
      <w:proofErr w:type="spellStart"/>
      <w:r w:rsidRPr="00350C35">
        <w:rPr>
          <w:rFonts w:eastAsia="Arial" w:cs="Times New Roman"/>
          <w:sz w:val="28"/>
          <w:szCs w:val="28"/>
          <w:lang w:eastAsia="zh-TW"/>
        </w:rPr>
        <w:t>edn</w:t>
      </w:r>
      <w:proofErr w:type="spellEnd"/>
      <w:r w:rsidRPr="00350C35">
        <w:rPr>
          <w:rFonts w:eastAsia="Arial" w:cs="Times New Roman"/>
          <w:sz w:val="28"/>
          <w:szCs w:val="28"/>
          <w:lang w:eastAsia="zh-TW"/>
        </w:rPr>
        <w:t>. Hertfordshire: Critical Publishing.</w:t>
      </w:r>
    </w:p>
    <w:p w14:paraId="4845982C" w14:textId="50FE2EC3" w:rsidR="00CB5B5C" w:rsidRPr="00350C35" w:rsidRDefault="00CB5B5C" w:rsidP="00002741">
      <w:pPr>
        <w:rPr>
          <w:rFonts w:eastAsia="Arial" w:cs="Times New Roman"/>
          <w:sz w:val="28"/>
          <w:szCs w:val="28"/>
          <w:lang w:eastAsia="zh-TW"/>
        </w:rPr>
      </w:pPr>
      <w:r w:rsidRPr="00350C35">
        <w:rPr>
          <w:rFonts w:eastAsia="Arial" w:cs="Times New Roman"/>
          <w:sz w:val="28"/>
          <w:szCs w:val="28"/>
          <w:lang w:eastAsia="zh-TW"/>
        </w:rPr>
        <w:t xml:space="preserve">Stone, N. (2018). ‘Child Criminal Exploitation: ‘County Lines’, Trafficking and Cuckooing’, Sage Journal, 18(3), pp 285-293. DOI: </w:t>
      </w:r>
      <w:hyperlink r:id="rId60" w:history="1">
        <w:r w:rsidRPr="00350C35">
          <w:rPr>
            <w:rStyle w:val="Hyperlink"/>
            <w:rFonts w:eastAsia="Arial" w:cs="Times New Roman"/>
            <w:sz w:val="28"/>
            <w:szCs w:val="28"/>
            <w:lang w:eastAsia="zh-TW"/>
          </w:rPr>
          <w:t>https://doi-org.ezproxy.uwtsd.ac.uk/10.1177/1473225418810833</w:t>
        </w:r>
      </w:hyperlink>
      <w:r w:rsidRPr="00350C35">
        <w:rPr>
          <w:rFonts w:eastAsia="Arial" w:cs="Times New Roman"/>
          <w:sz w:val="28"/>
          <w:szCs w:val="28"/>
          <w:lang w:eastAsia="zh-TW"/>
        </w:rPr>
        <w:t> </w:t>
      </w:r>
      <w:r w:rsidR="006369FD">
        <w:rPr>
          <w:rFonts w:eastAsia="Arial" w:cs="Times New Roman"/>
          <w:sz w:val="28"/>
          <w:szCs w:val="28"/>
          <w:lang w:eastAsia="zh-TW"/>
        </w:rPr>
        <w:br/>
      </w:r>
      <w:r w:rsidRPr="00350C35">
        <w:rPr>
          <w:rFonts w:eastAsia="Arial" w:cs="Times New Roman"/>
          <w:sz w:val="28"/>
          <w:szCs w:val="28"/>
          <w:lang w:eastAsia="zh-TW"/>
        </w:rPr>
        <w:t>(Accessed: 5</w:t>
      </w:r>
      <w:r w:rsidRPr="00350C35">
        <w:rPr>
          <w:rFonts w:eastAsia="Arial" w:cs="Times New Roman"/>
          <w:sz w:val="28"/>
          <w:szCs w:val="28"/>
          <w:vertAlign w:val="superscript"/>
          <w:lang w:eastAsia="zh-TW"/>
        </w:rPr>
        <w:t>th</w:t>
      </w:r>
      <w:r w:rsidRPr="00350C35">
        <w:rPr>
          <w:rFonts w:eastAsia="Arial" w:cs="Times New Roman"/>
          <w:sz w:val="28"/>
          <w:szCs w:val="28"/>
          <w:lang w:eastAsia="zh-TW"/>
        </w:rPr>
        <w:t xml:space="preserve"> May 2025)</w:t>
      </w:r>
    </w:p>
    <w:p w14:paraId="50E4E9BF" w14:textId="067F2E56" w:rsidR="00002741" w:rsidRPr="00350C35" w:rsidRDefault="00002741" w:rsidP="00002741">
      <w:pPr>
        <w:rPr>
          <w:sz w:val="28"/>
          <w:szCs w:val="28"/>
        </w:rPr>
      </w:pPr>
      <w:r w:rsidRPr="00350C35">
        <w:rPr>
          <w:i/>
          <w:iCs/>
          <w:sz w:val="28"/>
          <w:szCs w:val="28"/>
        </w:rPr>
        <w:t>The Equality Act 2010</w:t>
      </w:r>
      <w:r w:rsidRPr="00350C35">
        <w:rPr>
          <w:sz w:val="28"/>
          <w:szCs w:val="28"/>
        </w:rPr>
        <w:t xml:space="preserve">, c.15. </w:t>
      </w:r>
      <w:r w:rsidR="006369FD">
        <w:rPr>
          <w:sz w:val="28"/>
          <w:szCs w:val="28"/>
        </w:rPr>
        <w:t xml:space="preserve"> </w:t>
      </w:r>
      <w:r w:rsidRPr="00350C35">
        <w:rPr>
          <w:sz w:val="28"/>
          <w:szCs w:val="28"/>
        </w:rPr>
        <w:t xml:space="preserve">Available at: </w:t>
      </w:r>
      <w:hyperlink r:id="rId61" w:history="1">
        <w:r w:rsidRPr="00350C35">
          <w:rPr>
            <w:rStyle w:val="Hyperlink"/>
            <w:sz w:val="28"/>
            <w:szCs w:val="28"/>
          </w:rPr>
          <w:t>https://www.legislation.gov.uk/ukpga/2010/15/section/4</w:t>
        </w:r>
      </w:hyperlink>
      <w:r w:rsidRPr="00350C35">
        <w:rPr>
          <w:sz w:val="28"/>
          <w:szCs w:val="28"/>
        </w:rPr>
        <w:t xml:space="preserve"> </w:t>
      </w:r>
      <w:r w:rsidR="006369FD">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p>
    <w:p w14:paraId="1091A021" w14:textId="034DDE87" w:rsidR="006369FD" w:rsidRPr="00350C35" w:rsidRDefault="00002741" w:rsidP="00002741">
      <w:pPr>
        <w:rPr>
          <w:sz w:val="28"/>
          <w:szCs w:val="28"/>
        </w:rPr>
      </w:pPr>
      <w:r w:rsidRPr="00350C35">
        <w:rPr>
          <w:sz w:val="28"/>
          <w:szCs w:val="28"/>
        </w:rPr>
        <w:t xml:space="preserve">The Geographical Journal (2023) </w:t>
      </w:r>
      <w:r w:rsidRPr="00350C35">
        <w:rPr>
          <w:i/>
          <w:iCs/>
          <w:sz w:val="28"/>
          <w:szCs w:val="28"/>
        </w:rPr>
        <w:t xml:space="preserve">Ethnic diversification and neighbourhood mixing: A rapid response analysis of the 2021 Census of England and Wales. </w:t>
      </w:r>
      <w:r w:rsidRPr="00350C35">
        <w:rPr>
          <w:sz w:val="28"/>
          <w:szCs w:val="28"/>
        </w:rPr>
        <w:t xml:space="preserve">Available at: </w:t>
      </w:r>
      <w:hyperlink r:id="rId62" w:history="1">
        <w:r w:rsidR="006369FD" w:rsidRPr="00BD1B9C">
          <w:rPr>
            <w:rStyle w:val="Hyperlink"/>
            <w:sz w:val="28"/>
            <w:szCs w:val="28"/>
          </w:rPr>
          <w:t>https://rgs-ibg.onlinelibrary.wiley.com/doi/full/10.1111/geoj.12507</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 12</w:t>
      </w:r>
      <w:r w:rsidRPr="00350C35">
        <w:rPr>
          <w:sz w:val="28"/>
          <w:szCs w:val="28"/>
          <w:vertAlign w:val="superscript"/>
        </w:rPr>
        <w:t>th</w:t>
      </w:r>
      <w:r w:rsidRPr="00350C35">
        <w:rPr>
          <w:sz w:val="28"/>
          <w:szCs w:val="28"/>
        </w:rPr>
        <w:t xml:space="preserve"> December 2024)</w:t>
      </w:r>
    </w:p>
    <w:p w14:paraId="1DA2EA87" w14:textId="0BFDDD7D" w:rsidR="00146BE7" w:rsidRPr="00350C35" w:rsidRDefault="00146BE7" w:rsidP="00002741">
      <w:pPr>
        <w:rPr>
          <w:sz w:val="28"/>
          <w:szCs w:val="28"/>
        </w:rPr>
      </w:pPr>
      <w:r w:rsidRPr="00350C35">
        <w:rPr>
          <w:sz w:val="28"/>
          <w:szCs w:val="28"/>
        </w:rPr>
        <w:t xml:space="preserve">Thompson, M. (2023). ‘Met Police chief Sir Mark Rowley again rejects use of term ‘institutional’ to describe force’s problems after damning report.’ </w:t>
      </w:r>
      <w:r w:rsidRPr="00350C35">
        <w:rPr>
          <w:i/>
          <w:iCs/>
          <w:sz w:val="28"/>
          <w:szCs w:val="28"/>
        </w:rPr>
        <w:t>Sky News</w:t>
      </w:r>
      <w:r w:rsidRPr="00350C35">
        <w:rPr>
          <w:sz w:val="28"/>
          <w:szCs w:val="28"/>
        </w:rPr>
        <w:t xml:space="preserve">. 22 March. Available at: </w:t>
      </w:r>
      <w:hyperlink r:id="rId63" w:history="1">
        <w:r w:rsidR="006369FD" w:rsidRPr="00BD1B9C">
          <w:rPr>
            <w:rStyle w:val="Hyperlink"/>
            <w:sz w:val="28"/>
            <w:szCs w:val="28"/>
          </w:rPr>
          <w:t>https://news.sky.com/story/met-police-chief-sir-mark-rowley-again-rejects-use-of-term-institutional-to-describe-forces-problems-after-damning-report-12840225</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 15</w:t>
      </w:r>
      <w:r w:rsidRPr="00350C35">
        <w:rPr>
          <w:sz w:val="28"/>
          <w:szCs w:val="28"/>
          <w:vertAlign w:val="superscript"/>
        </w:rPr>
        <w:t>th</w:t>
      </w:r>
      <w:r w:rsidRPr="00350C35">
        <w:rPr>
          <w:sz w:val="28"/>
          <w:szCs w:val="28"/>
        </w:rPr>
        <w:t xml:space="preserve"> December 2024)</w:t>
      </w:r>
    </w:p>
    <w:p w14:paraId="7A43BDC9" w14:textId="1EC9E438" w:rsidR="004C596B" w:rsidRPr="00350C35" w:rsidRDefault="004C596B" w:rsidP="00002741">
      <w:pPr>
        <w:rPr>
          <w:sz w:val="28"/>
          <w:szCs w:val="28"/>
        </w:rPr>
      </w:pPr>
      <w:r w:rsidRPr="00350C35">
        <w:rPr>
          <w:sz w:val="28"/>
          <w:szCs w:val="28"/>
        </w:rPr>
        <w:t xml:space="preserve">Travis, A. (2012). </w:t>
      </w:r>
      <w:r w:rsidRPr="00350C35">
        <w:rPr>
          <w:i/>
          <w:iCs/>
          <w:sz w:val="28"/>
          <w:szCs w:val="28"/>
        </w:rPr>
        <w:t>Police ‘Overlook Vulnerable Antisocial Crime Victims’</w:t>
      </w:r>
      <w:r w:rsidRPr="00350C35">
        <w:rPr>
          <w:sz w:val="28"/>
          <w:szCs w:val="28"/>
        </w:rPr>
        <w:t xml:space="preserve">. Available at: </w:t>
      </w:r>
      <w:hyperlink r:id="rId64" w:history="1">
        <w:r w:rsidRPr="00350C35">
          <w:rPr>
            <w:rStyle w:val="Hyperlink"/>
            <w:sz w:val="28"/>
            <w:szCs w:val="28"/>
          </w:rPr>
          <w:t>https://www.theguardian.com/uk/2012/jun/21/police-antisocial-crime-victims-fiona-pilkington</w:t>
        </w:r>
      </w:hyperlink>
      <w:r w:rsidRPr="00350C35">
        <w:rPr>
          <w:sz w:val="28"/>
          <w:szCs w:val="28"/>
        </w:rPr>
        <w:t xml:space="preserve"> </w:t>
      </w:r>
      <w:r w:rsidR="006369FD">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w:t>
      </w:r>
    </w:p>
    <w:p w14:paraId="1CC4B633" w14:textId="4944CAB8" w:rsidR="00DB5662" w:rsidRPr="00350C35" w:rsidRDefault="00DB5662" w:rsidP="00DB5662">
      <w:pPr>
        <w:rPr>
          <w:sz w:val="28"/>
          <w:szCs w:val="28"/>
        </w:rPr>
      </w:pPr>
      <w:r w:rsidRPr="00350C35">
        <w:rPr>
          <w:sz w:val="28"/>
          <w:szCs w:val="28"/>
        </w:rPr>
        <w:lastRenderedPageBreak/>
        <w:t xml:space="preserve">UK Parliament. (2021). </w:t>
      </w:r>
      <w:r w:rsidRPr="00350C35">
        <w:rPr>
          <w:i/>
          <w:iCs/>
          <w:sz w:val="28"/>
          <w:szCs w:val="28"/>
        </w:rPr>
        <w:t xml:space="preserve">The Macpherson Report: Twenty-two years on. </w:t>
      </w:r>
      <w:r w:rsidRPr="00350C35">
        <w:rPr>
          <w:sz w:val="28"/>
          <w:szCs w:val="28"/>
        </w:rPr>
        <w:t xml:space="preserve">Available at: </w:t>
      </w:r>
      <w:hyperlink r:id="rId65" w:history="1">
        <w:r w:rsidR="006369FD" w:rsidRPr="00BD1B9C">
          <w:rPr>
            <w:rStyle w:val="Hyperlink"/>
            <w:sz w:val="28"/>
            <w:szCs w:val="28"/>
          </w:rPr>
          <w:t>https://publications.parliament.uk/pa/cm5802/cmselect/cmhaff/139/13903.htm</w:t>
        </w:r>
      </w:hyperlink>
      <w:r w:rsidR="006369FD">
        <w:rPr>
          <w:sz w:val="28"/>
          <w:szCs w:val="28"/>
        </w:rPr>
        <w:t xml:space="preserve"> </w:t>
      </w:r>
      <w:r w:rsidRPr="00350C35">
        <w:rPr>
          <w:sz w:val="28"/>
          <w:szCs w:val="28"/>
        </w:rPr>
        <w:t xml:space="preserve"> </w:t>
      </w:r>
      <w:r w:rsidR="006369FD">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w:t>
      </w:r>
    </w:p>
    <w:p w14:paraId="2F3B9B61" w14:textId="22B281E6" w:rsidR="00DB5662" w:rsidRPr="00350C35" w:rsidRDefault="00791EE7">
      <w:pPr>
        <w:rPr>
          <w:sz w:val="28"/>
          <w:szCs w:val="28"/>
        </w:rPr>
      </w:pPr>
      <w:r w:rsidRPr="00350C35">
        <w:rPr>
          <w:sz w:val="28"/>
          <w:szCs w:val="28"/>
        </w:rPr>
        <w:t xml:space="preserve">Velazquez, E and Hernandez, M. (2018). ‘Effects of police officer exposure to traumatic experiences and recognizing the stigma associated with police officer mental health: A state-of-the-art review’ </w:t>
      </w:r>
      <w:r w:rsidRPr="00350C35">
        <w:rPr>
          <w:i/>
          <w:iCs/>
          <w:sz w:val="28"/>
          <w:szCs w:val="28"/>
        </w:rPr>
        <w:t xml:space="preserve">Policing; Bradford, </w:t>
      </w:r>
      <w:r w:rsidRPr="00350C35">
        <w:rPr>
          <w:sz w:val="28"/>
          <w:szCs w:val="28"/>
        </w:rPr>
        <w:t>42(4), pp711-724. DOI:</w:t>
      </w:r>
      <w:r w:rsidR="006369FD">
        <w:rPr>
          <w:sz w:val="28"/>
          <w:szCs w:val="28"/>
        </w:rPr>
        <w:t xml:space="preserve"> </w:t>
      </w:r>
      <w:hyperlink r:id="rId66" w:history="1">
        <w:r w:rsidR="006369FD" w:rsidRPr="00BD1B9C">
          <w:rPr>
            <w:rStyle w:val="Hyperlink"/>
            <w:sz w:val="28"/>
            <w:szCs w:val="28"/>
          </w:rPr>
          <w:t>https://doi.org/10.1108/PIJPSM-09-2018-0147</w:t>
        </w:r>
      </w:hyperlink>
      <w:r w:rsidR="006369FD">
        <w:rPr>
          <w:sz w:val="28"/>
          <w:szCs w:val="28"/>
        </w:rPr>
        <w:t xml:space="preserve"> </w:t>
      </w:r>
      <w:r w:rsidR="006369FD">
        <w:rPr>
          <w:sz w:val="28"/>
          <w:szCs w:val="28"/>
        </w:rPr>
        <w:br/>
        <w:t>(Accessed: 5</w:t>
      </w:r>
      <w:r w:rsidR="006369FD" w:rsidRPr="006369FD">
        <w:rPr>
          <w:sz w:val="28"/>
          <w:szCs w:val="28"/>
          <w:vertAlign w:val="superscript"/>
        </w:rPr>
        <w:t>th</w:t>
      </w:r>
      <w:r w:rsidR="006369FD">
        <w:rPr>
          <w:sz w:val="28"/>
          <w:szCs w:val="28"/>
        </w:rPr>
        <w:t xml:space="preserve"> May 2025)</w:t>
      </w:r>
      <w:r w:rsidRPr="00350C35">
        <w:rPr>
          <w:sz w:val="28"/>
          <w:szCs w:val="28"/>
        </w:rPr>
        <w:t xml:space="preserve"> </w:t>
      </w:r>
    </w:p>
    <w:p w14:paraId="17F18EDB" w14:textId="352E1059" w:rsidR="00791EE7" w:rsidRPr="00350C35" w:rsidRDefault="00791EE7">
      <w:pPr>
        <w:rPr>
          <w:sz w:val="28"/>
          <w:szCs w:val="28"/>
        </w:rPr>
      </w:pPr>
      <w:r w:rsidRPr="00350C35">
        <w:rPr>
          <w:sz w:val="28"/>
          <w:szCs w:val="28"/>
        </w:rPr>
        <w:t xml:space="preserve">Victims Commissioner. (2024). </w:t>
      </w:r>
      <w:r w:rsidRPr="00350C35">
        <w:rPr>
          <w:i/>
          <w:iCs/>
          <w:sz w:val="28"/>
          <w:szCs w:val="28"/>
        </w:rPr>
        <w:t>Frustrated by Police Inaction, Mounting Delays and Often ‘Left guessing’, Victims share Criminal Justice Experiences in New Report</w:t>
      </w:r>
      <w:r w:rsidRPr="00350C35">
        <w:rPr>
          <w:sz w:val="28"/>
          <w:szCs w:val="28"/>
        </w:rPr>
        <w:t xml:space="preserve">. Available at: </w:t>
      </w:r>
      <w:hyperlink r:id="rId67" w:history="1">
        <w:r w:rsidRPr="00350C35">
          <w:rPr>
            <w:rStyle w:val="Hyperlink"/>
            <w:sz w:val="28"/>
            <w:szCs w:val="28"/>
          </w:rPr>
          <w:t>https://victimscommissioner.org.uk/news/frustrated-by-police-inaction-mounting-delays-and-often-left-guessing-victims-share-criminal-justice-experiences-in-new-report/</w:t>
        </w:r>
      </w:hyperlink>
      <w:r w:rsidRPr="00350C35">
        <w:rPr>
          <w:sz w:val="28"/>
          <w:szCs w:val="28"/>
        </w:rPr>
        <w:t xml:space="preserve"> </w:t>
      </w:r>
      <w:r w:rsidR="006369FD">
        <w:rPr>
          <w:sz w:val="28"/>
          <w:szCs w:val="28"/>
        </w:rPr>
        <w:br/>
      </w:r>
      <w:r w:rsidRPr="00350C35">
        <w:rPr>
          <w:sz w:val="28"/>
          <w:szCs w:val="28"/>
        </w:rPr>
        <w:t>(Accessed: 4</w:t>
      </w:r>
      <w:r w:rsidRPr="00350C35">
        <w:rPr>
          <w:sz w:val="28"/>
          <w:szCs w:val="28"/>
          <w:vertAlign w:val="superscript"/>
        </w:rPr>
        <w:t>th</w:t>
      </w:r>
      <w:r w:rsidRPr="00350C35">
        <w:rPr>
          <w:sz w:val="28"/>
          <w:szCs w:val="28"/>
        </w:rPr>
        <w:t xml:space="preserve"> May 2025)</w:t>
      </w:r>
    </w:p>
    <w:p w14:paraId="47882F74" w14:textId="47284F0A" w:rsidR="00E82816" w:rsidRPr="00350C35" w:rsidRDefault="00E82816">
      <w:pPr>
        <w:rPr>
          <w:sz w:val="28"/>
          <w:szCs w:val="28"/>
        </w:rPr>
      </w:pPr>
      <w:r w:rsidRPr="00350C35">
        <w:rPr>
          <w:sz w:val="28"/>
          <w:szCs w:val="28"/>
        </w:rPr>
        <w:t xml:space="preserve">Wroe, L. (2021). ‘Young people and “county lines”: a contextual and social account’. </w:t>
      </w:r>
      <w:r w:rsidRPr="00350C35">
        <w:rPr>
          <w:i/>
          <w:iCs/>
          <w:sz w:val="28"/>
          <w:szCs w:val="28"/>
        </w:rPr>
        <w:t>Journal of Children's Services</w:t>
      </w:r>
      <w:r w:rsidRPr="00350C35">
        <w:rPr>
          <w:sz w:val="28"/>
          <w:szCs w:val="28"/>
        </w:rPr>
        <w:t xml:space="preserve">, 16(1), pp. 39-55. DOI: </w:t>
      </w:r>
      <w:hyperlink r:id="rId68" w:history="1">
        <w:r w:rsidR="006369FD" w:rsidRPr="00BD1B9C">
          <w:rPr>
            <w:rStyle w:val="Hyperlink"/>
            <w:sz w:val="28"/>
            <w:szCs w:val="28"/>
          </w:rPr>
          <w:t>https://doi.org/10.1108/JCS-10-2020-0063</w:t>
        </w:r>
      </w:hyperlink>
      <w:r w:rsidRPr="00350C35">
        <w:rPr>
          <w:sz w:val="28"/>
          <w:szCs w:val="28"/>
        </w:rPr>
        <w:t xml:space="preserve">  </w:t>
      </w:r>
      <w:r w:rsidR="006369FD">
        <w:rPr>
          <w:sz w:val="28"/>
          <w:szCs w:val="28"/>
        </w:rPr>
        <w:br/>
        <w:t>(Accessed: 9</w:t>
      </w:r>
      <w:r w:rsidR="006369FD" w:rsidRPr="006369FD">
        <w:rPr>
          <w:sz w:val="28"/>
          <w:szCs w:val="28"/>
          <w:vertAlign w:val="superscript"/>
        </w:rPr>
        <w:t>th</w:t>
      </w:r>
      <w:r w:rsidR="006369FD">
        <w:rPr>
          <w:sz w:val="28"/>
          <w:szCs w:val="28"/>
        </w:rPr>
        <w:t xml:space="preserve"> May 2025)</w:t>
      </w:r>
    </w:p>
    <w:sectPr w:rsidR="00E82816" w:rsidRPr="00350C3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4F813C8F"/>
    <w:multiLevelType w:val="hybridMultilevel"/>
    <w:tmpl w:val="8A4ACC4E"/>
    <w:lvl w:ilvl="0" w:tplc="3DEE2FFE">
      <w:numFmt w:val="bullet"/>
      <w:lvlText w:val="-"/>
      <w:lvlJc w:val="left"/>
      <w:pPr>
        <w:ind w:left="420" w:hanging="360"/>
      </w:pPr>
      <w:rPr>
        <w:rFonts w:ascii="Aptos" w:eastAsiaTheme="minorHAnsi" w:hAnsi="Aptos" w:cstheme="minorBid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541D2709"/>
    <w:multiLevelType w:val="hybridMultilevel"/>
    <w:tmpl w:val="E0CA4B28"/>
    <w:lvl w:ilvl="0" w:tplc="FF365F5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76050212">
    <w:abstractNumId w:val="1"/>
  </w:num>
  <w:num w:numId="2" w16cid:durableId="778715602">
    <w:abstractNumId w:val="0"/>
  </w:num>
  <w:num w:numId="3" w16cid:durableId="99418560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6"/>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741"/>
    <w:rsid w:val="00002741"/>
    <w:rsid w:val="000120A5"/>
    <w:rsid w:val="0001428D"/>
    <w:rsid w:val="0001628B"/>
    <w:rsid w:val="000328C0"/>
    <w:rsid w:val="0004081A"/>
    <w:rsid w:val="00093BF5"/>
    <w:rsid w:val="00094BB0"/>
    <w:rsid w:val="000C188C"/>
    <w:rsid w:val="000D7972"/>
    <w:rsid w:val="000E0607"/>
    <w:rsid w:val="000E3C2C"/>
    <w:rsid w:val="00103DFB"/>
    <w:rsid w:val="00114179"/>
    <w:rsid w:val="00120E96"/>
    <w:rsid w:val="00125733"/>
    <w:rsid w:val="00137F8E"/>
    <w:rsid w:val="00145DE7"/>
    <w:rsid w:val="00146BE7"/>
    <w:rsid w:val="00175F79"/>
    <w:rsid w:val="001A2243"/>
    <w:rsid w:val="001E4A33"/>
    <w:rsid w:val="00205F36"/>
    <w:rsid w:val="002230B2"/>
    <w:rsid w:val="00227B60"/>
    <w:rsid w:val="00252830"/>
    <w:rsid w:val="00257409"/>
    <w:rsid w:val="00262042"/>
    <w:rsid w:val="00277BC9"/>
    <w:rsid w:val="002806D0"/>
    <w:rsid w:val="002A093A"/>
    <w:rsid w:val="002C0EC8"/>
    <w:rsid w:val="002D45FA"/>
    <w:rsid w:val="002E6424"/>
    <w:rsid w:val="00312EEC"/>
    <w:rsid w:val="00322D55"/>
    <w:rsid w:val="00350C35"/>
    <w:rsid w:val="00390B16"/>
    <w:rsid w:val="00397858"/>
    <w:rsid w:val="003C1BA1"/>
    <w:rsid w:val="003F4E6A"/>
    <w:rsid w:val="003F75CB"/>
    <w:rsid w:val="0044794D"/>
    <w:rsid w:val="00456003"/>
    <w:rsid w:val="00460B9C"/>
    <w:rsid w:val="0048401B"/>
    <w:rsid w:val="004908CB"/>
    <w:rsid w:val="004948D8"/>
    <w:rsid w:val="004B5084"/>
    <w:rsid w:val="004C596B"/>
    <w:rsid w:val="004C71FC"/>
    <w:rsid w:val="004C7D14"/>
    <w:rsid w:val="004F6E3E"/>
    <w:rsid w:val="005006B4"/>
    <w:rsid w:val="0050526F"/>
    <w:rsid w:val="00523E66"/>
    <w:rsid w:val="00536152"/>
    <w:rsid w:val="00545AD0"/>
    <w:rsid w:val="00552771"/>
    <w:rsid w:val="00553CCE"/>
    <w:rsid w:val="00570BDD"/>
    <w:rsid w:val="005767A7"/>
    <w:rsid w:val="005F28CC"/>
    <w:rsid w:val="00613A36"/>
    <w:rsid w:val="00617A41"/>
    <w:rsid w:val="00627F8A"/>
    <w:rsid w:val="006369FD"/>
    <w:rsid w:val="00636E48"/>
    <w:rsid w:val="006525F3"/>
    <w:rsid w:val="006670F0"/>
    <w:rsid w:val="0067217A"/>
    <w:rsid w:val="006731C2"/>
    <w:rsid w:val="00680E48"/>
    <w:rsid w:val="00693D73"/>
    <w:rsid w:val="006B27F4"/>
    <w:rsid w:val="006C1C8F"/>
    <w:rsid w:val="006D0792"/>
    <w:rsid w:val="006F177D"/>
    <w:rsid w:val="0070451F"/>
    <w:rsid w:val="00736F8E"/>
    <w:rsid w:val="00762FAC"/>
    <w:rsid w:val="0077692E"/>
    <w:rsid w:val="00786EA8"/>
    <w:rsid w:val="00791EE7"/>
    <w:rsid w:val="00794FE5"/>
    <w:rsid w:val="007A065F"/>
    <w:rsid w:val="007A25E8"/>
    <w:rsid w:val="007B500E"/>
    <w:rsid w:val="007D28AF"/>
    <w:rsid w:val="0084194B"/>
    <w:rsid w:val="00841BE9"/>
    <w:rsid w:val="008646C0"/>
    <w:rsid w:val="00867BB4"/>
    <w:rsid w:val="008A57A9"/>
    <w:rsid w:val="008B1B8F"/>
    <w:rsid w:val="008E028B"/>
    <w:rsid w:val="008E2C0A"/>
    <w:rsid w:val="00907C26"/>
    <w:rsid w:val="00924389"/>
    <w:rsid w:val="009268F5"/>
    <w:rsid w:val="0094010A"/>
    <w:rsid w:val="00973E83"/>
    <w:rsid w:val="0098088F"/>
    <w:rsid w:val="0098309D"/>
    <w:rsid w:val="009B4EED"/>
    <w:rsid w:val="009D105B"/>
    <w:rsid w:val="009E4D0D"/>
    <w:rsid w:val="009F17D2"/>
    <w:rsid w:val="009F3820"/>
    <w:rsid w:val="00A233FF"/>
    <w:rsid w:val="00A928C4"/>
    <w:rsid w:val="00AE6D88"/>
    <w:rsid w:val="00B32C76"/>
    <w:rsid w:val="00B35CFC"/>
    <w:rsid w:val="00B5606F"/>
    <w:rsid w:val="00B630D2"/>
    <w:rsid w:val="00B74332"/>
    <w:rsid w:val="00BA6D26"/>
    <w:rsid w:val="00BD0712"/>
    <w:rsid w:val="00C11E8D"/>
    <w:rsid w:val="00C22C3D"/>
    <w:rsid w:val="00C24AE0"/>
    <w:rsid w:val="00C4630E"/>
    <w:rsid w:val="00C66E0D"/>
    <w:rsid w:val="00C97EAD"/>
    <w:rsid w:val="00CB3197"/>
    <w:rsid w:val="00CB3B59"/>
    <w:rsid w:val="00CB5B5C"/>
    <w:rsid w:val="00CD4E29"/>
    <w:rsid w:val="00CE14C4"/>
    <w:rsid w:val="00D017B6"/>
    <w:rsid w:val="00D16B26"/>
    <w:rsid w:val="00D546FD"/>
    <w:rsid w:val="00D62654"/>
    <w:rsid w:val="00D651F3"/>
    <w:rsid w:val="00DB5662"/>
    <w:rsid w:val="00DB6B76"/>
    <w:rsid w:val="00DB7106"/>
    <w:rsid w:val="00DC23BE"/>
    <w:rsid w:val="00E233AA"/>
    <w:rsid w:val="00E3751E"/>
    <w:rsid w:val="00E45DC2"/>
    <w:rsid w:val="00E65C83"/>
    <w:rsid w:val="00E716C7"/>
    <w:rsid w:val="00E8084D"/>
    <w:rsid w:val="00E82816"/>
    <w:rsid w:val="00E90B71"/>
    <w:rsid w:val="00EA7752"/>
    <w:rsid w:val="00EB5B36"/>
    <w:rsid w:val="00EC6DC1"/>
    <w:rsid w:val="00EC6F00"/>
    <w:rsid w:val="00EE7DE6"/>
    <w:rsid w:val="00EF0F77"/>
    <w:rsid w:val="00F06F1A"/>
    <w:rsid w:val="00F225A3"/>
    <w:rsid w:val="00F31AD4"/>
    <w:rsid w:val="00F350CB"/>
    <w:rsid w:val="00F65204"/>
    <w:rsid w:val="00F704DA"/>
    <w:rsid w:val="00F72FBA"/>
    <w:rsid w:val="00F9069E"/>
    <w:rsid w:val="00FA0784"/>
    <w:rsid w:val="00FA41EE"/>
    <w:rsid w:val="00FA4601"/>
    <w:rsid w:val="00FD0218"/>
    <w:rsid w:val="00FD3E7F"/>
    <w:rsid w:val="00FD4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96E1D9"/>
  <w15:chartTrackingRefBased/>
  <w15:docId w15:val="{CFD15CCD-7986-41FC-8550-2E5CCCD39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27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027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027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027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027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027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027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027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027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27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027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027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027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027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027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027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027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02741"/>
    <w:rPr>
      <w:rFonts w:eastAsiaTheme="majorEastAsia" w:cstheme="majorBidi"/>
      <w:color w:val="272727" w:themeColor="text1" w:themeTint="D8"/>
    </w:rPr>
  </w:style>
  <w:style w:type="paragraph" w:styleId="Title">
    <w:name w:val="Title"/>
    <w:basedOn w:val="Normal"/>
    <w:next w:val="Normal"/>
    <w:link w:val="TitleChar"/>
    <w:uiPriority w:val="10"/>
    <w:qFormat/>
    <w:rsid w:val="000027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27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27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027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02741"/>
    <w:pPr>
      <w:spacing w:before="160"/>
      <w:jc w:val="center"/>
    </w:pPr>
    <w:rPr>
      <w:i/>
      <w:iCs/>
      <w:color w:val="404040" w:themeColor="text1" w:themeTint="BF"/>
    </w:rPr>
  </w:style>
  <w:style w:type="character" w:customStyle="1" w:styleId="QuoteChar">
    <w:name w:val="Quote Char"/>
    <w:basedOn w:val="DefaultParagraphFont"/>
    <w:link w:val="Quote"/>
    <w:uiPriority w:val="29"/>
    <w:rsid w:val="00002741"/>
    <w:rPr>
      <w:i/>
      <w:iCs/>
      <w:color w:val="404040" w:themeColor="text1" w:themeTint="BF"/>
    </w:rPr>
  </w:style>
  <w:style w:type="paragraph" w:styleId="ListParagraph">
    <w:name w:val="List Paragraph"/>
    <w:basedOn w:val="Normal"/>
    <w:uiPriority w:val="34"/>
    <w:qFormat/>
    <w:rsid w:val="00002741"/>
    <w:pPr>
      <w:ind w:left="720"/>
      <w:contextualSpacing/>
    </w:pPr>
  </w:style>
  <w:style w:type="character" w:styleId="IntenseEmphasis">
    <w:name w:val="Intense Emphasis"/>
    <w:basedOn w:val="DefaultParagraphFont"/>
    <w:uiPriority w:val="21"/>
    <w:qFormat/>
    <w:rsid w:val="00002741"/>
    <w:rPr>
      <w:i/>
      <w:iCs/>
      <w:color w:val="0F4761" w:themeColor="accent1" w:themeShade="BF"/>
    </w:rPr>
  </w:style>
  <w:style w:type="paragraph" w:styleId="IntenseQuote">
    <w:name w:val="Intense Quote"/>
    <w:basedOn w:val="Normal"/>
    <w:next w:val="Normal"/>
    <w:link w:val="IntenseQuoteChar"/>
    <w:uiPriority w:val="30"/>
    <w:qFormat/>
    <w:rsid w:val="000027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02741"/>
    <w:rPr>
      <w:i/>
      <w:iCs/>
      <w:color w:val="0F4761" w:themeColor="accent1" w:themeShade="BF"/>
    </w:rPr>
  </w:style>
  <w:style w:type="character" w:styleId="IntenseReference">
    <w:name w:val="Intense Reference"/>
    <w:basedOn w:val="DefaultParagraphFont"/>
    <w:uiPriority w:val="32"/>
    <w:qFormat/>
    <w:rsid w:val="00002741"/>
    <w:rPr>
      <w:b/>
      <w:bCs/>
      <w:smallCaps/>
      <w:color w:val="0F4761" w:themeColor="accent1" w:themeShade="BF"/>
      <w:spacing w:val="5"/>
    </w:rPr>
  </w:style>
  <w:style w:type="character" w:styleId="Hyperlink">
    <w:name w:val="Hyperlink"/>
    <w:basedOn w:val="DefaultParagraphFont"/>
    <w:uiPriority w:val="99"/>
    <w:unhideWhenUsed/>
    <w:rsid w:val="00002741"/>
    <w:rPr>
      <w:color w:val="467886" w:themeColor="hyperlink"/>
      <w:u w:val="single"/>
    </w:rPr>
  </w:style>
  <w:style w:type="character" w:styleId="UnresolvedMention">
    <w:name w:val="Unresolved Mention"/>
    <w:basedOn w:val="DefaultParagraphFont"/>
    <w:uiPriority w:val="99"/>
    <w:semiHidden/>
    <w:unhideWhenUsed/>
    <w:rsid w:val="000D7972"/>
    <w:rPr>
      <w:color w:val="605E5C"/>
      <w:shd w:val="clear" w:color="auto" w:fill="E1DFDD"/>
    </w:rPr>
  </w:style>
  <w:style w:type="character" w:styleId="FollowedHyperlink">
    <w:name w:val="FollowedHyperlink"/>
    <w:basedOn w:val="DefaultParagraphFont"/>
    <w:uiPriority w:val="99"/>
    <w:semiHidden/>
    <w:unhideWhenUsed/>
    <w:rsid w:val="008B1B8F"/>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482010">
      <w:bodyDiv w:val="1"/>
      <w:marLeft w:val="0"/>
      <w:marRight w:val="0"/>
      <w:marTop w:val="0"/>
      <w:marBottom w:val="0"/>
      <w:divBdr>
        <w:top w:val="none" w:sz="0" w:space="0" w:color="auto"/>
        <w:left w:val="none" w:sz="0" w:space="0" w:color="auto"/>
        <w:bottom w:val="none" w:sz="0" w:space="0" w:color="auto"/>
        <w:right w:val="none" w:sz="0" w:space="0" w:color="auto"/>
      </w:divBdr>
      <w:divsChild>
        <w:div w:id="1687756502">
          <w:marLeft w:val="0"/>
          <w:marRight w:val="0"/>
          <w:marTop w:val="0"/>
          <w:marBottom w:val="120"/>
          <w:divBdr>
            <w:top w:val="none" w:sz="0" w:space="0" w:color="auto"/>
            <w:left w:val="none" w:sz="0" w:space="0" w:color="auto"/>
            <w:bottom w:val="none" w:sz="0" w:space="0" w:color="auto"/>
            <w:right w:val="none" w:sz="0" w:space="0" w:color="auto"/>
          </w:divBdr>
        </w:div>
      </w:divsChild>
    </w:div>
    <w:div w:id="126095460">
      <w:bodyDiv w:val="1"/>
      <w:marLeft w:val="0"/>
      <w:marRight w:val="0"/>
      <w:marTop w:val="0"/>
      <w:marBottom w:val="0"/>
      <w:divBdr>
        <w:top w:val="none" w:sz="0" w:space="0" w:color="auto"/>
        <w:left w:val="none" w:sz="0" w:space="0" w:color="auto"/>
        <w:bottom w:val="none" w:sz="0" w:space="0" w:color="auto"/>
        <w:right w:val="none" w:sz="0" w:space="0" w:color="auto"/>
      </w:divBdr>
      <w:divsChild>
        <w:div w:id="415592142">
          <w:marLeft w:val="0"/>
          <w:marRight w:val="0"/>
          <w:marTop w:val="0"/>
          <w:marBottom w:val="120"/>
          <w:divBdr>
            <w:top w:val="none" w:sz="0" w:space="0" w:color="auto"/>
            <w:left w:val="none" w:sz="0" w:space="0" w:color="auto"/>
            <w:bottom w:val="none" w:sz="0" w:space="0" w:color="auto"/>
            <w:right w:val="none" w:sz="0" w:space="0" w:color="auto"/>
          </w:divBdr>
        </w:div>
      </w:divsChild>
    </w:div>
    <w:div w:id="432896577">
      <w:bodyDiv w:val="1"/>
      <w:marLeft w:val="0"/>
      <w:marRight w:val="0"/>
      <w:marTop w:val="0"/>
      <w:marBottom w:val="0"/>
      <w:divBdr>
        <w:top w:val="none" w:sz="0" w:space="0" w:color="auto"/>
        <w:left w:val="none" w:sz="0" w:space="0" w:color="auto"/>
        <w:bottom w:val="none" w:sz="0" w:space="0" w:color="auto"/>
        <w:right w:val="none" w:sz="0" w:space="0" w:color="auto"/>
      </w:divBdr>
    </w:div>
    <w:div w:id="606889160">
      <w:bodyDiv w:val="1"/>
      <w:marLeft w:val="0"/>
      <w:marRight w:val="0"/>
      <w:marTop w:val="0"/>
      <w:marBottom w:val="0"/>
      <w:divBdr>
        <w:top w:val="none" w:sz="0" w:space="0" w:color="auto"/>
        <w:left w:val="none" w:sz="0" w:space="0" w:color="auto"/>
        <w:bottom w:val="none" w:sz="0" w:space="0" w:color="auto"/>
        <w:right w:val="none" w:sz="0" w:space="0" w:color="auto"/>
      </w:divBdr>
    </w:div>
    <w:div w:id="616446022">
      <w:bodyDiv w:val="1"/>
      <w:marLeft w:val="0"/>
      <w:marRight w:val="0"/>
      <w:marTop w:val="0"/>
      <w:marBottom w:val="0"/>
      <w:divBdr>
        <w:top w:val="none" w:sz="0" w:space="0" w:color="auto"/>
        <w:left w:val="none" w:sz="0" w:space="0" w:color="auto"/>
        <w:bottom w:val="none" w:sz="0" w:space="0" w:color="auto"/>
        <w:right w:val="none" w:sz="0" w:space="0" w:color="auto"/>
      </w:divBdr>
    </w:div>
    <w:div w:id="1300913690">
      <w:bodyDiv w:val="1"/>
      <w:marLeft w:val="0"/>
      <w:marRight w:val="0"/>
      <w:marTop w:val="0"/>
      <w:marBottom w:val="0"/>
      <w:divBdr>
        <w:top w:val="none" w:sz="0" w:space="0" w:color="auto"/>
        <w:left w:val="none" w:sz="0" w:space="0" w:color="auto"/>
        <w:bottom w:val="none" w:sz="0" w:space="0" w:color="auto"/>
        <w:right w:val="none" w:sz="0" w:space="0" w:color="auto"/>
      </w:divBdr>
      <w:divsChild>
        <w:div w:id="23948034">
          <w:marLeft w:val="0"/>
          <w:marRight w:val="0"/>
          <w:marTop w:val="0"/>
          <w:marBottom w:val="0"/>
          <w:divBdr>
            <w:top w:val="none" w:sz="0" w:space="0" w:color="auto"/>
            <w:left w:val="none" w:sz="0" w:space="0" w:color="auto"/>
            <w:bottom w:val="none" w:sz="0" w:space="0" w:color="auto"/>
            <w:right w:val="none" w:sz="0" w:space="0" w:color="auto"/>
          </w:divBdr>
        </w:div>
      </w:divsChild>
    </w:div>
    <w:div w:id="1508977549">
      <w:bodyDiv w:val="1"/>
      <w:marLeft w:val="0"/>
      <w:marRight w:val="0"/>
      <w:marTop w:val="0"/>
      <w:marBottom w:val="0"/>
      <w:divBdr>
        <w:top w:val="none" w:sz="0" w:space="0" w:color="auto"/>
        <w:left w:val="none" w:sz="0" w:space="0" w:color="auto"/>
        <w:bottom w:val="none" w:sz="0" w:space="0" w:color="auto"/>
        <w:right w:val="none" w:sz="0" w:space="0" w:color="auto"/>
      </w:divBdr>
    </w:div>
    <w:div w:id="1554972804">
      <w:bodyDiv w:val="1"/>
      <w:marLeft w:val="0"/>
      <w:marRight w:val="0"/>
      <w:marTop w:val="0"/>
      <w:marBottom w:val="0"/>
      <w:divBdr>
        <w:top w:val="none" w:sz="0" w:space="0" w:color="auto"/>
        <w:left w:val="none" w:sz="0" w:space="0" w:color="auto"/>
        <w:bottom w:val="none" w:sz="0" w:space="0" w:color="auto"/>
        <w:right w:val="none" w:sz="0" w:space="0" w:color="auto"/>
      </w:divBdr>
    </w:div>
    <w:div w:id="1576015717">
      <w:bodyDiv w:val="1"/>
      <w:marLeft w:val="0"/>
      <w:marRight w:val="0"/>
      <w:marTop w:val="0"/>
      <w:marBottom w:val="0"/>
      <w:divBdr>
        <w:top w:val="none" w:sz="0" w:space="0" w:color="auto"/>
        <w:left w:val="none" w:sz="0" w:space="0" w:color="auto"/>
        <w:bottom w:val="none" w:sz="0" w:space="0" w:color="auto"/>
        <w:right w:val="none" w:sz="0" w:space="0" w:color="auto"/>
      </w:divBdr>
      <w:divsChild>
        <w:div w:id="1650551688">
          <w:marLeft w:val="0"/>
          <w:marRight w:val="0"/>
          <w:marTop w:val="0"/>
          <w:marBottom w:val="0"/>
          <w:divBdr>
            <w:top w:val="none" w:sz="0" w:space="0" w:color="auto"/>
            <w:left w:val="none" w:sz="0" w:space="0" w:color="auto"/>
            <w:bottom w:val="none" w:sz="0" w:space="0" w:color="auto"/>
            <w:right w:val="none" w:sz="0" w:space="0" w:color="auto"/>
          </w:divBdr>
        </w:div>
      </w:divsChild>
    </w:div>
    <w:div w:id="18395395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view.salusjournal.com/index.php/salusjournal/article/view/121" TargetMode="External"/><Relationship Id="rId21" Type="http://schemas.openxmlformats.org/officeDocument/2006/relationships/hyperlink" Target="https://doi.org/10.1080/15614263.2020.1772782" TargetMode="External"/><Relationship Id="rId42" Type="http://schemas.openxmlformats.org/officeDocument/2006/relationships/hyperlink" Target="https://doi.org/10.1080/09687599.2022.2071680" TargetMode="External"/><Relationship Id="rId47" Type="http://schemas.openxmlformats.org/officeDocument/2006/relationships/hyperlink" Target="https://doi.org/10.3389/fpsyg.2020.01686" TargetMode="External"/><Relationship Id="rId63" Type="http://schemas.openxmlformats.org/officeDocument/2006/relationships/hyperlink" Target="https://news.sky.com/story/met-police-chief-sir-mark-rowley-again-rejects-use-of-term-institutional-to-describe-forces-problems-after-damning-report-12840225" TargetMode="External"/><Relationship Id="rId68" Type="http://schemas.openxmlformats.org/officeDocument/2006/relationships/hyperlink" Target="https://doi.org/10.1108/JCS-10-2020-0063" TargetMode="External"/><Relationship Id="rId7" Type="http://schemas.openxmlformats.org/officeDocument/2006/relationships/hyperlink" Target="https://doi.org/10.1017/S0007114522002999" TargetMode="External"/><Relationship Id="rId2" Type="http://schemas.openxmlformats.org/officeDocument/2006/relationships/styles" Target="styles.xml"/><Relationship Id="rId16" Type="http://schemas.openxmlformats.org/officeDocument/2006/relationships/hyperlink" Target="https://www.college.police.uk/about" TargetMode="External"/><Relationship Id="rId29" Type="http://schemas.openxmlformats.org/officeDocument/2006/relationships/hyperlink" Target="https://doi.org/10.1080/1028415X.2024.2355603" TargetMode="External"/><Relationship Id="rId11" Type="http://schemas.openxmlformats.org/officeDocument/2006/relationships/hyperlink" Target="https://www.met.police.uk/SysSiteAssets/media/downloads/met/about-us/baroness-casey-review/update-march-2023/baroness-casey-review-march-2023a.pdf" TargetMode="External"/><Relationship Id="rId24" Type="http://schemas.openxmlformats.org/officeDocument/2006/relationships/hyperlink" Target="https://doi.org/10.1093/acprof:oso/9780195370409.003.0001" TargetMode="External"/><Relationship Id="rId32" Type="http://schemas.openxmlformats.org/officeDocument/2006/relationships/hyperlink" Target="https://assets.publishing.service.gov.uk/media/5a7c2af540f0b645ba3c7202/4262.pdf" TargetMode="External"/><Relationship Id="rId37" Type="http://schemas.openxmlformats.org/officeDocument/2006/relationships/hyperlink" Target="https://doi.org/10.1108/117554211111162408" TargetMode="External"/><Relationship Id="rId40" Type="http://schemas.openxmlformats.org/officeDocument/2006/relationships/hyperlink" Target="https://www.bbc.co.uk/news/newsbeat-53365011" TargetMode="External"/><Relationship Id="rId45" Type="http://schemas.openxmlformats.org/officeDocument/2006/relationships/hyperlink" Target="https://doi.org/10.1177/0306624X251329944" TargetMode="External"/><Relationship Id="rId53" Type="http://schemas.openxmlformats.org/officeDocument/2006/relationships/hyperlink" Target="https://doi.org/10.1080/10439463.2019.1588269" TargetMode="External"/><Relationship Id="rId58" Type="http://schemas.openxmlformats.org/officeDocument/2006/relationships/hyperlink" Target="https://doi-org.ezproxy.uwtsd.ac.uk/10.1080/10439463.2018.1445742" TargetMode="External"/><Relationship Id="rId66" Type="http://schemas.openxmlformats.org/officeDocument/2006/relationships/hyperlink" Target="https://doi.org/10.1108/PIJPSM-09-2018-0147" TargetMode="External"/><Relationship Id="rId5" Type="http://schemas.openxmlformats.org/officeDocument/2006/relationships/hyperlink" Target="https://doi.org/10.1093/pubmed/fdae266" TargetMode="External"/><Relationship Id="rId61" Type="http://schemas.openxmlformats.org/officeDocument/2006/relationships/hyperlink" Target="https://www.legislation.gov.uk/ukpga/2010/15/section/4" TargetMode="External"/><Relationship Id="rId19" Type="http://schemas.openxmlformats.org/officeDocument/2006/relationships/hyperlink" Target="https://www.crimeandinvestigation.co.uk/articles/murder-sarah-everard" TargetMode="External"/><Relationship Id="rId14" Type="http://schemas.openxmlformats.org/officeDocument/2006/relationships/hyperlink" Target="https://assets.college.police.uk/s3fs-public/2021-03/demand-on-policing-report.pdf" TargetMode="External"/><Relationship Id="rId22" Type="http://schemas.openxmlformats.org/officeDocument/2006/relationships/hyperlink" Target="https://www.theguardian.com/uk-news/2024/jan/05/head-of-britains-police-chiefs-says-force-is-institutionally-racist-gavin-stephens" TargetMode="External"/><Relationship Id="rId27" Type="http://schemas.openxmlformats.org/officeDocument/2006/relationships/hyperlink" Target="https://doi.org/10.1016/j.smrv.2024.101927" TargetMode="External"/><Relationship Id="rId30" Type="http://schemas.openxmlformats.org/officeDocument/2006/relationships/hyperlink" Target="https://assets.publishing.service.gov.uk/media/5acb21d140f0b64fed0afd55/serious-violence-strategy.pdf" TargetMode="External"/><Relationship Id="rId35" Type="http://schemas.openxmlformats.org/officeDocument/2006/relationships/hyperlink" Target="https://www.crimeandjustice.org.uk/publications/cjm/article/policing-riots-bristol-and-brixton-tottenham-toxteth-handsworth-etc" TargetMode="External"/><Relationship Id="rId43" Type="http://schemas.openxmlformats.org/officeDocument/2006/relationships/hyperlink" Target="https://www.mentalhealth.org.uk/sites/default/files/2022-08/stress-are-we-coping.pdf" TargetMode="External"/><Relationship Id="rId48" Type="http://schemas.openxmlformats.org/officeDocument/2006/relationships/hyperlink" Target="https://www.mind.org.uk/information-support/types-of-mental-health-problems/post-traumatic-stress-disorder-ptsd-and-complex-ptsd/symptoms/" TargetMode="External"/><Relationship Id="rId56" Type="http://schemas.openxmlformats.org/officeDocument/2006/relationships/hyperlink" Target="https://www.south-wales.police.uk/police-forces/south-wales-police/areas/careers/careers/positive-action/#:~:text=South%20Wales%20Police%20is%20currently,including%20attendance%20at%20upskill%20events" TargetMode="External"/><Relationship Id="rId64" Type="http://schemas.openxmlformats.org/officeDocument/2006/relationships/hyperlink" Target="https://www.theguardian.com/uk/2012/jun/21/police-antisocial-crime-victims-fiona-pilkington" TargetMode="External"/><Relationship Id="rId69" Type="http://schemas.openxmlformats.org/officeDocument/2006/relationships/fontTable" Target="fontTable.xml"/><Relationship Id="rId8" Type="http://schemas.openxmlformats.org/officeDocument/2006/relationships/hyperlink" Target="https://doi.org.10.1136/bmjopen-2020-047814" TargetMode="External"/><Relationship Id="rId51" Type="http://schemas.openxmlformats.org/officeDocument/2006/relationships/hyperlink" Target="https://post.parliament.uk/public-trust-and-confidence-in-the-police/" TargetMode="External"/><Relationship Id="rId3" Type="http://schemas.openxmlformats.org/officeDocument/2006/relationships/settings" Target="settings.xml"/><Relationship Id="rId12" Type="http://schemas.openxmlformats.org/officeDocument/2006/relationships/hyperlink" Target="https://www.homelesshub.ca/sites/default/files/Cuckooing-Home%20takeovers%20of%20vulnerable%20tenants.pdf" TargetMode="External"/><Relationship Id="rId17" Type="http://schemas.openxmlformats.org/officeDocument/2006/relationships/hyperlink" Target="https://www.equalityhumanrights.com/sites/default/files/research_report_21_disabled_people_s_experiences_of_targeted_violence_and_hostility.pdf" TargetMode="External"/><Relationship Id="rId25" Type="http://schemas.openxmlformats.org/officeDocument/2006/relationships/hyperlink" Target="https://www.ethnicity-facts-figures.service.gov.uk/workforce-and-business/workforce-diversity/police-workforce/latest/" TargetMode="External"/><Relationship Id="rId33" Type="http://schemas.openxmlformats.org/officeDocument/2006/relationships/hyperlink" Target="https://www.gov.uk/government/publications/serious-and-organised-crime-strategy-2023-to-2028/no-place-to-hide-serious-and-organised-crime-strategy-2023-to-2028-accessible-version" TargetMode="External"/><Relationship Id="rId38" Type="http://schemas.openxmlformats.org/officeDocument/2006/relationships/hyperlink" Target="https://doi.org/10.1177/15248380241282993" TargetMode="External"/><Relationship Id="rId46" Type="http://schemas.openxmlformats.org/officeDocument/2006/relationships/hyperlink" Target="https://www.met.police.uk/foi-ai/metropolitan-police/disclosure-2024/july-2024/sick-days-taken-off-police-officers-due-mental-health-2019-2023/" TargetMode="External"/><Relationship Id="rId59" Type="http://schemas.openxmlformats.org/officeDocument/2006/relationships/hyperlink" Target="https://doi.org/10.1007/s12117-019-09368-5" TargetMode="External"/><Relationship Id="rId67" Type="http://schemas.openxmlformats.org/officeDocument/2006/relationships/hyperlink" Target="https://victimscommissioner.org.uk/news/frustrated-by-police-inaction-mounting-delays-and-often-left-guessing-victims-share-criminal-justice-experiences-in-new-report/" TargetMode="External"/><Relationship Id="rId20" Type="http://schemas.openxmlformats.org/officeDocument/2006/relationships/hyperlink" Target="https://institute.global/insights/public-services/a-new-approach-to-serious-and-organised-crime-in-the-uk" TargetMode="External"/><Relationship Id="rId41" Type="http://schemas.openxmlformats.org/officeDocument/2006/relationships/hyperlink" Target="https://doi.org/10.1093/bjsw/bcad145" TargetMode="External"/><Relationship Id="rId54" Type="http://schemas.openxmlformats.org/officeDocument/2006/relationships/hyperlink" Target="https://media.samaritans.org/documents/Men-and-Suicide-Report-Samaritans.pdf" TargetMode="External"/><Relationship Id="rId62" Type="http://schemas.openxmlformats.org/officeDocument/2006/relationships/hyperlink" Target="https://rgs-ibg.onlinelibrary.wiley.com/doi/full/10.1111/geoj.12507"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commonslibrary.parliament.uk/research-briefings/sn00634/" TargetMode="External"/><Relationship Id="rId15" Type="http://schemas.openxmlformats.org/officeDocument/2006/relationships/hyperlink" Target="https://assets.college.police.uk/s3fs-public/2020-11/Professionalising-Investigations-Progamme.pdf" TargetMode="External"/><Relationship Id="rId23" Type="http://schemas.openxmlformats.org/officeDocument/2006/relationships/hyperlink" Target="https://doi.org/10.35502/jcswb.294" TargetMode="External"/><Relationship Id="rId28" Type="http://schemas.openxmlformats.org/officeDocument/2006/relationships/hyperlink" Target="https://doi.org/10.1093/eurpub/ckaa013" TargetMode="External"/><Relationship Id="rId36" Type="http://schemas.openxmlformats.org/officeDocument/2006/relationships/hyperlink" Target="https://doi.org/10.1002/psp.1838" TargetMode="External"/><Relationship Id="rId49" Type="http://schemas.openxmlformats.org/officeDocument/2006/relationships/hyperlink" Target="https://doi-org.ezproxy.uwtsd.ac.uk/10.1177/0022042619861938" TargetMode="External"/><Relationship Id="rId57" Type="http://schemas.openxmlformats.org/officeDocument/2006/relationships/hyperlink" Target="https://www.google.co.uk/books/edition/_/-Wj4AAAAQBAJ?hl=en&amp;gbpv=1" TargetMode="External"/><Relationship Id="rId10" Type="http://schemas.openxmlformats.org/officeDocument/2006/relationships/hyperlink" Target="https://doi.org.10.1108/JCS-04-2021-0016" TargetMode="External"/><Relationship Id="rId31" Type="http://schemas.openxmlformats.org/officeDocument/2006/relationships/hyperlink" Target="https://doi.org/10.1186/s12954-020-00434-8" TargetMode="External"/><Relationship Id="rId44" Type="http://schemas.openxmlformats.org/officeDocument/2006/relationships/hyperlink" Target="https://salusjournal.com/wp-content/uploads/2020/09/Hakik_Salus_Journal_Volume_8_Number_2_2020_pp_117-151.pdf" TargetMode="External"/><Relationship Id="rId52" Type="http://schemas.openxmlformats.org/officeDocument/2006/relationships/hyperlink" Target="https://doi.org/10.1007/s10670-020-00252-1" TargetMode="External"/><Relationship Id="rId60" Type="http://schemas.openxmlformats.org/officeDocument/2006/relationships/hyperlink" Target="https://doi-org.ezproxy.uwtsd.ac.uk/10.1177/1473225418810833" TargetMode="External"/><Relationship Id="rId65" Type="http://schemas.openxmlformats.org/officeDocument/2006/relationships/hyperlink" Target="https://publications.parliament.uk/pa/cm5802/cmselect/cmhaff/139/13903.htm" TargetMode="External"/><Relationship Id="rId4" Type="http://schemas.openxmlformats.org/officeDocument/2006/relationships/webSettings" Target="webSettings.xml"/><Relationship Id="rId9" Type="http://schemas.openxmlformats.org/officeDocument/2006/relationships/hyperlink" Target="https://doi.org/10.1016/j.childyouth.2020.105396" TargetMode="External"/><Relationship Id="rId13" Type="http://schemas.openxmlformats.org/officeDocument/2006/relationships/hyperlink" Target="https://www.gov.uk/government/publications/the-code-of-practice-for-victims-of-crime/code-of-practice-for-victims-of-crime-in-england-and-wales-victims-code" TargetMode="External"/><Relationship Id="rId18" Type="http://schemas.openxmlformats.org/officeDocument/2006/relationships/hyperlink" Target="https://www-jstor-org.ezproxy.uwtsd.ac.uk/stable/j.ctvq4c0j8.12?seq=1" TargetMode="External"/><Relationship Id="rId39" Type="http://schemas.openxmlformats.org/officeDocument/2006/relationships/hyperlink" Target="http://dx.doi.org/10.1002/casp.2410" TargetMode="External"/><Relationship Id="rId34" Type="http://schemas.openxmlformats.org/officeDocument/2006/relationships/hyperlink" Target="https://www.imperial.ac.uk/equality/resources/unconscious-bias/" TargetMode="External"/><Relationship Id="rId50" Type="http://schemas.openxmlformats.org/officeDocument/2006/relationships/hyperlink" Target="https://www.ons.gov.uk/peoplepopulationandcommunity/birthsdeathsandmarriages/deaths/bulletins/suicidesintheunitedkingdom/2023" TargetMode="External"/><Relationship Id="rId55" Type="http://schemas.openxmlformats.org/officeDocument/2006/relationships/hyperlink" Target="https://doi.org/10.1371/journal.pone.02409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2376</TotalTime>
  <Pages>22</Pages>
  <Words>7352</Words>
  <Characters>41913</Characters>
  <Application>Microsoft Office Word</Application>
  <DocSecurity>0</DocSecurity>
  <Lines>349</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Green,Claire swp8793</dc:creator>
  <cp:keywords/>
  <dc:description/>
  <cp:lastModifiedBy>Green,Claire swp8793</cp:lastModifiedBy>
  <cp:revision>79</cp:revision>
  <dcterms:created xsi:type="dcterms:W3CDTF">2025-04-08T14:23:00Z</dcterms:created>
  <dcterms:modified xsi:type="dcterms:W3CDTF">2025-05-10T19:34:00Z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2025-04-08T14:28:34Z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15217b18-eeb2-4f31-82a4-73cb9fcf942d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