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C001D" w14:textId="77777777" w:rsidR="00053779" w:rsidRPr="00AB58D5" w:rsidRDefault="00053779" w:rsidP="00053779">
      <w:pPr>
        <w:spacing w:after="0" w:line="480" w:lineRule="auto"/>
        <w:jc w:val="center"/>
        <w:rPr>
          <w:rFonts w:ascii="Arial" w:hAnsi="Arial" w:cs="Arial"/>
          <w:color w:val="000000"/>
          <w:kern w:val="0"/>
          <w14:ligatures w14:val="none"/>
        </w:rPr>
      </w:pPr>
      <w:r w:rsidRPr="00AB58D5">
        <w:rPr>
          <w:rFonts w:ascii="Arial" w:hAnsi="Arial" w:cs="Arial"/>
          <w:b/>
          <w:bCs/>
          <w:color w:val="000000"/>
          <w:kern w:val="0"/>
          <w14:ligatures w14:val="none"/>
        </w:rPr>
        <w:t>BMHP5019_BIRM – Introduction to Independent Research Skills</w:t>
      </w:r>
    </w:p>
    <w:p w14:paraId="2BAD21E4" w14:textId="77777777" w:rsidR="00053779" w:rsidRPr="00AB58D5" w:rsidRDefault="00053779" w:rsidP="00053779">
      <w:pPr>
        <w:spacing w:after="0" w:line="480" w:lineRule="auto"/>
        <w:jc w:val="center"/>
        <w:rPr>
          <w:rFonts w:ascii="Arial" w:hAnsi="Arial" w:cs="Arial"/>
          <w:color w:val="000000"/>
          <w:kern w:val="0"/>
          <w14:ligatures w14:val="none"/>
        </w:rPr>
      </w:pPr>
      <w:r w:rsidRPr="00AB58D5">
        <w:rPr>
          <w:rFonts w:ascii="Arial" w:hAnsi="Arial" w:cs="Arial"/>
          <w:b/>
          <w:bCs/>
          <w:color w:val="000000"/>
          <w:kern w:val="0"/>
          <w14:ligatures w14:val="none"/>
        </w:rPr>
        <w:t>Component 1</w:t>
      </w:r>
    </w:p>
    <w:p w14:paraId="2BF9FB00" w14:textId="77777777" w:rsidR="00053779" w:rsidRPr="00661FE1" w:rsidRDefault="00053779" w:rsidP="00053779">
      <w:pPr>
        <w:spacing w:after="0" w:line="480" w:lineRule="auto"/>
        <w:jc w:val="center"/>
        <w:rPr>
          <w:rFonts w:ascii="Arial" w:hAnsi="Arial" w:cs="Arial"/>
          <w:color w:val="000000"/>
          <w:kern w:val="0"/>
          <w:lang w:val="en-GB"/>
          <w14:ligatures w14:val="none"/>
        </w:rPr>
      </w:pPr>
      <w:r w:rsidRPr="00AB58D5">
        <w:rPr>
          <w:rFonts w:ascii="Arial" w:hAnsi="Arial" w:cs="Arial"/>
          <w:b/>
          <w:bCs/>
          <w:color w:val="000000"/>
          <w:kern w:val="0"/>
          <w14:ligatures w14:val="none"/>
        </w:rPr>
        <w:t>400-word Scoping review proposal.</w:t>
      </w:r>
    </w:p>
    <w:p w14:paraId="301EFA4E" w14:textId="77777777" w:rsidR="00053779" w:rsidRPr="00866199" w:rsidRDefault="00053779" w:rsidP="00053779">
      <w:pPr>
        <w:spacing w:after="0" w:line="480" w:lineRule="auto"/>
        <w:jc w:val="center"/>
        <w:rPr>
          <w:rFonts w:ascii="Arial" w:hAnsi="Arial" w:cs="Arial"/>
          <w:b/>
          <w:bCs/>
          <w:color w:val="000000"/>
          <w:kern w:val="0"/>
          <w14:ligatures w14:val="none"/>
        </w:rPr>
      </w:pPr>
    </w:p>
    <w:p w14:paraId="2F754ADE" w14:textId="77777777" w:rsidR="00053779" w:rsidRPr="00866199" w:rsidRDefault="00053779" w:rsidP="00053779">
      <w:pPr>
        <w:spacing w:after="0" w:line="240" w:lineRule="auto"/>
        <w:rPr>
          <w:rFonts w:ascii="Arial" w:hAnsi="Arial" w:cs="Arial"/>
          <w:b/>
          <w:bCs/>
          <w:color w:val="000000"/>
          <w:kern w:val="0"/>
          <w14:ligatures w14:val="none"/>
        </w:rPr>
      </w:pPr>
    </w:p>
    <w:p w14:paraId="41C5F9E5" w14:textId="77777777" w:rsidR="00053779" w:rsidRPr="00AB58D5" w:rsidRDefault="00053779" w:rsidP="00053779">
      <w:pPr>
        <w:spacing w:after="0" w:line="480" w:lineRule="auto"/>
        <w:jc w:val="center"/>
        <w:rPr>
          <w:rFonts w:ascii="Arial" w:hAnsi="Arial" w:cs="Arial"/>
          <w:b/>
          <w:bCs/>
          <w:color w:val="000000"/>
          <w:kern w:val="0"/>
          <w14:ligatures w14:val="none"/>
        </w:rPr>
      </w:pPr>
      <w:r w:rsidRPr="00AB58D5">
        <w:rPr>
          <w:rFonts w:ascii="Arial" w:hAnsi="Arial" w:cs="Arial"/>
          <w:b/>
          <w:bCs/>
          <w:color w:val="000000"/>
          <w:kern w:val="0"/>
          <w14:ligatures w14:val="none"/>
        </w:rPr>
        <w:t>Student Name:</w:t>
      </w:r>
      <w:r>
        <w:rPr>
          <w:rFonts w:ascii="Arial" w:hAnsi="Arial" w:cs="Arial"/>
          <w:b/>
          <w:bCs/>
          <w:color w:val="000000"/>
          <w:kern w:val="0"/>
          <w14:ligatures w14:val="none"/>
        </w:rPr>
        <w:t xml:space="preserve"> Olufemi Idowu Afolabi Odubitan</w:t>
      </w:r>
    </w:p>
    <w:p w14:paraId="63109876" w14:textId="77777777" w:rsidR="00053779" w:rsidRPr="00661FE1" w:rsidRDefault="00053779" w:rsidP="00053779">
      <w:pPr>
        <w:spacing w:after="0" w:line="480" w:lineRule="auto"/>
        <w:jc w:val="center"/>
        <w:rPr>
          <w:rFonts w:ascii="Arial" w:hAnsi="Arial" w:cs="Arial"/>
          <w:b/>
          <w:bCs/>
          <w:color w:val="000000"/>
          <w:kern w:val="0"/>
          <w:lang w:val="en-GB"/>
          <w14:ligatures w14:val="none"/>
        </w:rPr>
      </w:pPr>
      <w:r w:rsidRPr="00AB58D5">
        <w:rPr>
          <w:rFonts w:ascii="Arial" w:hAnsi="Arial" w:cs="Arial"/>
          <w:b/>
          <w:bCs/>
          <w:color w:val="000000"/>
          <w:kern w:val="0"/>
          <w14:ligatures w14:val="none"/>
        </w:rPr>
        <w:t>Student Number:</w:t>
      </w:r>
      <w:r w:rsidRPr="0008649C">
        <w:rPr>
          <w:rFonts w:ascii="Arial" w:hAnsi="Arial" w:cs="Arial"/>
          <w:b/>
          <w:bCs/>
          <w:color w:val="000000"/>
          <w:kern w:val="0"/>
          <w14:ligatures w14:val="none"/>
        </w:rPr>
        <w:t xml:space="preserve"> 232121</w:t>
      </w:r>
      <w:r>
        <w:rPr>
          <w:rFonts w:ascii="Arial" w:hAnsi="Arial" w:cs="Arial"/>
          <w:b/>
          <w:bCs/>
          <w:color w:val="000000"/>
          <w:kern w:val="0"/>
          <w:lang w:val="en-GB"/>
          <w14:ligatures w14:val="none"/>
        </w:rPr>
        <w:t>1</w:t>
      </w:r>
    </w:p>
    <w:p w14:paraId="0EB5D1A5" w14:textId="77777777" w:rsidR="00053779" w:rsidRPr="00866199" w:rsidRDefault="00053779" w:rsidP="00053779">
      <w:pPr>
        <w:spacing w:after="100" w:afterAutospacing="1" w:line="276" w:lineRule="auto"/>
        <w:ind w:left="57" w:right="57"/>
        <w:jc w:val="center"/>
        <w:outlineLvl w:val="2"/>
        <w:rPr>
          <w:rFonts w:ascii="Arial" w:eastAsia="Times New Roman" w:hAnsi="Arial" w:cs="Arial"/>
          <w:b/>
          <w:bCs/>
          <w:kern w:val="0"/>
          <w:u w:val="single"/>
          <w14:ligatures w14:val="none"/>
        </w:rPr>
      </w:pPr>
      <w:r w:rsidRPr="00866199">
        <w:rPr>
          <w:rFonts w:ascii="Arial" w:eastAsia="Times New Roman" w:hAnsi="Arial" w:cs="Arial"/>
          <w:b/>
          <w:bCs/>
          <w:kern w:val="0"/>
          <w:u w:val="single"/>
          <w14:ligatures w14:val="none"/>
        </w:rPr>
        <w:t>Title</w:t>
      </w:r>
    </w:p>
    <w:p w14:paraId="70385432" w14:textId="77777777" w:rsidR="00053779" w:rsidRPr="00661FE1" w:rsidRDefault="00053779" w:rsidP="00053779">
      <w:pPr>
        <w:pStyle w:val="p1"/>
        <w:spacing w:before="0" w:beforeAutospacing="0" w:line="276" w:lineRule="auto"/>
        <w:ind w:left="57" w:right="57"/>
        <w:jc w:val="both"/>
        <w:rPr>
          <w:rFonts w:ascii="Arial" w:hAnsi="Arial" w:cs="Arial"/>
          <w:lang w:val="en-GB"/>
        </w:rPr>
      </w:pPr>
      <w:r w:rsidRPr="00866199">
        <w:rPr>
          <w:rStyle w:val="s1"/>
          <w:rFonts w:ascii="Arial" w:hAnsi="Arial" w:cs="Arial"/>
        </w:rPr>
        <w:t>A Scoping Review of Data Privacy Issues in Digital Health Systems: Identifying Themes Using Aveyard’s Simplified Thematic Analysis</w:t>
      </w:r>
    </w:p>
    <w:p w14:paraId="3C02F747" w14:textId="77777777" w:rsidR="00053779" w:rsidRPr="00E70611" w:rsidRDefault="00053779" w:rsidP="00053779">
      <w:pPr>
        <w:spacing w:after="100" w:afterAutospacing="1" w:line="276" w:lineRule="auto"/>
        <w:ind w:left="57" w:right="57"/>
        <w:jc w:val="both"/>
        <w:outlineLvl w:val="2"/>
        <w:rPr>
          <w:rFonts w:ascii="Arial" w:eastAsia="Times New Roman" w:hAnsi="Arial" w:cs="Arial"/>
          <w:b/>
          <w:bCs/>
          <w:kern w:val="0"/>
          <w:u w:val="single"/>
          <w14:ligatures w14:val="none"/>
        </w:rPr>
      </w:pPr>
      <w:r w:rsidRPr="00E70611">
        <w:rPr>
          <w:rFonts w:ascii="Arial" w:eastAsia="Times New Roman" w:hAnsi="Arial" w:cs="Arial"/>
          <w:b/>
          <w:bCs/>
          <w:kern w:val="0"/>
          <w:u w:val="single"/>
          <w14:ligatures w14:val="none"/>
        </w:rPr>
        <w:t>Background and Rationale</w:t>
      </w:r>
    </w:p>
    <w:p w14:paraId="58D53509" w14:textId="4D6E94AF" w:rsidR="00053779" w:rsidRPr="00864D16" w:rsidRDefault="00053779" w:rsidP="00053779">
      <w:pPr>
        <w:pStyle w:val="p1"/>
        <w:spacing w:before="0" w:beforeAutospacing="0" w:line="276" w:lineRule="auto"/>
        <w:ind w:left="57" w:right="57"/>
        <w:jc w:val="both"/>
        <w:rPr>
          <w:rFonts w:ascii="Arial" w:hAnsi="Arial" w:cs="Arial"/>
        </w:rPr>
      </w:pPr>
      <w:r w:rsidRPr="003C38A2">
        <w:rPr>
          <w:rFonts w:ascii="Arial" w:hAnsi="Arial" w:cs="Arial"/>
        </w:rPr>
        <w:t>The integration of digital technologies into healthcare has transformed service delivery, but it has also introduced significant privacy and security challenges. Digital health systems such as electronic health records, telemedicine, and wearable health devices raise concerns regarding data breaches, unauthorized access, and misuse of sensitive health information (Ronquillo et al, 2018; Looi et al</w:t>
      </w:r>
      <w:r>
        <w:rPr>
          <w:rFonts w:ascii="Arial" w:hAnsi="Arial" w:cs="Arial"/>
        </w:rPr>
        <w:t>,</w:t>
      </w:r>
      <w:r w:rsidRPr="003C38A2">
        <w:rPr>
          <w:rFonts w:ascii="Arial" w:hAnsi="Arial" w:cs="Arial"/>
        </w:rPr>
        <w:t xml:space="preserve"> 2023; Zlatolas et al</w:t>
      </w:r>
      <w:r>
        <w:rPr>
          <w:rFonts w:ascii="Arial" w:hAnsi="Arial" w:cs="Arial"/>
        </w:rPr>
        <w:t>,</w:t>
      </w:r>
      <w:r w:rsidRPr="003C38A2">
        <w:rPr>
          <w:rFonts w:ascii="Arial" w:hAnsi="Arial" w:cs="Arial"/>
        </w:rPr>
        <w:t xml:space="preserve"> 2024 &amp; Reddy et al</w:t>
      </w:r>
      <w:r>
        <w:rPr>
          <w:rFonts w:ascii="Arial" w:hAnsi="Arial" w:cs="Arial"/>
        </w:rPr>
        <w:t>,</w:t>
      </w:r>
      <w:r w:rsidRPr="003C38A2">
        <w:rPr>
          <w:rFonts w:ascii="Arial" w:hAnsi="Arial" w:cs="Arial"/>
        </w:rPr>
        <w:t xml:space="preserve"> 2023).  As healthcare data is frequently targeted by cyberattacks, ensuring its protection is crucial for maintaining patient trust and compliance with regulations (Croke, 2020).</w:t>
      </w:r>
    </w:p>
    <w:p w14:paraId="066076BC" w14:textId="682E889A" w:rsidR="00053779" w:rsidRPr="00E70611" w:rsidRDefault="00053779" w:rsidP="00053779">
      <w:p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 xml:space="preserve">Although </w:t>
      </w:r>
      <w:r>
        <w:rPr>
          <w:rFonts w:ascii="Arial" w:hAnsi="Arial" w:cs="Arial"/>
          <w:kern w:val="0"/>
          <w14:ligatures w14:val="none"/>
        </w:rPr>
        <w:t>several</w:t>
      </w:r>
      <w:r w:rsidRPr="00E70611">
        <w:rPr>
          <w:rFonts w:ascii="Arial" w:hAnsi="Arial" w:cs="Arial"/>
          <w:kern w:val="0"/>
          <w14:ligatures w14:val="none"/>
        </w:rPr>
        <w:t xml:space="preserve"> </w:t>
      </w:r>
      <w:r>
        <w:rPr>
          <w:rFonts w:ascii="Arial" w:hAnsi="Arial" w:cs="Arial"/>
          <w:kern w:val="0"/>
          <w14:ligatures w14:val="none"/>
        </w:rPr>
        <w:t>studies</w:t>
      </w:r>
      <w:r w:rsidRPr="00E70611">
        <w:rPr>
          <w:rFonts w:ascii="Arial" w:hAnsi="Arial" w:cs="Arial"/>
          <w:kern w:val="0"/>
          <w14:ligatures w14:val="none"/>
        </w:rPr>
        <w:t xml:space="preserve"> </w:t>
      </w:r>
      <w:r>
        <w:rPr>
          <w:rFonts w:ascii="Arial" w:hAnsi="Arial" w:cs="Arial"/>
          <w:kern w:val="0"/>
          <w14:ligatures w14:val="none"/>
        </w:rPr>
        <w:t>have</w:t>
      </w:r>
      <w:r w:rsidRPr="00E70611">
        <w:rPr>
          <w:rFonts w:ascii="Arial" w:hAnsi="Arial" w:cs="Arial"/>
          <w:kern w:val="0"/>
          <w14:ligatures w14:val="none"/>
        </w:rPr>
        <w:t xml:space="preserve"> addressed data privacy in digital health, consensus is lacking on best practices, regulatory frameworks, and the effectiveness of existing privacy measures. Furthermore, the rapid pace of technological advancements has led to evolving privacy concerns, making it vital to assess current literature and identify gaps. A scoping review will </w:t>
      </w:r>
      <w:r>
        <w:rPr>
          <w:rFonts w:ascii="Arial" w:hAnsi="Arial" w:cs="Arial"/>
          <w:kern w:val="0"/>
          <w14:ligatures w14:val="none"/>
        </w:rPr>
        <w:t>examine</w:t>
      </w:r>
      <w:r w:rsidRPr="00E70611">
        <w:rPr>
          <w:rFonts w:ascii="Arial" w:hAnsi="Arial" w:cs="Arial"/>
          <w:kern w:val="0"/>
          <w14:ligatures w14:val="none"/>
        </w:rPr>
        <w:t xml:space="preserve"> existing studies, identify recurring themes, and highlight areas where further research is needed to improve data privacy protections in digital health systems.</w:t>
      </w:r>
    </w:p>
    <w:p w14:paraId="3DB7C351" w14:textId="77777777" w:rsidR="00053779" w:rsidRPr="00E70611" w:rsidRDefault="00053779" w:rsidP="00053779">
      <w:pPr>
        <w:spacing w:after="100" w:afterAutospacing="1" w:line="276" w:lineRule="auto"/>
        <w:ind w:left="57" w:right="57"/>
        <w:jc w:val="both"/>
        <w:outlineLvl w:val="2"/>
        <w:rPr>
          <w:rFonts w:ascii="Arial" w:eastAsia="Times New Roman" w:hAnsi="Arial" w:cs="Arial"/>
          <w:b/>
          <w:bCs/>
          <w:kern w:val="0"/>
          <w:u w:val="single"/>
          <w14:ligatures w14:val="none"/>
        </w:rPr>
      </w:pPr>
      <w:r w:rsidRPr="00E70611">
        <w:rPr>
          <w:rFonts w:ascii="Arial" w:eastAsia="Times New Roman" w:hAnsi="Arial" w:cs="Arial"/>
          <w:b/>
          <w:bCs/>
          <w:kern w:val="0"/>
          <w:u w:val="single"/>
          <w14:ligatures w14:val="none"/>
        </w:rPr>
        <w:t>Research Aim and Objectives</w:t>
      </w:r>
    </w:p>
    <w:p w14:paraId="4DCCDD08" w14:textId="77777777" w:rsidR="00053779" w:rsidRPr="00E70611" w:rsidRDefault="00053779" w:rsidP="00053779">
      <w:p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The primary aim of this scoping review is to map the literature on data privacy issues in digital health systems. Specifically, the review will:</w:t>
      </w:r>
    </w:p>
    <w:p w14:paraId="4748573E" w14:textId="77777777" w:rsidR="00053779" w:rsidRPr="00645757" w:rsidRDefault="00053779" w:rsidP="00053779">
      <w:pPr>
        <w:pStyle w:val="ListParagraph"/>
        <w:numPr>
          <w:ilvl w:val="0"/>
          <w:numId w:val="1"/>
        </w:numPr>
        <w:spacing w:after="100" w:afterAutospacing="1" w:line="276" w:lineRule="auto"/>
        <w:ind w:left="57" w:right="57"/>
        <w:jc w:val="both"/>
        <w:rPr>
          <w:rFonts w:ascii="Arial" w:hAnsi="Arial" w:cs="Arial"/>
          <w:kern w:val="0"/>
          <w14:ligatures w14:val="none"/>
        </w:rPr>
      </w:pPr>
      <w:r w:rsidRPr="00645757">
        <w:rPr>
          <w:rFonts w:ascii="Arial" w:hAnsi="Arial" w:cs="Arial"/>
          <w:kern w:val="0"/>
          <w14:ligatures w14:val="none"/>
        </w:rPr>
        <w:t>Examine existing research on data privacy challenges in digital health systems.</w:t>
      </w:r>
    </w:p>
    <w:p w14:paraId="3D47CF79" w14:textId="77777777" w:rsidR="00053779" w:rsidRPr="00E70611" w:rsidRDefault="00053779" w:rsidP="00053779">
      <w:pPr>
        <w:numPr>
          <w:ilvl w:val="0"/>
          <w:numId w:val="1"/>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Identify gaps in current research and propose areas for future investigation.</w:t>
      </w:r>
    </w:p>
    <w:p w14:paraId="06EF28A8" w14:textId="77777777" w:rsidR="00053779" w:rsidRDefault="00053779" w:rsidP="00053779">
      <w:pPr>
        <w:numPr>
          <w:ilvl w:val="0"/>
          <w:numId w:val="1"/>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Provide practical solutions for enhancing data protection in digital health systems.</w:t>
      </w:r>
    </w:p>
    <w:p w14:paraId="1FF76463" w14:textId="77777777" w:rsidR="00053779" w:rsidRPr="00E70611" w:rsidRDefault="00053779" w:rsidP="00053779">
      <w:pPr>
        <w:spacing w:after="100" w:afterAutospacing="1" w:line="276" w:lineRule="auto"/>
        <w:ind w:left="57" w:right="57"/>
        <w:jc w:val="both"/>
        <w:rPr>
          <w:rFonts w:ascii="Arial" w:hAnsi="Arial" w:cs="Arial"/>
          <w:kern w:val="0"/>
          <w:u w:val="single"/>
          <w14:ligatures w14:val="none"/>
        </w:rPr>
      </w:pPr>
      <w:r w:rsidRPr="00E70611">
        <w:rPr>
          <w:rFonts w:ascii="Arial" w:eastAsia="Times New Roman" w:hAnsi="Arial" w:cs="Arial"/>
          <w:b/>
          <w:bCs/>
          <w:kern w:val="0"/>
          <w:u w:val="single"/>
          <w14:ligatures w14:val="none"/>
        </w:rPr>
        <w:lastRenderedPageBreak/>
        <w:t>Methodology</w:t>
      </w:r>
    </w:p>
    <w:p w14:paraId="70D2FC02" w14:textId="77777777" w:rsidR="00053779" w:rsidRPr="00E70611" w:rsidRDefault="00053779" w:rsidP="00053779">
      <w:pPr>
        <w:spacing w:after="100" w:afterAutospacing="1" w:line="276" w:lineRule="auto"/>
        <w:ind w:left="57" w:right="57"/>
        <w:jc w:val="both"/>
        <w:rPr>
          <w:rFonts w:ascii="Arial" w:hAnsi="Arial" w:cs="Arial"/>
          <w:b/>
          <w:bCs/>
          <w:kern w:val="0"/>
          <w14:ligatures w14:val="none"/>
        </w:rPr>
      </w:pPr>
      <w:r w:rsidRPr="00E70611">
        <w:rPr>
          <w:rFonts w:ascii="Arial" w:hAnsi="Arial" w:cs="Arial"/>
          <w:b/>
          <w:bCs/>
          <w:kern w:val="0"/>
          <w14:ligatures w14:val="none"/>
        </w:rPr>
        <w:t>Scoping Review Framework</w:t>
      </w:r>
    </w:p>
    <w:p w14:paraId="691AD4F5" w14:textId="77777777" w:rsidR="00053779" w:rsidRPr="00E70611" w:rsidRDefault="00053779" w:rsidP="00053779">
      <w:p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This review will follow Arksey and O’Malley’s scoping study methodology (2005), including identifying the research question, systematically searching for studies, and analyzing the data to summarize the findings.</w:t>
      </w:r>
    </w:p>
    <w:p w14:paraId="45689B23" w14:textId="77777777" w:rsidR="00053779" w:rsidRPr="00E70611" w:rsidRDefault="00053779" w:rsidP="00053779">
      <w:pPr>
        <w:spacing w:after="100" w:afterAutospacing="1" w:line="276" w:lineRule="auto"/>
        <w:ind w:left="57" w:right="57"/>
        <w:jc w:val="both"/>
        <w:rPr>
          <w:rFonts w:ascii="Arial" w:hAnsi="Arial" w:cs="Arial"/>
          <w:b/>
          <w:bCs/>
          <w:kern w:val="0"/>
          <w14:ligatures w14:val="none"/>
        </w:rPr>
      </w:pPr>
      <w:r w:rsidRPr="00E70611">
        <w:rPr>
          <w:rFonts w:ascii="Arial" w:hAnsi="Arial" w:cs="Arial"/>
          <w:b/>
          <w:bCs/>
          <w:kern w:val="0"/>
          <w14:ligatures w14:val="none"/>
        </w:rPr>
        <w:t>Research Question</w:t>
      </w:r>
    </w:p>
    <w:p w14:paraId="59146947" w14:textId="77777777" w:rsidR="00053779" w:rsidRPr="00E70611" w:rsidRDefault="00053779" w:rsidP="00053779">
      <w:p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What are the main themes related to data privacy in digital health systems as discussed in peer-reviewed literature?</w:t>
      </w:r>
    </w:p>
    <w:p w14:paraId="7F17A148" w14:textId="77777777" w:rsidR="00053779" w:rsidRPr="00E70611" w:rsidRDefault="00053779" w:rsidP="00053779">
      <w:pPr>
        <w:spacing w:after="100" w:afterAutospacing="1" w:line="276" w:lineRule="auto"/>
        <w:ind w:left="57" w:right="57"/>
        <w:jc w:val="both"/>
        <w:rPr>
          <w:rFonts w:ascii="Arial" w:hAnsi="Arial" w:cs="Arial"/>
          <w:b/>
          <w:bCs/>
          <w:kern w:val="0"/>
          <w14:ligatures w14:val="none"/>
        </w:rPr>
      </w:pPr>
      <w:r w:rsidRPr="00E70611">
        <w:rPr>
          <w:rFonts w:ascii="Arial" w:hAnsi="Arial" w:cs="Arial"/>
          <w:b/>
          <w:bCs/>
          <w:kern w:val="0"/>
          <w14:ligatures w14:val="none"/>
        </w:rPr>
        <w:t>Inclusion and Exclusion Criteria</w:t>
      </w:r>
    </w:p>
    <w:p w14:paraId="489334DA" w14:textId="77777777" w:rsidR="00053779" w:rsidRPr="00E70611" w:rsidRDefault="00053779" w:rsidP="00053779">
      <w:pPr>
        <w:numPr>
          <w:ilvl w:val="0"/>
          <w:numId w:val="2"/>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Inclusion: Studies published in English in the past 10 years, focused on data privacy and security within digital health systems.</w:t>
      </w:r>
    </w:p>
    <w:p w14:paraId="525F6609" w14:textId="77777777" w:rsidR="00053779" w:rsidRPr="00E70611" w:rsidRDefault="00053779" w:rsidP="00053779">
      <w:pPr>
        <w:numPr>
          <w:ilvl w:val="0"/>
          <w:numId w:val="2"/>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Exclusion: Non-peer-reviewed sources, studies outside the specified time range, or those not related to digital health.</w:t>
      </w:r>
    </w:p>
    <w:p w14:paraId="30DA551E" w14:textId="77777777" w:rsidR="00053779" w:rsidRPr="00E70611" w:rsidRDefault="00053779" w:rsidP="00053779">
      <w:pPr>
        <w:spacing w:after="100" w:afterAutospacing="1" w:line="276" w:lineRule="auto"/>
        <w:ind w:left="57" w:right="57"/>
        <w:jc w:val="both"/>
        <w:rPr>
          <w:rFonts w:ascii="Arial" w:hAnsi="Arial" w:cs="Arial"/>
          <w:b/>
          <w:bCs/>
          <w:kern w:val="0"/>
          <w14:ligatures w14:val="none"/>
        </w:rPr>
      </w:pPr>
      <w:r w:rsidRPr="00E70611">
        <w:rPr>
          <w:rFonts w:ascii="Arial" w:hAnsi="Arial" w:cs="Arial"/>
          <w:b/>
          <w:bCs/>
          <w:kern w:val="0"/>
          <w14:ligatures w14:val="none"/>
        </w:rPr>
        <w:t>Data Collection and Analysis</w:t>
      </w:r>
    </w:p>
    <w:p w14:paraId="43001E50" w14:textId="77777777" w:rsidR="00053779" w:rsidRPr="00E70611" w:rsidRDefault="00053779" w:rsidP="00053779">
      <w:pPr>
        <w:numPr>
          <w:ilvl w:val="0"/>
          <w:numId w:val="3"/>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Search Strategy: Relevant studies will be identified from databases such as PubMed, Scopus, and IEEE Xplore, using keywords like “data privacy,” “digital health,” and “cybersecurity.”</w:t>
      </w:r>
    </w:p>
    <w:p w14:paraId="7697C8AA" w14:textId="77777777" w:rsidR="00053779" w:rsidRPr="00661FE1" w:rsidRDefault="00053779" w:rsidP="00053779">
      <w:pPr>
        <w:numPr>
          <w:ilvl w:val="0"/>
          <w:numId w:val="3"/>
        </w:num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Analysis: Aveyard’s simplified thematic analysis (2014) will be used to categorize recurring themes and identify emerging privacy issues.</w:t>
      </w:r>
    </w:p>
    <w:p w14:paraId="37FA0749" w14:textId="77777777" w:rsidR="00053779" w:rsidRPr="00E70611" w:rsidRDefault="00053779" w:rsidP="00053779">
      <w:pPr>
        <w:spacing w:after="100" w:afterAutospacing="1" w:line="276" w:lineRule="auto"/>
        <w:ind w:left="57" w:right="57"/>
        <w:jc w:val="both"/>
        <w:outlineLvl w:val="2"/>
        <w:rPr>
          <w:rFonts w:ascii="Arial" w:eastAsia="Times New Roman" w:hAnsi="Arial" w:cs="Arial"/>
          <w:b/>
          <w:bCs/>
          <w:kern w:val="0"/>
          <w:u w:val="single"/>
          <w14:ligatures w14:val="none"/>
        </w:rPr>
      </w:pPr>
      <w:r w:rsidRPr="00E70611">
        <w:rPr>
          <w:rFonts w:ascii="Arial" w:eastAsia="Times New Roman" w:hAnsi="Arial" w:cs="Arial"/>
          <w:b/>
          <w:bCs/>
          <w:kern w:val="0"/>
          <w:u w:val="single"/>
          <w14:ligatures w14:val="none"/>
        </w:rPr>
        <w:t>Expected Outcomes</w:t>
      </w:r>
    </w:p>
    <w:p w14:paraId="0DF65A28" w14:textId="77777777" w:rsidR="00053779" w:rsidRPr="00E70611" w:rsidRDefault="00053779" w:rsidP="00053779">
      <w:pPr>
        <w:spacing w:after="100" w:afterAutospacing="1" w:line="276" w:lineRule="auto"/>
        <w:ind w:left="57" w:right="57"/>
        <w:jc w:val="both"/>
        <w:rPr>
          <w:rFonts w:ascii="Arial" w:hAnsi="Arial" w:cs="Arial"/>
          <w:kern w:val="0"/>
          <w14:ligatures w14:val="none"/>
        </w:rPr>
      </w:pPr>
      <w:r w:rsidRPr="00E70611">
        <w:rPr>
          <w:rFonts w:ascii="Arial" w:hAnsi="Arial" w:cs="Arial"/>
          <w:kern w:val="0"/>
          <w14:ligatures w14:val="none"/>
        </w:rPr>
        <w:t>This scoping review will produce a thematic map offering a clearer understanding of data privacy challenges in digital health systems and identify areas for further research.</w:t>
      </w:r>
    </w:p>
    <w:p w14:paraId="3EED73D1" w14:textId="77777777" w:rsidR="00053779" w:rsidRPr="00E70611" w:rsidRDefault="00053779" w:rsidP="00053779">
      <w:pPr>
        <w:spacing w:after="100" w:afterAutospacing="1" w:line="276" w:lineRule="auto"/>
        <w:ind w:left="57" w:right="57"/>
        <w:jc w:val="both"/>
        <w:outlineLvl w:val="2"/>
        <w:rPr>
          <w:rFonts w:ascii="Arial" w:eastAsia="Times New Roman" w:hAnsi="Arial" w:cs="Arial"/>
          <w:b/>
          <w:bCs/>
          <w:kern w:val="0"/>
          <w:u w:val="single"/>
          <w14:ligatures w14:val="none"/>
        </w:rPr>
      </w:pPr>
      <w:r w:rsidRPr="00E70611">
        <w:rPr>
          <w:rFonts w:ascii="Arial" w:eastAsia="Times New Roman" w:hAnsi="Arial" w:cs="Arial"/>
          <w:b/>
          <w:bCs/>
          <w:kern w:val="0"/>
          <w:u w:val="single"/>
          <w14:ligatures w14:val="none"/>
        </w:rPr>
        <w:t>Ethical Considerations</w:t>
      </w:r>
    </w:p>
    <w:p w14:paraId="3680F71D" w14:textId="77777777" w:rsidR="00053779" w:rsidRPr="00661FE1" w:rsidRDefault="00053779" w:rsidP="00053779">
      <w:pPr>
        <w:spacing w:after="100" w:afterAutospacing="1" w:line="276" w:lineRule="auto"/>
        <w:ind w:left="57" w:right="57"/>
        <w:jc w:val="both"/>
        <w:rPr>
          <w:rFonts w:ascii="Arial" w:hAnsi="Arial" w:cs="Arial"/>
          <w:kern w:val="0"/>
          <w:lang w:val="en-GB"/>
          <w14:ligatures w14:val="none"/>
        </w:rPr>
      </w:pPr>
      <w:r w:rsidRPr="00E70611">
        <w:rPr>
          <w:rFonts w:ascii="Arial" w:hAnsi="Arial" w:cs="Arial"/>
          <w:kern w:val="0"/>
          <w14:ligatures w14:val="none"/>
        </w:rPr>
        <w:t>This review will ensure that all studies selected adhere to ethical guidelines, particularly focusing on patient consent and safeguarding personal health data.</w:t>
      </w:r>
    </w:p>
    <w:p w14:paraId="46FD9A9D" w14:textId="77777777" w:rsidR="00053779" w:rsidRDefault="00053779" w:rsidP="00053779">
      <w:pPr>
        <w:spacing w:line="480" w:lineRule="auto"/>
        <w:jc w:val="both"/>
        <w:rPr>
          <w:rFonts w:ascii="Arial" w:hAnsi="Arial" w:cs="Arial"/>
          <w:b/>
          <w:bCs/>
          <w:lang w:val="en-GB"/>
        </w:rPr>
      </w:pPr>
    </w:p>
    <w:p w14:paraId="39BA80F7" w14:textId="77777777" w:rsidR="00053779" w:rsidRDefault="00053779" w:rsidP="00053779">
      <w:pPr>
        <w:spacing w:line="480" w:lineRule="auto"/>
        <w:jc w:val="both"/>
        <w:rPr>
          <w:rFonts w:ascii="Arial" w:hAnsi="Arial" w:cs="Arial"/>
          <w:b/>
          <w:bCs/>
          <w:lang w:val="en-GB"/>
        </w:rPr>
      </w:pPr>
    </w:p>
    <w:p w14:paraId="644A9ABF" w14:textId="77777777" w:rsidR="00053779" w:rsidRDefault="00053779" w:rsidP="00053779">
      <w:pPr>
        <w:spacing w:line="480" w:lineRule="auto"/>
        <w:jc w:val="both"/>
        <w:rPr>
          <w:rFonts w:ascii="Arial" w:hAnsi="Arial" w:cs="Arial"/>
          <w:b/>
          <w:bCs/>
          <w:lang w:val="en-GB"/>
        </w:rPr>
      </w:pPr>
    </w:p>
    <w:p w14:paraId="0C94D361" w14:textId="42F24B96" w:rsidR="00053779" w:rsidRPr="00E65315" w:rsidRDefault="00053779" w:rsidP="00053779">
      <w:pPr>
        <w:spacing w:line="480" w:lineRule="auto"/>
        <w:jc w:val="both"/>
        <w:rPr>
          <w:rFonts w:ascii="Arial" w:hAnsi="Arial" w:cs="Arial"/>
          <w:b/>
          <w:bCs/>
        </w:rPr>
      </w:pPr>
      <w:r w:rsidRPr="00E65315">
        <w:rPr>
          <w:rFonts w:ascii="Arial" w:hAnsi="Arial" w:cs="Arial"/>
          <w:b/>
          <w:bCs/>
        </w:rPr>
        <w:t>References</w:t>
      </w:r>
    </w:p>
    <w:p w14:paraId="447DDA6C"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Aveyard, H. (2014). </w:t>
      </w:r>
      <w:r w:rsidRPr="00190558">
        <w:rPr>
          <w:rStyle w:val="s2"/>
          <w:rFonts w:ascii="Arial" w:hAnsi="Arial" w:cs="Arial"/>
        </w:rPr>
        <w:t>Doing a Literature Review in Health and Social Care: A Practical Guide</w:t>
      </w:r>
      <w:r w:rsidRPr="00190558">
        <w:rPr>
          <w:rStyle w:val="s1"/>
          <w:rFonts w:ascii="Arial" w:hAnsi="Arial" w:cs="Arial"/>
        </w:rPr>
        <w:t>. Open University Press.</w:t>
      </w:r>
    </w:p>
    <w:p w14:paraId="2B314531"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Arksey, H., &amp; O’Malley, L. (2005). ‘Scoping studies: towards a methodological framework.’ </w:t>
      </w:r>
      <w:r w:rsidRPr="00190558">
        <w:rPr>
          <w:rStyle w:val="s2"/>
          <w:rFonts w:ascii="Arial" w:hAnsi="Arial" w:cs="Arial"/>
        </w:rPr>
        <w:t>International Journal of Social Research Methodology</w:t>
      </w:r>
      <w:r w:rsidRPr="00190558">
        <w:rPr>
          <w:rStyle w:val="s1"/>
          <w:rFonts w:ascii="Arial" w:hAnsi="Arial" w:cs="Arial"/>
        </w:rPr>
        <w:t>, 8(1), 19-32.</w:t>
      </w:r>
    </w:p>
    <w:p w14:paraId="1C38281E"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Croke, L. (2020). ‘Cyberattacks in health care can threaten patient safety.’ </w:t>
      </w:r>
      <w:r w:rsidRPr="00190558">
        <w:rPr>
          <w:rStyle w:val="s2"/>
          <w:rFonts w:ascii="Arial" w:hAnsi="Arial" w:cs="Arial"/>
        </w:rPr>
        <w:t>AORN Journal</w:t>
      </w:r>
      <w:r w:rsidRPr="00190558">
        <w:rPr>
          <w:rStyle w:val="s1"/>
          <w:rFonts w:ascii="Arial" w:hAnsi="Arial" w:cs="Arial"/>
        </w:rPr>
        <w:t xml:space="preserve">, 112(4), P5. </w:t>
      </w:r>
      <w:hyperlink r:id="rId5" w:history="1">
        <w:r w:rsidRPr="00190558">
          <w:rPr>
            <w:rStyle w:val="Hyperlink"/>
            <w:rFonts w:ascii="Arial" w:hAnsi="Arial" w:cs="Arial"/>
          </w:rPr>
          <w:t>https://doi.org/10.1002/aorn.13226</w:t>
        </w:r>
      </w:hyperlink>
      <w:r w:rsidRPr="00190558">
        <w:rPr>
          <w:rStyle w:val="s1"/>
          <w:rFonts w:ascii="Arial" w:hAnsi="Arial" w:cs="Arial"/>
        </w:rPr>
        <w:t xml:space="preserve"> </w:t>
      </w:r>
    </w:p>
    <w:p w14:paraId="3167CD08"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Looi, J., Allison, S., Bastiampillai, T., Maguire, P., Kisely, S., &amp; Looi, R. (2023). ‘Mitigating the consequences of electronic health record data breaches for patients and healthcare workers.’ </w:t>
      </w:r>
      <w:r w:rsidRPr="00190558">
        <w:rPr>
          <w:rStyle w:val="s2"/>
          <w:rFonts w:ascii="Arial" w:hAnsi="Arial" w:cs="Arial"/>
        </w:rPr>
        <w:t>Australian Health Review: A Publication of the Australian Hospital Association</w:t>
      </w:r>
      <w:r w:rsidRPr="00190558">
        <w:rPr>
          <w:rStyle w:val="s1"/>
          <w:rFonts w:ascii="Arial" w:hAnsi="Arial" w:cs="Arial"/>
        </w:rPr>
        <w:t xml:space="preserve">. </w:t>
      </w:r>
      <w:hyperlink r:id="rId6" w:history="1">
        <w:r w:rsidRPr="00190558">
          <w:rPr>
            <w:rStyle w:val="Hyperlink"/>
            <w:rFonts w:ascii="Arial" w:hAnsi="Arial" w:cs="Arial"/>
          </w:rPr>
          <w:t>https://doi.org/10.1071/AH23258</w:t>
        </w:r>
      </w:hyperlink>
      <w:r w:rsidRPr="00190558">
        <w:rPr>
          <w:rStyle w:val="s1"/>
          <w:rFonts w:ascii="Arial" w:hAnsi="Arial" w:cs="Arial"/>
        </w:rPr>
        <w:t xml:space="preserve"> </w:t>
      </w:r>
    </w:p>
    <w:p w14:paraId="76318657"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Ronquillo, J., Winterholler, E., Cwikla, K., Szymanski, R., &amp; Levy, C. (2018). ‘Health IT, hacking, and cybersecurity: national trends in data breaches of protected health information.’ </w:t>
      </w:r>
      <w:r w:rsidRPr="00190558">
        <w:rPr>
          <w:rStyle w:val="s2"/>
          <w:rFonts w:ascii="Arial" w:hAnsi="Arial" w:cs="Arial"/>
        </w:rPr>
        <w:t>JAMIA Open</w:t>
      </w:r>
      <w:r w:rsidRPr="00190558">
        <w:rPr>
          <w:rStyle w:val="s1"/>
          <w:rFonts w:ascii="Arial" w:hAnsi="Arial" w:cs="Arial"/>
        </w:rPr>
        <w:t xml:space="preserve">, 1, 15-19. </w:t>
      </w:r>
      <w:hyperlink r:id="rId7" w:history="1">
        <w:r w:rsidRPr="00190558">
          <w:rPr>
            <w:rStyle w:val="Hyperlink"/>
            <w:rFonts w:ascii="Arial" w:hAnsi="Arial" w:cs="Arial"/>
          </w:rPr>
          <w:t>https://doi.org/10.1093/jamiaopen/ooy019</w:t>
        </w:r>
      </w:hyperlink>
      <w:r w:rsidRPr="00190558">
        <w:rPr>
          <w:rStyle w:val="s1"/>
          <w:rFonts w:ascii="Arial" w:hAnsi="Arial" w:cs="Arial"/>
        </w:rPr>
        <w:t xml:space="preserve"> </w:t>
      </w:r>
    </w:p>
    <w:p w14:paraId="64FBC106"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Reddy, J., Elsayed, N., ElSayed, Z., &amp; Ozer, M. (2023). ‘A Review on Data Breaches in Healthcare Security Systems.’ </w:t>
      </w:r>
      <w:r w:rsidRPr="00190558">
        <w:rPr>
          <w:rStyle w:val="s2"/>
          <w:rFonts w:ascii="Arial" w:hAnsi="Arial" w:cs="Arial"/>
        </w:rPr>
        <w:t>International Journal of Computer Applications</w:t>
      </w:r>
      <w:r w:rsidRPr="00190558">
        <w:rPr>
          <w:rStyle w:val="s1"/>
          <w:rFonts w:ascii="Arial" w:hAnsi="Arial" w:cs="Arial"/>
        </w:rPr>
        <w:t xml:space="preserve">. </w:t>
      </w:r>
      <w:hyperlink r:id="rId8" w:history="1">
        <w:r w:rsidRPr="00190558">
          <w:rPr>
            <w:rStyle w:val="Hyperlink"/>
            <w:rFonts w:ascii="Arial" w:hAnsi="Arial" w:cs="Arial"/>
          </w:rPr>
          <w:t>https://doi.org/10.5120/ijca2023922333</w:t>
        </w:r>
      </w:hyperlink>
      <w:r w:rsidRPr="00190558">
        <w:rPr>
          <w:rStyle w:val="s1"/>
          <w:rFonts w:ascii="Arial" w:hAnsi="Arial" w:cs="Arial"/>
        </w:rPr>
        <w:t xml:space="preserve"> </w:t>
      </w:r>
    </w:p>
    <w:p w14:paraId="2928E21E" w14:textId="77777777" w:rsidR="00053779" w:rsidRPr="00190558" w:rsidRDefault="00053779" w:rsidP="00053779">
      <w:pPr>
        <w:pStyle w:val="p1"/>
        <w:ind w:left="720" w:hanging="720"/>
        <w:jc w:val="both"/>
        <w:rPr>
          <w:rFonts w:ascii="Arial" w:hAnsi="Arial" w:cs="Arial"/>
        </w:rPr>
      </w:pPr>
      <w:r w:rsidRPr="00190558">
        <w:rPr>
          <w:rStyle w:val="s1"/>
          <w:rFonts w:ascii="Arial" w:hAnsi="Arial" w:cs="Arial"/>
        </w:rPr>
        <w:t xml:space="preserve">Zlatolas, L., Welzer, T., &amp; Lhotska, L. (2024). ‘Data breaches in healthcare: security mechanisms for attack mitigation.’ </w:t>
      </w:r>
      <w:r w:rsidRPr="00190558">
        <w:rPr>
          <w:rStyle w:val="s2"/>
          <w:rFonts w:ascii="Arial" w:hAnsi="Arial" w:cs="Arial"/>
        </w:rPr>
        <w:t>Cluster Computing</w:t>
      </w:r>
      <w:r w:rsidRPr="00190558">
        <w:rPr>
          <w:rStyle w:val="s1"/>
          <w:rFonts w:ascii="Arial" w:hAnsi="Arial" w:cs="Arial"/>
        </w:rPr>
        <w:t xml:space="preserve">, 27, 8639-8654. </w:t>
      </w:r>
      <w:hyperlink r:id="rId9" w:history="1">
        <w:r w:rsidRPr="00190558">
          <w:rPr>
            <w:rStyle w:val="Hyperlink"/>
            <w:rFonts w:ascii="Arial" w:hAnsi="Arial" w:cs="Arial"/>
          </w:rPr>
          <w:t>https://doi.org/10.1007/s10586-024-04507-2</w:t>
        </w:r>
      </w:hyperlink>
      <w:r w:rsidRPr="00190558">
        <w:rPr>
          <w:rStyle w:val="s1"/>
          <w:rFonts w:ascii="Arial" w:hAnsi="Arial" w:cs="Arial"/>
        </w:rPr>
        <w:t xml:space="preserve"> </w:t>
      </w:r>
    </w:p>
    <w:p w14:paraId="207751B2" w14:textId="77777777" w:rsidR="00053779" w:rsidRPr="00190558" w:rsidRDefault="00053779" w:rsidP="00053779">
      <w:pPr>
        <w:spacing w:line="480" w:lineRule="auto"/>
        <w:ind w:left="720" w:hanging="720"/>
        <w:jc w:val="both"/>
        <w:rPr>
          <w:rFonts w:ascii="Arial" w:hAnsi="Arial" w:cs="Arial"/>
        </w:rPr>
      </w:pPr>
    </w:p>
    <w:p w14:paraId="1C85E75E" w14:textId="77777777" w:rsidR="00053779" w:rsidRPr="004D0B43" w:rsidRDefault="00053779" w:rsidP="00053779">
      <w:pPr>
        <w:spacing w:line="480" w:lineRule="auto"/>
        <w:jc w:val="both"/>
        <w:rPr>
          <w:rFonts w:ascii="Arial" w:hAnsi="Arial" w:cs="Arial"/>
        </w:rPr>
      </w:pPr>
    </w:p>
    <w:p w14:paraId="432DB184" w14:textId="77777777" w:rsidR="00710723" w:rsidRDefault="00710723"/>
    <w:sectPr w:rsidR="007107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87C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151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D77F4C"/>
    <w:multiLevelType w:val="multilevel"/>
    <w:tmpl w:val="A6F463BA"/>
    <w:lvl w:ilvl="0">
      <w:start w:val="1"/>
      <w:numFmt w:val="lowerRoman"/>
      <w:lvlText w:val="%1."/>
      <w:lvlJc w:val="left"/>
      <w:pPr>
        <w:tabs>
          <w:tab w:val="num" w:pos="720"/>
        </w:tabs>
        <w:ind w:left="720" w:hanging="360"/>
      </w:pPr>
      <w:rPr>
        <w:rFonts w:ascii="Arial" w:eastAsiaTheme="minorEastAsia"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5582733">
    <w:abstractNumId w:val="2"/>
  </w:num>
  <w:num w:numId="2" w16cid:durableId="81726541">
    <w:abstractNumId w:val="1"/>
  </w:num>
  <w:num w:numId="3" w16cid:durableId="357852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779"/>
    <w:rsid w:val="00053779"/>
    <w:rsid w:val="00710723"/>
    <w:rsid w:val="009B22CD"/>
    <w:rsid w:val="00E00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7590D"/>
  <w15:chartTrackingRefBased/>
  <w15:docId w15:val="{1DD7DA17-5F4B-4516-8B22-52FAD3F8E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779"/>
    <w:pPr>
      <w:spacing w:after="160"/>
    </w:pPr>
    <w:rPr>
      <w:rFonts w:eastAsiaTheme="minorEastAsia"/>
      <w:lang w:eastAsia="en-GB"/>
    </w:rPr>
  </w:style>
  <w:style w:type="paragraph" w:styleId="Heading1">
    <w:name w:val="heading 1"/>
    <w:basedOn w:val="Normal"/>
    <w:next w:val="Normal"/>
    <w:link w:val="Heading1Char"/>
    <w:uiPriority w:val="9"/>
    <w:qFormat/>
    <w:rsid w:val="000537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7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7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7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7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7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7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7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7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7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7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7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7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7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7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7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7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779"/>
    <w:rPr>
      <w:rFonts w:eastAsiaTheme="majorEastAsia" w:cstheme="majorBidi"/>
      <w:color w:val="272727" w:themeColor="text1" w:themeTint="D8"/>
    </w:rPr>
  </w:style>
  <w:style w:type="paragraph" w:styleId="Title">
    <w:name w:val="Title"/>
    <w:basedOn w:val="Normal"/>
    <w:next w:val="Normal"/>
    <w:link w:val="TitleChar"/>
    <w:uiPriority w:val="10"/>
    <w:qFormat/>
    <w:rsid w:val="000537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7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7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7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779"/>
    <w:pPr>
      <w:spacing w:before="160"/>
      <w:jc w:val="center"/>
    </w:pPr>
    <w:rPr>
      <w:i/>
      <w:iCs/>
      <w:color w:val="404040" w:themeColor="text1" w:themeTint="BF"/>
    </w:rPr>
  </w:style>
  <w:style w:type="character" w:customStyle="1" w:styleId="QuoteChar">
    <w:name w:val="Quote Char"/>
    <w:basedOn w:val="DefaultParagraphFont"/>
    <w:link w:val="Quote"/>
    <w:uiPriority w:val="29"/>
    <w:rsid w:val="00053779"/>
    <w:rPr>
      <w:i/>
      <w:iCs/>
      <w:color w:val="404040" w:themeColor="text1" w:themeTint="BF"/>
    </w:rPr>
  </w:style>
  <w:style w:type="paragraph" w:styleId="ListParagraph">
    <w:name w:val="List Paragraph"/>
    <w:basedOn w:val="Normal"/>
    <w:uiPriority w:val="34"/>
    <w:qFormat/>
    <w:rsid w:val="00053779"/>
    <w:pPr>
      <w:ind w:left="720"/>
      <w:contextualSpacing/>
    </w:pPr>
  </w:style>
  <w:style w:type="character" w:styleId="IntenseEmphasis">
    <w:name w:val="Intense Emphasis"/>
    <w:basedOn w:val="DefaultParagraphFont"/>
    <w:uiPriority w:val="21"/>
    <w:qFormat/>
    <w:rsid w:val="00053779"/>
    <w:rPr>
      <w:i/>
      <w:iCs/>
      <w:color w:val="0F4761" w:themeColor="accent1" w:themeShade="BF"/>
    </w:rPr>
  </w:style>
  <w:style w:type="paragraph" w:styleId="IntenseQuote">
    <w:name w:val="Intense Quote"/>
    <w:basedOn w:val="Normal"/>
    <w:next w:val="Normal"/>
    <w:link w:val="IntenseQuoteChar"/>
    <w:uiPriority w:val="30"/>
    <w:qFormat/>
    <w:rsid w:val="000537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779"/>
    <w:rPr>
      <w:i/>
      <w:iCs/>
      <w:color w:val="0F4761" w:themeColor="accent1" w:themeShade="BF"/>
    </w:rPr>
  </w:style>
  <w:style w:type="character" w:styleId="IntenseReference">
    <w:name w:val="Intense Reference"/>
    <w:basedOn w:val="DefaultParagraphFont"/>
    <w:uiPriority w:val="32"/>
    <w:qFormat/>
    <w:rsid w:val="00053779"/>
    <w:rPr>
      <w:b/>
      <w:bCs/>
      <w:smallCaps/>
      <w:color w:val="0F4761" w:themeColor="accent1" w:themeShade="BF"/>
      <w:spacing w:val="5"/>
    </w:rPr>
  </w:style>
  <w:style w:type="paragraph" w:customStyle="1" w:styleId="p1">
    <w:name w:val="p1"/>
    <w:basedOn w:val="Normal"/>
    <w:rsid w:val="0005377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53779"/>
  </w:style>
  <w:style w:type="character" w:customStyle="1" w:styleId="s2">
    <w:name w:val="s2"/>
    <w:basedOn w:val="DefaultParagraphFont"/>
    <w:rsid w:val="00053779"/>
  </w:style>
  <w:style w:type="character" w:styleId="Hyperlink">
    <w:name w:val="Hyperlink"/>
    <w:basedOn w:val="DefaultParagraphFont"/>
    <w:uiPriority w:val="99"/>
    <w:unhideWhenUsed/>
    <w:rsid w:val="0005377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20/ijca2023922333" TargetMode="External"/><Relationship Id="rId3" Type="http://schemas.openxmlformats.org/officeDocument/2006/relationships/settings" Target="settings.xml"/><Relationship Id="rId7" Type="http://schemas.openxmlformats.org/officeDocument/2006/relationships/hyperlink" Target="https://doi.org/10.1093/jamiaopen/ooy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71/AH23258" TargetMode="External"/><Relationship Id="rId11" Type="http://schemas.openxmlformats.org/officeDocument/2006/relationships/theme" Target="theme/theme1.xml"/><Relationship Id="rId5" Type="http://schemas.openxmlformats.org/officeDocument/2006/relationships/hyperlink" Target="https://doi.org/10.1002/aorn.1322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0586-024-0450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668</Words>
  <Characters>4298</Characters>
  <Application>Microsoft Office Word</Application>
  <DocSecurity>0</DocSecurity>
  <Lines>89</Lines>
  <Paragraphs>45</Paragraphs>
  <ScaleCrop>false</ScaleCrop>
  <Company/>
  <LinksUpToDate>false</LinksUpToDate>
  <CharactersWithSpaces>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Olufemi Idowu Afolabi Odubitan (2321211)</dc:creator>
  <cp:keywords/>
  <dc:description/>
  <cp:lastModifiedBy>Olufemi Idowu Afolabi Odubitan (2321211)</cp:lastModifiedBy>
  <cp:revision>2</cp:revision>
  <dcterms:created xsi:type="dcterms:W3CDTF">2025-10-03T07:01:00Z</dcterms:created>
  <dcterms:modified xsi:type="dcterms:W3CDTF">2025-10-03T07:01:00Z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5581c226-4f1e-4464-b88b-c215ec9a95bb</vt:lpwstr>
  </property>
</Properties>
</file>