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1908049" cy="635661"/>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Assignment coversheet &amp; feedback form</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Tahoma" w:cs="Tahoma" w:hAnsi="Tahoma" w:eastAsia="Tahoma"/>
          <w:b w:val="1"/>
          <w:bCs w:val="1"/>
          <w:i w:val="0"/>
          <w:iCs w:val="0"/>
          <w:caps w:val="0"/>
          <w:smallCaps w:val="0"/>
          <w:strike w:val="0"/>
          <w:dstrike w:val="0"/>
          <w:outline w:val="0"/>
          <w:color w:val="000000"/>
          <w:spacing w:val="0"/>
          <w:kern w:val="0"/>
          <w:position w:val="0"/>
          <w:sz w:val="20"/>
          <w:szCs w:val="20"/>
          <w:u w:val="none" w:color="000000"/>
          <w:vertAlign w:val="baseline"/>
          <w:rtl w:val="0"/>
        </w:rPr>
      </w:pPr>
      <w:r>
        <w:rPr>
          <w:rFonts w:ascii="Tahoma" w:cs="Arial Unicode MS" w:hAnsi="Tahoma" w:eastAsia="Arial Unicode MS"/>
          <w:b w:val="1"/>
          <w:bCs w:val="1"/>
          <w:i w:val="0"/>
          <w:iCs w:val="0"/>
          <w:caps w:val="0"/>
          <w:smallCaps w:val="0"/>
          <w:strike w:val="0"/>
          <w:dstrike w:val="0"/>
          <w:outline w:val="0"/>
          <w:color w:val="000000"/>
          <w:spacing w:val="0"/>
          <w:kern w:val="0"/>
          <w:position w:val="0"/>
          <w:sz w:val="20"/>
          <w:szCs w:val="20"/>
          <w:u w:val="none" w:color="000000"/>
          <w:vertAlign w:val="baseline"/>
          <w:rtl w:val="0"/>
        </w:rPr>
        <w:t>THIS SHEET MUST BE THE FIRST PAGE OF THE ASSIGNMENT YOU ARE SUBMITTING  (DO NOT SEND AS A SEPARATE FILE)</w:t>
      </w:r>
    </w:p>
    <w:tbl>
      <w:tblPr>
        <w:tblW w:w="9637"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210"/>
        <w:gridCol w:w="461"/>
        <w:gridCol w:w="1694"/>
        <w:gridCol w:w="311"/>
        <w:gridCol w:w="1961"/>
      </w:tblGrid>
      <w:tr>
        <w:tblPrEx>
          <w:shd w:val="clear" w:color="auto" w:fill="ced7e7"/>
        </w:tblPrEx>
        <w:trPr>
          <w:trHeight w:val="454"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tc>
      </w:tr>
      <w:tr>
        <w:tblPrEx>
          <w:shd w:val="clear" w:color="auto" w:fill="ced7e7"/>
        </w:tblPrEx>
        <w:trPr>
          <w:trHeight w:val="72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Reece Morris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Student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Email: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1300653@student.uwtsd.ac.uk</w:t>
            </w:r>
          </w:p>
        </w:tc>
      </w:tr>
      <w:tr>
        <w:tblPrEx>
          <w:shd w:val="clear" w:color="auto" w:fill="ced7e7"/>
        </w:tblPrEx>
        <w:trPr>
          <w:trHeight w:val="1443" w:hRule="atLeast"/>
        </w:trPr>
        <w:tc>
          <w:tcPr>
            <w:tcW w:type="dxa" w:w="5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HPTR7002</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Self and Suffering: Ascetic Life in Christian History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c>
          <w:tcPr>
            <w:tcW w:type="dxa" w:w="24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ID number:</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1300653</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No</w:t>
            </w:r>
          </w:p>
        </w:tc>
      </w:tr>
      <w:tr>
        <w:tblPrEx>
          <w:shd w:val="clear" w:color="auto" w:fill="ced7e7"/>
        </w:tblPrEx>
        <w:trPr>
          <w:trHeight w:val="979"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5,000 word essay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24/05/2018</w:t>
            </w:r>
          </w:p>
        </w:tc>
      </w:tr>
      <w:tr>
        <w:tblPrEx>
          <w:shd w:val="clear" w:color="auto" w:fill="ced7e7"/>
        </w:tblPrEx>
        <w:trPr>
          <w:trHeight w:val="818"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This assignment is for the       1</w:t>
            </w:r>
            <w:r>
              <w:rPr>
                <w:rFonts w:ascii="Arial" w:hAnsi="Arial"/>
                <w:u w:color="000000"/>
                <w:vertAlign w:val="superscript"/>
                <w:rtl w:val="0"/>
                <w:lang w:val="en-US"/>
              </w:rPr>
              <w:t xml:space="preserve">st </w:t>
            </w:r>
            <w:r>
              <w:rPr>
                <w:rFonts w:ascii="Arial" w:hAnsi="Arial"/>
                <w:u w:color="000000"/>
                <w:rtl w:val="0"/>
                <w:lang w:val="en-US"/>
              </w:rPr>
              <w:t xml:space="preserve">    2</w:t>
            </w:r>
            <w:r>
              <w:rPr>
                <w:rFonts w:ascii="Arial" w:hAnsi="Arial"/>
                <w:u w:color="000000"/>
                <w:vertAlign w:val="superscript"/>
                <w:rtl w:val="0"/>
                <w:lang w:val="en-US"/>
              </w:rPr>
              <w:t>nd</w:t>
            </w:r>
            <w:r>
              <w:rPr>
                <w:rFonts w:ascii="Arial" w:hAnsi="Arial"/>
                <w:u w:color="000000"/>
                <w:rtl w:val="0"/>
                <w:lang w:val="en-US"/>
              </w:rPr>
              <w:t xml:space="preserve">       3</w:t>
            </w:r>
            <w:r>
              <w:rPr>
                <w:rFonts w:ascii="Arial" w:hAnsi="Arial"/>
                <w:u w:color="000000"/>
                <w:vertAlign w:val="superscript"/>
                <w:rtl w:val="0"/>
                <w:lang w:val="en-US"/>
              </w:rPr>
              <w:t>rd</w:t>
            </w:r>
            <w:r>
              <w:rPr>
                <w:rFonts w:ascii="Arial" w:hAnsi="Arial"/>
                <w:u w:color="000000"/>
                <w:rtl w:val="0"/>
                <w:lang w:val="en-US"/>
              </w:rPr>
              <w:t xml:space="preserve">        4</w:t>
            </w:r>
            <w:r>
              <w:rPr>
                <w:rFonts w:ascii="Arial" w:hAnsi="Arial"/>
                <w:u w:color="000000"/>
                <w:vertAlign w:val="superscript"/>
                <w:rtl w:val="0"/>
                <w:lang w:val="en-US"/>
              </w:rPr>
              <w:t>th</w:t>
            </w:r>
            <w:r>
              <w:rPr>
                <w:rFonts w:ascii="Arial" w:hAnsi="Arial"/>
                <w:u w:color="000000"/>
                <w:rtl w:val="0"/>
                <w:lang w:val="en-US"/>
              </w:rPr>
              <w:t xml:space="preserve">       5</w:t>
            </w:r>
            <w:r>
              <w:rPr>
                <w:rFonts w:ascii="Arial" w:hAnsi="Arial"/>
                <w:u w:color="000000"/>
                <w:vertAlign w:val="superscript"/>
                <w:rtl w:val="0"/>
                <w:lang w:val="en-US"/>
              </w:rPr>
              <w:t>th</w:t>
            </w:r>
            <w:r>
              <w:rPr>
                <w:rFonts w:ascii="Arial" w:hAnsi="Arial"/>
                <w:u w:color="000000"/>
                <w:rtl w:val="0"/>
                <w:lang w:val="en-US"/>
              </w:rPr>
              <w:t xml:space="preserve">       6</w:t>
            </w:r>
            <w:r>
              <w:rPr>
                <w:rFonts w:ascii="Arial" w:hAnsi="Arial"/>
                <w:u w:color="000000"/>
                <w:vertAlign w:val="superscript"/>
                <w:rtl w:val="0"/>
                <w:lang w:val="en-US"/>
              </w:rPr>
              <w:t>th</w:t>
            </w:r>
            <w:r>
              <w:rPr>
                <w:rFonts w:ascii="Arial" w:hAnsi="Arial"/>
                <w:u w:color="000000"/>
                <w:rtl w:val="0"/>
                <w:lang w:val="en-US"/>
              </w:rPr>
              <w:t xml:space="preserve"> </w:t>
            </w:r>
            <w:r>
              <w:rPr>
                <w:rFonts w:ascii="Arial" w:hAnsi="Arial"/>
                <w:b w:val="1"/>
                <w:bCs w:val="1"/>
                <w:u w:color="000000"/>
                <w:rtl w:val="0"/>
                <w:lang w:val="en-US"/>
              </w:rPr>
              <w:t xml:space="preserve">   </w:t>
            </w:r>
            <w:r>
              <w:rPr>
                <w:rFonts w:ascii="Arial" w:hAnsi="Arial"/>
                <w:u w:color="000000"/>
                <w:rtl w:val="0"/>
                <w:lang w:val="en-US"/>
              </w:rPr>
              <w:t>module of the degree</w:t>
            </w:r>
          </w:p>
        </w:tc>
      </w:tr>
      <w:tr>
        <w:tblPrEx>
          <w:shd w:val="clear" w:color="auto" w:fill="ced7e7"/>
        </w:tblPrEx>
        <w:trPr>
          <w:trHeight w:val="2090"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Signed</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 xml:space="preserve"> Reece Morris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vertAlign w:val="baseline"/>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 xml:space="preserve">Email submission:if you are submitting this form via email, please tick this box </w:t>
            </w:r>
            <w:r>
              <w:rPr>
                <w:rFonts w:ascii="Calibri" w:cs="Calibri" w:hAnsi="Calibri" w:eastAsia="Calibri" w:hint="default"/>
                <w:b w:val="1"/>
                <w:bCs w:val="1"/>
                <w:i w:val="0"/>
                <w:iCs w:val="0"/>
                <w:caps w:val="0"/>
                <w:smallCaps w:val="0"/>
                <w:strike w:val="0"/>
                <w:dstrike w:val="0"/>
                <w:outline w:val="0"/>
                <w:color w:val="000000"/>
                <w:spacing w:val="0"/>
                <w:kern w:val="0"/>
                <w:position w:val="0"/>
                <w:sz w:val="44"/>
                <w:szCs w:val="44"/>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(as a substitute for your signature) to confirm that you agree to the above declaration.</w:t>
            </w:r>
          </w:p>
        </w:tc>
      </w:tr>
      <w:tr>
        <w:tblPrEx>
          <w:shd w:val="clear" w:color="auto" w:fill="ced7e7"/>
        </w:tblPrEx>
        <w:trPr>
          <w:trHeight w:val="544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24"/>
                <w:szCs w:val="24"/>
                <w:u w:color="000000"/>
                <w:rtl w:val="0"/>
                <w:lang w:val="en-US"/>
              </w:rPr>
            </w:pPr>
          </w:p>
          <w:p>
            <w:pPr>
              <w:pStyle w:val="Body"/>
              <w:jc w:val="left"/>
              <w:rPr>
                <w:rFonts w:ascii="Arial" w:cs="Arial" w:hAnsi="Arial" w:eastAsia="Arial"/>
                <w:sz w:val="24"/>
                <w:szCs w:val="24"/>
                <w:u w:color="000000"/>
              </w:rPr>
            </w:pPr>
            <w:r>
              <w:rPr>
                <w:rFonts w:ascii="Arial" w:hAnsi="Arial"/>
                <w:b w:val="1"/>
                <w:bCs w:val="1"/>
                <w:sz w:val="24"/>
                <w:szCs w:val="24"/>
                <w:u w:color="000000"/>
                <w:rtl w:val="0"/>
                <w:lang w:val="en-US"/>
              </w:rPr>
              <w:t>Assignment Mark</w:t>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1</w:t>
            </w:r>
            <w:r>
              <w:rPr>
                <w:rFonts w:ascii="Arial" w:hAnsi="Arial"/>
                <w:sz w:val="20"/>
                <w:szCs w:val="20"/>
                <w:u w:color="000000"/>
                <w:vertAlign w:val="superscript"/>
                <w:rtl w:val="0"/>
                <w:lang w:val="en-US"/>
              </w:rPr>
              <w:t>st</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2</w:t>
            </w:r>
            <w:r>
              <w:rPr>
                <w:rFonts w:ascii="Arial" w:hAnsi="Arial"/>
                <w:sz w:val="20"/>
                <w:szCs w:val="20"/>
                <w:u w:color="000000"/>
                <w:vertAlign w:val="superscript"/>
                <w:rtl w:val="0"/>
                <w:lang w:val="en-US"/>
              </w:rPr>
              <w:t>nd</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s/Moderator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External Examiner</w:t>
            </w:r>
            <w:r>
              <w:rPr>
                <w:rFonts w:ascii="Arial" w:hAnsi="Arial" w:hint="default"/>
                <w:sz w:val="20"/>
                <w:szCs w:val="20"/>
                <w:u w:color="000000"/>
                <w:rtl w:val="0"/>
                <w:lang w:val="en-US"/>
              </w:rPr>
              <w:t>’</w:t>
            </w:r>
            <w:r>
              <w:rPr>
                <w:rFonts w:ascii="Arial" w:hAnsi="Arial"/>
                <w:sz w:val="20"/>
                <w:szCs w:val="20"/>
                <w:u w:color="000000"/>
                <w:rtl w:val="0"/>
                <w:lang w:val="en-US"/>
              </w:rPr>
              <w:t>s mark (if relevant)</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b w:val="1"/>
                <w:bCs w:val="1"/>
                <w:sz w:val="20"/>
                <w:szCs w:val="20"/>
                <w:u w:color="000000"/>
                <w:rtl w:val="0"/>
              </w:rPr>
            </w:pPr>
            <w:r>
              <w:rPr>
                <w:rFonts w:ascii="Arial" w:hAnsi="Arial"/>
                <w:b w:val="1"/>
                <w:bCs w:val="1"/>
                <w:sz w:val="20"/>
                <w:szCs w:val="20"/>
                <w:u w:color="000000"/>
                <w:rtl w:val="0"/>
                <w:lang w:val="en-US"/>
              </w:rPr>
              <w:t>Final Mark</w:t>
            </w:r>
          </w:p>
          <w:p>
            <w:pPr>
              <w:pStyle w:val="Body"/>
              <w:bidi w:val="0"/>
              <w:ind w:left="0" w:right="0" w:firstLine="0"/>
              <w:jc w:val="left"/>
              <w:rPr>
                <w:rFonts w:ascii="Arial" w:cs="Arial" w:hAnsi="Arial" w:eastAsia="Arial"/>
                <w:b w:val="1"/>
                <w:bCs w:val="1"/>
                <w:sz w:val="20"/>
                <w:szCs w:val="20"/>
                <w:u w:color="000000"/>
                <w:rtl w:val="0"/>
              </w:rPr>
            </w:pPr>
            <w:r>
              <w:rPr>
                <w:rFonts w:ascii="Arial" w:cs="Arial" w:hAnsi="Arial" w:eastAsia="Arial"/>
                <w:b w:val="1"/>
                <w:bCs w:val="1"/>
                <w:sz w:val="20"/>
                <w:szCs w:val="20"/>
                <w:u w:color="000000"/>
                <w:rtl w:val="0"/>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r>
          </w:p>
        </w:tc>
      </w:tr>
      <w:tr>
        <w:tblPrEx>
          <w:shd w:val="clear" w:color="auto" w:fill="ced7e7"/>
        </w:tblPrEx>
        <w:trPr>
          <w:trHeight w:val="332" w:hRule="atLeast"/>
        </w:trPr>
        <w:tc>
          <w:tcPr>
            <w:tcW w:type="dxa" w:w="73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227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192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39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288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rtl w:val="0"/>
              </w:rPr>
            </w:pPr>
            <w:r>
              <w:rPr>
                <w:rFonts w:ascii="Arial" w:hAnsi="Arial"/>
                <w:b w:val="1"/>
                <w:bCs w:val="1"/>
                <w:u w:color="000000"/>
                <w:rtl w:val="0"/>
                <w:lang w:val="en-US"/>
              </w:rPr>
              <w:t>External Examiner</w:t>
            </w:r>
            <w:r>
              <w:rPr>
                <w:rFonts w:ascii="Arial" w:hAnsi="Arial" w:hint="default"/>
                <w:b w:val="1"/>
                <w:bCs w:val="1"/>
                <w:u w:color="000000"/>
                <w:rtl w:val="0"/>
                <w:lang w:val="en-US"/>
              </w:rPr>
              <w:t>’</w:t>
            </w:r>
            <w:r>
              <w:rPr>
                <w:rFonts w:ascii="Arial" w:hAnsi="Arial"/>
                <w:b w:val="1"/>
                <w:bCs w:val="1"/>
                <w:u w:color="000000"/>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External Examiner</w:t>
            </w:r>
            <w:r>
              <w:rPr>
                <w:rFonts w:ascii="Arial" w:hAnsi="Arial" w:hint="default"/>
                <w:u w:color="000000"/>
                <w:rtl w:val="0"/>
                <w:lang w:val="en-US"/>
              </w:rPr>
              <w:t>’</w:t>
            </w:r>
            <w:r>
              <w:rPr>
                <w:rFonts w:ascii="Arial" w:hAnsi="Arial"/>
                <w:u w:color="000000"/>
                <w:rtl w:val="0"/>
                <w:lang w:val="en-US"/>
              </w:rPr>
              <w:t>s Signature:</w:t>
            </w:r>
          </w:p>
        </w:tc>
        <w:tc>
          <w:tcPr>
            <w:tcW w:type="dxa" w:w="39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Date:</w:t>
            </w:r>
          </w:p>
        </w:tc>
      </w:tr>
    </w:tbl>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Tahoma" w:cs="Tahoma" w:hAnsi="Tahoma" w:eastAsia="Tahoma"/>
          <w:b w:val="1"/>
          <w:bCs w:val="1"/>
          <w:i w:val="0"/>
          <w:iCs w:val="0"/>
          <w:caps w:val="0"/>
          <w:smallCaps w:val="0"/>
          <w:strike w:val="0"/>
          <w:dstrike w:val="0"/>
          <w:outline w:val="0"/>
          <w:color w:val="000000"/>
          <w:spacing w:val="0"/>
          <w:kern w:val="0"/>
          <w:position w:val="0"/>
          <w:sz w:val="20"/>
          <w:szCs w:val="20"/>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Trebuchet MS" w:cs="Trebuchet MS" w:hAnsi="Trebuchet MS" w:eastAsia="Trebuchet MS"/>
          <w:b w:val="1"/>
          <w:bCs w:val="1"/>
          <w:i w:val="0"/>
          <w:iCs w:val="0"/>
          <w:caps w:val="0"/>
          <w:smallCaps w:val="0"/>
          <w:strike w:val="0"/>
          <w:dstrike w:val="0"/>
          <w:outline w:val="0"/>
          <w:color w:val="000000"/>
          <w:spacing w:val="0"/>
          <w:kern w:val="0"/>
          <w:position w:val="0"/>
          <w:sz w:val="20"/>
          <w:szCs w:val="20"/>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sectPr>
          <w:headerReference w:type="default" r:id="rId5"/>
          <w:footerReference w:type="default" r:id="rId6"/>
          <w:pgSz w:w="11906" w:h="16838" w:orient="portrait"/>
          <w:pgMar w:top="1417" w:right="1134" w:bottom="1417" w:left="1134" w:header="709" w:footer="850"/>
          <w:bidi w:val="0"/>
        </w:sectPr>
      </w:pPr>
    </w:p>
    <w:p>
      <w:pPr>
        <w:pStyle w:val="Body"/>
        <w:spacing w:line="360" w:lineRule="auto"/>
        <w:ind w:left="283" w:right="284" w:firstLine="0"/>
        <w:jc w:val="center"/>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Asceticism and antinatalism</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center"/>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Introduction</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following essay I shall focus upon two primary sources, which I will compare and contrast with one another. These are </w:t>
      </w:r>
      <w:r>
        <w:rPr>
          <w:rFonts w:ascii="Times New Roman" w:hAnsi="Times New Roman"/>
          <w:i w:val="1"/>
          <w:iCs w:val="1"/>
          <w:sz w:val="24"/>
          <w:szCs w:val="24"/>
          <w:rtl w:val="0"/>
          <w:lang w:val="en-US"/>
        </w:rPr>
        <w:t>On Virginity</w:t>
      </w:r>
      <w:r>
        <w:rPr>
          <w:rFonts w:ascii="Times New Roman" w:hAnsi="Times New Roman"/>
          <w:sz w:val="24"/>
          <w:szCs w:val="24"/>
          <w:rtl w:val="0"/>
          <w:lang w:val="en-US"/>
        </w:rPr>
        <w:t xml:space="preserve"> by Gregory of Nyssa and </w:t>
      </w:r>
      <w:r>
        <w:rPr>
          <w:rFonts w:ascii="Times New Roman" w:hAnsi="Times New Roman"/>
          <w:i w:val="1"/>
          <w:iCs w:val="1"/>
          <w:sz w:val="24"/>
          <w:szCs w:val="24"/>
          <w:rtl w:val="0"/>
        </w:rPr>
        <w:t>Libellus de virginitate servanda</w:t>
      </w:r>
      <w:r>
        <w:rPr>
          <w:rFonts w:ascii="Times New Roman" w:hAnsi="Times New Roman"/>
          <w:sz w:val="24"/>
          <w:szCs w:val="24"/>
          <w:rtl w:val="0"/>
          <w:lang w:val="en-US"/>
        </w:rPr>
        <w:t xml:space="preserve">, more commonly known as Letter 22 to </w:t>
      </w:r>
      <w:r>
        <w:rPr>
          <w:rFonts w:ascii="Times New Roman" w:hAnsi="Times New Roman"/>
          <w:sz w:val="24"/>
          <w:szCs w:val="24"/>
          <w:rtl w:val="0"/>
          <w:lang w:val="it-IT"/>
        </w:rPr>
        <w:t>Eustochium</w:t>
      </w:r>
      <w:r>
        <w:rPr>
          <w:rFonts w:ascii="Times New Roman" w:hAnsi="Times New Roman"/>
          <w:sz w:val="24"/>
          <w:szCs w:val="24"/>
          <w:rtl w:val="0"/>
          <w:lang w:val="en-US"/>
        </w:rPr>
        <w:t>. Though these two authors differed in several respects, they shared a common end goal: the end of procreation. This shared conclusion raises an interesting question: is the same true of other ascetic writers? To that end</w:t>
      </w:r>
      <w:r>
        <w:rPr>
          <w:rFonts w:ascii="Times New Roman" w:hAnsi="Times New Roman"/>
          <w:sz w:val="24"/>
          <w:szCs w:val="24"/>
          <w:rtl w:val="0"/>
          <w:lang w:val="en-US"/>
        </w:rPr>
        <w:t xml:space="preserve">, I shall </w:t>
      </w:r>
      <w:r>
        <w:rPr>
          <w:rFonts w:ascii="Times New Roman" w:hAnsi="Times New Roman"/>
          <w:sz w:val="24"/>
          <w:szCs w:val="24"/>
          <w:rtl w:val="0"/>
          <w:lang w:val="en-US"/>
        </w:rPr>
        <w:t>examine the notion</w:t>
      </w:r>
      <w:r>
        <w:rPr>
          <w:rFonts w:ascii="Times New Roman" w:hAnsi="Times New Roman"/>
          <w:sz w:val="24"/>
          <w:szCs w:val="24"/>
          <w:rtl w:val="0"/>
          <w:lang w:val="en-US"/>
        </w:rPr>
        <w:t xml:space="preserve"> that not having children was the </w:t>
      </w:r>
      <w:r>
        <w:rPr>
          <w:rFonts w:ascii="Times New Roman" w:hAnsi="Times New Roman"/>
          <w:sz w:val="24"/>
          <w:szCs w:val="24"/>
          <w:rtl w:val="0"/>
          <w:lang w:val="en-US"/>
        </w:rPr>
        <w:t>main</w:t>
      </w:r>
      <w:r>
        <w:rPr>
          <w:rFonts w:ascii="Times New Roman" w:hAnsi="Times New Roman"/>
          <w:sz w:val="24"/>
          <w:szCs w:val="24"/>
          <w:rtl w:val="0"/>
        </w:rPr>
        <w:t xml:space="preserve"> ascetic practice</w:t>
      </w:r>
      <w:r>
        <w:rPr>
          <w:rFonts w:ascii="Times New Roman" w:hAnsi="Times New Roman"/>
          <w:sz w:val="24"/>
          <w:szCs w:val="24"/>
          <w:rtl w:val="0"/>
          <w:lang w:val="en-US"/>
        </w:rPr>
        <w:t xml:space="preserve"> for Christians during the first few centuries of its existence. The structure of this essay is as follows: I shall examine the texts of both authors in turn (though this examination must, by virtue of the limitations of the essay, be selective), before placing them within the context Christian asceticism as whole, as well as addressing the aforementioned question.</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historical context of the two authors and their writings is as follows. Gregory of Nyssa </w:t>
      </w:r>
      <w:r>
        <w:rPr>
          <w:rFonts w:ascii="Times New Roman" w:hAnsi="Times New Roman"/>
          <w:sz w:val="24"/>
          <w:szCs w:val="24"/>
          <w:rtl w:val="0"/>
        </w:rPr>
        <w:t>(</w:t>
      </w:r>
      <w:r>
        <w:rPr>
          <w:rFonts w:ascii="Times New Roman" w:hAnsi="Times New Roman"/>
          <w:sz w:val="24"/>
          <w:szCs w:val="24"/>
          <w:rtl w:val="0"/>
          <w:lang w:val="en-US"/>
        </w:rPr>
        <w:t>c.</w:t>
      </w:r>
      <w:r>
        <w:rPr>
          <w:rFonts w:ascii="Times New Roman" w:hAnsi="Times New Roman"/>
          <w:sz w:val="24"/>
          <w:szCs w:val="24"/>
          <w:rtl w:val="0"/>
        </w:rPr>
        <w:t>33</w:t>
      </w:r>
      <w:r>
        <w:rPr>
          <w:rFonts w:ascii="Times New Roman" w:hAnsi="Times New Roman"/>
          <w:sz w:val="24"/>
          <w:szCs w:val="24"/>
          <w:rtl w:val="0"/>
          <w:lang w:val="en-US"/>
        </w:rPr>
        <w:t>0</w:t>
      </w:r>
      <w:r>
        <w:rPr>
          <w:rFonts w:ascii="Times New Roman" w:hAnsi="Times New Roman" w:hint="default"/>
          <w:sz w:val="24"/>
          <w:szCs w:val="24"/>
          <w:rtl w:val="0"/>
        </w:rPr>
        <w:t>–</w:t>
      </w:r>
      <w:r>
        <w:rPr>
          <w:rFonts w:ascii="Times New Roman" w:hAnsi="Times New Roman"/>
          <w:sz w:val="24"/>
          <w:szCs w:val="24"/>
          <w:rtl w:val="0"/>
          <w:lang w:val="en-US"/>
        </w:rPr>
        <w:t>c.</w:t>
      </w:r>
      <w:r>
        <w:rPr>
          <w:rFonts w:ascii="Times New Roman" w:hAnsi="Times New Roman"/>
          <w:sz w:val="24"/>
          <w:szCs w:val="24"/>
          <w:rtl w:val="0"/>
        </w:rPr>
        <w:t>39</w:t>
      </w:r>
      <w:r>
        <w:rPr>
          <w:rFonts w:ascii="Times New Roman" w:hAnsi="Times New Roman"/>
          <w:sz w:val="24"/>
          <w:szCs w:val="24"/>
          <w:rtl w:val="0"/>
          <w:lang w:val="en-US"/>
        </w:rPr>
        <w:t>5</w:t>
      </w:r>
      <w:r>
        <w:rPr>
          <w:rFonts w:ascii="Times New Roman" w:hAnsi="Times New Roman"/>
          <w:sz w:val="24"/>
          <w:szCs w:val="24"/>
          <w:rtl w:val="0"/>
        </w:rPr>
        <w:t xml:space="preserve"> AD)</w:t>
      </w:r>
      <w:r>
        <w:rPr>
          <w:rFonts w:ascii="Times New Roman" w:hAnsi="Times New Roman"/>
          <w:sz w:val="24"/>
          <w:szCs w:val="24"/>
          <w:rtl w:val="0"/>
          <w:lang w:val="en-US"/>
        </w:rPr>
        <w:t xml:space="preserve"> was the youngest of the so-called Cappadocian Fathers (Coakley 2003: 1), alongside his older brother Basil of Caesarea and friend Gregory of Nazianzus (Roth 1993: 8). He was instated as a bishop, and provided theoretical support to the monastic community that Basil had founded, with the treatise </w:t>
      </w:r>
      <w:r>
        <w:rPr>
          <w:rFonts w:ascii="Times New Roman" w:hAnsi="Times New Roman"/>
          <w:i w:val="1"/>
          <w:iCs w:val="1"/>
          <w:sz w:val="24"/>
          <w:szCs w:val="24"/>
          <w:rtl w:val="0"/>
          <w:lang w:val="en-US"/>
        </w:rPr>
        <w:t>De virginitate</w:t>
      </w:r>
      <w:r>
        <w:rPr>
          <w:rFonts w:ascii="Times New Roman" w:hAnsi="Times New Roman"/>
          <w:sz w:val="24"/>
          <w:szCs w:val="24"/>
          <w:rtl w:val="0"/>
          <w:lang w:val="en-US"/>
        </w:rPr>
        <w:t xml:space="preserve"> (On Virginity) being one of his earliest works (Roth 1993: 9). Jerome </w:t>
      </w:r>
      <w:r>
        <w:rPr>
          <w:rFonts w:ascii="Times New Roman" w:hAnsi="Times New Roman"/>
          <w:sz w:val="24"/>
          <w:szCs w:val="24"/>
          <w:rtl w:val="0"/>
        </w:rPr>
        <w:t>(c.347</w:t>
      </w:r>
      <w:r>
        <w:rPr>
          <w:rFonts w:ascii="Times New Roman" w:hAnsi="Times New Roman" w:hint="default"/>
          <w:sz w:val="24"/>
          <w:szCs w:val="24"/>
          <w:rtl w:val="0"/>
          <w:lang w:val="en-US"/>
        </w:rPr>
        <w:t>–</w:t>
      </w:r>
      <w:r>
        <w:rPr>
          <w:rFonts w:ascii="Times New Roman" w:hAnsi="Times New Roman"/>
          <w:sz w:val="24"/>
          <w:szCs w:val="24"/>
          <w:rtl w:val="0"/>
        </w:rPr>
        <w:t>420 AD)</w:t>
      </w:r>
      <w:r>
        <w:rPr>
          <w:rFonts w:ascii="Times New Roman" w:hAnsi="Times New Roman"/>
          <w:sz w:val="24"/>
          <w:szCs w:val="24"/>
          <w:rtl w:val="0"/>
          <w:lang w:val="en-US"/>
        </w:rPr>
        <w:t xml:space="preserve"> was a theologian and author who was active predominantly in Rome. </w:t>
      </w:r>
      <w:r>
        <w:rPr>
          <w:rFonts w:ascii="Times New Roman" w:hAnsi="Times New Roman"/>
          <w:i w:val="1"/>
          <w:iCs w:val="1"/>
          <w:sz w:val="24"/>
          <w:szCs w:val="24"/>
          <w:rtl w:val="0"/>
        </w:rPr>
        <w:t>Libellus de virginitate servanda</w:t>
      </w:r>
      <w:r>
        <w:rPr>
          <w:rFonts w:ascii="Times New Roman" w:hAnsi="Times New Roman"/>
          <w:sz w:val="24"/>
          <w:szCs w:val="24"/>
          <w:rtl w:val="0"/>
          <w:lang w:val="en-US"/>
        </w:rPr>
        <w:t xml:space="preserve"> (or Letter 22 to Eustochium) was written in 384 AD</w:t>
      </w:r>
      <w:r>
        <w:rPr>
          <w:rFonts w:ascii="Times New Roman" w:hAnsi="Times New Roman"/>
          <w:sz w:val="24"/>
          <w:szCs w:val="24"/>
          <w:rtl w:val="0"/>
          <w:lang w:val="en-US"/>
        </w:rPr>
        <w:t xml:space="preserve"> to the titular recipient, a Roman woman</w:t>
      </w:r>
      <w:r>
        <w:rPr>
          <w:rFonts w:ascii="Times New Roman" w:hAnsi="Times New Roman"/>
          <w:sz w:val="24"/>
          <w:szCs w:val="24"/>
          <w:rtl w:val="0"/>
          <w:lang w:val="en-US"/>
        </w:rPr>
        <w:t>, on the subject of virginity, and may also serve the ulterior purpose of being targeted towards Ambrose, bishop of Milan, a rival whom Jerome considered just a mere compiler of ascetic wisdom (Shuve 2016: 184). Eustochium had already chosen to live a life of asceticism, thus the purpose of Jerome</w:t>
      </w:r>
      <w:r>
        <w:rPr>
          <w:rFonts w:ascii="Times New Roman" w:hAnsi="Times New Roman" w:hint="default"/>
          <w:sz w:val="24"/>
          <w:szCs w:val="24"/>
          <w:rtl w:val="0"/>
          <w:lang w:val="en-US"/>
        </w:rPr>
        <w:t>’</w:t>
      </w:r>
      <w:r>
        <w:rPr>
          <w:rFonts w:ascii="Times New Roman" w:hAnsi="Times New Roman"/>
          <w:sz w:val="24"/>
          <w:szCs w:val="24"/>
          <w:rtl w:val="0"/>
          <w:lang w:val="en-US"/>
        </w:rPr>
        <w:t xml:space="preserve">s treatise is to encourage her perseverance in these ways (Adkin 2003: 9).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Before beginning the examination of the two works, I shall first define asceticism. Whilst there are a number of varying definitions, for the purposes of this essay I shall use the one outlined by Richard Valantasis: asceticism comprises of </w:t>
      </w:r>
      <w:r>
        <w:rPr>
          <w:rFonts w:ascii="Times New Roman" w:hAnsi="Times New Roman" w:hint="default"/>
          <w:sz w:val="24"/>
          <w:szCs w:val="24"/>
          <w:rtl w:val="0"/>
          <w:lang w:val="en-US"/>
        </w:rPr>
        <w:t>“</w:t>
      </w:r>
      <w:r>
        <w:rPr>
          <w:rFonts w:ascii="Times New Roman" w:hAnsi="Times New Roman"/>
          <w:sz w:val="24"/>
          <w:szCs w:val="24"/>
          <w:rtl w:val="0"/>
          <w:lang w:val="en-US"/>
        </w:rPr>
        <w:t>performances within a dominant social environment intended to inaugurate a new subjectivity, different social relations, and an alternative symbolic universe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(Valantasis in Finn 2009: 4). </w:t>
      </w:r>
      <w:r>
        <w:rPr>
          <w:rFonts w:ascii="Times New Roman" w:hAnsi="Times New Roman"/>
          <w:sz w:val="24"/>
          <w:szCs w:val="24"/>
          <w:rtl w:val="0"/>
          <w:lang w:val="en-US"/>
        </w:rPr>
        <w:t>Christian asceticism in the Graeco-Roman encompassed a wide variety of practices. These included the renunciation of material possessions and wealth; the withdrawal from society to a place of isolation; fasting; illness; and, in varying degrees and ways, sexual restraint</w:t>
      </w:r>
      <w:r>
        <w:rPr>
          <w:rFonts w:ascii="Times New Roman" w:hAnsi="Times New Roman"/>
          <w:sz w:val="24"/>
          <w:szCs w:val="24"/>
          <w:rtl w:val="0"/>
          <w:lang w:val="en-US"/>
        </w:rPr>
        <w:t xml:space="preserve">. In addition, I shall use the term </w:t>
      </w:r>
      <w:r>
        <w:rPr>
          <w:rFonts w:ascii="Times New Roman" w:hAnsi="Times New Roman" w:hint="default"/>
          <w:sz w:val="24"/>
          <w:szCs w:val="24"/>
          <w:rtl w:val="0"/>
          <w:lang w:val="en-US"/>
        </w:rPr>
        <w:t>‘</w:t>
      </w:r>
      <w:r>
        <w:rPr>
          <w:rFonts w:ascii="Times New Roman" w:hAnsi="Times New Roman"/>
          <w:sz w:val="24"/>
          <w:szCs w:val="24"/>
          <w:rtl w:val="0"/>
          <w:lang w:val="en-US"/>
        </w:rPr>
        <w:t>antinatalism</w:t>
      </w:r>
      <w:r>
        <w:rPr>
          <w:rFonts w:ascii="Times New Roman" w:hAnsi="Times New Roman" w:hint="default"/>
          <w:sz w:val="24"/>
          <w:szCs w:val="24"/>
          <w:rtl w:val="0"/>
          <w:lang w:val="en-US"/>
        </w:rPr>
        <w:t xml:space="preserve">’ </w:t>
      </w:r>
      <w:r>
        <w:rPr>
          <w:rFonts w:ascii="Times New Roman" w:hAnsi="Times New Roman"/>
          <w:sz w:val="24"/>
          <w:szCs w:val="24"/>
          <w:rtl w:val="0"/>
          <w:lang w:val="en-US"/>
        </w:rPr>
        <w:t>as a shorthand for the ending of procreation, and although it may not perhaps be the most appropriate term to use, it is more expedient.</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center"/>
        <w:rPr>
          <w:rFonts w:ascii="Times New Roman" w:cs="Times New Roman" w:hAnsi="Times New Roman" w:eastAsia="Times New Roman"/>
          <w:sz w:val="24"/>
          <w:szCs w:val="24"/>
          <w:u w:val="single"/>
        </w:rPr>
      </w:pPr>
      <w:r>
        <w:rPr>
          <w:rFonts w:ascii="Times New Roman" w:hAnsi="Times New Roman"/>
          <w:i w:val="1"/>
          <w:iCs w:val="1"/>
          <w:sz w:val="24"/>
          <w:szCs w:val="24"/>
          <w:u w:val="single"/>
          <w:rtl w:val="0"/>
          <w:lang w:val="en-US"/>
        </w:rPr>
        <w:t>De virginitate</w:t>
      </w:r>
      <w:r>
        <w:rPr>
          <w:rFonts w:ascii="Times New Roman" w:hAnsi="Times New Roman"/>
          <w:sz w:val="24"/>
          <w:szCs w:val="24"/>
          <w:u w:val="single"/>
          <w:rtl w:val="0"/>
          <w:lang w:val="en-US"/>
        </w:rPr>
        <w:t xml:space="preserve"> (On Virginity) by Gregory of Nyssa</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We begin with Gregory of Nyssa</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i w:val="1"/>
          <w:iCs w:val="1"/>
          <w:sz w:val="24"/>
          <w:szCs w:val="24"/>
          <w:rtl w:val="0"/>
          <w:lang w:val="en-US"/>
        </w:rPr>
        <w:t>De virginitate</w:t>
      </w:r>
      <w:r>
        <w:rPr>
          <w:rFonts w:ascii="Times New Roman" w:hAnsi="Times New Roman"/>
          <w:sz w:val="24"/>
          <w:szCs w:val="24"/>
          <w:rtl w:val="0"/>
          <w:lang w:val="en-US"/>
        </w:rPr>
        <w:t xml:space="preserve">. Though the text is one that is appears contradictory at times, with pointed criticism of the virginal life (at least in one form) and the motivation for engaging in such a lifestyle, a running theme of the treatise can nevertheless be drawn out: that marriage and procreation are not ideal for humanity. </w:t>
      </w:r>
      <w:r>
        <w:rPr>
          <w:rFonts w:ascii="Times New Roman" w:hAnsi="Times New Roman"/>
          <w:sz w:val="24"/>
          <w:szCs w:val="24"/>
          <w:rtl w:val="0"/>
          <w:lang w:val="en-US"/>
        </w:rPr>
        <w:t>Mark D. Hart has proposed that Gregory</w:t>
      </w:r>
      <w:r>
        <w:rPr>
          <w:rFonts w:ascii="Times New Roman" w:hAnsi="Times New Roman" w:hint="default"/>
          <w:sz w:val="24"/>
          <w:szCs w:val="24"/>
          <w:rtl w:val="0"/>
        </w:rPr>
        <w:t>’</w:t>
      </w:r>
      <w:r>
        <w:rPr>
          <w:rFonts w:ascii="Times New Roman" w:hAnsi="Times New Roman"/>
          <w:sz w:val="24"/>
          <w:szCs w:val="24"/>
          <w:rtl w:val="0"/>
          <w:lang w:val="en-US"/>
        </w:rPr>
        <w:t>s treatise is not to be read in a literal manner; rather, it is written in a way that is ironic. Valerie Karras sums up Hart</w:t>
      </w:r>
      <w:r>
        <w:rPr>
          <w:rFonts w:ascii="Times New Roman" w:hAnsi="Times New Roman" w:hint="default"/>
          <w:sz w:val="24"/>
          <w:szCs w:val="24"/>
          <w:rtl w:val="0"/>
        </w:rPr>
        <w:t>’</w:t>
      </w:r>
      <w:r>
        <w:rPr>
          <w:rFonts w:ascii="Times New Roman" w:hAnsi="Times New Roman"/>
          <w:sz w:val="24"/>
          <w:szCs w:val="24"/>
          <w:rtl w:val="0"/>
          <w:lang w:val="en-US"/>
        </w:rPr>
        <w:t xml:space="preserve">s reinterpretation as thus: </w:t>
      </w:r>
      <w:r>
        <w:rPr>
          <w:rFonts w:ascii="Times New Roman" w:hAnsi="Times New Roman" w:hint="default"/>
          <w:sz w:val="24"/>
          <w:szCs w:val="24"/>
          <w:rtl w:val="0"/>
        </w:rPr>
        <w:t>“</w:t>
      </w:r>
      <w:r>
        <w:rPr>
          <w:rFonts w:ascii="Times New Roman" w:hAnsi="Times New Roman"/>
          <w:sz w:val="24"/>
          <w:szCs w:val="24"/>
          <w:rtl w:val="0"/>
          <w:lang w:val="en-US"/>
        </w:rPr>
        <w:t>far from denigrating marriage and considering it vastly inferior to celibacy, Gregory</w:t>
      </w:r>
      <w:r>
        <w:rPr>
          <w:rFonts w:ascii="Times New Roman" w:hAnsi="Times New Roman" w:hint="default"/>
          <w:sz w:val="24"/>
          <w:szCs w:val="24"/>
          <w:rtl w:val="0"/>
        </w:rPr>
        <w:t>’</w:t>
      </w:r>
      <w:r>
        <w:rPr>
          <w:rFonts w:ascii="Times New Roman" w:hAnsi="Times New Roman"/>
          <w:sz w:val="24"/>
          <w:szCs w:val="24"/>
          <w:rtl w:val="0"/>
          <w:lang w:val="en-US"/>
        </w:rPr>
        <w:t>s deliberate exaggeration of the pains and problems of marital and family life served a deeper end, namely, to extol the superiority of marriage through a nontraditional understanding of its virtues</w:t>
      </w:r>
      <w:r>
        <w:rPr>
          <w:rFonts w:ascii="Times New Roman" w:hAnsi="Times New Roman" w:hint="default"/>
          <w:sz w:val="24"/>
          <w:szCs w:val="24"/>
          <w:rtl w:val="0"/>
        </w:rPr>
        <w:t xml:space="preserve">” </w:t>
      </w:r>
      <w:r>
        <w:rPr>
          <w:rFonts w:ascii="Times New Roman" w:hAnsi="Times New Roman"/>
          <w:sz w:val="24"/>
          <w:szCs w:val="24"/>
          <w:rtl w:val="0"/>
        </w:rPr>
        <w:t>(Karras 2005: 111).</w:t>
      </w:r>
      <w:r>
        <w:rPr>
          <w:rFonts w:ascii="Times New Roman" w:hAnsi="Times New Roman"/>
          <w:sz w:val="24"/>
          <w:szCs w:val="24"/>
          <w:rtl w:val="0"/>
          <w:lang w:val="en-US"/>
        </w:rPr>
        <w:t xml:space="preserve"> Whilst Hart correctly describes certain portions of the treatise, we shall however address the true, more multi-layered implications of the text.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chapters 1 and 2 Gregory praises virginity before moving on in chapter 3 to discuss the pains associated with marriage. The differences between a life of virginity and a married life are vast, and there is </w:t>
      </w:r>
      <w:r>
        <w:rPr>
          <w:rFonts w:ascii="Times New Roman" w:hAnsi="Times New Roman" w:hint="default"/>
          <w:sz w:val="24"/>
          <w:szCs w:val="24"/>
          <w:rtl w:val="0"/>
          <w:lang w:val="en-US"/>
        </w:rPr>
        <w:t>“</w:t>
      </w:r>
      <w:r>
        <w:rPr>
          <w:rFonts w:ascii="Times New Roman" w:hAnsi="Times New Roman"/>
          <w:sz w:val="24"/>
          <w:szCs w:val="24"/>
          <w:rtl w:val="0"/>
          <w:lang w:val="en-US"/>
        </w:rPr>
        <w:t>as much difference as there is between the things of heaven and earth.</w:t>
      </w:r>
      <w:r>
        <w:rPr>
          <w:rFonts w:ascii="Times New Roman" w:hAnsi="Times New Roman" w:hint="default"/>
          <w:sz w:val="24"/>
          <w:szCs w:val="24"/>
          <w:rtl w:val="0"/>
          <w:lang w:val="en-US"/>
        </w:rPr>
        <w:t xml:space="preserve">” </w:t>
      </w:r>
      <w:r>
        <w:rPr>
          <w:rFonts w:ascii="Times New Roman" w:hAnsi="Times New Roman"/>
          <w:sz w:val="24"/>
          <w:szCs w:val="24"/>
          <w:rtl w:val="0"/>
          <w:lang w:val="en-US"/>
        </w:rPr>
        <w:t>The theme of this chapter is clear: marriage will only bring about grief, suffering, and hardship. He outlines</w:t>
      </w:r>
      <w:r>
        <w:rPr>
          <w:rFonts w:ascii="Times New Roman" w:hAnsi="Times New Roman"/>
          <w:sz w:val="24"/>
          <w:szCs w:val="24"/>
          <w:rtl w:val="0"/>
          <w:lang w:val="en-US"/>
        </w:rPr>
        <w:t xml:space="preserve"> the thought that one</w:t>
      </w:r>
      <w:r>
        <w:rPr>
          <w:rFonts w:ascii="Times New Roman" w:hAnsi="Times New Roman" w:hint="default"/>
          <w:sz w:val="24"/>
          <w:szCs w:val="24"/>
          <w:rtl w:val="0"/>
        </w:rPr>
        <w:t>’</w:t>
      </w:r>
      <w:r>
        <w:rPr>
          <w:rFonts w:ascii="Times New Roman" w:hAnsi="Times New Roman"/>
          <w:sz w:val="24"/>
          <w:szCs w:val="24"/>
          <w:rtl w:val="0"/>
          <w:lang w:val="en-US"/>
        </w:rPr>
        <w:t xml:space="preserve">s spouse is beautiful in life but will eventually become </w:t>
      </w:r>
      <w:r>
        <w:rPr>
          <w:rFonts w:ascii="Times New Roman" w:hAnsi="Times New Roman" w:hint="default"/>
          <w:sz w:val="24"/>
          <w:szCs w:val="24"/>
          <w:rtl w:val="0"/>
        </w:rPr>
        <w:t>“</w:t>
      </w:r>
      <w:r>
        <w:rPr>
          <w:rFonts w:ascii="Times New Roman" w:hAnsi="Times New Roman"/>
          <w:sz w:val="24"/>
          <w:szCs w:val="24"/>
          <w:rtl w:val="0"/>
          <w:lang w:val="en-US"/>
        </w:rPr>
        <w:t>bones, with no trace, no reminder of this present blossoming. Can anyone live happily when such thought</w:t>
      </w:r>
      <w:r>
        <w:rPr>
          <w:rFonts w:ascii="Times New Roman" w:hAnsi="Times New Roman"/>
          <w:sz w:val="24"/>
          <w:szCs w:val="24"/>
          <w:rtl w:val="0"/>
          <w:lang w:val="en-US"/>
        </w:rPr>
        <w:t>s</w:t>
      </w:r>
      <w:r>
        <w:rPr>
          <w:rFonts w:ascii="Times New Roman" w:hAnsi="Times New Roman"/>
          <w:sz w:val="24"/>
          <w:szCs w:val="24"/>
          <w:rtl w:val="0"/>
          <w:lang w:val="en-US"/>
        </w:rPr>
        <w:t xml:space="preserve"> are in his mind?</w:t>
      </w:r>
      <w:r>
        <w:rPr>
          <w:rFonts w:ascii="Times New Roman" w:hAnsi="Times New Roman" w:hint="default"/>
          <w:sz w:val="24"/>
          <w:szCs w:val="24"/>
          <w:rtl w:val="0"/>
        </w:rPr>
        <w:t>”</w:t>
      </w:r>
      <w:r>
        <w:rPr>
          <w:rFonts w:ascii="Times New Roman" w:hAnsi="Times New Roman"/>
          <w:sz w:val="24"/>
          <w:szCs w:val="24"/>
          <w:rtl w:val="0"/>
          <w:lang w:val="en-US"/>
        </w:rPr>
        <w:t xml:space="preserve"> As such, it has been speculated that Gregory was writing from experience when he described the pains associated with losing a wife and child (Karras 2005: 114). Clearly, Gregory argues against marriage (at least in the traditional sense) because of the pains and difficulties it entails in life. </w:t>
      </w:r>
      <w:r>
        <w:rPr>
          <w:rFonts w:ascii="Times New Roman" w:hAnsi="Times New Roman"/>
          <w:sz w:val="24"/>
          <w:szCs w:val="24"/>
          <w:rtl w:val="0"/>
          <w:lang w:val="en-US"/>
        </w:rPr>
        <w:t>What is important are the virtues of non-attachment, which he described in chapters 5 and 6 (Karras 2005: 116). As marriage</w:t>
      </w:r>
      <w:r>
        <w:rPr>
          <w:rFonts w:ascii="Times New Roman" w:hAnsi="Times New Roman"/>
          <w:sz w:val="24"/>
          <w:szCs w:val="24"/>
          <w:rtl w:val="0"/>
          <w:lang w:val="en-US"/>
        </w:rPr>
        <w:t xml:space="preserve"> is</w:t>
      </w:r>
      <w:r>
        <w:rPr>
          <w:rFonts w:ascii="Times New Roman" w:hAnsi="Times New Roman"/>
          <w:sz w:val="24"/>
          <w:szCs w:val="24"/>
          <w:rtl w:val="0"/>
          <w:lang w:val="en-US"/>
        </w:rPr>
        <w:t xml:space="preserve"> innately a form of attachment, it is</w:t>
      </w:r>
      <w:r>
        <w:rPr>
          <w:rFonts w:ascii="Times New Roman" w:hAnsi="Times New Roman"/>
          <w:sz w:val="24"/>
          <w:szCs w:val="24"/>
          <w:rtl w:val="0"/>
          <w:lang w:val="en-US"/>
        </w:rPr>
        <w:t xml:space="preserve"> preventing such virtues being cultivated. However, for Gregory a </w:t>
      </w:r>
      <w:r>
        <w:rPr>
          <w:rFonts w:ascii="Times New Roman" w:hAnsi="Times New Roman"/>
          <w:i w:val="1"/>
          <w:iCs w:val="1"/>
          <w:sz w:val="24"/>
          <w:szCs w:val="24"/>
          <w:rtl w:val="0"/>
          <w:lang w:val="en-US"/>
        </w:rPr>
        <w:t>different</w:t>
      </w:r>
      <w:r>
        <w:rPr>
          <w:rFonts w:ascii="Times New Roman" w:hAnsi="Times New Roman"/>
          <w:sz w:val="24"/>
          <w:szCs w:val="24"/>
          <w:rtl w:val="0"/>
          <w:lang w:val="en-US"/>
        </w:rPr>
        <w:t xml:space="preserve"> kind of marriage is more appropriate, and is indeed desirable. Indeed, in chapter 7 he outlines how marriage is not to be disregarded as an institution. </w:t>
      </w:r>
      <w:r>
        <w:rPr>
          <w:rFonts w:ascii="Times New Roman" w:hAnsi="Times New Roman"/>
          <w:sz w:val="24"/>
          <w:szCs w:val="24"/>
          <w:rtl w:val="0"/>
          <w:lang w:val="en-US"/>
        </w:rPr>
        <w:t xml:space="preserve">This form of marriage is relayed </w:t>
      </w:r>
      <w:r>
        <w:rPr>
          <w:rFonts w:ascii="Times New Roman" w:hAnsi="Times New Roman"/>
          <w:sz w:val="24"/>
          <w:szCs w:val="24"/>
          <w:rtl w:val="0"/>
          <w:lang w:val="en-US"/>
        </w:rPr>
        <w:t xml:space="preserve">in chapter 8 </w:t>
      </w:r>
      <w:r>
        <w:rPr>
          <w:rFonts w:ascii="Times New Roman" w:hAnsi="Times New Roman"/>
          <w:sz w:val="24"/>
          <w:szCs w:val="24"/>
          <w:rtl w:val="0"/>
          <w:lang w:val="en-US"/>
        </w:rPr>
        <w:t>through the analogy of a skilled farmer</w:t>
      </w:r>
      <w:r>
        <w:rPr>
          <w:rFonts w:ascii="Times New Roman" w:hAnsi="Times New Roman"/>
          <w:sz w:val="24"/>
          <w:szCs w:val="24"/>
          <w:rtl w:val="0"/>
          <w:lang w:val="en-US"/>
        </w:rPr>
        <w:t xml:space="preserve"> who makes a small outlet in a canal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 metaphor for celibacy introduced in chapter 6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to water an intermediate field, i.e., marriage and worldly affairs (Hart 1992: 4). The implication of this being, according to Hart, that those who are too </w:t>
      </w:r>
      <w:r>
        <w:rPr>
          <w:rFonts w:ascii="Times New Roman" w:hAnsi="Times New Roman" w:hint="default"/>
          <w:sz w:val="24"/>
          <w:szCs w:val="24"/>
          <w:rtl w:val="0"/>
          <w:lang w:val="en-US"/>
        </w:rPr>
        <w:t>‘</w:t>
      </w:r>
      <w:r>
        <w:rPr>
          <w:rFonts w:ascii="Times New Roman" w:hAnsi="Times New Roman"/>
          <w:sz w:val="24"/>
          <w:szCs w:val="24"/>
          <w:rtl w:val="0"/>
          <w:lang w:val="en-US"/>
        </w:rPr>
        <w:t>inexperienced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to commit to full renunciation are able to combine the contemplative and married lifestyles, much as Isaac did (1992: 4).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latter part of chapter 13, Gregory proceeds to present the notion that being freed from marriage is the start of one beginning to care for the self. Citing John 3:6, </w:t>
      </w:r>
      <w:r>
        <w:rPr>
          <w:rFonts w:ascii="Times New Roman" w:hAnsi="Times New Roman" w:hint="default"/>
          <w:sz w:val="24"/>
          <w:szCs w:val="24"/>
          <w:rtl w:val="0"/>
          <w:lang w:val="en-US"/>
        </w:rPr>
        <w:t>‘</w:t>
      </w:r>
      <w:r>
        <w:rPr>
          <w:rFonts w:ascii="Times New Roman" w:hAnsi="Times New Roman"/>
          <w:sz w:val="24"/>
          <w:szCs w:val="24"/>
          <w:rtl w:val="0"/>
          <w:lang w:val="en-US"/>
        </w:rPr>
        <w:t>What is born of the flesh is flesh, and what is born of the Spirit is spirit</w:t>
      </w:r>
      <w:r>
        <w:rPr>
          <w:rFonts w:ascii="Times New Roman" w:hAnsi="Times New Roman" w:hint="default"/>
          <w:sz w:val="24"/>
          <w:szCs w:val="24"/>
          <w:rtl w:val="0"/>
          <w:lang w:val="en-US"/>
        </w:rPr>
        <w:t>’</w:t>
      </w:r>
      <w:r>
        <w:rPr>
          <w:rFonts w:ascii="Times New Roman" w:hAnsi="Times New Roman"/>
          <w:sz w:val="24"/>
          <w:szCs w:val="24"/>
          <w:rtl w:val="0"/>
          <w:lang w:val="en-US"/>
        </w:rPr>
        <w:t xml:space="preserve">, Gregory logically continues by acknowledging that the things which are flesh are subject to death and sin, whereas the spirit is </w:t>
      </w:r>
      <w:r>
        <w:rPr>
          <w:rFonts w:ascii="Times New Roman" w:hAnsi="Times New Roman" w:hint="default"/>
          <w:sz w:val="24"/>
          <w:szCs w:val="24"/>
          <w:rtl w:val="0"/>
          <w:lang w:val="en-US"/>
        </w:rPr>
        <w:t>“</w:t>
      </w:r>
      <w:r>
        <w:rPr>
          <w:rFonts w:ascii="Times New Roman" w:hAnsi="Times New Roman"/>
          <w:sz w:val="24"/>
          <w:szCs w:val="24"/>
          <w:rtl w:val="0"/>
          <w:lang w:val="en-US"/>
        </w:rPr>
        <w:t>of God, incorruptible, life-giving, and immortal.</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Therefore in order to be separated from the life of flesh and death, a different sort of life must be sought that does not have death as a consequence. The answer is a life of virginity. This train of thought transitions into chapter 14, which is possibly the most </w:t>
      </w:r>
      <w:r>
        <w:rPr>
          <w:rFonts w:ascii="Times New Roman" w:hAnsi="Times New Roman" w:hint="default"/>
          <w:sz w:val="24"/>
          <w:szCs w:val="24"/>
          <w:rtl w:val="0"/>
          <w:lang w:val="en-US"/>
        </w:rPr>
        <w:t>‘</w:t>
      </w:r>
      <w:r>
        <w:rPr>
          <w:rFonts w:ascii="Times New Roman" w:hAnsi="Times New Roman"/>
          <w:sz w:val="24"/>
          <w:szCs w:val="24"/>
          <w:rtl w:val="0"/>
          <w:lang w:val="en-US"/>
        </w:rPr>
        <w:t>radical</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portion of the treatise, in which Gregory extols virginity because it is stronger than death. He is clear: </w:t>
      </w:r>
      <w:r>
        <w:rPr>
          <w:rFonts w:ascii="Times New Roman" w:hAnsi="Times New Roman" w:hint="default"/>
          <w:sz w:val="24"/>
          <w:szCs w:val="24"/>
          <w:rtl w:val="0"/>
          <w:lang w:val="en-US"/>
        </w:rPr>
        <w:t>“</w:t>
      </w:r>
      <w:r>
        <w:rPr>
          <w:rFonts w:ascii="Times New Roman" w:hAnsi="Times New Roman"/>
          <w:sz w:val="24"/>
          <w:szCs w:val="24"/>
          <w:rtl w:val="0"/>
          <w:lang w:val="en-US"/>
        </w:rPr>
        <w:t>Corruption has its beginning in birth and those who refrain from procreation through virginity bring about a cancellation of death.</w:t>
      </w:r>
      <w:r>
        <w:rPr>
          <w:rFonts w:ascii="Times New Roman" w:hAnsi="Times New Roman" w:hint="default"/>
          <w:sz w:val="24"/>
          <w:szCs w:val="24"/>
          <w:rtl w:val="0"/>
          <w:lang w:val="en-US"/>
        </w:rPr>
        <w:t xml:space="preserve">” </w:t>
      </w:r>
      <w:r>
        <w:rPr>
          <w:rFonts w:ascii="Times New Roman" w:hAnsi="Times New Roman"/>
          <w:sz w:val="24"/>
          <w:szCs w:val="24"/>
          <w:rtl w:val="0"/>
          <w:lang w:val="en-US"/>
        </w:rPr>
        <w:t>Hart, like other scholars, objects strongly to the argument that Gregory advances in chapter 14 because it essentially calls for the extinction of the human race (1992: 2). Theologian Martin Laird concurs with Hart</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reevaluation of </w:t>
      </w:r>
      <w:r>
        <w:rPr>
          <w:rFonts w:ascii="Times New Roman" w:hAnsi="Times New Roman"/>
          <w:i w:val="1"/>
          <w:iCs w:val="1"/>
          <w:sz w:val="24"/>
          <w:szCs w:val="24"/>
          <w:rtl w:val="0"/>
          <w:lang w:val="en-US"/>
        </w:rPr>
        <w:t>De virginitate</w:t>
      </w:r>
      <w:r>
        <w:rPr>
          <w:rFonts w:ascii="Times New Roman" w:hAnsi="Times New Roman"/>
          <w:sz w:val="24"/>
          <w:szCs w:val="24"/>
          <w:rtl w:val="0"/>
          <w:lang w:val="en-US"/>
        </w:rPr>
        <w:t>, believing that ultimately virginity is a question of non-attachment, and in this sense Gregory</w:t>
      </w:r>
      <w:r>
        <w:rPr>
          <w:rFonts w:ascii="Times New Roman" w:hAnsi="Times New Roman" w:hint="default"/>
          <w:sz w:val="24"/>
          <w:szCs w:val="24"/>
          <w:rtl w:val="0"/>
          <w:lang w:val="en-US"/>
        </w:rPr>
        <w:t>’</w:t>
      </w:r>
      <w:r>
        <w:rPr>
          <w:rFonts w:ascii="Times New Roman" w:hAnsi="Times New Roman"/>
          <w:sz w:val="24"/>
          <w:szCs w:val="24"/>
          <w:rtl w:val="0"/>
          <w:lang w:val="en-US"/>
        </w:rPr>
        <w:t>s argument draws from Stoic notions of dispassion (Laird 2003: 78). Whilst indeed Gregory argued along these lines, however radical Gregory</w:t>
      </w:r>
      <w:r>
        <w:rPr>
          <w:rFonts w:ascii="Times New Roman" w:hAnsi="Times New Roman" w:hint="default"/>
          <w:sz w:val="24"/>
          <w:szCs w:val="24"/>
          <w:rtl w:val="0"/>
          <w:lang w:val="en-US"/>
        </w:rPr>
        <w:t>’</w:t>
      </w:r>
      <w:r>
        <w:rPr>
          <w:rFonts w:ascii="Times New Roman" w:hAnsi="Times New Roman"/>
          <w:sz w:val="24"/>
          <w:szCs w:val="24"/>
          <w:rtl w:val="0"/>
          <w:lang w:val="en-US"/>
        </w:rPr>
        <w:t xml:space="preserve">s argument may be, it should indeed be taken at face value.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Gregory introduces the basis for this seemingly illogical argument in chapters 11 and 12 when he talks the difficulties and need for recognising true beauty (</w:t>
      </w:r>
      <w:r>
        <w:rPr>
          <w:rFonts w:ascii="Times New Roman" w:hAnsi="Times New Roman"/>
          <w:i w:val="1"/>
          <w:iCs w:val="1"/>
          <w:sz w:val="24"/>
          <w:szCs w:val="24"/>
          <w:rtl w:val="0"/>
          <w:lang w:val="en-US"/>
        </w:rPr>
        <w:t>kallos</w:t>
      </w:r>
      <w:r>
        <w:rPr>
          <w:rFonts w:ascii="Times New Roman" w:hAnsi="Times New Roman"/>
          <w:sz w:val="24"/>
          <w:szCs w:val="24"/>
          <w:rtl w:val="0"/>
          <w:lang w:val="en-US"/>
        </w:rPr>
        <w:t xml:space="preserve">), which necessitates the need for non-attachment and self-purification (Karras 2005: 117). In this sense, interpretations such as the one made by Laird (that virginity is a question of non-attachment) are correct, but they do not consider the wider purpose of this. This true beauty became concealed as a consequence of the Fall, and as such our task is to return to this state (Karras 2005: 117).  Gregory outlines this in chapter 12, and it forms the background to the eschatological aspects of his text. </w:t>
      </w:r>
      <w:r>
        <w:rPr>
          <w:rFonts w:ascii="Times New Roman" w:hAnsi="Times New Roman" w:hint="default"/>
          <w:sz w:val="24"/>
          <w:szCs w:val="24"/>
          <w:rtl w:val="0"/>
          <w:lang w:val="en-US"/>
        </w:rPr>
        <w:t>“</w:t>
      </w:r>
      <w:r>
        <w:rPr>
          <w:rFonts w:ascii="Times New Roman" w:hAnsi="Times New Roman"/>
          <w:sz w:val="24"/>
          <w:szCs w:val="24"/>
          <w:rtl w:val="0"/>
          <w:lang w:val="en-US"/>
        </w:rPr>
        <w:t>Let us become what the first being was during the first period of his existence</w:t>
      </w:r>
      <w:r>
        <w:rPr>
          <w:rFonts w:ascii="Times New Roman" w:hAnsi="Times New Roman" w:hint="default"/>
          <w:sz w:val="24"/>
          <w:szCs w:val="24"/>
          <w:rtl w:val="0"/>
          <w:lang w:val="en-US"/>
        </w:rPr>
        <w:t>”</w:t>
      </w:r>
      <w:r>
        <w:rPr>
          <w:rFonts w:ascii="Times New Roman" w:hAnsi="Times New Roman"/>
          <w:sz w:val="24"/>
          <w:szCs w:val="24"/>
          <w:rtl w:val="0"/>
          <w:lang w:val="en-US"/>
        </w:rPr>
        <w:t xml:space="preserve">, he writes, stating that this means being </w:t>
      </w:r>
      <w:r>
        <w:rPr>
          <w:rFonts w:ascii="Times New Roman" w:hAnsi="Times New Roman" w:hint="default"/>
          <w:sz w:val="24"/>
          <w:szCs w:val="24"/>
          <w:rtl w:val="0"/>
          <w:lang w:val="en-US"/>
        </w:rPr>
        <w:t>“</w:t>
      </w:r>
      <w:r>
        <w:rPr>
          <w:rFonts w:ascii="Times New Roman" w:hAnsi="Times New Roman"/>
          <w:sz w:val="24"/>
          <w:szCs w:val="24"/>
          <w:rtl w:val="0"/>
          <w:lang w:val="en-US"/>
        </w:rPr>
        <w:t>Liberated from the threat of death [</w:t>
      </w:r>
      <w:r>
        <w:rPr>
          <w:rFonts w:ascii="Times New Roman" w:hAnsi="Times New Roman" w:hint="default"/>
          <w:sz w:val="24"/>
          <w:szCs w:val="24"/>
          <w:rtl w:val="0"/>
          <w:lang w:val="en-US"/>
        </w:rPr>
        <w:t>…</w:t>
      </w:r>
      <w:r>
        <w:rPr>
          <w:rFonts w:ascii="Times New Roman" w:hAnsi="Times New Roman"/>
          <w:sz w:val="24"/>
          <w:szCs w:val="24"/>
          <w:rtl w:val="0"/>
          <w:lang w:val="en-US"/>
        </w:rPr>
        <w:t>] only enjoying the Lord.</w:t>
      </w:r>
      <w:r>
        <w:rPr>
          <w:rFonts w:ascii="Times New Roman" w:hAnsi="Times New Roman" w:hint="default"/>
          <w:sz w:val="24"/>
          <w:szCs w:val="24"/>
          <w:rtl w:val="0"/>
          <w:lang w:val="en-US"/>
        </w:rPr>
        <w:t xml:space="preserve">” </w:t>
      </w:r>
      <w:r>
        <w:rPr>
          <w:rFonts w:ascii="Times New Roman" w:hAnsi="Times New Roman"/>
          <w:sz w:val="24"/>
          <w:szCs w:val="24"/>
          <w:rtl w:val="0"/>
          <w:lang w:val="en-US"/>
        </w:rPr>
        <w:t>He goes on to state that sex and childbirth was a consequence of the sin that was committed by Adam and Eve (</w:t>
      </w:r>
      <w:r>
        <w:rPr>
          <w:rFonts w:ascii="Times New Roman" w:hAnsi="Times New Roman"/>
          <w:sz w:val="24"/>
          <w:szCs w:val="24"/>
          <w:rtl w:val="0"/>
        </w:rPr>
        <w:t xml:space="preserve">Gr. Nyss. </w:t>
      </w:r>
      <w:r>
        <w:rPr>
          <w:rFonts w:ascii="Times New Roman" w:hAnsi="Times New Roman"/>
          <w:i w:val="1"/>
          <w:iCs w:val="1"/>
          <w:sz w:val="24"/>
          <w:szCs w:val="24"/>
          <w:rtl w:val="0"/>
        </w:rPr>
        <w:t>virg</w:t>
      </w:r>
      <w:r>
        <w:rPr>
          <w:rFonts w:ascii="Times New Roman" w:hAnsi="Times New Roman"/>
          <w:sz w:val="24"/>
          <w:szCs w:val="24"/>
          <w:rtl w:val="0"/>
        </w:rPr>
        <w:t>.</w:t>
      </w:r>
      <w:r>
        <w:rPr>
          <w:rFonts w:ascii="Times New Roman" w:hAnsi="Times New Roman"/>
          <w:sz w:val="24"/>
          <w:szCs w:val="24"/>
          <w:rtl w:val="0"/>
          <w:lang w:val="en-US"/>
        </w:rPr>
        <w:t xml:space="preserve"> 12). Karras notes that the return to this prelapsarian state of being is not just a regression, but a progression, towards what she calls the eschatological state (Karras 2005: 117). Both states share the same characteristics, namely, a non-biological mode of existence that is material but is devoid of food, sleep, sex, death, sickness, </w:t>
      </w:r>
      <w:r>
        <w:rPr>
          <w:rFonts w:ascii="Times New Roman" w:hAnsi="Times New Roman"/>
          <w:sz w:val="24"/>
          <w:szCs w:val="24"/>
          <w:rtl w:val="0"/>
          <w:lang w:val="es-ES_tradnl"/>
        </w:rPr>
        <w:t>decay</w:t>
      </w:r>
      <w:r>
        <w:rPr>
          <w:rFonts w:ascii="Times New Roman" w:hAnsi="Times New Roman"/>
          <w:sz w:val="24"/>
          <w:szCs w:val="24"/>
          <w:rtl w:val="0"/>
          <w:lang w:val="en-US"/>
        </w:rPr>
        <w:t>, and death (Karras 2005: 117</w:t>
      </w:r>
      <w:r>
        <w:rPr>
          <w:rFonts w:ascii="Times New Roman" w:hAnsi="Times New Roman" w:hint="default"/>
          <w:sz w:val="24"/>
          <w:szCs w:val="24"/>
          <w:rtl w:val="0"/>
          <w:lang w:val="en-US"/>
        </w:rPr>
        <w:t>–</w:t>
      </w:r>
      <w:r>
        <w:rPr>
          <w:rFonts w:ascii="Times New Roman" w:hAnsi="Times New Roman"/>
          <w:sz w:val="24"/>
          <w:szCs w:val="24"/>
          <w:rtl w:val="0"/>
          <w:lang w:val="en-US"/>
        </w:rPr>
        <w:t>118). Evidently, Gregory</w:t>
      </w:r>
      <w:r>
        <w:rPr>
          <w:rFonts w:ascii="Times New Roman" w:hAnsi="Times New Roman" w:hint="default"/>
          <w:sz w:val="24"/>
          <w:szCs w:val="24"/>
          <w:rtl w:val="0"/>
          <w:lang w:val="en-US"/>
        </w:rPr>
        <w:t>’</w:t>
      </w:r>
      <w:r>
        <w:rPr>
          <w:rFonts w:ascii="Times New Roman" w:hAnsi="Times New Roman"/>
          <w:sz w:val="24"/>
          <w:szCs w:val="24"/>
          <w:rtl w:val="0"/>
          <w:lang w:val="en-US"/>
        </w:rPr>
        <w:t xml:space="preserve">s aim to simultaneously return to a prelapsarian state and progress to an eschatological state is paramount. Nonetheless, Hart is correct when he notes that Gregory does not view sex or marriage as intrinsically evil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indeed, he regards them as a sort of therapy for a chronic condition (Karras 2005: 118).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Ultimately, Karras has determined that throughout the text Gregory ranks lifestyles into a hierarchy consisting of four tiers: at the bottom is the married life; above that is the virginal life chosen because one cannot control their passions and must therefore not be exposed to passionate situations; then the marital life that is balanced and virtuous (the mode of life illustrated with the analogy of the farmer directing a stream)(</w:t>
      </w:r>
      <w:r>
        <w:rPr>
          <w:rFonts w:ascii="Times New Roman" w:hAnsi="Times New Roman"/>
          <w:sz w:val="24"/>
          <w:szCs w:val="24"/>
          <w:rtl w:val="0"/>
        </w:rPr>
        <w:t>2005: 117)</w:t>
      </w:r>
      <w:r>
        <w:rPr>
          <w:rFonts w:ascii="Times New Roman" w:hAnsi="Times New Roman"/>
          <w:sz w:val="24"/>
          <w:szCs w:val="24"/>
          <w:rtl w:val="0"/>
          <w:lang w:val="en-US"/>
        </w:rPr>
        <w:t xml:space="preserve">. </w:t>
      </w:r>
      <w:r>
        <w:rPr>
          <w:rFonts w:ascii="Times New Roman" w:hAnsi="Times New Roman"/>
          <w:sz w:val="24"/>
          <w:szCs w:val="24"/>
          <w:rtl w:val="0"/>
          <w:lang w:val="en-US"/>
        </w:rPr>
        <w:t>If one had to become married, then so be it, and it was ultimately a better life than virginity entered into because of a lack of self restraint</w:t>
      </w:r>
      <w:r>
        <w:rPr>
          <w:rFonts w:ascii="Times New Roman" w:hAnsi="Times New Roman"/>
          <w:sz w:val="24"/>
          <w:szCs w:val="24"/>
          <w:rtl w:val="0"/>
          <w:lang w:val="en-US"/>
        </w:rPr>
        <w:t xml:space="preserve">. The fourth and highest tier for Gregory is the virginal life that one has entered into because of a single-minded orientation toward an eschatological life in God (Karras 2005: 117).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What can we conclude about Gregory of Nyssa</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i w:val="1"/>
          <w:iCs w:val="1"/>
          <w:sz w:val="24"/>
          <w:szCs w:val="24"/>
          <w:rtl w:val="0"/>
          <w:lang w:val="en-US"/>
        </w:rPr>
        <w:t>De virginitate</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 xml:space="preserve">Gregory was ultimately not opposed to marriage, though he was highly critical of certain aspects, particularly the product of marriage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children, because issue was preventing the elevation of humanity to a state like that it experienced before the Fall. The institution was acceptable to Gregory if it met certain criteria, and was superior to the </w:t>
      </w:r>
      <w:r>
        <w:rPr>
          <w:rFonts w:ascii="Times New Roman" w:hAnsi="Times New Roman" w:hint="default"/>
          <w:sz w:val="24"/>
          <w:szCs w:val="24"/>
          <w:rtl w:val="0"/>
          <w:lang w:val="en-US"/>
        </w:rPr>
        <w:t>‘</w:t>
      </w:r>
      <w:r>
        <w:rPr>
          <w:rFonts w:ascii="Times New Roman" w:hAnsi="Times New Roman"/>
          <w:sz w:val="24"/>
          <w:szCs w:val="24"/>
          <w:rtl w:val="0"/>
          <w:lang w:val="en-US"/>
        </w:rPr>
        <w:t>weak</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form of virginity. Nevertheless, the optimal state of existence for Gregory was the virginal life that met the right criteria and had a profound purpose, what Karras calls </w:t>
      </w:r>
      <w:r>
        <w:rPr>
          <w:rFonts w:ascii="Times New Roman" w:hAnsi="Times New Roman" w:hint="default"/>
          <w:sz w:val="24"/>
          <w:szCs w:val="24"/>
          <w:rtl w:val="0"/>
          <w:lang w:val="en-US"/>
        </w:rPr>
        <w:t>“</w:t>
      </w:r>
      <w:r>
        <w:rPr>
          <w:rFonts w:ascii="Times New Roman" w:hAnsi="Times New Roman"/>
          <w:sz w:val="24"/>
          <w:szCs w:val="24"/>
          <w:rtl w:val="0"/>
          <w:lang w:val="en-US"/>
        </w:rPr>
        <w:t>transcending the frustrating circularity of biological existence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(2005: 119). Such a lifestyle had a profound consequence, if it were embarked upon: the end of procreation.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center"/>
        <w:rPr>
          <w:rFonts w:ascii="Times New Roman" w:cs="Times New Roman" w:hAnsi="Times New Roman" w:eastAsia="Times New Roman"/>
          <w:sz w:val="24"/>
          <w:szCs w:val="24"/>
          <w:u w:val="single"/>
        </w:rPr>
      </w:pPr>
      <w:r>
        <w:rPr>
          <w:rFonts w:ascii="Times New Roman" w:hAnsi="Times New Roman"/>
          <w:i w:val="1"/>
          <w:iCs w:val="1"/>
          <w:sz w:val="24"/>
          <w:szCs w:val="24"/>
          <w:u w:val="single"/>
          <w:rtl w:val="0"/>
        </w:rPr>
        <w:t>Libellus de virginitate servanda</w:t>
      </w:r>
      <w:r>
        <w:rPr>
          <w:rFonts w:ascii="Times New Roman" w:hAnsi="Times New Roman"/>
          <w:sz w:val="24"/>
          <w:szCs w:val="24"/>
          <w:u w:val="single"/>
          <w:rtl w:val="0"/>
          <w:lang w:val="en-US"/>
        </w:rPr>
        <w:t xml:space="preserve"> (Letter 22 to </w:t>
      </w:r>
      <w:r>
        <w:rPr>
          <w:rFonts w:ascii="Times New Roman" w:hAnsi="Times New Roman"/>
          <w:sz w:val="24"/>
          <w:szCs w:val="24"/>
          <w:u w:val="single"/>
          <w:rtl w:val="0"/>
          <w:lang w:val="it-IT"/>
        </w:rPr>
        <w:t>Eustochium</w:t>
      </w:r>
      <w:r>
        <w:rPr>
          <w:rFonts w:ascii="Times New Roman" w:hAnsi="Times New Roman"/>
          <w:sz w:val="24"/>
          <w:szCs w:val="24"/>
          <w:u w:val="single"/>
          <w:rtl w:val="0"/>
          <w:lang w:val="en-US"/>
        </w:rPr>
        <w:t xml:space="preserve">) </w:t>
      </w:r>
      <w:r>
        <w:rPr>
          <w:rFonts w:ascii="Times New Roman" w:hAnsi="Times New Roman"/>
          <w:sz w:val="24"/>
          <w:szCs w:val="24"/>
          <w:u w:val="single"/>
          <w:rtl w:val="0"/>
        </w:rPr>
        <w:t>by Jerome</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Whilst Gregory was perhaps more explicitly eschatological in his approach to advocating an end to procreation, Jerome</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reasoning differed, though both authors shared the same theological basis. In addition, their views on the validity of marriage differed. </w:t>
      </w:r>
      <w:r>
        <w:rPr>
          <w:rFonts w:ascii="Times New Roman" w:hAnsi="Times New Roman"/>
          <w:sz w:val="24"/>
          <w:szCs w:val="24"/>
          <w:rtl w:val="0"/>
          <w:lang w:val="en-US"/>
        </w:rPr>
        <w:t>We shall now turn our attention to selections from Letter 22 to Eustochium. This letter deals with themes that Jerome was fond of reiterating, namely, th</w:t>
      </w:r>
      <w:r>
        <w:rPr>
          <w:rFonts w:ascii="Times New Roman" w:hAnsi="Times New Roman"/>
          <w:sz w:val="24"/>
          <w:szCs w:val="24"/>
          <w:rtl w:val="0"/>
          <w:lang w:val="en-US"/>
        </w:rPr>
        <w:t xml:space="preserve">at of the evil nature of marriage (to a degree) and sex.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The letter begins with what Karl Shuve calls a pastiche of biblical texts that illustrates the virgin</w:t>
      </w:r>
      <w:r>
        <w:rPr>
          <w:rFonts w:ascii="Times New Roman" w:hAnsi="Times New Roman" w:hint="default"/>
          <w:sz w:val="24"/>
          <w:szCs w:val="24"/>
          <w:rtl w:val="0"/>
          <w:lang w:val="en-US"/>
        </w:rPr>
        <w:t>’</w:t>
      </w:r>
      <w:r>
        <w:rPr>
          <w:rFonts w:ascii="Times New Roman" w:hAnsi="Times New Roman"/>
          <w:sz w:val="24"/>
          <w:szCs w:val="24"/>
          <w:rtl w:val="0"/>
          <w:lang w:val="en-US"/>
        </w:rPr>
        <w:t>s vocation (Shuve 2016: 184). The first words are a quotation from Psalm 45:10</w:t>
      </w:r>
      <w:r>
        <w:rPr>
          <w:rFonts w:ascii="Times New Roman" w:hAnsi="Times New Roman" w:hint="default"/>
          <w:sz w:val="24"/>
          <w:szCs w:val="24"/>
          <w:rtl w:val="0"/>
          <w:lang w:val="en-US"/>
        </w:rPr>
        <w:t>–</w:t>
      </w:r>
      <w:r>
        <w:rPr>
          <w:rFonts w:ascii="Times New Roman" w:hAnsi="Times New Roman"/>
          <w:sz w:val="24"/>
          <w:szCs w:val="24"/>
          <w:rtl w:val="0"/>
          <w:lang w:val="en-US"/>
        </w:rPr>
        <w:t xml:space="preserve">11: </w:t>
      </w:r>
      <w:r>
        <w:rPr>
          <w:rFonts w:ascii="Times New Roman" w:hAnsi="Times New Roman" w:hint="default"/>
          <w:sz w:val="24"/>
          <w:szCs w:val="24"/>
          <w:rtl w:val="0"/>
          <w:lang w:val="en-US"/>
        </w:rPr>
        <w:t>‘</w:t>
      </w:r>
      <w:r>
        <w:rPr>
          <w:rFonts w:ascii="Times New Roman" w:hAnsi="Times New Roman"/>
          <w:sz w:val="24"/>
          <w:szCs w:val="24"/>
          <w:rtl w:val="0"/>
          <w:lang w:val="en-US"/>
        </w:rPr>
        <w:t>Hear, O daughter, consider and incline your ear;</w:t>
      </w:r>
      <w:r>
        <w:rPr>
          <w:rFonts w:ascii="Times New Roman" w:hAnsi="Times New Roman"/>
          <w:sz w:val="24"/>
          <w:szCs w:val="24"/>
          <w:rtl w:val="0"/>
          <w:lang w:val="en-US"/>
        </w:rPr>
        <w:t xml:space="preserve"> </w:t>
      </w:r>
      <w:r>
        <w:rPr>
          <w:rFonts w:ascii="Times New Roman" w:hAnsi="Times New Roman"/>
          <w:sz w:val="24"/>
          <w:szCs w:val="24"/>
          <w:rtl w:val="0"/>
          <w:lang w:val="en-US"/>
        </w:rPr>
        <w:t>forget your people and your father</w:t>
      </w:r>
      <w:r>
        <w:rPr>
          <w:rFonts w:ascii="Times New Roman" w:hAnsi="Times New Roman" w:hint="default"/>
          <w:sz w:val="24"/>
          <w:szCs w:val="24"/>
          <w:rtl w:val="0"/>
        </w:rPr>
        <w:t>’</w:t>
      </w:r>
      <w:r>
        <w:rPr>
          <w:rFonts w:ascii="Times New Roman" w:hAnsi="Times New Roman"/>
          <w:sz w:val="24"/>
          <w:szCs w:val="24"/>
          <w:rtl w:val="0"/>
          <w:lang w:val="en-US"/>
        </w:rPr>
        <w:t>s house,</w:t>
      </w:r>
      <w:r>
        <w:rPr>
          <w:rFonts w:ascii="Times New Roman" w:hAnsi="Times New Roman"/>
          <w:sz w:val="24"/>
          <w:szCs w:val="24"/>
          <w:rtl w:val="0"/>
          <w:lang w:val="en-US"/>
        </w:rPr>
        <w:t xml:space="preserve"> </w:t>
      </w:r>
      <w:r>
        <w:rPr>
          <w:rFonts w:ascii="Times New Roman" w:hAnsi="Times New Roman"/>
          <w:sz w:val="24"/>
          <w:szCs w:val="24"/>
          <w:rtl w:val="0"/>
          <w:lang w:val="en-US"/>
        </w:rPr>
        <w:t>and the king will desire your beauty.</w:t>
      </w:r>
      <w:r>
        <w:rPr>
          <w:rFonts w:ascii="Times New Roman" w:hAnsi="Times New Roman" w:hint="default"/>
          <w:sz w:val="24"/>
          <w:szCs w:val="24"/>
          <w:rtl w:val="0"/>
          <w:lang w:val="en-US"/>
        </w:rPr>
        <w:t xml:space="preserve">’ </w:t>
      </w:r>
      <w:r>
        <w:rPr>
          <w:rFonts w:ascii="Times New Roman" w:hAnsi="Times New Roman"/>
          <w:sz w:val="24"/>
          <w:szCs w:val="24"/>
          <w:rtl w:val="0"/>
          <w:lang w:val="en-US"/>
        </w:rPr>
        <w:t>Shuve believes that this quotation encapsulates the very heart of Jerome</w:t>
      </w:r>
      <w:r>
        <w:rPr>
          <w:rFonts w:ascii="Times New Roman" w:hAnsi="Times New Roman" w:hint="default"/>
          <w:sz w:val="24"/>
          <w:szCs w:val="24"/>
          <w:rtl w:val="0"/>
          <w:lang w:val="en-US"/>
        </w:rPr>
        <w:t>’</w:t>
      </w:r>
      <w:r>
        <w:rPr>
          <w:rFonts w:ascii="Times New Roman" w:hAnsi="Times New Roman"/>
          <w:sz w:val="24"/>
          <w:szCs w:val="24"/>
          <w:rtl w:val="0"/>
          <w:lang w:val="en-US"/>
        </w:rPr>
        <w:t>s ascetic theology, namely, the need for the individual to separate themselves from earthly society to achieve union with Christ the king (2016: 185). Jerome was not unique in using this passage, as other writers such as Pseudo-Ambrose, Ambrose, and John Chrysostom and had already used it in a similar manner (Adkin 2003: 14). However, when taking into consideration Jerome</w:t>
      </w:r>
      <w:r>
        <w:rPr>
          <w:rFonts w:ascii="Times New Roman" w:hAnsi="Times New Roman" w:hint="default"/>
          <w:sz w:val="24"/>
          <w:szCs w:val="24"/>
          <w:rtl w:val="0"/>
          <w:lang w:val="en-US"/>
        </w:rPr>
        <w:t>’</w:t>
      </w:r>
      <w:r>
        <w:rPr>
          <w:rFonts w:ascii="Times New Roman" w:hAnsi="Times New Roman"/>
          <w:sz w:val="24"/>
          <w:szCs w:val="24"/>
          <w:rtl w:val="0"/>
          <w:lang w:val="en-US"/>
        </w:rPr>
        <w:t xml:space="preserve">s other writings, including </w:t>
      </w:r>
      <w:r>
        <w:rPr>
          <w:rFonts w:ascii="Times New Roman" w:hAnsi="Times New Roman"/>
          <w:i w:val="1"/>
          <w:iCs w:val="1"/>
          <w:sz w:val="24"/>
          <w:szCs w:val="24"/>
          <w:rtl w:val="0"/>
          <w:lang w:val="en-US"/>
        </w:rPr>
        <w:t>Against Jovinian</w:t>
      </w:r>
      <w:r>
        <w:rPr>
          <w:rFonts w:ascii="Times New Roman" w:hAnsi="Times New Roman"/>
          <w:sz w:val="24"/>
          <w:szCs w:val="24"/>
          <w:rtl w:val="0"/>
          <w:lang w:val="en-US"/>
        </w:rPr>
        <w:t xml:space="preserve">, we can interpret this as meaning the abandonment of marriage, sexual intercourse and, as a consequence, the cessation of childbirth. This is evident in a section from chapter 4, in which Jerome proceeds to state, drawing from 2 Cor. 4:7 and Gal. 5:17, that </w:t>
      </w:r>
      <w:r>
        <w:rPr>
          <w:rFonts w:ascii="Times New Roman" w:hAnsi="Times New Roman" w:hint="default"/>
          <w:sz w:val="24"/>
          <w:szCs w:val="24"/>
          <w:rtl w:val="0"/>
          <w:lang w:val="en-US"/>
        </w:rPr>
        <w:t>“</w:t>
      </w:r>
      <w:r>
        <w:rPr>
          <w:rFonts w:ascii="Times New Roman" w:hAnsi="Times New Roman"/>
          <w:sz w:val="24"/>
          <w:szCs w:val="24"/>
          <w:rtl w:val="0"/>
          <w:lang w:val="en-US"/>
        </w:rPr>
        <w:t>S</w:t>
      </w:r>
      <w:r>
        <w:rPr>
          <w:rFonts w:ascii="Times New Roman" w:hAnsi="Times New Roman"/>
          <w:sz w:val="24"/>
          <w:szCs w:val="24"/>
          <w:rtl w:val="0"/>
          <w:lang w:val="en-US"/>
        </w:rPr>
        <w:t>o long as we are held down by this frail body, so long as we have our treasure in earthen vessels; so long as the flesh lusteth against the spirit and the spirit against the flesh, there can be no sure victory</w:t>
      </w:r>
      <w:r>
        <w:rPr>
          <w:rFonts w:ascii="Times New Roman" w:hAnsi="Times New Roman" w:hint="default"/>
          <w:sz w:val="24"/>
          <w:szCs w:val="24"/>
          <w:rtl w:val="0"/>
          <w:lang w:val="en-US"/>
        </w:rPr>
        <w:t xml:space="preserve">” </w:t>
      </w:r>
      <w:r>
        <w:rPr>
          <w:rFonts w:ascii="Times New Roman" w:hAnsi="Times New Roman"/>
          <w:sz w:val="24"/>
          <w:szCs w:val="24"/>
          <w:rtl w:val="0"/>
          <w:lang w:val="en-US"/>
        </w:rPr>
        <w:t>(</w:t>
      </w:r>
      <w:r>
        <w:rPr>
          <w:rFonts w:ascii="Times New Roman" w:hAnsi="Times New Roman"/>
          <w:i w:val="1"/>
          <w:iCs w:val="1"/>
          <w:sz w:val="24"/>
          <w:szCs w:val="24"/>
          <w:rtl w:val="0"/>
          <w:lang w:val="en-US"/>
        </w:rPr>
        <w:t>Jer</w:t>
      </w:r>
      <w:r>
        <w:rPr>
          <w:rFonts w:ascii="Times New Roman" w:hAnsi="Times New Roman"/>
          <w:sz w:val="24"/>
          <w:szCs w:val="24"/>
          <w:rtl w:val="0"/>
          <w:lang w:val="en-US"/>
        </w:rPr>
        <w:t xml:space="preserve">. 22. 4).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reason for this lack of victory is because of sin. Jerome proceeds to cite 1 John 3:8 </w:t>
      </w:r>
      <w:r>
        <w:rPr>
          <w:rFonts w:ascii="Times New Roman" w:hAnsi="Times New Roman" w:hint="default"/>
          <w:sz w:val="24"/>
          <w:szCs w:val="24"/>
          <w:rtl w:val="0"/>
          <w:lang w:val="en-US"/>
        </w:rPr>
        <w:t>— ‘</w:t>
      </w:r>
      <w:r>
        <w:rPr>
          <w:rFonts w:ascii="Times New Roman" w:hAnsi="Times New Roman"/>
          <w:sz w:val="24"/>
          <w:szCs w:val="24"/>
          <w:rtl w:val="0"/>
          <w:lang w:val="en-US"/>
        </w:rPr>
        <w:t>Everyone who commits sin is a child of the devil; for the devil has been sinning from the beginning</w:t>
      </w:r>
      <w:r>
        <w:rPr>
          <w:rFonts w:ascii="Times New Roman" w:hAnsi="Times New Roman" w:hint="default"/>
          <w:sz w:val="24"/>
          <w:szCs w:val="24"/>
          <w:rtl w:val="0"/>
          <w:lang w:val="en-US"/>
        </w:rPr>
        <w:t xml:space="preserve">’ — </w:t>
      </w:r>
      <w:r>
        <w:rPr>
          <w:rFonts w:ascii="Times New Roman" w:hAnsi="Times New Roman"/>
          <w:sz w:val="24"/>
          <w:szCs w:val="24"/>
          <w:rtl w:val="0"/>
          <w:lang w:val="en-US"/>
        </w:rPr>
        <w:t>and this citation is indicative of the thought that underlies Jerome</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reasoning about the subject of virginity. Jerome believed that virginity was the original and natural state of humanity, and that marriage only came about </w:t>
      </w:r>
      <w:r>
        <w:rPr>
          <w:rFonts w:ascii="Times New Roman" w:hAnsi="Times New Roman"/>
          <w:sz w:val="24"/>
          <w:szCs w:val="24"/>
          <w:rtl w:val="0"/>
          <w:lang w:val="en-US"/>
        </w:rPr>
        <w:t xml:space="preserve">after the </w:t>
      </w:r>
      <w:r>
        <w:rPr>
          <w:rFonts w:ascii="Times New Roman" w:hAnsi="Times New Roman"/>
          <w:sz w:val="24"/>
          <w:szCs w:val="24"/>
          <w:rtl w:val="0"/>
          <w:lang w:val="en-US"/>
        </w:rPr>
        <w:t>F</w:t>
      </w:r>
      <w:r>
        <w:rPr>
          <w:rFonts w:ascii="Times New Roman" w:hAnsi="Times New Roman"/>
          <w:sz w:val="24"/>
          <w:szCs w:val="24"/>
          <w:rtl w:val="0"/>
        </w:rPr>
        <w:t>all</w:t>
      </w:r>
      <w:r>
        <w:rPr>
          <w:rFonts w:ascii="Times New Roman" w:hAnsi="Times New Roman"/>
          <w:sz w:val="24"/>
          <w:szCs w:val="24"/>
          <w:rtl w:val="0"/>
          <w:lang w:val="en-US"/>
        </w:rPr>
        <w:t xml:space="preserve"> caused by Adam and Eve </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the post-lapsarian world (Hunter 2007: 166). But it was not only marriage that was a product of the fall: it was procreation. Jerome often drew from Genesis 4:1 in order to demonstrate that Adam and Eve did not engage in sexual relations until after the Fall, and as a consequence sex and procreation were irrevocably associated with sin in Jerome</w:t>
      </w:r>
      <w:r>
        <w:rPr>
          <w:rFonts w:ascii="Times New Roman" w:hAnsi="Times New Roman" w:hint="default"/>
          <w:sz w:val="24"/>
          <w:szCs w:val="24"/>
          <w:rtl w:val="0"/>
          <w:lang w:val="en-US"/>
        </w:rPr>
        <w:t>’</w:t>
      </w:r>
      <w:r>
        <w:rPr>
          <w:rFonts w:ascii="Times New Roman" w:hAnsi="Times New Roman"/>
          <w:sz w:val="24"/>
          <w:szCs w:val="24"/>
          <w:rtl w:val="0"/>
          <w:lang w:val="en-US"/>
        </w:rPr>
        <w:t>s mind (Hunter 2007: 254).</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chapter 11 Jerome states that God does not take </w:t>
      </w:r>
      <w:r>
        <w:rPr>
          <w:rFonts w:ascii="Times New Roman" w:hAnsi="Times New Roman" w:hint="default"/>
          <w:sz w:val="24"/>
          <w:szCs w:val="24"/>
          <w:rtl w:val="0"/>
          <w:lang w:val="en-US"/>
        </w:rPr>
        <w:t>“</w:t>
      </w:r>
      <w:r>
        <w:rPr>
          <w:rFonts w:ascii="Times New Roman" w:hAnsi="Times New Roman"/>
          <w:sz w:val="24"/>
          <w:szCs w:val="24"/>
          <w:rtl w:val="0"/>
          <w:lang w:val="en-US"/>
        </w:rPr>
        <w:t>pleasure in a rumbling and empty stomach, or in fevered lungs; but that these are indispensable as means to the preservation of chastity.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For Jerome an ascetic diet serves the purpose of preserving virginity, and here he reiterates the point that it is in the sexual organs that the Devil has power over humanity (Adkin 2003: 90). In addition, Jerome touches upon a point which was made by fourth century priest Basil of Ancyra: that abstention from the belly</w:t>
      </w:r>
      <w:r>
        <w:rPr>
          <w:rFonts w:ascii="Times New Roman" w:hAnsi="Times New Roman" w:hint="default"/>
          <w:sz w:val="24"/>
          <w:szCs w:val="24"/>
          <w:rtl w:val="0"/>
          <w:lang w:val="en-US"/>
        </w:rPr>
        <w:t>’</w:t>
      </w:r>
      <w:r>
        <w:rPr>
          <w:rFonts w:ascii="Times New Roman" w:hAnsi="Times New Roman"/>
          <w:sz w:val="24"/>
          <w:szCs w:val="24"/>
          <w:rtl w:val="0"/>
          <w:lang w:val="en-US"/>
        </w:rPr>
        <w:t xml:space="preserve">s pleasures is not in itself good, but helps in achieving what is good (Adkin 2003: 91). If indeed Jerome also took view similar to this, as it seems likely he did, then a range of practices that Christian ascetics advocated were not in themselves of value, but only if they achieved a good end, in this case, remaining a virgin. We shall return to this idea in due course.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Jerome proceeds: </w:t>
      </w:r>
      <w:r>
        <w:rPr>
          <w:rFonts w:ascii="Times New Roman" w:hAnsi="Times New Roman" w:hint="default"/>
          <w:sz w:val="24"/>
          <w:szCs w:val="24"/>
          <w:rtl w:val="0"/>
          <w:lang w:val="en-US"/>
        </w:rPr>
        <w:t>“</w:t>
      </w:r>
      <w:r>
        <w:rPr>
          <w:rFonts w:ascii="Times New Roman" w:hAnsi="Times New Roman"/>
          <w:sz w:val="24"/>
          <w:szCs w:val="24"/>
          <w:rtl w:val="0"/>
          <w:lang w:val="en-US"/>
        </w:rPr>
        <w:t>I cannot bring myself to speak of the many virgins who daily fall and are lost to the bosom of the church, their mother: stars over which the proud foe sets up his throne</w:t>
      </w:r>
      <w:r>
        <w:rPr>
          <w:rFonts w:ascii="Times New Roman" w:hAnsi="Times New Roman" w:hint="default"/>
          <w:sz w:val="24"/>
          <w:szCs w:val="24"/>
          <w:rtl w:val="0"/>
          <w:lang w:val="en-US"/>
        </w:rPr>
        <w:t xml:space="preserve">” </w:t>
      </w:r>
      <w:r>
        <w:rPr>
          <w:rFonts w:ascii="Times New Roman" w:hAnsi="Times New Roman"/>
          <w:sz w:val="24"/>
          <w:szCs w:val="24"/>
          <w:rtl w:val="0"/>
          <w:lang w:val="en-US"/>
        </w:rPr>
        <w:t>(</w:t>
      </w:r>
      <w:r>
        <w:rPr>
          <w:rFonts w:ascii="Times New Roman" w:hAnsi="Times New Roman"/>
          <w:i w:val="1"/>
          <w:iCs w:val="1"/>
          <w:sz w:val="24"/>
          <w:szCs w:val="24"/>
          <w:rtl w:val="0"/>
          <w:lang w:val="en-US"/>
        </w:rPr>
        <w:t>Jer</w:t>
      </w:r>
      <w:r>
        <w:rPr>
          <w:rFonts w:ascii="Times New Roman" w:hAnsi="Times New Roman"/>
          <w:sz w:val="24"/>
          <w:szCs w:val="24"/>
          <w:rtl w:val="0"/>
          <w:lang w:val="en-US"/>
        </w:rPr>
        <w:t>. 22. 13). Clearly Jerome views these individuals as having become victims of Satan as a consequence of their loss of virginity, and expresses concerns that are connected with the ultimate fate of these souls, a concern that is amplified by the closing remarks he makes about the virgin</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reward. Karl Shuve notes that </w:t>
      </w:r>
      <w:r>
        <w:rPr>
          <w:rFonts w:ascii="Times New Roman" w:hAnsi="Times New Roman"/>
          <w:sz w:val="24"/>
          <w:szCs w:val="24"/>
          <w:rtl w:val="0"/>
        </w:rPr>
        <w:t>Jerome</w:t>
      </w:r>
      <w:r>
        <w:rPr>
          <w:rFonts w:ascii="Times New Roman" w:hAnsi="Times New Roman" w:hint="default"/>
          <w:sz w:val="24"/>
          <w:szCs w:val="24"/>
          <w:rtl w:val="0"/>
        </w:rPr>
        <w:t>’</w:t>
      </w:r>
      <w:r>
        <w:rPr>
          <w:rFonts w:ascii="Times New Roman" w:hAnsi="Times New Roman"/>
          <w:sz w:val="24"/>
          <w:szCs w:val="24"/>
          <w:rtl w:val="0"/>
          <w:lang w:val="en-US"/>
        </w:rPr>
        <w:t>s ascetic theory hinged upon the idea that virginity was in itself a form of consecrated marriage</w:t>
      </w:r>
      <w:r>
        <w:rPr>
          <w:rFonts w:ascii="Times New Roman" w:hAnsi="Times New Roman"/>
          <w:sz w:val="24"/>
          <w:szCs w:val="24"/>
          <w:rtl w:val="0"/>
          <w:lang w:val="en-US"/>
        </w:rPr>
        <w:t xml:space="preserve"> (Shuve 2016: 157). More specifically, that one experiences a marriage with Christ, as is evident in the opening chapter of the letter. However, though marriage is a product of the fall and is therefore tainted by sin, it was indeed permissible to Jerome. In this sense Gregory and Jerome share the same views on marriage, though Jerome</w:t>
      </w:r>
      <w:r>
        <w:rPr>
          <w:rFonts w:ascii="Times New Roman" w:hAnsi="Times New Roman" w:hint="default"/>
          <w:sz w:val="24"/>
          <w:szCs w:val="24"/>
          <w:rtl w:val="0"/>
          <w:lang w:val="en-US"/>
        </w:rPr>
        <w:t>’</w:t>
      </w:r>
      <w:r>
        <w:rPr>
          <w:rFonts w:ascii="Times New Roman" w:hAnsi="Times New Roman"/>
          <w:sz w:val="24"/>
          <w:szCs w:val="24"/>
          <w:rtl w:val="0"/>
          <w:lang w:val="en-US"/>
        </w:rPr>
        <w:t xml:space="preserve">s position is marginally the one that takes a dimmer view of the institution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that it was the lesser evil, as it were.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chapter 18, Jerome advises Eustochium to say to herself that the punishment inflicted on Eve for sin outlined in Genesis 3:16 </w:t>
      </w:r>
      <w:r>
        <w:rPr>
          <w:rFonts w:ascii="Times New Roman" w:hAnsi="Times New Roman" w:hint="default"/>
          <w:sz w:val="24"/>
          <w:szCs w:val="24"/>
          <w:rtl w:val="0"/>
          <w:lang w:val="en-US"/>
        </w:rPr>
        <w:t>— ‘…</w:t>
      </w:r>
      <w:r>
        <w:rPr>
          <w:rFonts w:ascii="Times New Roman" w:hAnsi="Times New Roman"/>
          <w:sz w:val="24"/>
          <w:szCs w:val="24"/>
          <w:rtl w:val="0"/>
          <w:lang w:val="en-US"/>
        </w:rPr>
        <w:t>in pain you shall bring forth children</w:t>
      </w:r>
      <w:r>
        <w:rPr>
          <w:rFonts w:ascii="Times New Roman" w:hAnsi="Times New Roman" w:hint="default"/>
          <w:sz w:val="24"/>
          <w:szCs w:val="24"/>
          <w:rtl w:val="0"/>
          <w:lang w:val="en-US"/>
        </w:rPr>
        <w:t xml:space="preserve">…’ — </w:t>
      </w:r>
      <w:r>
        <w:rPr>
          <w:rFonts w:ascii="Times New Roman" w:hAnsi="Times New Roman"/>
          <w:sz w:val="24"/>
          <w:szCs w:val="24"/>
          <w:rtl w:val="0"/>
          <w:lang w:val="en-US"/>
        </w:rPr>
        <w:t xml:space="preserve">is not valid for her, as </w:t>
      </w:r>
      <w:r>
        <w:rPr>
          <w:rFonts w:ascii="Times New Roman" w:hAnsi="Times New Roman" w:hint="default"/>
          <w:sz w:val="24"/>
          <w:szCs w:val="24"/>
          <w:rtl w:val="0"/>
          <w:lang w:val="en-US"/>
        </w:rPr>
        <w:t>“</w:t>
      </w:r>
      <w:r>
        <w:rPr>
          <w:rFonts w:ascii="Times New Roman" w:hAnsi="Times New Roman"/>
          <w:sz w:val="24"/>
          <w:szCs w:val="24"/>
          <w:rtl w:val="0"/>
          <w:lang w:val="en-US"/>
        </w:rPr>
        <w:t>That is a law for married women, not for me.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when God continues and states that the husband shall rule over the wife, </w:t>
      </w:r>
      <w:r>
        <w:rPr>
          <w:rFonts w:ascii="Times New Roman" w:hAnsi="Times New Roman" w:hint="default"/>
          <w:sz w:val="24"/>
          <w:szCs w:val="24"/>
          <w:rtl w:val="0"/>
        </w:rPr>
        <w:t>“</w:t>
      </w:r>
      <w:r>
        <w:rPr>
          <w:rFonts w:ascii="Times New Roman" w:hAnsi="Times New Roman"/>
          <w:sz w:val="24"/>
          <w:szCs w:val="24"/>
          <w:rtl w:val="0"/>
          <w:lang w:val="en-US"/>
        </w:rPr>
        <w:t>Let her desire be to her husband who has not Christ for her spouse.</w:t>
      </w:r>
      <w:r>
        <w:rPr>
          <w:rFonts w:ascii="Times New Roman" w:hAnsi="Times New Roman" w:hint="default"/>
          <w:sz w:val="24"/>
          <w:szCs w:val="24"/>
          <w:rtl w:val="0"/>
        </w:rPr>
        <w:t>”</w:t>
      </w:r>
      <w:r>
        <w:rPr>
          <w:rFonts w:ascii="Times New Roman" w:hAnsi="Times New Roman"/>
          <w:sz w:val="24"/>
          <w:szCs w:val="24"/>
          <w:rtl w:val="0"/>
          <w:lang w:val="en-US"/>
        </w:rPr>
        <w:t xml:space="preserve"> Hunter states that by making this recommendation, Jerome suggests that the Christian virgin could return to </w:t>
      </w:r>
      <w:r>
        <w:rPr>
          <w:rFonts w:ascii="Times New Roman" w:hAnsi="Times New Roman" w:hint="default"/>
          <w:sz w:val="24"/>
          <w:szCs w:val="24"/>
          <w:rtl w:val="0"/>
          <w:lang w:val="en-US"/>
        </w:rPr>
        <w:t>‘</w:t>
      </w:r>
      <w:r>
        <w:rPr>
          <w:rFonts w:ascii="Times New Roman" w:hAnsi="Times New Roman"/>
          <w:sz w:val="24"/>
          <w:szCs w:val="24"/>
          <w:rtl w:val="0"/>
          <w:lang w:val="en-US"/>
        </w:rPr>
        <w:t>the paradise of virginity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that existed before the Fall (2007: 167), a return that resembles the stated aim of Gregory of Nyssa, especially in the emphasis on the association between marriage and pain via children. In chapter 19, Jerome makes it clear that he does not attack marriage, but instead regards virginity as superior (Adkin 2003: 153), again bearing a resemblance to the theology of Gregory. In response to criticism that he attacks marriage, which is ordained by God, he states </w:t>
      </w:r>
      <w:r>
        <w:rPr>
          <w:rFonts w:ascii="Times New Roman" w:hAnsi="Times New Roman" w:hint="default"/>
          <w:sz w:val="24"/>
          <w:szCs w:val="24"/>
          <w:rtl w:val="0"/>
          <w:lang w:val="en-US"/>
        </w:rPr>
        <w:t>“</w:t>
      </w:r>
      <w:r>
        <w:rPr>
          <w:rFonts w:ascii="Times New Roman" w:hAnsi="Times New Roman"/>
          <w:sz w:val="24"/>
          <w:szCs w:val="24"/>
          <w:rtl w:val="0"/>
          <w:lang w:val="en-US"/>
        </w:rPr>
        <w:t>I do not detract from wedlock when I set virginity before it. No one compares a bad thing with a good.</w:t>
      </w:r>
      <w:r>
        <w:rPr>
          <w:rFonts w:ascii="Times New Roman" w:hAnsi="Times New Roman" w:hint="default"/>
          <w:sz w:val="24"/>
          <w:szCs w:val="24"/>
          <w:rtl w:val="0"/>
          <w:lang w:val="en-US"/>
        </w:rPr>
        <w:t xml:space="preserve">”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However, Adkin notes that this chapter is one in which a clear argument is hardly discernible (2003: 153), and although Jerome states that he does not condemn marriage, it is clearly viewed in a less than favourable light. What is clear in this chapter, however, is that like many ascetic teachers of the 4th century, Jerome noted that the </w:t>
      </w:r>
      <w:r>
        <w:rPr>
          <w:rFonts w:ascii="Times New Roman" w:hAnsi="Times New Roman" w:hint="default"/>
          <w:sz w:val="24"/>
          <w:szCs w:val="24"/>
          <w:rtl w:val="0"/>
          <w:lang w:val="en-US"/>
        </w:rPr>
        <w:t>‘</w:t>
      </w:r>
      <w:r>
        <w:rPr>
          <w:rFonts w:ascii="Times New Roman" w:hAnsi="Times New Roman"/>
          <w:sz w:val="24"/>
          <w:szCs w:val="24"/>
          <w:rtl w:val="0"/>
          <w:lang w:val="en-US"/>
        </w:rPr>
        <w:t>increase and multiply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command of Genesis 1:28 was one that was only fulfilled after the sin of Adam and Eve (Hunter 2007: 165). He notes that </w:t>
      </w:r>
      <w:r>
        <w:rPr>
          <w:rFonts w:ascii="Times New Roman" w:hAnsi="Times New Roman" w:hint="default"/>
          <w:sz w:val="24"/>
          <w:szCs w:val="24"/>
          <w:rtl w:val="0"/>
          <w:lang w:val="en-US"/>
        </w:rPr>
        <w:t>“</w:t>
      </w:r>
      <w:r>
        <w:rPr>
          <w:rFonts w:ascii="Times New Roman" w:hAnsi="Times New Roman"/>
          <w:sz w:val="24"/>
          <w:szCs w:val="24"/>
          <w:rtl w:val="0"/>
          <w:lang w:val="en-US"/>
        </w:rPr>
        <w:t>He who desires to replenish the earth may increase and multiply if he will. But the train to which you</w:t>
      </w:r>
      <w:r>
        <w:rPr>
          <w:rFonts w:ascii="Times New Roman" w:hAnsi="Times New Roman"/>
          <w:sz w:val="24"/>
          <w:szCs w:val="24"/>
          <w:rtl w:val="0"/>
          <w:lang w:val="en-US"/>
        </w:rPr>
        <w:t xml:space="preserve"> [Eustochium]</w:t>
      </w:r>
      <w:r>
        <w:rPr>
          <w:rFonts w:ascii="Times New Roman" w:hAnsi="Times New Roman"/>
          <w:sz w:val="24"/>
          <w:szCs w:val="24"/>
          <w:rtl w:val="0"/>
          <w:lang w:val="en-US"/>
        </w:rPr>
        <w:t xml:space="preserve"> belong is not on earth, but in heaven.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Clearly one can procreate if they wish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but in so doing they are not engaged in a course of action that will lead them to heaven. The virgin, on the other hand, is. This is evident in the final chapter of the letter, in which Jerome describes the rewards that the virgin will receive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 reception by Christ himself, Mary, and a host of other saints, which Jerome concludes by exhorting the reader to counter the temptations of worldliness by reflection on this future state (Adkin 2003: 397).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center"/>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Analysis</w:t>
      </w:r>
    </w:p>
    <w:p>
      <w:pPr>
        <w:pStyle w:val="Body"/>
        <w:spacing w:line="360" w:lineRule="auto"/>
        <w:ind w:left="283" w:right="284" w:firstLine="0"/>
        <w:jc w:val="center"/>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All told, Jerome fixated on the position of the Fall and the implications that it had for human life. These implications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marriage </w:t>
      </w:r>
      <w:r>
        <w:rPr>
          <w:rFonts w:ascii="Times New Roman" w:hAnsi="Times New Roman"/>
          <w:i w:val="1"/>
          <w:iCs w:val="1"/>
          <w:sz w:val="24"/>
          <w:szCs w:val="24"/>
          <w:rtl w:val="0"/>
          <w:lang w:val="en-US"/>
        </w:rPr>
        <w:t>and</w:t>
      </w:r>
      <w:r>
        <w:rPr>
          <w:rFonts w:ascii="Times New Roman" w:hAnsi="Times New Roman"/>
          <w:sz w:val="24"/>
          <w:szCs w:val="24"/>
          <w:rtl w:val="0"/>
          <w:lang w:val="en-US"/>
        </w:rPr>
        <w:t xml:space="preserve"> procreation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were in the case of the former tainted by evil, and in the latter, almost certainly associated with intercourse and therefore sin. Gregory too had the Fall in mind when he composed </w:t>
      </w:r>
      <w:r>
        <w:rPr>
          <w:rFonts w:ascii="Times New Roman" w:hAnsi="Times New Roman"/>
          <w:i w:val="1"/>
          <w:iCs w:val="1"/>
          <w:sz w:val="24"/>
          <w:szCs w:val="24"/>
          <w:rtl w:val="0"/>
          <w:lang w:val="en-US"/>
        </w:rPr>
        <w:t>De virginitate</w:t>
      </w:r>
      <w:r>
        <w:rPr>
          <w:rFonts w:ascii="Times New Roman" w:hAnsi="Times New Roman"/>
          <w:sz w:val="24"/>
          <w:szCs w:val="24"/>
          <w:rtl w:val="0"/>
          <w:lang w:val="en-US"/>
        </w:rPr>
        <w:t xml:space="preserve"> but did not view marriage and sex as evil, despite both being products of the Fall, and instead wished to encourage Christians to transcend these obstacles which were preventing humanity from experiencing its true beauty and an enhanced relationship with God. Despite these differences, </w:t>
      </w:r>
      <w:r>
        <w:rPr>
          <w:rFonts w:ascii="Times New Roman" w:hAnsi="Times New Roman"/>
          <w:sz w:val="24"/>
          <w:szCs w:val="24"/>
          <w:rtl w:val="0"/>
          <w:lang w:val="en-US"/>
        </w:rPr>
        <w:t>Jerome and Gregory shared similar view</w:t>
      </w:r>
      <w:r>
        <w:rPr>
          <w:rFonts w:ascii="Times New Roman" w:hAnsi="Times New Roman"/>
          <w:sz w:val="24"/>
          <w:szCs w:val="24"/>
          <w:rtl w:val="0"/>
          <w:lang w:val="en-US"/>
        </w:rPr>
        <w:t>s about a return to, or at least a taste of, the paradise before the fall. More significantly, they both wished to see the same conclusion come to fruition: the end of procreation, Gregory directly, and Jerome indirectly (by indirectly is meant that whilst Jerome did not explicitly state that procreation had to cease [at least in Letter 22], it was a natural consequence of becoming virginal).</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can be seen, Gregory of Nyssa and Jerome arrived at much the same conclusion, but with significant variations in approach. But what about the wider Christian context in which they resided? We shall now examine this in more detail, beginning with biblical passages that support the notion of Christian </w:t>
      </w:r>
      <w:r>
        <w:rPr>
          <w:rFonts w:ascii="Times New Roman" w:hAnsi="Times New Roman" w:hint="default"/>
          <w:sz w:val="24"/>
          <w:szCs w:val="24"/>
          <w:rtl w:val="0"/>
          <w:lang w:val="en-US"/>
        </w:rPr>
        <w:t>‘</w:t>
      </w:r>
      <w:r>
        <w:rPr>
          <w:rFonts w:ascii="Times New Roman" w:hAnsi="Times New Roman"/>
          <w:sz w:val="24"/>
          <w:szCs w:val="24"/>
          <w:rtl w:val="0"/>
          <w:lang w:val="en-US"/>
        </w:rPr>
        <w:t>antinatalism</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both the form of Gregory and Jerome, as well as in a general sense. There are numerous biblical verses that act as a source for this notion, and Jesus himself was partly responsible for the fractures that ran between early Christianity</w:t>
      </w:r>
      <w:r>
        <w:rPr>
          <w:rFonts w:ascii="Times New Roman" w:hAnsi="Times New Roman" w:hint="default"/>
          <w:sz w:val="24"/>
          <w:szCs w:val="24"/>
          <w:rtl w:val="0"/>
          <w:lang w:val="en-US"/>
        </w:rPr>
        <w:t>’</w:t>
      </w:r>
      <w:r>
        <w:rPr>
          <w:rFonts w:ascii="Times New Roman" w:hAnsi="Times New Roman"/>
          <w:sz w:val="24"/>
          <w:szCs w:val="24"/>
          <w:rtl w:val="0"/>
          <w:lang w:val="en-US"/>
        </w:rPr>
        <w:t>s notions on the question of marriage and sexuality (Hunter 2007: 87). Richard Finn believes that Luke 20:34</w:t>
      </w:r>
      <w:r>
        <w:rPr>
          <w:rFonts w:ascii="Times New Roman" w:hAnsi="Times New Roman" w:hint="default"/>
          <w:sz w:val="24"/>
          <w:szCs w:val="24"/>
          <w:rtl w:val="0"/>
          <w:lang w:val="en-US"/>
        </w:rPr>
        <w:t>–</w:t>
      </w:r>
      <w:r>
        <w:rPr>
          <w:rFonts w:ascii="Times New Roman" w:hAnsi="Times New Roman"/>
          <w:sz w:val="24"/>
          <w:szCs w:val="24"/>
          <w:rtl w:val="0"/>
          <w:lang w:val="en-US"/>
        </w:rPr>
        <w:t xml:space="preserve">36, which contrasts those who marry with those who remain unmarried and are equal to sons of God, makes it </w:t>
      </w:r>
      <w:r>
        <w:rPr>
          <w:rFonts w:ascii="Times New Roman" w:hAnsi="Times New Roman" w:hint="default"/>
          <w:sz w:val="24"/>
          <w:szCs w:val="24"/>
          <w:rtl w:val="0"/>
          <w:lang w:val="en-US"/>
        </w:rPr>
        <w:t>“</w:t>
      </w:r>
      <w:r>
        <w:rPr>
          <w:rFonts w:ascii="Times New Roman" w:hAnsi="Times New Roman"/>
          <w:sz w:val="24"/>
          <w:szCs w:val="24"/>
          <w:rtl w:val="0"/>
          <w:lang w:val="en-US"/>
        </w:rPr>
        <w:t>easy to argue from such a contrast that to remain single, or to refrain from intercourse if married, was the truly Christian stance, an entry into the sexless life of heaven</w:t>
      </w:r>
      <w:r>
        <w:rPr>
          <w:rFonts w:ascii="Times New Roman" w:hAnsi="Times New Roman" w:hint="default"/>
          <w:sz w:val="24"/>
          <w:szCs w:val="24"/>
          <w:rtl w:val="0"/>
          <w:lang w:val="en-US"/>
        </w:rPr>
        <w:t xml:space="preserve">” </w:t>
      </w:r>
      <w:r>
        <w:rPr>
          <w:rFonts w:ascii="Times New Roman" w:hAnsi="Times New Roman"/>
          <w:sz w:val="24"/>
          <w:szCs w:val="24"/>
          <w:rtl w:val="0"/>
          <w:lang w:val="en-US"/>
        </w:rPr>
        <w:t>(2009: 82). Luke 23:28</w:t>
      </w:r>
      <w:r>
        <w:rPr>
          <w:rFonts w:ascii="Times New Roman" w:hAnsi="Times New Roman" w:hint="default"/>
          <w:sz w:val="24"/>
          <w:szCs w:val="24"/>
          <w:rtl w:val="0"/>
          <w:lang w:val="en-US"/>
        </w:rPr>
        <w:t>–</w:t>
      </w:r>
      <w:r>
        <w:rPr>
          <w:rFonts w:ascii="Times New Roman" w:hAnsi="Times New Roman"/>
          <w:sz w:val="24"/>
          <w:szCs w:val="24"/>
          <w:rtl w:val="0"/>
          <w:lang w:val="en-US"/>
        </w:rPr>
        <w:t xml:space="preserve">29 features Jesus, on his way to his demise at Golgotha, proclaiming </w:t>
      </w:r>
      <w:r>
        <w:rPr>
          <w:rFonts w:ascii="Times New Roman" w:hAnsi="Times New Roman" w:hint="default"/>
          <w:sz w:val="24"/>
          <w:szCs w:val="24"/>
          <w:rtl w:val="0"/>
          <w:lang w:val="en-US"/>
        </w:rPr>
        <w:t>‘</w:t>
      </w:r>
      <w:r>
        <w:rPr>
          <w:rFonts w:ascii="Times New Roman" w:hAnsi="Times New Roman"/>
          <w:sz w:val="24"/>
          <w:szCs w:val="24"/>
          <w:rtl w:val="0"/>
          <w:lang w:val="en-US"/>
        </w:rPr>
        <w:t>Blessed are the barren, and the wombs that never bore, and the breasts that never nursed</w:t>
      </w:r>
      <w:r>
        <w:rPr>
          <w:rFonts w:ascii="Times New Roman" w:hAnsi="Times New Roman"/>
          <w:sz w:val="24"/>
          <w:szCs w:val="24"/>
          <w:rtl w:val="0"/>
          <w:lang w:val="en-US"/>
        </w:rPr>
        <w: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If we were to view such a passage from the perspective of Jerome, for instance, we could read in it the meaning that those who do not engage in intercourse/have children are blessed because they are not committing sin. </w:t>
      </w:r>
      <w:r>
        <w:rPr>
          <w:rFonts w:ascii="Times New Roman" w:hAnsi="Times New Roman"/>
          <w:sz w:val="24"/>
          <w:szCs w:val="24"/>
          <w:rtl w:val="0"/>
          <w:lang w:val="en-US"/>
        </w:rPr>
        <w:t xml:space="preserve">When Jesus states in Matthew 19:12 that </w:t>
      </w:r>
      <w:r>
        <w:rPr>
          <w:rFonts w:ascii="Times New Roman" w:hAnsi="Times New Roman" w:hint="default"/>
          <w:sz w:val="24"/>
          <w:szCs w:val="24"/>
          <w:rtl w:val="0"/>
        </w:rPr>
        <w:t>‘</w:t>
      </w:r>
      <w:r>
        <w:rPr>
          <w:rFonts w:ascii="Times New Roman" w:hAnsi="Times New Roman"/>
          <w:sz w:val="24"/>
          <w:szCs w:val="24"/>
          <w:rtl w:val="0"/>
          <w:lang w:val="en-US"/>
        </w:rPr>
        <w:t>there are eunuchs who have made themselves eunuchs for the sake of the kingdom of heaven</w:t>
      </w:r>
      <w:r>
        <w:rPr>
          <w:rFonts w:ascii="Times New Roman" w:hAnsi="Times New Roman" w:hint="default"/>
          <w:sz w:val="24"/>
          <w:szCs w:val="24"/>
          <w:rtl w:val="0"/>
        </w:rPr>
        <w:t>’</w:t>
      </w:r>
      <w:r>
        <w:rPr>
          <w:rFonts w:ascii="Times New Roman" w:hAnsi="Times New Roman"/>
          <w:sz w:val="24"/>
          <w:szCs w:val="24"/>
          <w:rtl w:val="0"/>
          <w:lang w:val="en-US"/>
        </w:rPr>
        <w:t>, it appears that the sayings that have been mentioned indicate that entry into the kingdom of heaven would entail the renunciation of marriage, sex, and family life (Hunter 2007: 88).</w:t>
      </w:r>
      <w:r>
        <w:rPr>
          <w:rFonts w:ascii="Times New Roman" w:hAnsi="Times New Roman"/>
          <w:sz w:val="24"/>
          <w:szCs w:val="24"/>
          <w:rtl w:val="0"/>
          <w:lang w:val="en-US"/>
        </w:rPr>
        <w:t xml:space="preserve"> Though these passages are, as with any biblical quotation, subject to interpretation, they nevertheless could be seen as advocating the end of procreation. In the words of Richard Finn, </w:t>
      </w:r>
      <w:r>
        <w:rPr>
          <w:rFonts w:ascii="Times New Roman" w:hAnsi="Times New Roman" w:hint="default"/>
          <w:sz w:val="24"/>
          <w:szCs w:val="24"/>
          <w:rtl w:val="0"/>
          <w:lang w:val="en-US"/>
        </w:rPr>
        <w:t>“</w:t>
      </w:r>
      <w:r>
        <w:rPr>
          <w:rFonts w:ascii="Times New Roman" w:hAnsi="Times New Roman"/>
          <w:sz w:val="24"/>
          <w:szCs w:val="24"/>
          <w:rtl w:val="0"/>
          <w:lang w:val="en-US"/>
        </w:rPr>
        <w:t>These texts clearly promoted sexual abstention, although they could be variously interpreted and interrelated to sanction different forms of abstention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(2009: 82).</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What of other texts in circulation during the early period of Christianity? The apocryphal </w:t>
      </w:r>
      <w:r>
        <w:rPr>
          <w:rFonts w:ascii="Times New Roman" w:hAnsi="Times New Roman"/>
          <w:i w:val="1"/>
          <w:iCs w:val="1"/>
          <w:sz w:val="24"/>
          <w:szCs w:val="24"/>
          <w:rtl w:val="0"/>
          <w:lang w:val="en-US"/>
        </w:rPr>
        <w:t>Gospel of Thomas</w:t>
      </w:r>
      <w:r>
        <w:rPr>
          <w:rFonts w:ascii="Times New Roman" w:hAnsi="Times New Roman"/>
          <w:sz w:val="24"/>
          <w:szCs w:val="24"/>
          <w:rtl w:val="0"/>
          <w:lang w:val="en-US"/>
        </w:rPr>
        <w:t xml:space="preserve"> advocated sexual abstention, and in one instance Jesus promises to reveal himself to his disciples once they can undress without shame (Finn 2009: 82</w:t>
      </w:r>
      <w:r>
        <w:rPr>
          <w:rFonts w:ascii="Times New Roman" w:hAnsi="Times New Roman" w:hint="default"/>
          <w:sz w:val="24"/>
          <w:szCs w:val="24"/>
          <w:rtl w:val="0"/>
          <w:lang w:val="en-US"/>
        </w:rPr>
        <w:t>–</w:t>
      </w:r>
      <w:r>
        <w:rPr>
          <w:rFonts w:ascii="Times New Roman" w:hAnsi="Times New Roman"/>
          <w:sz w:val="24"/>
          <w:szCs w:val="24"/>
          <w:rtl w:val="0"/>
          <w:lang w:val="en-US"/>
        </w:rPr>
        <w:t xml:space="preserve">83). Finn suggests that this may allude to stripping for baptism, but it more likely teaches sexual renunciation as the reversal of the Fall, when Adam and Eve became ashamed of their nakedness (2009: 83). Both Gregory and Jerome, whose theologies focused on the role of the Fall, appears to mirror this teaching. Some texts were clearer than others about the nature of the consequences of sexual renunciation. Another apocryphal text, </w:t>
      </w:r>
      <w:r>
        <w:rPr>
          <w:rFonts w:ascii="Times New Roman" w:hAnsi="Times New Roman"/>
          <w:i w:val="1"/>
          <w:iCs w:val="1"/>
          <w:sz w:val="24"/>
          <w:szCs w:val="24"/>
          <w:rtl w:val="0"/>
          <w:lang w:val="en-US"/>
        </w:rPr>
        <w:t>Gospel of the Egyptians</w:t>
      </w:r>
      <w:r>
        <w:rPr>
          <w:rFonts w:ascii="Times New Roman" w:hAnsi="Times New Roman"/>
          <w:sz w:val="24"/>
          <w:szCs w:val="24"/>
          <w:rtl w:val="0"/>
          <w:lang w:val="en-US"/>
        </w:rPr>
        <w:t xml:space="preserve">, which possibly dates to the mid-second century, reused sayings from the </w:t>
      </w:r>
      <w:r>
        <w:rPr>
          <w:rFonts w:ascii="Times New Roman" w:hAnsi="Times New Roman"/>
          <w:i w:val="1"/>
          <w:iCs w:val="1"/>
          <w:sz w:val="24"/>
          <w:szCs w:val="24"/>
          <w:rtl w:val="0"/>
          <w:lang w:val="en-US"/>
        </w:rPr>
        <w:t>Gospel of Thomas</w:t>
      </w:r>
      <w:r>
        <w:rPr>
          <w:rFonts w:ascii="Times New Roman" w:hAnsi="Times New Roman"/>
          <w:sz w:val="24"/>
          <w:szCs w:val="24"/>
          <w:rtl w:val="0"/>
          <w:lang w:val="en-US"/>
        </w:rPr>
        <w:t xml:space="preserve"> in the form of a dialogue between Jesus and Salome, and regarding the topic of childbirth it is emphatic: Salome asks how long the power of death will last, to which comes the reply </w:t>
      </w:r>
      <w:r>
        <w:rPr>
          <w:rFonts w:ascii="Times New Roman" w:hAnsi="Times New Roman" w:hint="default"/>
          <w:sz w:val="24"/>
          <w:szCs w:val="24"/>
          <w:rtl w:val="0"/>
          <w:lang w:val="en-US"/>
        </w:rPr>
        <w:t>‘</w:t>
      </w:r>
      <w:r>
        <w:rPr>
          <w:rFonts w:ascii="Times New Roman" w:hAnsi="Times New Roman"/>
          <w:sz w:val="24"/>
          <w:szCs w:val="24"/>
          <w:rtl w:val="0"/>
          <w:lang w:val="en-US"/>
        </w:rPr>
        <w:t>as long as women bear children</w:t>
      </w:r>
      <w:r>
        <w:rPr>
          <w:rFonts w:ascii="Times New Roman" w:hAnsi="Times New Roman" w:hint="default"/>
          <w:sz w:val="24"/>
          <w:szCs w:val="24"/>
          <w:rtl w:val="0"/>
          <w:lang w:val="en-US"/>
        </w:rPr>
        <w:t xml:space="preserve">’ </w:t>
      </w:r>
      <w:r>
        <w:rPr>
          <w:rFonts w:ascii="Times New Roman" w:hAnsi="Times New Roman"/>
          <w:sz w:val="24"/>
          <w:szCs w:val="24"/>
          <w:rtl w:val="0"/>
          <w:lang w:val="en-US"/>
        </w:rPr>
        <w:t>(Finn: 2009: 83). This is most similar to Gregory</w:t>
      </w:r>
      <w:r>
        <w:rPr>
          <w:rFonts w:ascii="Times New Roman" w:hAnsi="Times New Roman" w:hint="default"/>
          <w:sz w:val="24"/>
          <w:szCs w:val="24"/>
          <w:rtl w:val="0"/>
          <w:lang w:val="en-US"/>
        </w:rPr>
        <w:t>’</w:t>
      </w:r>
      <w:r>
        <w:rPr>
          <w:rFonts w:ascii="Times New Roman" w:hAnsi="Times New Roman"/>
          <w:sz w:val="24"/>
          <w:szCs w:val="24"/>
          <w:rtl w:val="0"/>
          <w:lang w:val="en-US"/>
        </w:rPr>
        <w:t xml:space="preserve">s outlook.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Clearly those who argued for renunciation of marriage, sex, and therefore procreation, were justified in presenting such a viewpoint. But we shall turn to the thesis of this essay: that a cessation of procreation was the central ascetic practice for early Christians. The crux of this argument is that abstinence from sex is a common ascetic theme, and consequently, abstinence from it logically entails the lack of childbirth. Montanism was a prophetic apocalyptic movement that emerged in the late second century, in which the prophets Montanus, Priscilla and </w:t>
      </w:r>
      <w:r>
        <w:rPr>
          <w:rFonts w:ascii="Times New Roman" w:hAnsi="Times New Roman"/>
          <w:sz w:val="24"/>
          <w:szCs w:val="24"/>
          <w:rtl w:val="0"/>
          <w:lang w:val="es-ES_tradnl"/>
        </w:rPr>
        <w:t>Maximilla</w:t>
      </w:r>
      <w:r>
        <w:rPr>
          <w:rFonts w:ascii="Times New Roman" w:hAnsi="Times New Roman"/>
          <w:sz w:val="24"/>
          <w:szCs w:val="24"/>
          <w:rtl w:val="0"/>
          <w:lang w:val="en-US"/>
        </w:rPr>
        <w:t xml:space="preserve"> proclaimed the dawning of a new age in which prolonged fasting and abstaining from sex, amongst other ascetic practices, was necessary to receive the Holy Spirit (Hunter 2007: 117). Indeed, in Montanism we see the adherence to an ascetic diet  </w:t>
      </w:r>
      <w:r>
        <w:rPr>
          <w:rFonts w:ascii="Times New Roman" w:hAnsi="Times New Roman"/>
          <w:sz w:val="24"/>
          <w:szCs w:val="24"/>
          <w:rtl w:val="0"/>
          <w:lang w:val="en-US"/>
        </w:rPr>
        <w:t>towards a common purpose</w:t>
      </w:r>
      <w:r>
        <w:rPr>
          <w:rFonts w:ascii="Times New Roman" w:hAnsi="Times New Roman"/>
          <w:sz w:val="24"/>
          <w:szCs w:val="24"/>
          <w:rtl w:val="0"/>
          <w:lang w:val="en-US"/>
        </w:rPr>
        <w:t>: the avoidance of sexual acts, as for two weeks in the year the Montanists practiced xerophagy: from Monday to Friday they would avoid wine, succulent meat and fruits, the reasoning being that the moisture of these foods fuelled sexual appetite (Finn 2009: 65). This view is echoed in Jerome</w:t>
      </w:r>
      <w:r>
        <w:rPr>
          <w:rFonts w:ascii="Times New Roman" w:hAnsi="Times New Roman" w:hint="default"/>
          <w:sz w:val="24"/>
          <w:szCs w:val="24"/>
          <w:rtl w:val="0"/>
          <w:lang w:val="en-US"/>
        </w:rPr>
        <w:t>’</w:t>
      </w:r>
      <w:r>
        <w:rPr>
          <w:rFonts w:ascii="Times New Roman" w:hAnsi="Times New Roman"/>
          <w:sz w:val="24"/>
          <w:szCs w:val="24"/>
          <w:rtl w:val="0"/>
          <w:lang w:val="en-US"/>
        </w:rPr>
        <w:t xml:space="preserve">s letter 22 to Eustochium, when it was inferred that ascetic acts are not in themselves good, but the end to which the serve the purpose of fulfilling is. Therefore, one could argue that the ascetic acts of fasting/observing a diet were peripheral unless they served a purpose: namely, to prevent sexual intercourse, and thus stop procreation. Sexual renunciation is the main aim, according to the Montanists, and other ascetic practices are geared toward achieving that aim. Therefore, remaining childless, a consequence of this renunciation, could be viewed as the main ascetic practice.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There was, of course, a sort of middle ground between the various ascetic extremes. A little known Latin dialogue, </w:t>
      </w:r>
      <w:r>
        <w:rPr>
          <w:rFonts w:ascii="Times New Roman" w:hAnsi="Times New Roman"/>
          <w:i w:val="1"/>
          <w:iCs w:val="1"/>
          <w:sz w:val="24"/>
          <w:szCs w:val="24"/>
          <w:rtl w:val="0"/>
          <w:lang w:val="it-IT"/>
        </w:rPr>
        <w:t>Consultationes Zacchaei et Apollonii</w:t>
      </w:r>
      <w:r>
        <w:rPr>
          <w:rFonts w:ascii="Times New Roman" w:hAnsi="Times New Roman"/>
          <w:sz w:val="24"/>
          <w:szCs w:val="24"/>
          <w:rtl w:val="0"/>
          <w:lang w:val="en-US"/>
        </w:rPr>
        <w:t xml:space="preserve">, penned by an anonymous author probably around 394 AD (Hunter 2007: 250), is one such example of a compromise between the position advocated by Jerome and that of Jovinian, the author of a polemic against the  type of asceticism encouraged by the former. Although this anonymous author clearly favoured the ascetic way of life, he permitted wealth, land, possessions, and, most significantly for this examination, </w:t>
      </w:r>
      <w:r>
        <w:rPr>
          <w:rFonts w:ascii="Times New Roman" w:hAnsi="Times New Roman"/>
          <w:sz w:val="24"/>
          <w:szCs w:val="24"/>
          <w:rtl w:val="0"/>
          <w:lang w:val="en-US"/>
        </w:rPr>
        <w:t>marriage</w:t>
      </w:r>
      <w:r>
        <w:rPr>
          <w:rFonts w:ascii="Times New Roman" w:hAnsi="Times New Roman"/>
          <w:sz w:val="24"/>
          <w:szCs w:val="24"/>
          <w:rtl w:val="0"/>
          <w:lang w:val="en-US"/>
        </w:rPr>
        <w:t xml:space="preserve"> and children (Claussen in Hunter 2007: 251). He argued that honourable marriages did not displease God, neither did a love of the marriage bed when used for the procreation of children (Hunter 2007: 251). A life of ascetic renunciation was not required of all Christians, and for the </w:t>
      </w:r>
      <w:r>
        <w:rPr>
          <w:rFonts w:ascii="Times New Roman" w:hAnsi="Times New Roman" w:hint="default"/>
          <w:sz w:val="24"/>
          <w:szCs w:val="24"/>
          <w:rtl w:val="0"/>
          <w:lang w:val="en-US"/>
        </w:rPr>
        <w:t>‘</w:t>
      </w:r>
      <w:r>
        <w:rPr>
          <w:rFonts w:ascii="Times New Roman" w:hAnsi="Times New Roman"/>
          <w:sz w:val="24"/>
          <w:szCs w:val="24"/>
          <w:rtl w:val="0"/>
          <w:lang w:val="en-US"/>
        </w:rPr>
        <w:t>average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believer (or </w:t>
      </w:r>
      <w:r>
        <w:rPr>
          <w:rFonts w:ascii="Times New Roman" w:hAnsi="Times New Roman"/>
          <w:i w:val="1"/>
          <w:iCs w:val="1"/>
          <w:sz w:val="24"/>
          <w:szCs w:val="24"/>
          <w:rtl w:val="0"/>
          <w:lang w:val="en-US"/>
        </w:rPr>
        <w:t>mediocres</w:t>
      </w:r>
      <w:r>
        <w:rPr>
          <w:rFonts w:ascii="Times New Roman" w:hAnsi="Times New Roman"/>
          <w:sz w:val="24"/>
          <w:szCs w:val="24"/>
          <w:rtl w:val="0"/>
          <w:lang w:val="en-US"/>
        </w:rPr>
        <w:t>) it was sufficient to adopt moderation and sobriety; h</w:t>
      </w:r>
      <w:r>
        <w:rPr>
          <w:rFonts w:ascii="Times New Roman" w:hAnsi="Times New Roman"/>
          <w:sz w:val="24"/>
          <w:szCs w:val="24"/>
          <w:rtl w:val="0"/>
          <w:lang w:val="en-US"/>
        </w:rPr>
        <w:t>owever, asceticism did merit a higher reward in heaven</w:t>
      </w:r>
      <w:r>
        <w:rPr>
          <w:rFonts w:ascii="Times New Roman" w:hAnsi="Times New Roman"/>
          <w:sz w:val="24"/>
          <w:szCs w:val="24"/>
          <w:rtl w:val="0"/>
          <w:lang w:val="en-US"/>
        </w:rPr>
        <w:t xml:space="preserve"> (Hunter 2007: 251). Evidently, this author valued asceticism, but did not agree with the extreme that Jerome advocated. Instead, this author raises an interesting point: while antinatalism could be an important ascetic practice, or perhaps </w:t>
      </w:r>
      <w:r>
        <w:rPr>
          <w:rFonts w:ascii="Times New Roman" w:hAnsi="Times New Roman"/>
          <w:i w:val="1"/>
          <w:iCs w:val="1"/>
          <w:sz w:val="24"/>
          <w:szCs w:val="24"/>
          <w:rtl w:val="0"/>
          <w:lang w:val="en-US"/>
        </w:rPr>
        <w:t>the</w:t>
      </w:r>
      <w:r>
        <w:rPr>
          <w:rFonts w:ascii="Times New Roman" w:hAnsi="Times New Roman"/>
          <w:sz w:val="24"/>
          <w:szCs w:val="24"/>
          <w:rtl w:val="0"/>
          <w:lang w:val="en-US"/>
        </w:rPr>
        <w:t xml:space="preserve"> central practice for those who wished to engage in a life totally orientated towards God, for the </w:t>
      </w:r>
      <w:r>
        <w:rPr>
          <w:rFonts w:ascii="Times New Roman" w:hAnsi="Times New Roman"/>
          <w:i w:val="1"/>
          <w:iCs w:val="1"/>
          <w:sz w:val="24"/>
          <w:szCs w:val="24"/>
          <w:rtl w:val="0"/>
          <w:lang w:val="en-US"/>
        </w:rPr>
        <w:t>ordinary</w:t>
      </w:r>
      <w:r>
        <w:rPr>
          <w:rFonts w:ascii="Times New Roman" w:hAnsi="Times New Roman"/>
          <w:sz w:val="24"/>
          <w:szCs w:val="24"/>
          <w:rtl w:val="0"/>
          <w:lang w:val="en-US"/>
        </w:rPr>
        <w:t xml:space="preserve"> Christian however, such a practice was not to be followed. It would appear that this view on the place of asceticism was the one that prevailed in the era following Jerome. The second century apologist Justin Martyr, writing in his </w:t>
      </w:r>
      <w:r>
        <w:rPr>
          <w:rFonts w:ascii="Times New Roman" w:hAnsi="Times New Roman"/>
          <w:i w:val="1"/>
          <w:iCs w:val="1"/>
          <w:sz w:val="24"/>
          <w:szCs w:val="24"/>
          <w:rtl w:val="0"/>
          <w:lang w:val="en-US"/>
        </w:rPr>
        <w:t>Apology</w:t>
      </w:r>
      <w:r>
        <w:rPr>
          <w:rFonts w:ascii="Times New Roman" w:hAnsi="Times New Roman"/>
          <w:sz w:val="24"/>
          <w:szCs w:val="24"/>
          <w:rtl w:val="0"/>
          <w:lang w:val="en-US"/>
        </w:rPr>
        <w:t xml:space="preserve">, described a possibly apocryphal story in which a young Christian petitioned the Roman governor in Alexandria for permission to be castrated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 request which was denied, but related by Justin with pride, who noted that the man remained single (Finn 2009: 80). However, although Justin presented this story in a favourable light, he ultimately argued that sex within marriage was for the purpose of procreation (Finn 2009: 82). Thus for him procreation was valid, at least for the ordinary Christian. The ascetic on the other hand should exercise self control and remain celibate, unmarried, and childless, evidenced by his praise of the eager would-be eunuch.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contrast to the biblical passages that appear to support celibacy/antinatalism, there are equally those that advocate the opposite, or at least, could be made to advocate the opposite. Genesis 1:28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the same passage that Jerome, with some fellow ascetics, liked to note was only fulfilled after the fall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was cited by Clement of Alexandria in his </w:t>
      </w:r>
      <w:r>
        <w:rPr>
          <w:rFonts w:ascii="Times New Roman" w:hAnsi="Times New Roman"/>
          <w:i w:val="1"/>
          <w:iCs w:val="1"/>
          <w:sz w:val="24"/>
          <w:szCs w:val="24"/>
          <w:rtl w:val="0"/>
          <w:lang w:val="en-US"/>
        </w:rPr>
        <w:t>Paedagogus</w:t>
      </w:r>
      <w:r>
        <w:rPr>
          <w:rFonts w:ascii="Times New Roman" w:hAnsi="Times New Roman"/>
          <w:sz w:val="24"/>
          <w:szCs w:val="24"/>
          <w:rtl w:val="0"/>
          <w:lang w:val="en-US"/>
        </w:rPr>
        <w:t xml:space="preserve"> as a sanction for procreation, and also looked to 1 Timothy 3:2 to justify clerical marriage (Finn 2009: 85). </w:t>
      </w:r>
      <w:r>
        <w:rPr>
          <w:rFonts w:ascii="Times New Roman" w:hAnsi="Times New Roman"/>
          <w:sz w:val="24"/>
          <w:szCs w:val="24"/>
          <w:rtl w:val="0"/>
          <w:lang w:val="en-US"/>
        </w:rPr>
        <w:t xml:space="preserve">Epiphanius of Salamis sought to defend human sexuality as God-given, and that desires were instilled by God as a part of the natural order of creation (Hunter 2007: 153). To that end he used  </w:t>
      </w:r>
      <w:r>
        <w:rPr>
          <w:rFonts w:ascii="Times New Roman" w:hAnsi="Times New Roman"/>
          <w:sz w:val="24"/>
          <w:szCs w:val="24"/>
          <w:rtl w:val="0"/>
          <w:lang w:val="en-US"/>
        </w:rPr>
        <w:t xml:space="preserve">Genesis 1:28 and 2:24 </w:t>
      </w:r>
      <w:r>
        <w:rPr>
          <w:rFonts w:ascii="Times New Roman" w:hAnsi="Times New Roman" w:hint="default"/>
          <w:sz w:val="24"/>
          <w:szCs w:val="24"/>
          <w:rtl w:val="0"/>
          <w:lang w:val="en-US"/>
        </w:rPr>
        <w:t>— ‘</w:t>
      </w:r>
      <w:r>
        <w:rPr>
          <w:rFonts w:ascii="Times New Roman" w:hAnsi="Times New Roman"/>
          <w:sz w:val="24"/>
          <w:szCs w:val="24"/>
          <w:rtl w:val="0"/>
          <w:lang w:val="en-US"/>
        </w:rPr>
        <w:t>Therefore a man leaves his father and his mother and clings to his wife, and they become one flesh</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as support for this reasoning </w:t>
      </w:r>
      <w:r>
        <w:rPr>
          <w:rFonts w:ascii="Times New Roman" w:hAnsi="Times New Roman"/>
          <w:sz w:val="24"/>
          <w:szCs w:val="24"/>
          <w:rtl w:val="0"/>
        </w:rPr>
        <w:t>(Hunter 2007: 153)</w:t>
      </w:r>
      <w:r>
        <w:rPr>
          <w:rFonts w:ascii="Times New Roman" w:hAnsi="Times New Roman"/>
          <w:sz w:val="24"/>
          <w:szCs w:val="24"/>
          <w:rtl w:val="0"/>
          <w:lang w:val="en-US"/>
        </w:rPr>
        <w:t xml:space="preserve">, and thus his argumentation was similar to that of Clement. In a similar vein, in </w:t>
      </w:r>
      <w:r>
        <w:rPr>
          <w:rFonts w:ascii="Times New Roman" w:hAnsi="Times New Roman"/>
          <w:sz w:val="24"/>
          <w:szCs w:val="24"/>
          <w:rtl w:val="0"/>
          <w:lang w:val="en-US"/>
        </w:rPr>
        <w:t>the early 380s AD</w:t>
      </w:r>
      <w:r>
        <w:rPr>
          <w:rFonts w:ascii="Times New Roman" w:hAnsi="Times New Roman"/>
          <w:sz w:val="24"/>
          <w:szCs w:val="24"/>
          <w:rtl w:val="0"/>
          <w:lang w:val="en-US"/>
        </w:rPr>
        <w:t xml:space="preserve"> an anonymous Roman presbyter known as </w:t>
      </w:r>
      <w:r>
        <w:rPr>
          <w:rFonts w:ascii="Times New Roman" w:hAnsi="Times New Roman" w:hint="default"/>
          <w:sz w:val="24"/>
          <w:szCs w:val="24"/>
          <w:rtl w:val="0"/>
          <w:lang w:val="en-US"/>
        </w:rPr>
        <w:t>‘</w:t>
      </w:r>
      <w:r>
        <w:rPr>
          <w:rFonts w:ascii="Times New Roman" w:hAnsi="Times New Roman"/>
          <w:sz w:val="24"/>
          <w:szCs w:val="24"/>
          <w:rtl w:val="0"/>
          <w:lang w:val="en-US"/>
        </w:rPr>
        <w:t>Ambrosiaster</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wrote a treatise named </w:t>
      </w:r>
      <w:r>
        <w:rPr>
          <w:rFonts w:ascii="Times New Roman" w:hAnsi="Times New Roman" w:hint="default"/>
          <w:sz w:val="24"/>
          <w:szCs w:val="24"/>
          <w:rtl w:val="0"/>
          <w:lang w:val="en-US"/>
        </w:rPr>
        <w:t>‘</w:t>
      </w:r>
      <w:r>
        <w:rPr>
          <w:rFonts w:ascii="Times New Roman" w:hAnsi="Times New Roman"/>
          <w:sz w:val="24"/>
          <w:szCs w:val="24"/>
          <w:rtl w:val="0"/>
          <w:lang w:val="en-US"/>
        </w:rPr>
        <w:t>On the Sin of Adam and Eve</w:t>
      </w:r>
      <w:r>
        <w:rPr>
          <w:rFonts w:ascii="Times New Roman" w:hAnsi="Times New Roman" w:hint="default"/>
          <w:sz w:val="24"/>
          <w:szCs w:val="24"/>
          <w:rtl w:val="0"/>
          <w:lang w:val="en-US"/>
        </w:rPr>
        <w:t>’</w:t>
      </w:r>
      <w:r>
        <w:rPr>
          <w:rFonts w:ascii="Times New Roman" w:hAnsi="Times New Roman"/>
          <w:sz w:val="24"/>
          <w:szCs w:val="24"/>
          <w:rtl w:val="0"/>
          <w:lang w:val="en-US"/>
        </w:rPr>
        <w:t xml:space="preserve">, a work which Hunter believes shows that </w:t>
      </w:r>
      <w:r>
        <w:rPr>
          <w:rFonts w:ascii="Times New Roman" w:hAnsi="Times New Roman" w:hint="default"/>
          <w:sz w:val="24"/>
          <w:szCs w:val="24"/>
          <w:rtl w:val="0"/>
          <w:lang w:val="en-US"/>
        </w:rPr>
        <w:t>“</w:t>
      </w:r>
      <w:r>
        <w:rPr>
          <w:rFonts w:ascii="Times New Roman" w:hAnsi="Times New Roman"/>
          <w:sz w:val="24"/>
          <w:szCs w:val="24"/>
          <w:rtl w:val="0"/>
          <w:lang w:val="en-US"/>
        </w:rPr>
        <w:t>questions about the origins of the body, sex, and original sin were hotly contested in the West at the end of the fourth century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(2007: 131). Ambrosiaster vigorously defended marriage and procreation against ascetic enthusiasm, specifically against that advocated by Jerome (Hunter 2007: 159).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And yet, Richard Finn notes that Clement</w:t>
      </w:r>
      <w:r>
        <w:rPr>
          <w:rFonts w:ascii="Times New Roman" w:hAnsi="Times New Roman" w:hint="default"/>
          <w:sz w:val="24"/>
          <w:szCs w:val="24"/>
          <w:rtl w:val="0"/>
          <w:lang w:val="en-US"/>
        </w:rPr>
        <w:t>’</w:t>
      </w:r>
      <w:r>
        <w:rPr>
          <w:rFonts w:ascii="Times New Roman" w:hAnsi="Times New Roman"/>
          <w:sz w:val="24"/>
          <w:szCs w:val="24"/>
          <w:rtl w:val="0"/>
          <w:lang w:val="en-US"/>
        </w:rPr>
        <w:t>s position was ultimately a defensive one, and that it measures powerful undercurrents which pulled early Christians in the direction of sexual renunciation (Finn 2009: 86). The overall tendency during the period in which he was writing (late 2nd</w:t>
      </w:r>
      <w:r>
        <w:rPr>
          <w:rFonts w:ascii="Times New Roman" w:hAnsi="Times New Roman" w:hint="default"/>
          <w:sz w:val="24"/>
          <w:szCs w:val="24"/>
          <w:rtl w:val="0"/>
          <w:lang w:val="en-US"/>
        </w:rPr>
        <w:t>—</w:t>
      </w:r>
      <w:r>
        <w:rPr>
          <w:rFonts w:ascii="Times New Roman" w:hAnsi="Times New Roman"/>
          <w:sz w:val="24"/>
          <w:szCs w:val="24"/>
          <w:rtl w:val="0"/>
          <w:lang w:val="en-US"/>
        </w:rPr>
        <w:t xml:space="preserve">early 3rd centuries) was towards this renunciation. However, as we have seen, by the fourth century many Christian authors were rejecting the extreme form of asceticism that had once prevailed in favour of a more moderated one. All in all, there is very good reason to suggest that antinatalism was the central ascetic practice, but such a statement must take into consideration two important factors: for whom, and when.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center"/>
        <w:rPr>
          <w:rFonts w:ascii="Times New Roman" w:cs="Times New Roman" w:hAnsi="Times New Roman" w:eastAsia="Times New Roman"/>
          <w:sz w:val="24"/>
          <w:szCs w:val="24"/>
          <w:u w:val="single"/>
        </w:rPr>
      </w:pPr>
    </w:p>
    <w:p>
      <w:pPr>
        <w:pStyle w:val="Body"/>
        <w:spacing w:line="360" w:lineRule="auto"/>
        <w:ind w:left="283" w:right="284" w:firstLine="0"/>
        <w:jc w:val="center"/>
        <w:rPr>
          <w:rFonts w:ascii="Times New Roman" w:cs="Times New Roman" w:hAnsi="Times New Roman" w:eastAsia="Times New Roman"/>
          <w:sz w:val="24"/>
          <w:szCs w:val="24"/>
          <w:u w:val="single"/>
        </w:rPr>
      </w:pPr>
    </w:p>
    <w:p>
      <w:pPr>
        <w:pStyle w:val="Body"/>
        <w:spacing w:line="360" w:lineRule="auto"/>
        <w:ind w:left="283" w:right="284" w:firstLine="0"/>
        <w:jc w:val="center"/>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Conclusion</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For whom is important: was antinatalism desirable for the ascetic in particular, or for Christians as a whole? We can conclude that between the inception of Christianity and the mid third century that antinatalism was an important factor for many authors (</w:t>
      </w:r>
      <w:r>
        <w:rPr>
          <w:rFonts w:ascii="Times New Roman" w:hAnsi="Times New Roman"/>
          <w:sz w:val="24"/>
          <w:szCs w:val="24"/>
          <w:rtl w:val="0"/>
          <w:lang w:val="en-US"/>
        </w:rPr>
        <w:t>though there were notable exceptions</w:t>
      </w:r>
      <w:r>
        <w:rPr>
          <w:rFonts w:ascii="Times New Roman" w:hAnsi="Times New Roman"/>
          <w:sz w:val="24"/>
          <w:szCs w:val="24"/>
          <w:rtl w:val="0"/>
          <w:lang w:val="en-US"/>
        </w:rPr>
        <w:t xml:space="preserve">), and perhaps was the dominant viewpoint in matters of sex and procreation, and the most significant ascetic practice. Permanent sexual renunciation was widely advocated and accompanied by various views of marriage (Finn 2009: 58). Indeed, if we glance at the lives of prominent Christian authors of the age, it would seem that remaining childless was a common strand which connected them. A shift in opinion took place toward the end of the third century and the beginning of the fourth that saw opposition towards such practices, which became viewed more and more as extreme, and by the time of Jerome, such opinions on marriage and virginity had been tempered.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Despite the different emphases of Gregory of Nyssa and Jerome, and the dichotomy in ideas about marriage, both came to the conclusion that remaining a virgin was the most appropriate course of action for Christians to take. Sexual abstinence was an important feature in the view of many Christian ascetics, yet such renunciation did not in their mind have eschatological ramifications, as Gregory</w:t>
      </w:r>
      <w:r>
        <w:rPr>
          <w:rFonts w:ascii="Times New Roman" w:hAnsi="Times New Roman" w:hint="default"/>
          <w:sz w:val="24"/>
          <w:szCs w:val="24"/>
          <w:rtl w:val="0"/>
          <w:lang w:val="en-US"/>
        </w:rPr>
        <w:t>’</w:t>
      </w:r>
      <w:r>
        <w:rPr>
          <w:rFonts w:ascii="Times New Roman" w:hAnsi="Times New Roman"/>
          <w:sz w:val="24"/>
          <w:szCs w:val="24"/>
          <w:rtl w:val="0"/>
          <w:lang w:val="en-US"/>
        </w:rPr>
        <w:t>s and (to some extent) Jerome</w:t>
      </w:r>
      <w:r>
        <w:rPr>
          <w:rFonts w:ascii="Times New Roman" w:hAnsi="Times New Roman" w:hint="default"/>
          <w:sz w:val="24"/>
          <w:szCs w:val="24"/>
          <w:rtl w:val="0"/>
          <w:lang w:val="en-US"/>
        </w:rPr>
        <w:t>’</w:t>
      </w:r>
      <w:r>
        <w:rPr>
          <w:rFonts w:ascii="Times New Roman" w:hAnsi="Times New Roman"/>
          <w:sz w:val="24"/>
          <w:szCs w:val="24"/>
          <w:rtl w:val="0"/>
          <w:lang w:val="en-US"/>
        </w:rPr>
        <w:t xml:space="preserve">s. Evidently, such antinatalism was not one that gained popularity amongst the lay Christian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indeed, later authors advocated that asceticism be limited and not extend to such an extent to the average believer. In closing, this much can be determined: that antinatalism was an important ascetic practice for many early Christians, at least amongst those who dedicated their lives to asceticism; and that a shift in emphasis was made as time went by. Remaining childless was just another facet of orientating oneself towards God. </w:t>
      </w:r>
    </w:p>
    <w:p>
      <w:pPr>
        <w:pStyle w:val="Body"/>
        <w:spacing w:line="360" w:lineRule="auto"/>
        <w:ind w:left="283" w:right="284" w:firstLine="0"/>
        <w:jc w:val="both"/>
        <w:rPr>
          <w:rFonts w:ascii="Times New Roman" w:cs="Times New Roman" w:hAnsi="Times New Roman" w:eastAsia="Times New Roman"/>
          <w:b w:val="1"/>
          <w:bCs w:val="1"/>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Bibliography</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All biblical quotations taken from the New Revised Standard Version Anglicised Edition.</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Adkin, N. 2003. </w:t>
      </w:r>
      <w:r>
        <w:rPr>
          <w:rFonts w:ascii="Times New Roman" w:hAnsi="Times New Roman"/>
          <w:i w:val="1"/>
          <w:iCs w:val="1"/>
          <w:sz w:val="24"/>
          <w:szCs w:val="24"/>
          <w:rtl w:val="0"/>
          <w:lang w:val="en-US"/>
        </w:rPr>
        <w:t>Jerome on Virginity: A Commentary on the Libellus de virginitate servanda (Letter 22)</w:t>
      </w:r>
      <w:r>
        <w:rPr>
          <w:rFonts w:ascii="Times New Roman" w:hAnsi="Times New Roman"/>
          <w:sz w:val="24"/>
          <w:szCs w:val="24"/>
          <w:rtl w:val="0"/>
          <w:lang w:val="en-US"/>
        </w:rPr>
        <w:t>. Cambridge: Francis Cairns.</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Finn, R. 2009. </w:t>
      </w:r>
      <w:r>
        <w:rPr>
          <w:rFonts w:ascii="Times New Roman" w:hAnsi="Times New Roman"/>
          <w:i w:val="1"/>
          <w:iCs w:val="1"/>
          <w:sz w:val="24"/>
          <w:szCs w:val="24"/>
          <w:rtl w:val="0"/>
          <w:lang w:val="en-US"/>
        </w:rPr>
        <w:t>Asceticism in the Graeco-Roman World</w:t>
      </w:r>
      <w:r>
        <w:rPr>
          <w:rFonts w:ascii="Times New Roman" w:hAnsi="Times New Roman"/>
          <w:sz w:val="24"/>
          <w:szCs w:val="24"/>
          <w:rtl w:val="0"/>
          <w:lang w:val="en-US"/>
        </w:rPr>
        <w:t>. Cambridge: Cambridge University Press.</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Hart, M. D. 1992. </w:t>
      </w:r>
      <w:r>
        <w:rPr>
          <w:rFonts w:ascii="Times New Roman" w:hAnsi="Times New Roman" w:hint="default"/>
          <w:sz w:val="24"/>
          <w:szCs w:val="24"/>
          <w:rtl w:val="0"/>
          <w:lang w:val="en-US"/>
        </w:rPr>
        <w:t>‘</w:t>
      </w:r>
      <w:r>
        <w:rPr>
          <w:rFonts w:ascii="Times New Roman" w:hAnsi="Times New Roman"/>
          <w:sz w:val="24"/>
          <w:szCs w:val="24"/>
          <w:rtl w:val="0"/>
          <w:lang w:val="en-US"/>
        </w:rPr>
        <w:t>Gregory of Nyssa</w:t>
      </w:r>
      <w:r>
        <w:rPr>
          <w:rFonts w:ascii="Times New Roman" w:hAnsi="Times New Roman" w:hint="default"/>
          <w:sz w:val="24"/>
          <w:szCs w:val="24"/>
          <w:rtl w:val="0"/>
          <w:lang w:val="en-US"/>
        </w:rPr>
        <w:t>’</w:t>
      </w:r>
      <w:r>
        <w:rPr>
          <w:rFonts w:ascii="Times New Roman" w:hAnsi="Times New Roman"/>
          <w:sz w:val="24"/>
          <w:szCs w:val="24"/>
          <w:rtl w:val="0"/>
          <w:lang w:val="en-US"/>
        </w:rPr>
        <w:t>s Ironic Praise of the Celibate Life</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Heythrop Journal  Volume 33, Number 1, 1992. 1</w:t>
      </w:r>
      <w:r>
        <w:rPr>
          <w:rFonts w:ascii="Times New Roman" w:hAnsi="Times New Roman" w:hint="default"/>
          <w:sz w:val="24"/>
          <w:szCs w:val="24"/>
          <w:rtl w:val="0"/>
          <w:lang w:val="en-US"/>
        </w:rPr>
        <w:t>–</w:t>
      </w:r>
      <w:r>
        <w:rPr>
          <w:rFonts w:ascii="Times New Roman" w:hAnsi="Times New Roman"/>
          <w:sz w:val="24"/>
          <w:szCs w:val="24"/>
          <w:rtl w:val="0"/>
          <w:lang w:val="en-US"/>
        </w:rPr>
        <w:t>19.</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Hunter, D. G. 2007.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"http://www.oxfordscholarship.com.ezproxy.uwtsd.ac.uk/view/10.1093/acprof:oso/9780199279784.001.0001/acprof-9780199279784"</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Marriage, Celibacy, and Heresy in Ancient Christianity: The Jovinianist Controversy</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Oxford: Oxford University Press.</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Karras, V. 2005. </w:t>
      </w:r>
      <w:r>
        <w:rPr>
          <w:rFonts w:ascii="Times New Roman" w:hAnsi="Times New Roman"/>
          <w:sz w:val="24"/>
          <w:szCs w:val="24"/>
          <w:rtl w:val="0"/>
          <w:lang w:val="en-US"/>
        </w:rPr>
        <w:t xml:space="preserve">A Re-evaluation of Marriage, Celibacy, and Irony in Gregory of Nyssa's On Virginity </w:t>
      </w:r>
      <w:r>
        <w:rPr>
          <w:rFonts w:ascii="Times New Roman" w:hAnsi="Times New Roman"/>
          <w:sz w:val="24"/>
          <w:szCs w:val="24"/>
          <w:rtl w:val="0"/>
          <w:lang w:val="en-US"/>
        </w:rPr>
        <w:t xml:space="preserve">in the </w:t>
      </w:r>
      <w:r>
        <w:rPr>
          <w:rFonts w:ascii="Times New Roman" w:hAnsi="Times New Roman"/>
          <w:sz w:val="24"/>
          <w:szCs w:val="24"/>
          <w:rtl w:val="0"/>
          <w:lang w:val="en-US"/>
        </w:rPr>
        <w:t>Journal of Early Christian Studies, Volume 13, Number 1, Spring 2005,  111-121</w:t>
      </w:r>
      <w:r>
        <w:rPr>
          <w:rFonts w:ascii="Times New Roman" w:hAnsi="Times New Roman"/>
          <w:sz w:val="24"/>
          <w:szCs w:val="24"/>
          <w:rtl w:val="0"/>
          <w:lang w:val="en-US"/>
        </w:rPr>
        <w:t>.</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Laird, M. 2003. Under Solomon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Tutelage: The Education of Desire in the </w:t>
      </w:r>
      <w:r>
        <w:rPr>
          <w:rFonts w:ascii="Times New Roman" w:hAnsi="Times New Roman"/>
          <w:i w:val="1"/>
          <w:iCs w:val="1"/>
          <w:sz w:val="24"/>
          <w:szCs w:val="24"/>
          <w:rtl w:val="0"/>
          <w:lang w:val="en-US"/>
        </w:rPr>
        <w:t>Homilies on the Song of Songs</w:t>
      </w:r>
      <w:r>
        <w:rPr>
          <w:rFonts w:ascii="Times New Roman" w:hAnsi="Times New Roman"/>
          <w:sz w:val="24"/>
          <w:szCs w:val="24"/>
          <w:rtl w:val="0"/>
          <w:lang w:val="en-US"/>
        </w:rPr>
        <w:t xml:space="preserve">. In S. Coakley (ed.) </w:t>
      </w:r>
      <w:r>
        <w:rPr>
          <w:rFonts w:ascii="Times New Roman" w:hAnsi="Times New Roman"/>
          <w:i w:val="1"/>
          <w:iCs w:val="1"/>
          <w:sz w:val="24"/>
          <w:szCs w:val="24"/>
          <w:rtl w:val="0"/>
          <w:lang w:val="en-US"/>
        </w:rPr>
        <w:t>Re-thinking Gregory of Nyssa</w:t>
      </w:r>
      <w:r>
        <w:rPr>
          <w:rFonts w:ascii="Times New Roman" w:hAnsi="Times New Roman"/>
          <w:sz w:val="24"/>
          <w:szCs w:val="24"/>
          <w:rtl w:val="0"/>
          <w:lang w:val="en-US"/>
        </w:rPr>
        <w:t xml:space="preserve">. Oxford: Blackwell.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Roth, C. P. 2002. </w:t>
      </w:r>
      <w:r>
        <w:rPr>
          <w:rFonts w:ascii="Times New Roman" w:hAnsi="Times New Roman"/>
          <w:i w:val="1"/>
          <w:iCs w:val="1"/>
          <w:sz w:val="24"/>
          <w:szCs w:val="24"/>
          <w:rtl w:val="0"/>
          <w:lang w:val="en-US"/>
        </w:rPr>
        <w:t>On the Soul and Resurrection</w:t>
      </w:r>
      <w:r>
        <w:rPr>
          <w:rFonts w:ascii="Times New Roman" w:hAnsi="Times New Roman"/>
          <w:sz w:val="24"/>
          <w:szCs w:val="24"/>
          <w:rtl w:val="0"/>
          <w:lang w:val="en-US"/>
        </w:rPr>
        <w:t>. New York: St Vladimir</w:t>
      </w:r>
      <w:r>
        <w:rPr>
          <w:rFonts w:ascii="Times New Roman" w:hAnsi="Times New Roman" w:hint="default"/>
          <w:sz w:val="24"/>
          <w:szCs w:val="24"/>
          <w:rtl w:val="0"/>
          <w:lang w:val="en-US"/>
        </w:rPr>
        <w:t>’</w:t>
      </w:r>
      <w:r>
        <w:rPr>
          <w:rFonts w:ascii="Times New Roman" w:hAnsi="Times New Roman"/>
          <w:sz w:val="24"/>
          <w:szCs w:val="24"/>
          <w:rtl w:val="0"/>
          <w:lang w:val="en-US"/>
        </w:rPr>
        <w:t>s Seminary Press.</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pPr>
      <w:r>
        <w:rPr>
          <w:rFonts w:ascii="Times New Roman" w:hAnsi="Times New Roman"/>
          <w:sz w:val="24"/>
          <w:szCs w:val="24"/>
          <w:rtl w:val="0"/>
          <w:lang w:val="en-US"/>
        </w:rPr>
        <w:t xml:space="preserve">Shuve, K. 2016. </w:t>
      </w:r>
      <w:r>
        <w:rPr>
          <w:rFonts w:ascii="Times New Roman" w:hAnsi="Times New Roman"/>
          <w:i w:val="1"/>
          <w:iCs w:val="1"/>
          <w:sz w:val="24"/>
          <w:szCs w:val="24"/>
          <w:rtl w:val="0"/>
          <w:lang w:val="en-US"/>
        </w:rPr>
        <w:t>The Song of Songs and the Fashioning of Identity in Early Latin Christianity</w:t>
      </w:r>
      <w:r>
        <w:rPr>
          <w:rFonts w:ascii="Times New Roman" w:hAnsi="Times New Roman"/>
          <w:sz w:val="24"/>
          <w:szCs w:val="24"/>
          <w:rtl w:val="0"/>
          <w:lang w:val="en-US"/>
        </w:rPr>
        <w:t xml:space="preserve">. Oxford: Oxford University Press. </w:t>
      </w:r>
    </w:p>
    <w:sectPr>
      <w:headerReference w:type="default" r:id="rId7"/>
      <w:pgSz w:w="11906" w:h="16838" w:orient="portrait"/>
      <w:pgMar w:top="1417" w:right="1134" w:bottom="1417" w:left="1134" w:header="709" w:footer="85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Cambria">
    <w:charset w:val="00"/>
    <w:family w:val="roman"/>
    <w:pitch w:val="default"/>
  </w:font>
  <w:font w:name="Calibri">
    <w:charset w:val="00"/>
    <w:family w:val="roman"/>
    <w:pitch w:val="default"/>
  </w:font>
  <w:font w:name="Trebuchet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hAnsi="Times New Roman"/>
      </w:rPr>
      <w:tab/>
    </w:r>
    <w:r>
      <w:rPr>
        <w:rFonts w:ascii="Times New Roman" w:hAnsi="Times New Roman"/>
      </w:rPr>
      <w:fldChar w:fldCharType="begin" w:fldLock="0"/>
    </w:r>
    <w:r>
      <w:rPr>
        <w:rFonts w:ascii="Times New Roman" w:hAnsi="Times New Roman"/>
      </w:rPr>
      <w:instrText xml:space="preserve"> PAGE </w:instrText>
    </w:r>
    <w:r>
      <w:rPr>
        <w:rFonts w:ascii="Times New Roman" w:hAnsi="Times New Roman"/>
      </w:rPr>
      <w:fldChar w:fldCharType="separate" w:fldLock="0"/>
    </w:r>
    <w:r>
      <w:rPr>
        <w:rFonts w:ascii="Times New Roman" w:hAnsi="Times New Roman"/>
      </w:rPr>
      <w:t>10</w:t>
    </w:r>
    <w:r>
      <w:rPr>
        <w:rFonts w:ascii="Times New Roman" w:hAnsi="Times New Roman"/>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Link">
    <w:name w:val="Link"/>
    <w:rPr>
      <w:u w:val="single"/>
    </w:rPr>
  </w:style>
  <w:style w:type="character" w:styleId="Hyperlink.0">
    <w:name w:val="Hyperlink.0"/>
    <w:basedOn w:val="Link"/>
    <w:next w:val="Hyperlink.0"/>
    <w:rPr>
      <w:i w:val="1"/>
      <w:iCs w:val="1"/>
      <w:u w:val="no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theme" Target="theme/theme1.xml"/></Relationships>

</file>

<file path=word/theme/_rels/theme1.xml.rels><?xml version="1.0" encoding="UTF-8"?>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