
<file path=[Content_Types].xml><?xml version="1.0" encoding="utf-8"?>
<Types xmlns="http://schemas.openxmlformats.org/package/2006/content-types">
  <Default Extension="xml" ContentType="application/xml"/>
  <Default Extension="sldx" ContentType="application/vnd.openxmlformats-officedocument.presentationml.slide"/>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ascii="Arial" w:hAnsi="Arial" w:eastAsia="Times New Roman" w:cs="Arial"/>
          <w:b/>
          <w:bCs/>
          <w:color w:val="000000"/>
          <w:sz w:val="32"/>
          <w:szCs w:val="24"/>
          <w:lang w:val="en-IN" w:eastAsia="en-IN"/>
        </w:rPr>
      </w:pPr>
    </w:p>
    <w:p>
      <w:pPr>
        <w:spacing w:after="0" w:line="360" w:lineRule="auto"/>
        <w:jc w:val="center"/>
        <w:rPr>
          <w:rFonts w:ascii="Arial" w:hAnsi="Arial" w:eastAsia="Times New Roman" w:cs="Arial"/>
          <w:b/>
          <w:bCs/>
          <w:color w:val="000000"/>
          <w:sz w:val="32"/>
          <w:szCs w:val="24"/>
          <w:lang w:val="en-IN" w:eastAsia="en-IN"/>
        </w:rPr>
      </w:pPr>
    </w:p>
    <w:p>
      <w:pPr>
        <w:spacing w:after="0" w:line="360" w:lineRule="auto"/>
        <w:jc w:val="center"/>
        <w:rPr>
          <w:rFonts w:ascii="Arial" w:hAnsi="Arial" w:eastAsia="Times New Roman" w:cs="Arial"/>
          <w:b/>
          <w:bCs/>
          <w:color w:val="000000"/>
          <w:sz w:val="32"/>
          <w:szCs w:val="24"/>
          <w:lang w:val="en-IN" w:eastAsia="en-IN"/>
        </w:rPr>
      </w:pPr>
    </w:p>
    <w:p>
      <w:pPr>
        <w:spacing w:after="0" w:line="360" w:lineRule="auto"/>
        <w:jc w:val="center"/>
        <w:rPr>
          <w:rFonts w:ascii="Arial" w:hAnsi="Arial" w:eastAsia="Times New Roman" w:cs="Arial"/>
          <w:b/>
          <w:bCs/>
          <w:color w:val="000000"/>
          <w:sz w:val="32"/>
          <w:szCs w:val="24"/>
          <w:lang w:val="en-IN" w:eastAsia="en-IN"/>
        </w:rPr>
      </w:pPr>
    </w:p>
    <w:p>
      <w:pPr>
        <w:spacing w:after="0" w:line="360" w:lineRule="auto"/>
        <w:jc w:val="center"/>
        <w:rPr>
          <w:rFonts w:ascii="Arial" w:hAnsi="Arial" w:eastAsia="Times New Roman" w:cs="Arial"/>
          <w:b/>
          <w:bCs/>
          <w:color w:val="000000"/>
          <w:sz w:val="32"/>
          <w:szCs w:val="24"/>
          <w:lang w:val="en-IN" w:eastAsia="en-IN"/>
        </w:rPr>
      </w:pPr>
    </w:p>
    <w:p>
      <w:pPr>
        <w:spacing w:after="0" w:line="360" w:lineRule="auto"/>
        <w:jc w:val="center"/>
        <w:rPr>
          <w:rFonts w:ascii="Arial" w:hAnsi="Arial" w:eastAsia="Times New Roman" w:cs="Arial"/>
          <w:b/>
          <w:bCs/>
          <w:color w:val="000000"/>
          <w:sz w:val="32"/>
          <w:szCs w:val="24"/>
          <w:lang w:val="en-IN" w:eastAsia="en-IN"/>
        </w:rPr>
      </w:pPr>
    </w:p>
    <w:p>
      <w:pPr>
        <w:spacing w:after="0" w:line="360" w:lineRule="auto"/>
        <w:jc w:val="center"/>
        <w:rPr>
          <w:rFonts w:ascii="Arial" w:hAnsi="Arial" w:eastAsia="Times New Roman" w:cs="Arial"/>
          <w:sz w:val="32"/>
          <w:szCs w:val="24"/>
          <w:lang w:val="en-IN" w:eastAsia="en-IN"/>
        </w:rPr>
      </w:pPr>
      <w:r>
        <w:rPr>
          <w:rFonts w:ascii="Arial" w:hAnsi="Arial" w:eastAsia="Times New Roman" w:cs="Arial"/>
          <w:b/>
          <w:bCs/>
          <w:color w:val="000000"/>
          <w:sz w:val="32"/>
          <w:szCs w:val="24"/>
          <w:lang w:val="en-IN" w:eastAsia="en-IN"/>
        </w:rPr>
        <w:t>BMIH5003</w:t>
      </w:r>
    </w:p>
    <w:p>
      <w:pPr>
        <w:spacing w:after="0" w:line="360" w:lineRule="auto"/>
        <w:jc w:val="center"/>
        <w:rPr>
          <w:rFonts w:ascii="Arial" w:hAnsi="Arial" w:eastAsia="Times New Roman" w:cs="Arial"/>
          <w:sz w:val="32"/>
          <w:szCs w:val="24"/>
          <w:lang w:val="en-IN" w:eastAsia="en-IN"/>
        </w:rPr>
      </w:pPr>
    </w:p>
    <w:p>
      <w:pPr>
        <w:spacing w:after="0" w:line="360" w:lineRule="auto"/>
        <w:jc w:val="center"/>
        <w:rPr>
          <w:rFonts w:ascii="Arial" w:hAnsi="Arial" w:eastAsia="Times New Roman" w:cs="Arial"/>
          <w:sz w:val="32"/>
          <w:szCs w:val="24"/>
          <w:lang w:val="en-IN" w:eastAsia="en-IN"/>
        </w:rPr>
      </w:pPr>
      <w:r>
        <w:rPr>
          <w:rFonts w:ascii="Arial" w:hAnsi="Arial" w:eastAsia="Times New Roman" w:cs="Arial"/>
          <w:b/>
          <w:bCs/>
          <w:color w:val="000000"/>
          <w:sz w:val="32"/>
          <w:szCs w:val="24"/>
          <w:lang w:val="en-IN" w:eastAsia="en-IN"/>
        </w:rPr>
        <w:t>FOREIGN LANGUAGES &amp; CULTURAL AWARENESS</w:t>
      </w:r>
    </w:p>
    <w:p>
      <w:pPr>
        <w:spacing w:after="0" w:line="360" w:lineRule="auto"/>
        <w:jc w:val="center"/>
        <w:rPr>
          <w:rFonts w:ascii="Arial" w:hAnsi="Arial" w:eastAsia="Times New Roman" w:cs="Arial"/>
          <w:b/>
          <w:bCs/>
          <w:color w:val="000000"/>
          <w:sz w:val="32"/>
          <w:szCs w:val="24"/>
          <w:lang w:val="en-IN" w:eastAsia="en-IN"/>
        </w:rPr>
      </w:pPr>
      <w:r>
        <w:rPr>
          <w:rFonts w:ascii="Arial" w:hAnsi="Arial" w:eastAsia="Times New Roman" w:cs="Arial"/>
          <w:b/>
          <w:bCs/>
          <w:color w:val="000000"/>
          <w:sz w:val="32"/>
          <w:szCs w:val="24"/>
          <w:lang w:val="en-IN" w:eastAsia="en-IN"/>
        </w:rPr>
        <w:t>PORTFOLIO 4 COMPONENTS</w:t>
      </w:r>
    </w:p>
    <w:p>
      <w:pPr>
        <w:spacing w:line="360" w:lineRule="auto"/>
        <w:jc w:val="center"/>
        <w:rPr>
          <w:rFonts w:hint="default"/>
          <w:b/>
          <w:i/>
          <w:lang w:val="en-GB"/>
        </w:rPr>
      </w:pPr>
      <w:r>
        <w:rPr>
          <w:b/>
          <w:i/>
          <w:lang w:val="en-GB"/>
        </w:rPr>
        <w:t xml:space="preserve">Module Code: </w:t>
      </w:r>
      <w:r>
        <w:rPr>
          <w:rFonts w:hint="default"/>
          <w:b/>
          <w:i/>
          <w:lang w:val="en-GB"/>
        </w:rPr>
        <w:t>BMIH5003</w:t>
      </w:r>
    </w:p>
    <w:p>
      <w:pPr>
        <w:spacing w:line="360" w:lineRule="auto"/>
        <w:jc w:val="center"/>
        <w:rPr>
          <w:b/>
          <w:i/>
          <w:lang w:val="en-GB"/>
        </w:rPr>
      </w:pPr>
      <w:r>
        <w:rPr>
          <w:rFonts w:hint="default"/>
          <w:b/>
          <w:i/>
          <w:lang w:val="en-GB"/>
        </w:rPr>
        <w:t>Foreign Languages and Cultural Awareness</w:t>
      </w:r>
    </w:p>
    <w:p>
      <w:pPr>
        <w:spacing w:line="360" w:lineRule="auto"/>
        <w:jc w:val="center"/>
        <w:rPr>
          <w:rFonts w:hint="default"/>
          <w:b/>
          <w:i/>
          <w:lang w:val="en-GB"/>
        </w:rPr>
      </w:pPr>
      <w:r>
        <w:rPr>
          <w:b/>
          <w:i/>
          <w:lang w:val="en-GB"/>
        </w:rPr>
        <w:t>Student Name:</w:t>
      </w:r>
      <w:r>
        <w:rPr>
          <w:rFonts w:hint="default"/>
          <w:b/>
          <w:i/>
          <w:lang w:val="en-GB"/>
        </w:rPr>
        <w:t xml:space="preserve"> Catalin Mircea Leva </w:t>
      </w:r>
    </w:p>
    <w:p>
      <w:pPr>
        <w:spacing w:line="360" w:lineRule="auto"/>
        <w:jc w:val="center"/>
        <w:rPr>
          <w:rFonts w:hint="default"/>
          <w:b/>
          <w:i/>
          <w:lang w:val="en-GB"/>
        </w:rPr>
      </w:pPr>
      <w:r>
        <w:rPr>
          <w:b/>
          <w:i/>
          <w:lang w:val="en-GB"/>
        </w:rPr>
        <w:t>Student ID:</w:t>
      </w:r>
      <w:r>
        <w:rPr>
          <w:rFonts w:hint="default"/>
          <w:b/>
          <w:i/>
          <w:lang w:val="en-GB"/>
        </w:rPr>
        <w:t xml:space="preserve"> 2244690 </w:t>
      </w:r>
      <w:bookmarkStart w:id="0" w:name="_GoBack"/>
      <w:bookmarkEnd w:id="0"/>
    </w:p>
    <w:p>
      <w:pPr>
        <w:spacing w:line="360" w:lineRule="auto"/>
        <w:jc w:val="center"/>
        <w:rPr>
          <w:rFonts w:hint="default"/>
          <w:b/>
          <w:i/>
          <w:lang w:val="en-GB"/>
        </w:rPr>
      </w:pPr>
      <w:r>
        <w:rPr>
          <w:rFonts w:hint="default"/>
          <w:b/>
          <w:i/>
          <w:lang w:val="en-GB"/>
        </w:rPr>
        <w:t>Module leader : Giulia Chifari</w:t>
      </w:r>
    </w:p>
    <w:p>
      <w:pPr>
        <w:jc w:val="both"/>
      </w:pPr>
      <w:r>
        <w:br w:type="page"/>
      </w:r>
    </w:p>
    <w:p>
      <w:pPr>
        <w:spacing w:after="0" w:line="360" w:lineRule="auto"/>
        <w:jc w:val="center"/>
        <w:rPr>
          <w:rFonts w:ascii="Arial" w:hAnsi="Arial" w:eastAsia="Times New Roman" w:cs="Arial"/>
          <w:b/>
          <w:bCs/>
          <w:color w:val="000000"/>
          <w:sz w:val="32"/>
          <w:szCs w:val="24"/>
          <w:lang w:val="en-IN" w:eastAsia="en-IN"/>
        </w:rPr>
      </w:pPr>
    </w:p>
    <w:p>
      <w:pPr>
        <w:rPr>
          <w:rFonts w:ascii="Arial" w:hAnsi="Arial" w:eastAsia="Times New Roman" w:cs="Arial"/>
          <w:b/>
          <w:bCs/>
          <w:color w:val="000000"/>
          <w:sz w:val="32"/>
          <w:szCs w:val="24"/>
          <w:lang w:val="en-IN" w:eastAsia="en-IN"/>
        </w:rPr>
      </w:pPr>
      <w:r>
        <w:rPr>
          <w:rFonts w:ascii="Arial" w:hAnsi="Arial" w:eastAsia="Times New Roman" w:cs="Arial"/>
          <w:b/>
          <w:bCs/>
          <w:color w:val="000000"/>
          <w:sz w:val="32"/>
          <w:szCs w:val="24"/>
          <w:lang w:val="en-IN" w:eastAsia="en-IN"/>
        </w:rPr>
        <w:br w:type="page"/>
      </w:r>
    </w:p>
    <w:p>
      <w:pPr>
        <w:spacing w:after="0" w:line="360" w:lineRule="auto"/>
        <w:jc w:val="center"/>
        <w:rPr>
          <w:rFonts w:ascii="Arial" w:hAnsi="Arial" w:eastAsia="Times New Roman" w:cs="Arial"/>
          <w:b/>
          <w:bCs/>
          <w:color w:val="000000"/>
          <w:sz w:val="32"/>
          <w:szCs w:val="24"/>
          <w:lang w:val="en-IN" w:eastAsia="en-IN"/>
        </w:rPr>
      </w:pPr>
    </w:p>
    <w:p>
      <w:pPr>
        <w:pStyle w:val="2"/>
        <w:rPr>
          <w:rFonts w:eastAsia="Times New Roman" w:cs="Arial"/>
          <w:color w:val="000000"/>
          <w:szCs w:val="24"/>
          <w:lang w:val="en-IN" w:eastAsia="en-IN"/>
        </w:rPr>
      </w:pPr>
      <w:r>
        <w:rPr>
          <w:rFonts w:eastAsia="Times New Roman"/>
          <w:lang w:val="en-IN" w:eastAsia="en-IN"/>
        </w:rPr>
        <w:t xml:space="preserve">Component 1: Professional Reflection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The language and the cultural barriers considered to be the main restrictions for enabling harmony between the two distinct individuals (Reindrawati, 2023, p. 2164240).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This kind of instance often observed in hotels and restaurants where interaction between multilingual individuals is present. A scenario like this I observed recently during my trip where interaction between a Japanese F&amp;B employee with a European resident resulted in a conflict due to different behavioural patterns and their acceptance in their own native country. My overall experience with these cultural differences and their issues has described through Driscoll’s Model.</w:t>
      </w:r>
    </w:p>
    <w:p>
      <w:pPr>
        <w:spacing w:after="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Driscoll’s Model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What?</w:t>
      </w:r>
    </w:p>
    <w:p>
      <w:pPr>
        <w:spacing w:after="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The way of occurrence of cultural misunderstanding </w:t>
      </w:r>
    </w:p>
    <w:p>
      <w:pPr>
        <w:spacing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The misunderstanding between two distinctive individuals can occur due the cultural differences and differences in behaviours. Every country has its own way of projecting particular behaviours, whereas these behavioural patterns not accepted in other countries. I recently went on a foreign trip where I faced this kind of conflict between two different individuals coming from a different country.</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In this scenario, a Japanese F&amp;B employee was interacting with European customers at Hilton Hotel during breakfast service. These F&amp;B employees have a habit of speaking while someone is talking. This kind of behaviour highly accepted by Japanese culture and see as a friendly gesture according to them. On the other hand, interrupting while someone else is talking is an ill habit and not accepted specifically in European culture. While accepting the order from the European customers, this Japanese employee was constantly interrupting the European customers and as this not accepted by their culture the conflict started. The interaction between the two individuals was intense. This finally led to a complaint to the higher official of the hotel by this European individual about this scenario occurring early in the morning during breakfast. This was the first time I understood the basics of cultural conflict individuals generally have while they are commuting to other countries.</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So What?</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Skills or behavioural changes which needs to develop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This particular scenario has enabled me to learn about the consequences of interacting with different cultures without respecting values. The Japanese employee should have respect for his customers in order to retain the reputation of the hotel chain where the incident occurred. On the other hand, this customer is also responsible for understanding his perspective. However, this incident has occurred within the hotel premises and between an employee and customers, and according to Calma and Dickson-Deane, 2020, the customer opinion in the business is always correct. In this context, the hotel council should be rectifying their mistakes on behalf of the Japanese employee and restrict the matter from going further in order to retain their future reputation.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Now What?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 xml:space="preserve">In order to prevent the scenario from occurring again in their hotel premises, the hotel chain should train their employees according to the standards required in this industry to promote customer loyalty. Secured and positive training should implement in order to facilitate the development of skills like </w:t>
      </w:r>
      <w:r>
        <w:rPr>
          <w:rFonts w:ascii="Arial" w:hAnsi="Arial" w:eastAsia="Times New Roman" w:cs="Arial"/>
          <w:i/>
          <w:iCs/>
          <w:color w:val="000000"/>
          <w:sz w:val="24"/>
          <w:szCs w:val="24"/>
          <w:lang w:val="en-IN" w:eastAsia="en-IN"/>
        </w:rPr>
        <w:t>Active listening and empathy</w:t>
      </w:r>
      <w:r>
        <w:rPr>
          <w:rFonts w:ascii="Arial" w:hAnsi="Arial" w:eastAsia="Times New Roman" w:cs="Arial"/>
          <w:color w:val="000000"/>
          <w:sz w:val="24"/>
          <w:szCs w:val="24"/>
          <w:lang w:val="en-IN" w:eastAsia="en-IN"/>
        </w:rPr>
        <w:t xml:space="preserve"> while interacting with diverse cultured individuals (Lähdesmäki, and Koistinen, 2021, p. 50). </w:t>
      </w:r>
      <w:r>
        <w:rPr>
          <w:rFonts w:ascii="Arial" w:hAnsi="Arial" w:eastAsia="Times New Roman" w:cs="Arial"/>
          <w:i/>
          <w:iCs/>
          <w:color w:val="000000"/>
          <w:sz w:val="24"/>
          <w:szCs w:val="24"/>
          <w:lang w:val="en-IN" w:eastAsia="en-IN"/>
        </w:rPr>
        <w:t>Effective engagement</w:t>
      </w:r>
      <w:r>
        <w:rPr>
          <w:rFonts w:ascii="Arial" w:hAnsi="Arial" w:eastAsia="Times New Roman" w:cs="Arial"/>
          <w:color w:val="000000"/>
          <w:sz w:val="24"/>
          <w:szCs w:val="24"/>
          <w:lang w:val="en-IN" w:eastAsia="en-IN"/>
        </w:rPr>
        <w:t xml:space="preserve"> is also another skill the employee should develop irrespective of their cultural preferences</w:t>
      </w:r>
    </w:p>
    <w:p>
      <w:pPr>
        <w:rPr>
          <w:rFonts w:ascii="Arial" w:hAnsi="Arial" w:eastAsia="Times New Roman" w:cstheme="majorBidi"/>
          <w:b/>
          <w:bCs/>
          <w:sz w:val="24"/>
          <w:szCs w:val="28"/>
          <w:lang w:val="en-IN" w:eastAsia="en-IN"/>
        </w:rPr>
      </w:pPr>
      <w:r>
        <w:rPr>
          <w:rFonts w:eastAsia="Times New Roman"/>
          <w:lang w:val="en-IN" w:eastAsia="en-IN"/>
        </w:rPr>
        <w:br w:type="page"/>
      </w:r>
    </w:p>
    <w:p>
      <w:pPr>
        <w:pStyle w:val="2"/>
        <w:rPr>
          <w:rFonts w:eastAsia="Times New Roman"/>
          <w:lang w:val="en-IN" w:eastAsia="en-IN"/>
        </w:rPr>
      </w:pPr>
      <w:r>
        <w:rPr>
          <w:rFonts w:eastAsia="Times New Roman"/>
          <w:lang w:val="en-IN" w:eastAsia="en-IN"/>
        </w:rPr>
        <w:t xml:space="preserve">Component 2: Training plan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Improvement in the hotel can adopt by implementation of the secured training plan and inclusion of Level 4 placement hotel staff training will help this company to ensure positive customer experience amid the differences between two distinct individuals. </w:t>
      </w:r>
    </w:p>
    <w:tbl>
      <w:tblPr>
        <w:tblStyle w:val="16"/>
        <w:tblW w:w="0" w:type="auto"/>
        <w:tblInd w:w="0" w:type="dxa"/>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Layout w:type="autofit"/>
        <w:tblCellMar>
          <w:top w:w="0" w:type="dxa"/>
          <w:left w:w="108" w:type="dxa"/>
          <w:bottom w:w="0" w:type="dxa"/>
          <w:right w:w="108" w:type="dxa"/>
        </w:tblCellMar>
      </w:tblPr>
      <w:tblGrid>
        <w:gridCol w:w="1601"/>
        <w:gridCol w:w="1616"/>
        <w:gridCol w:w="1849"/>
        <w:gridCol w:w="1616"/>
        <w:gridCol w:w="810"/>
        <w:gridCol w:w="1750"/>
      </w:tblGrid>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0" w:type="auto"/>
            <w:tcBorders>
              <w:bottom w:val="single" w:color="95B3D7" w:themeColor="accent1" w:themeTint="99" w:sz="12" w:space="0"/>
              <w:insideH w:val="single" w:sz="12" w:space="0"/>
            </w:tcBorders>
          </w:tcPr>
          <w:p>
            <w:pPr>
              <w:spacing w:after="0" w:line="360" w:lineRule="auto"/>
              <w:jc w:val="both"/>
              <w:rPr>
                <w:rFonts w:ascii="Arial" w:hAnsi="Arial" w:eastAsia="Times New Roman" w:cs="Arial"/>
                <w:b/>
                <w:bCs/>
                <w:color w:val="376092" w:themeColor="accent1" w:themeShade="BF"/>
                <w:szCs w:val="24"/>
                <w:lang w:val="en-IN" w:eastAsia="en-IN"/>
              </w:rPr>
            </w:pPr>
            <w:r>
              <w:rPr>
                <w:rFonts w:ascii="Arial" w:hAnsi="Arial" w:eastAsia="Times New Roman" w:cs="Arial"/>
                <w:b/>
                <w:bCs/>
                <w:color w:val="000000"/>
                <w:szCs w:val="24"/>
                <w:lang w:val="en-IN" w:eastAsia="en-IN"/>
              </w:rPr>
              <w:t>Identifying skill gap </w:t>
            </w:r>
          </w:p>
        </w:tc>
        <w:tc>
          <w:tcPr>
            <w:tcW w:w="0" w:type="auto"/>
            <w:tcBorders>
              <w:bottom w:val="single" w:color="95B3D7" w:themeColor="accent1" w:themeTint="99" w:sz="12" w:space="0"/>
              <w:insideH w:val="single" w:sz="12" w:space="0"/>
            </w:tcBorders>
          </w:tcPr>
          <w:p>
            <w:pPr>
              <w:spacing w:after="0" w:line="360" w:lineRule="auto"/>
              <w:jc w:val="both"/>
              <w:rPr>
                <w:rFonts w:ascii="Arial" w:hAnsi="Arial" w:eastAsia="Times New Roman" w:cs="Arial"/>
                <w:b/>
                <w:bCs/>
                <w:color w:val="376092" w:themeColor="accent1" w:themeShade="BF"/>
                <w:szCs w:val="24"/>
                <w:lang w:val="en-IN" w:eastAsia="en-IN"/>
              </w:rPr>
            </w:pPr>
            <w:r>
              <w:rPr>
                <w:rFonts w:ascii="Arial" w:hAnsi="Arial" w:eastAsia="Times New Roman" w:cs="Arial"/>
                <w:b/>
                <w:bCs/>
                <w:color w:val="000000"/>
                <w:szCs w:val="24"/>
                <w:lang w:val="en-IN" w:eastAsia="en-IN"/>
              </w:rPr>
              <w:t>Training objectives </w:t>
            </w:r>
          </w:p>
        </w:tc>
        <w:tc>
          <w:tcPr>
            <w:tcW w:w="0" w:type="auto"/>
            <w:tcBorders>
              <w:bottom w:val="single" w:color="95B3D7" w:themeColor="accent1" w:themeTint="99" w:sz="12" w:space="0"/>
              <w:insideH w:val="single" w:sz="12" w:space="0"/>
            </w:tcBorders>
          </w:tcPr>
          <w:p>
            <w:pPr>
              <w:spacing w:after="0" w:line="360" w:lineRule="auto"/>
              <w:jc w:val="both"/>
              <w:rPr>
                <w:rFonts w:ascii="Arial" w:hAnsi="Arial" w:eastAsia="Times New Roman" w:cs="Arial"/>
                <w:b/>
                <w:bCs/>
                <w:color w:val="376092" w:themeColor="accent1" w:themeShade="BF"/>
                <w:szCs w:val="24"/>
                <w:lang w:val="en-IN" w:eastAsia="en-IN"/>
              </w:rPr>
            </w:pPr>
            <w:r>
              <w:rPr>
                <w:rFonts w:ascii="Arial" w:hAnsi="Arial" w:eastAsia="Times New Roman" w:cs="Arial"/>
                <w:b/>
                <w:bCs/>
                <w:color w:val="000000"/>
                <w:szCs w:val="24"/>
                <w:lang w:val="en-IN" w:eastAsia="en-IN"/>
              </w:rPr>
              <w:t>Type  of training </w:t>
            </w:r>
          </w:p>
        </w:tc>
        <w:tc>
          <w:tcPr>
            <w:tcW w:w="0" w:type="auto"/>
            <w:tcBorders>
              <w:bottom w:val="single" w:color="95B3D7" w:themeColor="accent1" w:themeTint="99" w:sz="12" w:space="0"/>
              <w:insideH w:val="single" w:sz="12" w:space="0"/>
            </w:tcBorders>
          </w:tcPr>
          <w:p>
            <w:pPr>
              <w:spacing w:after="0" w:line="360" w:lineRule="auto"/>
              <w:jc w:val="both"/>
              <w:rPr>
                <w:rFonts w:ascii="Arial" w:hAnsi="Arial" w:eastAsia="Times New Roman" w:cs="Arial"/>
                <w:b/>
                <w:bCs/>
                <w:color w:val="376092" w:themeColor="accent1" w:themeShade="BF"/>
                <w:szCs w:val="24"/>
                <w:lang w:val="en-IN" w:eastAsia="en-IN"/>
              </w:rPr>
            </w:pPr>
            <w:r>
              <w:rPr>
                <w:rFonts w:ascii="Arial" w:hAnsi="Arial" w:eastAsia="Times New Roman" w:cs="Arial"/>
                <w:b/>
                <w:bCs/>
                <w:color w:val="000000"/>
                <w:szCs w:val="24"/>
                <w:lang w:val="en-IN" w:eastAsia="en-IN"/>
              </w:rPr>
              <w:t>Measurement </w:t>
            </w:r>
          </w:p>
        </w:tc>
        <w:tc>
          <w:tcPr>
            <w:tcW w:w="0" w:type="auto"/>
            <w:tcBorders>
              <w:bottom w:val="single" w:color="95B3D7" w:themeColor="accent1" w:themeTint="99" w:sz="12" w:space="0"/>
              <w:insideH w:val="single" w:sz="12" w:space="0"/>
            </w:tcBorders>
          </w:tcPr>
          <w:p>
            <w:pPr>
              <w:spacing w:after="0" w:line="360" w:lineRule="auto"/>
              <w:jc w:val="both"/>
              <w:rPr>
                <w:rFonts w:ascii="Arial" w:hAnsi="Arial" w:eastAsia="Times New Roman" w:cs="Arial"/>
                <w:b/>
                <w:bCs/>
                <w:color w:val="376092" w:themeColor="accent1" w:themeShade="BF"/>
                <w:szCs w:val="24"/>
                <w:lang w:val="en-IN" w:eastAsia="en-IN"/>
              </w:rPr>
            </w:pPr>
            <w:r>
              <w:rPr>
                <w:rFonts w:ascii="Arial" w:hAnsi="Arial" w:eastAsia="Times New Roman" w:cs="Arial"/>
                <w:b/>
                <w:bCs/>
                <w:color w:val="000000"/>
                <w:szCs w:val="24"/>
                <w:lang w:val="en-IN" w:eastAsia="en-IN"/>
              </w:rPr>
              <w:t>Timeline</w:t>
            </w:r>
          </w:p>
        </w:tc>
        <w:tc>
          <w:tcPr>
            <w:tcW w:w="0" w:type="auto"/>
            <w:tcBorders>
              <w:bottom w:val="single" w:color="95B3D7" w:themeColor="accent1" w:themeTint="99" w:sz="12" w:space="0"/>
              <w:insideH w:val="single" w:sz="12" w:space="0"/>
            </w:tcBorders>
          </w:tcPr>
          <w:p>
            <w:pPr>
              <w:spacing w:after="0" w:line="360" w:lineRule="auto"/>
              <w:jc w:val="both"/>
              <w:rPr>
                <w:rFonts w:ascii="Arial" w:hAnsi="Arial" w:eastAsia="Times New Roman" w:cs="Arial"/>
                <w:b/>
                <w:bCs/>
                <w:color w:val="376092" w:themeColor="accent1" w:themeShade="BF"/>
                <w:szCs w:val="24"/>
                <w:lang w:val="en-IN" w:eastAsia="en-IN"/>
              </w:rPr>
            </w:pPr>
            <w:r>
              <w:rPr>
                <w:rFonts w:ascii="Arial" w:hAnsi="Arial" w:eastAsia="Times New Roman" w:cs="Arial"/>
                <w:b/>
                <w:bCs/>
                <w:color w:val="000000"/>
                <w:szCs w:val="24"/>
                <w:lang w:val="en-IN" w:eastAsia="en-IN"/>
              </w:rPr>
              <w:t>Training materials required </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0" w:type="auto"/>
            <w:shd w:val="clear" w:color="auto" w:fill="DBE5F1" w:themeFill="accent1" w:themeFillTint="33"/>
          </w:tcPr>
          <w:p>
            <w:pPr>
              <w:spacing w:after="0" w:line="360" w:lineRule="auto"/>
              <w:jc w:val="both"/>
              <w:rPr>
                <w:rFonts w:ascii="Arial" w:hAnsi="Arial" w:eastAsia="Times New Roman" w:cs="Arial"/>
                <w:b/>
                <w:bCs/>
                <w:color w:val="376092" w:themeColor="accent1" w:themeShade="BF"/>
                <w:szCs w:val="24"/>
                <w:lang w:val="en-IN" w:eastAsia="en-IN"/>
              </w:rPr>
            </w:pPr>
            <w:r>
              <w:rPr>
                <w:rFonts w:ascii="Arial" w:hAnsi="Arial" w:eastAsia="Times New Roman" w:cs="Arial"/>
                <w:b/>
                <w:bCs/>
                <w:color w:val="000000"/>
                <w:szCs w:val="24"/>
                <w:lang w:val="en-IN" w:eastAsia="en-IN"/>
              </w:rPr>
              <w:t>Active Listening </w:t>
            </w:r>
          </w:p>
        </w:tc>
        <w:tc>
          <w:tcPr>
            <w:tcW w:w="0" w:type="auto"/>
            <w:shd w:val="clear" w:color="auto" w:fill="DBE5F1" w:themeFill="accent1" w:themeFillTint="33"/>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The main Objectives of this training include active listening skill within an employee to ensure harmony and bond between the two different individuals. This type of skill is highly required to avoid further occurrence of this above scenario. </w:t>
            </w:r>
          </w:p>
        </w:tc>
        <w:tc>
          <w:tcPr>
            <w:tcW w:w="0" w:type="auto"/>
            <w:shd w:val="clear" w:color="auto" w:fill="DBE5F1" w:themeFill="accent1" w:themeFillTint="33"/>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The employees should trained to include attention in their work by limiting distraction from other factors while interacting with the customers.</w:t>
            </w:r>
          </w:p>
        </w:tc>
        <w:tc>
          <w:tcPr>
            <w:tcW w:w="0" w:type="auto"/>
            <w:shd w:val="clear" w:color="auto" w:fill="DBE5F1" w:themeFill="accent1" w:themeFillTint="33"/>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Allowing stroop tests in regular intervals during the training (Burger</w:t>
            </w:r>
            <w:r>
              <w:rPr>
                <w:rFonts w:ascii="Arial" w:hAnsi="Arial" w:eastAsia="Times New Roman" w:cs="Arial"/>
                <w:i/>
                <w:iCs/>
                <w:color w:val="000000"/>
                <w:szCs w:val="24"/>
                <w:lang w:val="en-IN" w:eastAsia="en-IN"/>
              </w:rPr>
              <w:t xml:space="preserve"> et al.,</w:t>
            </w:r>
            <w:r>
              <w:rPr>
                <w:rFonts w:ascii="Arial" w:hAnsi="Arial" w:eastAsia="Times New Roman" w:cs="Arial"/>
                <w:color w:val="000000"/>
                <w:szCs w:val="24"/>
                <w:lang w:val="en-IN" w:eastAsia="en-IN"/>
              </w:rPr>
              <w:t xml:space="preserve"> 2020, p. 60).</w:t>
            </w:r>
          </w:p>
          <w:p>
            <w:pPr>
              <w:spacing w:after="0" w:line="360" w:lineRule="auto"/>
              <w:jc w:val="both"/>
              <w:rPr>
                <w:rFonts w:ascii="Arial" w:hAnsi="Arial" w:eastAsia="Times New Roman" w:cs="Arial"/>
                <w:color w:val="376092" w:themeColor="accent1" w:themeShade="BF"/>
                <w:szCs w:val="24"/>
                <w:lang w:val="en-IN" w:eastAsia="en-IN"/>
              </w:rPr>
            </w:pPr>
          </w:p>
        </w:tc>
        <w:tc>
          <w:tcPr>
            <w:tcW w:w="0" w:type="auto"/>
            <w:shd w:val="clear" w:color="auto" w:fill="DBE5F1" w:themeFill="accent1" w:themeFillTint="33"/>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4 - 5  months </w:t>
            </w:r>
          </w:p>
        </w:tc>
        <w:tc>
          <w:tcPr>
            <w:tcW w:w="0" w:type="auto"/>
            <w:shd w:val="clear" w:color="auto" w:fill="DBE5F1" w:themeFill="accent1" w:themeFillTint="33"/>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Materials to conduct the stroop test. </w:t>
            </w:r>
          </w:p>
          <w:p>
            <w:pPr>
              <w:spacing w:after="0" w:line="360" w:lineRule="auto"/>
              <w:jc w:val="both"/>
              <w:rPr>
                <w:rFonts w:ascii="Arial" w:hAnsi="Arial" w:eastAsia="Times New Roman" w:cs="Arial"/>
                <w:color w:val="376092" w:themeColor="accent1" w:themeShade="BF"/>
                <w:szCs w:val="24"/>
                <w:lang w:val="en-IN" w:eastAsia="en-IN"/>
              </w:rPr>
            </w:pP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0" w:type="auto"/>
          </w:tcPr>
          <w:p>
            <w:pPr>
              <w:spacing w:after="0" w:line="360" w:lineRule="auto"/>
              <w:jc w:val="both"/>
              <w:rPr>
                <w:rFonts w:ascii="Arial" w:hAnsi="Arial" w:eastAsia="Times New Roman" w:cs="Arial"/>
                <w:b/>
                <w:bCs/>
                <w:color w:val="376092" w:themeColor="accent1" w:themeShade="BF"/>
                <w:szCs w:val="24"/>
                <w:lang w:val="en-IN" w:eastAsia="en-IN"/>
              </w:rPr>
            </w:pPr>
            <w:r>
              <w:rPr>
                <w:rFonts w:ascii="Arial" w:hAnsi="Arial" w:eastAsia="Times New Roman" w:cs="Arial"/>
                <w:b/>
                <w:bCs/>
                <w:color w:val="000000"/>
                <w:szCs w:val="24"/>
                <w:lang w:val="en-IN" w:eastAsia="en-IN"/>
              </w:rPr>
              <w:t>Empathy </w:t>
            </w:r>
          </w:p>
        </w:tc>
        <w:tc>
          <w:tcPr>
            <w:tcW w:w="0" w:type="auto"/>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 xml:space="preserve"> This skill is highly required in order to enhance the above-mentioned skill further. This particular skill is also valid to personalise the self-communication among employees and allows customers to validate their feelings to the employees.</w:t>
            </w:r>
          </w:p>
        </w:tc>
        <w:tc>
          <w:tcPr>
            <w:tcW w:w="0" w:type="auto"/>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The employees allowed engaging in observation patterns and the developing reflection analysis within them. This type of training within the employees will enable them to observe the customers according to the difference in mind-sets. In addition to this, reflection analysis will enable them to highlight their own experiences while interacting with other individuals.</w:t>
            </w:r>
          </w:p>
        </w:tc>
        <w:tc>
          <w:tcPr>
            <w:tcW w:w="0" w:type="auto"/>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The reflective thinking among the employees and individuals can measured through the Five-point Likert Scale (Al-Qarni, 2024, p. 196).</w:t>
            </w:r>
          </w:p>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Apart from that observation patterns within an individual can be measured through Physiological measure.  This will help to monitor all the reactions of a person.</w:t>
            </w:r>
          </w:p>
          <w:p>
            <w:pPr>
              <w:spacing w:after="240" w:line="360" w:lineRule="auto"/>
              <w:jc w:val="both"/>
              <w:rPr>
                <w:rFonts w:ascii="Arial" w:hAnsi="Arial" w:eastAsia="Times New Roman" w:cs="Arial"/>
                <w:color w:val="376092" w:themeColor="accent1" w:themeShade="BF"/>
                <w:szCs w:val="24"/>
                <w:lang w:val="en-IN" w:eastAsia="en-IN"/>
              </w:rPr>
            </w:pPr>
          </w:p>
        </w:tc>
        <w:tc>
          <w:tcPr>
            <w:tcW w:w="0" w:type="auto"/>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2- 3 months </w:t>
            </w:r>
          </w:p>
        </w:tc>
        <w:tc>
          <w:tcPr>
            <w:tcW w:w="0" w:type="auto"/>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Usage of software’s for allowing Spearman’s R for correlations and Mann Whitney T-test methods.</w:t>
            </w:r>
          </w:p>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In addition to this, tools and machines for physiological tests.</w:t>
            </w:r>
          </w:p>
        </w:tc>
      </w:tr>
      <w:tr>
        <w:tblPrEx>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CellMar>
            <w:top w:w="0" w:type="dxa"/>
            <w:left w:w="108" w:type="dxa"/>
            <w:bottom w:w="0" w:type="dxa"/>
            <w:right w:w="108" w:type="dxa"/>
          </w:tblCellMar>
        </w:tblPrEx>
        <w:tc>
          <w:tcPr>
            <w:tcW w:w="0" w:type="auto"/>
            <w:shd w:val="clear" w:color="auto" w:fill="DBE5F1" w:themeFill="accent1" w:themeFillTint="33"/>
          </w:tcPr>
          <w:p>
            <w:pPr>
              <w:spacing w:after="0" w:line="360" w:lineRule="auto"/>
              <w:jc w:val="both"/>
              <w:rPr>
                <w:rFonts w:ascii="Arial" w:hAnsi="Arial" w:eastAsia="Times New Roman" w:cs="Arial"/>
                <w:b/>
                <w:bCs/>
                <w:color w:val="376092" w:themeColor="accent1" w:themeShade="BF"/>
                <w:szCs w:val="24"/>
                <w:lang w:val="en-IN" w:eastAsia="en-IN"/>
              </w:rPr>
            </w:pPr>
            <w:r>
              <w:rPr>
                <w:rFonts w:ascii="Arial" w:hAnsi="Arial" w:eastAsia="Times New Roman" w:cs="Arial"/>
                <w:b/>
                <w:bCs/>
                <w:color w:val="000000"/>
                <w:szCs w:val="24"/>
                <w:lang w:val="en-IN" w:eastAsia="en-IN"/>
              </w:rPr>
              <w:t>Effective  engagement </w:t>
            </w:r>
          </w:p>
        </w:tc>
        <w:tc>
          <w:tcPr>
            <w:tcW w:w="0" w:type="auto"/>
            <w:shd w:val="clear" w:color="auto" w:fill="DBE5F1" w:themeFill="accent1" w:themeFillTint="33"/>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Effective engagement as the skill will allow the individual to interact with the customer by understanding their perspective and also regulating their perception and conveying them to the   customer according to the situation that arises between the conversations. This particular skills development within the employee will allow restriction of conflict like the above scenario further.</w:t>
            </w:r>
          </w:p>
        </w:tc>
        <w:tc>
          <w:tcPr>
            <w:tcW w:w="0" w:type="auto"/>
            <w:shd w:val="clear" w:color="auto" w:fill="DBE5F1" w:themeFill="accent1" w:themeFillTint="33"/>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Multimedia content and  interactive  presentation can be  included  in order to enhance the engagement skills  among the  employees </w:t>
            </w:r>
          </w:p>
        </w:tc>
        <w:tc>
          <w:tcPr>
            <w:tcW w:w="0" w:type="auto"/>
            <w:shd w:val="clear" w:color="auto" w:fill="DBE5F1" w:themeFill="accent1" w:themeFillTint="33"/>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  These results and tests can measured through the surveys and non-survey methods (Braun</w:t>
            </w:r>
            <w:r>
              <w:rPr>
                <w:rFonts w:ascii="Arial" w:hAnsi="Arial" w:eastAsia="Times New Roman" w:cs="Arial"/>
                <w:i/>
                <w:iCs/>
                <w:color w:val="000000"/>
                <w:szCs w:val="24"/>
                <w:lang w:val="en-IN" w:eastAsia="en-IN"/>
              </w:rPr>
              <w:t xml:space="preserve"> et al.,</w:t>
            </w:r>
            <w:r>
              <w:rPr>
                <w:rFonts w:ascii="Arial" w:hAnsi="Arial" w:eastAsia="Times New Roman" w:cs="Arial"/>
                <w:color w:val="000000"/>
                <w:szCs w:val="24"/>
                <w:lang w:val="en-IN" w:eastAsia="en-IN"/>
              </w:rPr>
              <w:t xml:space="preserve"> 2021, p. 650). </w:t>
            </w:r>
          </w:p>
          <w:p>
            <w:pPr>
              <w:spacing w:after="0" w:line="360" w:lineRule="auto"/>
              <w:jc w:val="both"/>
              <w:rPr>
                <w:rFonts w:ascii="Arial" w:hAnsi="Arial" w:eastAsia="Times New Roman" w:cs="Arial"/>
                <w:color w:val="376092" w:themeColor="accent1" w:themeShade="BF"/>
                <w:szCs w:val="24"/>
                <w:lang w:val="en-IN" w:eastAsia="en-IN"/>
              </w:rPr>
            </w:pPr>
          </w:p>
        </w:tc>
        <w:tc>
          <w:tcPr>
            <w:tcW w:w="0" w:type="auto"/>
            <w:shd w:val="clear" w:color="auto" w:fill="DBE5F1" w:themeFill="accent1" w:themeFillTint="33"/>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6-7 months </w:t>
            </w:r>
          </w:p>
        </w:tc>
        <w:tc>
          <w:tcPr>
            <w:tcW w:w="0" w:type="auto"/>
            <w:shd w:val="clear" w:color="auto" w:fill="DBE5F1" w:themeFill="accent1" w:themeFillTint="33"/>
          </w:tcPr>
          <w:p>
            <w:pPr>
              <w:spacing w:after="0" w:line="360" w:lineRule="auto"/>
              <w:jc w:val="both"/>
              <w:rPr>
                <w:rFonts w:ascii="Arial" w:hAnsi="Arial" w:eastAsia="Times New Roman" w:cs="Arial"/>
                <w:color w:val="376092" w:themeColor="accent1" w:themeShade="BF"/>
                <w:szCs w:val="24"/>
                <w:lang w:val="en-IN" w:eastAsia="en-IN"/>
              </w:rPr>
            </w:pPr>
            <w:r>
              <w:rPr>
                <w:rFonts w:ascii="Arial" w:hAnsi="Arial" w:eastAsia="Times New Roman" w:cs="Arial"/>
                <w:color w:val="000000"/>
                <w:szCs w:val="24"/>
                <w:lang w:val="en-IN" w:eastAsia="en-IN"/>
              </w:rPr>
              <w:t>An effective questionnaire and online tools to establish communication among the employees.</w:t>
            </w:r>
          </w:p>
        </w:tc>
      </w:tr>
    </w:tbl>
    <w:p>
      <w:pPr>
        <w:spacing w:after="0" w:line="360" w:lineRule="auto"/>
        <w:jc w:val="both"/>
        <w:rPr>
          <w:rFonts w:ascii="Arial" w:hAnsi="Arial" w:eastAsia="Times New Roman" w:cs="Arial"/>
          <w:sz w:val="24"/>
          <w:szCs w:val="24"/>
          <w:lang w:val="en-IN" w:eastAsia="en-IN"/>
        </w:rPr>
      </w:pP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The above training plan can increase the chances of including a positive attitude among the employees during critical scenarios discussed above. Skills like active listening and engagement measures are highly important for regulating employees according to industrial standards. This will further help every worker belonging to this hospitality industry to limit conflict with foreign customers and showcase a positive attitude despite the lingual or any other cultural differences. The training, in this case, should be consistent in order to mould the worker according to the different scenarios. In the hospitality industry, the workers or the employees will face different scenarios based on cultural diversity and in order to combat them effectively, regular training is highly appreciated.</w:t>
      </w:r>
    </w:p>
    <w:p>
      <w:pPr>
        <w:rPr>
          <w:rFonts w:ascii="Arial" w:hAnsi="Arial" w:eastAsia="Times New Roman" w:cstheme="majorBidi"/>
          <w:b/>
          <w:bCs/>
          <w:sz w:val="24"/>
          <w:szCs w:val="28"/>
          <w:lang w:val="en-IN" w:eastAsia="en-IN"/>
        </w:rPr>
      </w:pPr>
      <w:r>
        <w:rPr>
          <w:rFonts w:eastAsia="Times New Roman"/>
          <w:lang w:val="en-IN" w:eastAsia="en-IN"/>
        </w:rPr>
        <w:br w:type="page"/>
      </w:r>
    </w:p>
    <w:p>
      <w:pPr>
        <w:pStyle w:val="2"/>
        <w:rPr>
          <w:rFonts w:eastAsia="Times New Roman"/>
          <w:lang w:val="en-IN" w:eastAsia="en-IN"/>
        </w:rPr>
      </w:pPr>
      <w:r>
        <w:rPr>
          <w:rFonts w:eastAsia="Times New Roman"/>
          <w:lang w:val="en-IN" w:eastAsia="en-IN"/>
        </w:rPr>
        <w:t xml:space="preserve">Component 3: Student self-reflection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Kolb’s Reflective Model (reflect on your own understanding of the</w:t>
      </w:r>
    </w:p>
    <w:p>
      <w:pPr>
        <w:spacing w:after="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Importance of cultural awareness within the hospitality industry</w:t>
      </w:r>
    </w:p>
    <w:p>
      <w:pPr>
        <w:spacing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The hospitality businesses should include cultural awareness in order to increase operations and growth of the company (Oriade</w:t>
      </w:r>
      <w:r>
        <w:rPr>
          <w:rFonts w:ascii="Arial" w:hAnsi="Arial" w:eastAsia="Times New Roman" w:cs="Arial"/>
          <w:i/>
          <w:iCs/>
          <w:color w:val="000000"/>
          <w:sz w:val="24"/>
          <w:szCs w:val="24"/>
          <w:lang w:val="en-IN" w:eastAsia="en-IN"/>
        </w:rPr>
        <w:t xml:space="preserve"> et al.,</w:t>
      </w:r>
      <w:r>
        <w:rPr>
          <w:rFonts w:ascii="Arial" w:hAnsi="Arial" w:eastAsia="Times New Roman" w:cs="Arial"/>
          <w:color w:val="000000"/>
          <w:sz w:val="24"/>
          <w:szCs w:val="24"/>
          <w:lang w:val="en-IN" w:eastAsia="en-IN"/>
        </w:rPr>
        <w:t xml:space="preserve"> 2021, p. 102699). This is the only industry where amalgamation of different cultures occurs and higher awareness regarding diverse cultures helps the business to achieve effective opportunities. Nhamo</w:t>
      </w:r>
      <w:r>
        <w:rPr>
          <w:rFonts w:ascii="Arial" w:hAnsi="Arial" w:eastAsia="Times New Roman" w:cs="Arial"/>
          <w:i/>
          <w:iCs/>
          <w:color w:val="000000"/>
          <w:sz w:val="24"/>
          <w:szCs w:val="24"/>
          <w:lang w:val="en-IN" w:eastAsia="en-IN"/>
        </w:rPr>
        <w:t xml:space="preserve"> et al.,</w:t>
      </w:r>
      <w:r>
        <w:rPr>
          <w:rFonts w:ascii="Arial" w:hAnsi="Arial" w:eastAsia="Times New Roman" w:cs="Arial"/>
          <w:color w:val="000000"/>
          <w:sz w:val="24"/>
          <w:szCs w:val="24"/>
          <w:lang w:val="en-IN" w:eastAsia="en-IN"/>
        </w:rPr>
        <w:t xml:space="preserve"> 2020, opined that, In the midst of globalisation, every business including the hospitality business is required to expand its horizons in order to promote growth and stability in the business.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This is the only industry where promotion of the growth and business expansion would require them to embrace cultural diversity. In this context, the promotion of cultural awareness among the employees would help them to create competitive communications and decisions. In this section, my perspective regarding cultural awareness will state. In addition to this, I will also reflect on my change of understanding about cultural diversity and inclusion over the span of time. My overall knowledge and experience regarding this cultural awareness process will be stated with the usage of Kolb’s reflective cycle (Hanisyah</w:t>
      </w:r>
      <w:r>
        <w:rPr>
          <w:rFonts w:ascii="Arial" w:hAnsi="Arial" w:eastAsia="Times New Roman" w:cs="Arial"/>
          <w:i/>
          <w:iCs/>
          <w:color w:val="000000"/>
          <w:sz w:val="24"/>
          <w:szCs w:val="24"/>
          <w:lang w:val="en-IN" w:eastAsia="en-IN"/>
        </w:rPr>
        <w:t xml:space="preserve"> et al.,</w:t>
      </w:r>
      <w:r>
        <w:rPr>
          <w:rFonts w:ascii="Arial" w:hAnsi="Arial" w:eastAsia="Times New Roman" w:cs="Arial"/>
          <w:color w:val="000000"/>
          <w:sz w:val="24"/>
          <w:szCs w:val="24"/>
          <w:lang w:val="en-IN" w:eastAsia="en-IN"/>
        </w:rPr>
        <w:t xml:space="preserve"> 2023, p. 66).</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Concrete Experience</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How did your understanding of the subject change over time?</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My perception of cultural conflicts is highly based on macro issues like the formation of wars to debate over abortion. I used to believe that allowing cultural education and awareness could eliminate the factors contributing to wars and abortion. After observing the scenario, where there was a conflict between F&amp;B Japanese employees with a European customer, my whole perception of cultural awareness and its importance has changed drastically. I have understood that every culture has its own contribution to raising an individual and this highly impacts their behaviour in the future. The conflict arises when these two different individuals with distinct behavioural patterns meet with each other.</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Reflective Observation</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Importance of Experience</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The above experience was highly important for me as it completely changed my own perceptions and values effectively. Earlier I was accustomed to macro issues and equalised the cultural conflict with economic crises like war, slavery, and abortions. However, this recent event based on cultural conflict in the hotel of Hilton Ltd has enabled my perception based on cultural conflicts and its awareness of a micro perspective.</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Abstract Conceptualization</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Learning as a result of experience</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The above experiences have created awareness within me about the importance of respect and acceptance of different individuals. In order to avoid conflict in every area specifically in the hospitality industry respect, and acceptance of individual differences is the only resolution to the issues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Active Experimentation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In the future, I would like to include these learning’s derived from my experiences while I was on my trip. I would like to include respect while interacting with every person whether they are natives of my own country or belong to other countries and have different perspectives about life and values. In addition to this, I would like to add the skills of acceptance within me and go to lengths in order to achieve them effectively. I personally believe that in order to avoid conflict based on cultural differences, whether it is micro or macro acceptance of differences is the key resolution to the problems.</w:t>
      </w:r>
    </w:p>
    <w:p>
      <w:pPr>
        <w:rPr>
          <w:rFonts w:ascii="Arial" w:hAnsi="Arial" w:eastAsia="Times New Roman" w:cstheme="majorBidi"/>
          <w:b/>
          <w:bCs/>
          <w:sz w:val="24"/>
          <w:szCs w:val="28"/>
          <w:lang w:val="en-IN" w:eastAsia="en-IN"/>
        </w:rPr>
      </w:pPr>
      <w:r>
        <w:rPr>
          <w:rFonts w:eastAsia="Times New Roman"/>
          <w:lang w:val="en-IN" w:eastAsia="en-IN"/>
        </w:rPr>
        <w:br w:type="page"/>
      </w:r>
    </w:p>
    <w:p>
      <w:pPr>
        <w:pStyle w:val="2"/>
        <w:rPr>
          <w:rFonts w:eastAsia="Times New Roman"/>
          <w:lang w:val="en-IN" w:eastAsia="en-IN"/>
        </w:rPr>
      </w:pPr>
      <w:r>
        <w:rPr>
          <w:rFonts w:eastAsia="Times New Roman"/>
          <w:lang w:val="en-IN" w:eastAsia="en-IN"/>
        </w:rPr>
        <w:t xml:space="preserve">Component 4: Training presentation </w:t>
      </w:r>
    </w:p>
    <w:p>
      <w:pPr>
        <w:spacing w:after="0"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t>Slide 1:  Importance of language awareness skills for hotel staff.</w:t>
      </w:r>
    </w:p>
    <w:p>
      <w:pPr>
        <w:spacing w:after="0" w:line="360" w:lineRule="auto"/>
        <w:jc w:val="center"/>
        <w:rPr>
          <w:rFonts w:ascii="Arial" w:hAnsi="Arial" w:eastAsia="Times New Roman" w:cs="Arial"/>
          <w:sz w:val="24"/>
          <w:szCs w:val="24"/>
          <w:lang w:val="en-IN" w:eastAsia="en-IN"/>
        </w:rPr>
      </w:pPr>
      <w:r>
        <w:rPr>
          <w:rFonts w:ascii="Arial" w:hAnsi="Arial" w:eastAsia="Times New Roman" w:cs="Arial"/>
          <w:sz w:val="24"/>
          <w:szCs w:val="24"/>
          <w:lang w:val="en-IN" w:eastAsia="en-IN"/>
        </w:rPr>
        <w:drawing>
          <wp:inline distT="0" distB="0" distL="0" distR="0">
            <wp:extent cx="4572635"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4572638" cy="3429479"/>
                    </a:xfrm>
                    <a:prstGeom prst="rect">
                      <a:avLst/>
                    </a:prstGeom>
                  </pic:spPr>
                </pic:pic>
              </a:graphicData>
            </a:graphic>
          </wp:inline>
        </w:drawing>
      </w:r>
    </w:p>
    <w:p>
      <w:pPr>
        <w:spacing w:after="0"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t>Slide 2: Introduction </w:t>
      </w:r>
    </w:p>
    <w:p>
      <w:pPr>
        <w:spacing w:after="0" w:line="360" w:lineRule="auto"/>
        <w:jc w:val="center"/>
        <w:rPr>
          <w:rFonts w:ascii="Arial" w:hAnsi="Arial" w:eastAsia="Times New Roman" w:cs="Arial"/>
          <w:sz w:val="24"/>
          <w:szCs w:val="24"/>
          <w:lang w:val="en-IN" w:eastAsia="en-IN"/>
        </w:rPr>
      </w:pPr>
      <w:r>
        <w:rPr>
          <w:rFonts w:ascii="Arial" w:hAnsi="Arial" w:eastAsia="Times New Roman" w:cs="Arial"/>
          <w:sz w:val="24"/>
          <w:szCs w:val="24"/>
          <w:lang w:val="en-IN" w:eastAsia="en-IN"/>
        </w:rPr>
        <w:object>
          <v:shape id="_x0000_i1025" o:spt="75" type="#_x0000_t75" style="height:269.25pt;width:360pt;" o:ole="t" filled="f" o:preferrelative="t" stroked="f" coordsize="21600,21600">
            <v:path/>
            <v:fill on="f" focussize="0,0"/>
            <v:stroke on="f" joinstyle="miter"/>
            <v:imagedata r:id="rId9" o:title=""/>
            <o:lock v:ext="edit" aspectratio="t"/>
            <w10:wrap type="none"/>
            <w10:anchorlock/>
          </v:shape>
          <o:OLEObject Type="Embed" ProgID="PowerPoint.Slide.12" ShapeID="_x0000_i1025" DrawAspect="Content" ObjectID="_1468075725" r:id="rId8">
            <o:LockedField>false</o:LockedField>
          </o:OLEObject>
        </w:object>
      </w:r>
    </w:p>
    <w:p>
      <w:pPr>
        <w:spacing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Language Awareness skills are extremely important for the hotel staff, as it enables them to communicate freely with global customers. Lack of language skills among the staff of hotel business will deplete the reputation and customer satisfactions (Christiansen</w:t>
      </w:r>
      <w:r>
        <w:rPr>
          <w:rFonts w:ascii="Arial" w:hAnsi="Arial" w:eastAsia="Times New Roman" w:cs="Arial"/>
          <w:i/>
          <w:iCs/>
          <w:color w:val="000000"/>
          <w:sz w:val="24"/>
          <w:szCs w:val="24"/>
          <w:lang w:val="en-IN" w:eastAsia="en-IN"/>
        </w:rPr>
        <w:t xml:space="preserve"> et al.,</w:t>
      </w:r>
      <w:r>
        <w:rPr>
          <w:rFonts w:ascii="Arial" w:hAnsi="Arial" w:eastAsia="Times New Roman" w:cs="Arial"/>
          <w:color w:val="000000"/>
          <w:sz w:val="24"/>
          <w:szCs w:val="24"/>
          <w:lang w:val="en-IN" w:eastAsia="en-IN"/>
        </w:rPr>
        <w:t xml:space="preserve"> 2020).</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color w:val="000000"/>
          <w:sz w:val="24"/>
          <w:szCs w:val="24"/>
          <w:lang w:val="en-IN" w:eastAsia="en-IN"/>
        </w:rPr>
        <w:t>Speaker Notes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Language awareness is an effective medium through which the hotel industry can develop itself to adhere to the norms of globalisation. Having a language barrier between the employees and customers can create issues in allowing guests on a global level and establishing stable communication with them. Language barriers will also deplete the hotel business in terms of customer satisfaction.</w:t>
      </w:r>
    </w:p>
    <w:p>
      <w:pPr>
        <w:spacing w:before="240" w:after="240"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t>Slide 3: Benefits of Multilingualism</w:t>
      </w:r>
    </w:p>
    <w:p>
      <w:pPr>
        <w:spacing w:before="240" w:after="240" w:line="360" w:lineRule="auto"/>
        <w:jc w:val="center"/>
        <w:rPr>
          <w:rFonts w:ascii="Arial" w:hAnsi="Arial" w:eastAsia="Times New Roman" w:cs="Arial"/>
          <w:sz w:val="24"/>
          <w:szCs w:val="24"/>
          <w:lang w:val="en-IN" w:eastAsia="en-IN"/>
        </w:rPr>
      </w:pPr>
      <w:r>
        <w:rPr>
          <w:rFonts w:ascii="Arial" w:hAnsi="Arial" w:eastAsia="Times New Roman" w:cs="Arial"/>
          <w:sz w:val="24"/>
          <w:szCs w:val="24"/>
          <w:lang w:val="en-IN" w:eastAsia="en-IN"/>
        </w:rPr>
        <w:object>
          <v:shape id="_x0000_i1026" o:spt="75" type="#_x0000_t75" style="height:269.25pt;width:360pt;" o:ole="t" filled="f" o:preferrelative="t" stroked="f" coordsize="21600,21600">
            <v:path/>
            <v:fill on="f" focussize="0,0"/>
            <v:stroke on="f" joinstyle="miter"/>
            <v:imagedata r:id="rId11" o:title=""/>
            <o:lock v:ext="edit" aspectratio="t"/>
            <w10:wrap type="none"/>
            <w10:anchorlock/>
          </v:shape>
          <o:OLEObject Type="Embed" ProgID="PowerPoint.Slide.12" ShapeID="_x0000_i1026" DrawAspect="Content" ObjectID="_1468075726" r:id="rId10">
            <o:LockedField>false</o:LockedField>
          </o:OLEObject>
        </w:objec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Multilingualism enables the hotel business to expand their business and to gain opportunities overseas easily. In addition to this, cultural sensitivity can be included among the hotel staff which will help them to reduce potential conflicts. The networking skills of the business will also increase with the addition of multilingualism.</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color w:val="000000"/>
          <w:sz w:val="24"/>
          <w:szCs w:val="24"/>
          <w:lang w:val="en-IN" w:eastAsia="en-IN"/>
        </w:rPr>
        <w:t>Speaker Notes:</w:t>
      </w:r>
      <w:r>
        <w:rPr>
          <w:rFonts w:ascii="Arial" w:hAnsi="Arial" w:eastAsia="Times New Roman" w:cs="Arial"/>
          <w:color w:val="000000"/>
          <w:sz w:val="24"/>
          <w:szCs w:val="24"/>
          <w:lang w:val="en-IN" w:eastAsia="en-IN"/>
        </w:rPr>
        <w:t>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Multilingualism has several benefits, specifically in terms of the hotel industry.   In the era of globalisation, the adoption of multilingualism is the only process through which language barriers can be eliminated and cultural diversity can be promoted. Multilingualism helps to include cultural sensitivity among the workforce of the hotel business, further reducing the chance of conflicts. The expansion process of the hotel business will increase significantly by the adoption of multilingualism (Abramson and Moran, 2018). Lastly, the networking skills of the business present in this industry will also increase.</w:t>
      </w:r>
    </w:p>
    <w:p>
      <w:pPr>
        <w:spacing w:before="240" w:after="240"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t>Slide 4: Learning Russian as an effective European language</w:t>
      </w:r>
    </w:p>
    <w:p>
      <w:pPr>
        <w:spacing w:before="240" w:after="240" w:line="360" w:lineRule="auto"/>
        <w:jc w:val="center"/>
        <w:rPr>
          <w:rFonts w:ascii="Arial" w:hAnsi="Arial" w:eastAsia="Times New Roman" w:cs="Arial"/>
          <w:sz w:val="24"/>
          <w:szCs w:val="24"/>
          <w:lang w:val="en-IN" w:eastAsia="en-IN"/>
        </w:rPr>
      </w:pPr>
      <w:r>
        <w:rPr>
          <w:rFonts w:ascii="Arial" w:hAnsi="Arial" w:eastAsia="Times New Roman" w:cs="Arial"/>
          <w:sz w:val="24"/>
          <w:szCs w:val="24"/>
          <w:lang w:val="en-IN" w:eastAsia="en-IN"/>
        </w:rPr>
        <w:object>
          <v:shape id="_x0000_i1027" o:spt="75" type="#_x0000_t75" style="height:269.25pt;width:360pt;" o:ole="t" filled="f" o:preferrelative="t" stroked="f" coordsize="21600,21600">
            <v:path/>
            <v:fill on="f" focussize="0,0"/>
            <v:stroke on="f" joinstyle="miter"/>
            <v:imagedata r:id="rId13" o:title=""/>
            <o:lock v:ext="edit" aspectratio="t"/>
            <w10:wrap type="none"/>
            <w10:anchorlock/>
          </v:shape>
          <o:OLEObject Type="Embed" ProgID="PowerPoint.Slide.12" ShapeID="_x0000_i1027" DrawAspect="Content" ObjectID="_1468075727" r:id="rId12">
            <o:LockedField>false</o:LockedField>
          </o:OLEObject>
        </w:objec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i/>
          <w:iCs/>
          <w:color w:val="000000"/>
          <w:sz w:val="24"/>
          <w:szCs w:val="24"/>
          <w:lang w:val="en-IN" w:eastAsia="en-IN"/>
        </w:rPr>
        <w:t>Where is the language spoken? Is it hard to learn?</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The Russian language is the most difficult language for the Hotel staff to learn, specifically for the English natives (Erkinovna, 2023). Despite its difficulties, Russian is the official language of Belarus and also of other countries. This is the most preached language in the whole of Europe.</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color w:val="000000"/>
          <w:sz w:val="24"/>
          <w:szCs w:val="24"/>
          <w:lang w:val="en-IN" w:eastAsia="en-IN"/>
        </w:rPr>
        <w:t>Speaker Notes:</w:t>
      </w:r>
      <w:r>
        <w:rPr>
          <w:rFonts w:ascii="Arial" w:hAnsi="Arial" w:eastAsia="Times New Roman" w:cs="Arial"/>
          <w:color w:val="000000"/>
          <w:sz w:val="24"/>
          <w:szCs w:val="24"/>
          <w:lang w:val="en-IN" w:eastAsia="en-IN"/>
        </w:rPr>
        <w:t>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Multilingualism among hotel staff will enhance the business productivity operating globally. In this context, apart from native languages, learning Russian can benefit the hotel staff effectively. Russian is the most common language spoken across Europe. The majority of the European customers are likely to speak Russian apart from English. Russian is official for Kazakhstan, Belarus, and Kyrgyzstan. However, it is also commonly used in Ukraine, Central Asia, and others. The Russian language is hard to learn for every hotel staff member, but it will help in the future.</w:t>
      </w:r>
    </w:p>
    <w:p>
      <w:pPr>
        <w:spacing w:before="240" w:after="240"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t>Slide 5: Identifying the polite and impolite context in cultural awareness across the hospitality industry.</w:t>
      </w:r>
    </w:p>
    <w:p>
      <w:pPr>
        <w:spacing w:before="240" w:after="240" w:line="360" w:lineRule="auto"/>
        <w:jc w:val="center"/>
        <w:rPr>
          <w:rFonts w:ascii="Arial" w:hAnsi="Arial" w:eastAsia="Times New Roman" w:cs="Arial"/>
          <w:sz w:val="24"/>
          <w:szCs w:val="24"/>
          <w:lang w:val="en-IN" w:eastAsia="en-IN"/>
        </w:rPr>
      </w:pPr>
      <w:r>
        <w:rPr>
          <w:rFonts w:ascii="Arial" w:hAnsi="Arial" w:eastAsia="Times New Roman" w:cs="Arial"/>
          <w:sz w:val="24"/>
          <w:szCs w:val="24"/>
          <w:lang w:val="en-IN" w:eastAsia="en-IN"/>
        </w:rPr>
        <w:object>
          <v:shape id="_x0000_i1028" o:spt="75" type="#_x0000_t75" style="height:269.25pt;width:360pt;" o:ole="t" filled="f" o:preferrelative="t" stroked="f" coordsize="21600,21600">
            <v:path/>
            <v:fill on="f" focussize="0,0"/>
            <v:stroke on="f" joinstyle="miter"/>
            <v:imagedata r:id="rId15" o:title=""/>
            <o:lock v:ext="edit" aspectratio="t"/>
            <w10:wrap type="none"/>
            <w10:anchorlock/>
          </v:shape>
          <o:OLEObject Type="Embed" ProgID="PowerPoint.Slide.12" ShapeID="_x0000_i1028" DrawAspect="Content" ObjectID="_1468075728" r:id="rId14">
            <o:LockedField>false</o:LockedField>
          </o:OLEObject>
        </w:objec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According to Nedelko and Brzozowski, 2020, Smiling while greeting customers is accepted across the world. Lack of cultural sensitivity and talking rudely with customers deplete the goodwill of the hotel business.</w:t>
      </w:r>
    </w:p>
    <w:p>
      <w:pPr>
        <w:spacing w:before="240" w:after="240"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t>Speaker Notes</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 xml:space="preserve"> In terms of politeness, showing a smile while greeting every customer is an essential aspect that can imply cultural awareness and is accepted all over the world. In terms of impoliteness, talking rudely with customers and lack of cultural sensitivity can deplete hotel business goodwill. </w:t>
      </w:r>
    </w:p>
    <w:p>
      <w:pPr>
        <w:spacing w:before="240" w:after="240"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t>Slide 6: Understanding the importance of language awareness skills in Hilton Ltd.</w:t>
      </w:r>
    </w:p>
    <w:p>
      <w:pPr>
        <w:spacing w:before="240" w:after="240" w:line="360" w:lineRule="auto"/>
        <w:jc w:val="center"/>
        <w:rPr>
          <w:rFonts w:ascii="Arial" w:hAnsi="Arial" w:eastAsia="Times New Roman" w:cs="Arial"/>
          <w:sz w:val="24"/>
          <w:szCs w:val="24"/>
          <w:lang w:val="en-IN" w:eastAsia="en-IN"/>
        </w:rPr>
      </w:pPr>
      <w:r>
        <w:rPr>
          <w:rFonts w:ascii="Arial" w:hAnsi="Arial" w:eastAsia="Times New Roman" w:cs="Arial"/>
          <w:sz w:val="24"/>
          <w:szCs w:val="24"/>
          <w:lang w:val="en-IN" w:eastAsia="en-IN"/>
        </w:rPr>
        <w:drawing>
          <wp:inline distT="0" distB="0" distL="0" distR="0">
            <wp:extent cx="4572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6"/>
                    <a:stretch>
                      <a:fillRect/>
                    </a:stretch>
                  </pic:blipFill>
                  <pic:spPr>
                    <a:xfrm>
                      <a:off x="0" y="0"/>
                      <a:ext cx="4572638" cy="3429479"/>
                    </a:xfrm>
                    <a:prstGeom prst="rect">
                      <a:avLst/>
                    </a:prstGeom>
                  </pic:spPr>
                </pic:pic>
              </a:graphicData>
            </a:graphic>
          </wp:inline>
        </w:drawing>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Multilingualism is adopted across the workforce in Hilton Ltd (</w:t>
      </w:r>
      <w:r>
        <w:rPr>
          <w:rFonts w:ascii="Arial" w:hAnsi="Arial" w:eastAsia="Times New Roman" w:cs="Arial"/>
          <w:color w:val="000000" w:themeColor="text1"/>
          <w:sz w:val="24"/>
          <w:szCs w:val="24"/>
          <w:lang w:val="en-IN" w:eastAsia="en-IN"/>
          <w14:textFill>
            <w14:solidFill>
              <w14:schemeClr w14:val="tx1"/>
            </w14:solidFill>
          </w14:textFill>
        </w:rPr>
        <w:t>Hiltonglobalfoundation</w:t>
      </w:r>
      <w:r>
        <w:rPr>
          <w:rFonts w:ascii="Arial" w:hAnsi="Arial" w:eastAsia="Times New Roman" w:cs="Arial"/>
          <w:i/>
          <w:iCs/>
          <w:color w:val="000000" w:themeColor="text1"/>
          <w:sz w:val="24"/>
          <w:szCs w:val="24"/>
          <w:lang w:val="en-IN" w:eastAsia="en-IN"/>
          <w14:textFill>
            <w14:solidFill>
              <w14:schemeClr w14:val="tx1"/>
            </w14:solidFill>
          </w14:textFill>
        </w:rPr>
        <w:t xml:space="preserve">, </w:t>
      </w:r>
      <w:r>
        <w:rPr>
          <w:rFonts w:ascii="Arial" w:hAnsi="Arial" w:eastAsia="Times New Roman" w:cs="Arial"/>
          <w:color w:val="000000"/>
          <w:sz w:val="24"/>
          <w:szCs w:val="24"/>
          <w:lang w:val="en-IN" w:eastAsia="en-IN"/>
        </w:rPr>
        <w:t>2023).This company hires or trains employees to implement these soft skills within the workforce effectively.</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color w:val="000000"/>
          <w:sz w:val="24"/>
          <w:szCs w:val="24"/>
          <w:lang w:val="en-IN" w:eastAsia="en-IN"/>
        </w:rPr>
        <w:t>Speaker Notes:</w:t>
      </w:r>
      <w:r>
        <w:rPr>
          <w:rFonts w:ascii="Arial" w:hAnsi="Arial" w:eastAsia="Times New Roman" w:cs="Arial"/>
          <w:color w:val="000000"/>
          <w:sz w:val="24"/>
          <w:szCs w:val="24"/>
          <w:lang w:val="en-IN" w:eastAsia="en-IN"/>
        </w:rPr>
        <w:t>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Hilton Ltd understands the language awareness aspect and they usually hire or train an employee based on these particular soft skills. Apart from qualification and hard skills, multilingualism helps employees to retain their customers and promotes customer satisfaction on a global level.</w:t>
      </w:r>
    </w:p>
    <w:p>
      <w:pPr>
        <w:spacing w:before="240" w:after="240"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t>Slide 7: Conclusion </w:t>
      </w:r>
    </w:p>
    <w:p>
      <w:pPr>
        <w:spacing w:before="240" w:after="240" w:line="360" w:lineRule="auto"/>
        <w:jc w:val="center"/>
        <w:rPr>
          <w:rFonts w:ascii="Arial" w:hAnsi="Arial" w:eastAsia="Times New Roman" w:cs="Arial"/>
          <w:sz w:val="24"/>
          <w:szCs w:val="24"/>
          <w:lang w:val="en-IN" w:eastAsia="en-IN"/>
        </w:rPr>
      </w:pPr>
      <w:r>
        <w:rPr>
          <w:rFonts w:ascii="Arial" w:hAnsi="Arial" w:eastAsia="Times New Roman" w:cs="Arial"/>
          <w:sz w:val="24"/>
          <w:szCs w:val="24"/>
          <w:lang w:val="en-IN" w:eastAsia="en-IN"/>
        </w:rPr>
        <w:object>
          <v:shape id="_x0000_i1029" o:spt="75" type="#_x0000_t75" style="height:269.25pt;width:360pt;" o:ole="t" filled="f" o:preferrelative="t" stroked="f" coordsize="21600,21600">
            <v:path/>
            <v:fill on="f" focussize="0,0"/>
            <v:stroke on="f" joinstyle="miter"/>
            <v:imagedata r:id="rId18" o:title=""/>
            <o:lock v:ext="edit" aspectratio="t"/>
            <w10:wrap type="none"/>
            <w10:anchorlock/>
          </v:shape>
          <o:OLEObject Type="Embed" ProgID="PowerPoint.Slide.12" ShapeID="_x0000_i1029" DrawAspect="Content" ObjectID="_1468075729" r:id="rId17">
            <o:LockedField>false</o:LockedField>
          </o:OLEObject>
        </w:objec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In conclusion, the adoption of language awareness is the only process through which the hotel industry can benefit from global expansions effectively. The training or hiring of the staff with these particular soft skills can elevate the business operation and satisfy the customer on a global level.</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b/>
          <w:bCs/>
          <w:color w:val="000000"/>
          <w:sz w:val="24"/>
          <w:szCs w:val="24"/>
          <w:lang w:val="en-IN" w:eastAsia="en-IN"/>
        </w:rPr>
        <w:t>Speaker Notes: </w:t>
      </w:r>
    </w:p>
    <w:p>
      <w:pPr>
        <w:spacing w:before="240" w:after="24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This slide concludes the importance of language awareness in the hotel industry.</w:t>
      </w:r>
    </w:p>
    <w:p>
      <w:pPr>
        <w:spacing w:after="0"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t>Slide 8: References </w:t>
      </w:r>
    </w:p>
    <w:p>
      <w:pPr>
        <w:spacing w:after="0" w:line="360" w:lineRule="auto"/>
        <w:jc w:val="center"/>
        <w:rPr>
          <w:rFonts w:ascii="Arial" w:hAnsi="Arial" w:eastAsia="Times New Roman" w:cs="Arial"/>
          <w:sz w:val="24"/>
          <w:szCs w:val="24"/>
          <w:lang w:val="en-IN" w:eastAsia="en-IN"/>
        </w:rPr>
      </w:pPr>
      <w:r>
        <w:rPr>
          <w:rFonts w:ascii="Arial" w:hAnsi="Arial" w:eastAsia="Times New Roman" w:cs="Arial"/>
          <w:sz w:val="24"/>
          <w:szCs w:val="24"/>
          <w:lang w:val="en-IN" w:eastAsia="en-IN"/>
        </w:rPr>
        <w:object>
          <v:shape id="_x0000_i1030" o:spt="75" type="#_x0000_t75" style="height:269.25pt;width:360pt;" o:ole="t" filled="f" o:preferrelative="t" stroked="f" coordsize="21600,21600">
            <v:path/>
            <v:fill on="f" focussize="0,0"/>
            <v:stroke on="f" joinstyle="miter"/>
            <v:imagedata r:id="rId20" o:title=""/>
            <o:lock v:ext="edit" aspectratio="t"/>
            <w10:wrap type="none"/>
            <w10:anchorlock/>
          </v:shape>
          <o:OLEObject Type="Embed" ProgID="PowerPoint.Slide.12" ShapeID="_x0000_i1030" DrawAspect="Content" ObjectID="_1468075730" r:id="rId19">
            <o:LockedField>false</o:LockedField>
          </o:OLEObject>
        </w:object>
      </w:r>
    </w:p>
    <w:p>
      <w:pPr>
        <w:spacing w:after="0"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t>Slide 9: Thank you</w:t>
      </w:r>
    </w:p>
    <w:p>
      <w:pPr>
        <w:spacing w:after="0" w:line="360" w:lineRule="auto"/>
        <w:jc w:val="center"/>
        <w:rPr>
          <w:rFonts w:ascii="Arial" w:hAnsi="Arial" w:eastAsia="Times New Roman" w:cs="Arial"/>
          <w:sz w:val="24"/>
          <w:szCs w:val="24"/>
          <w:lang w:val="en-IN" w:eastAsia="en-IN"/>
        </w:rPr>
      </w:pPr>
      <w:r>
        <w:rPr>
          <w:rFonts w:ascii="Arial" w:hAnsi="Arial" w:eastAsia="Times New Roman" w:cs="Arial"/>
          <w:sz w:val="24"/>
          <w:szCs w:val="24"/>
          <w:lang w:val="en-IN" w:eastAsia="en-IN"/>
        </w:rPr>
        <w:object>
          <v:shape id="_x0000_i1031" o:spt="75" type="#_x0000_t75" style="height:269.25pt;width:360pt;" o:ole="t" filled="f" o:preferrelative="t" stroked="f" coordsize="21600,21600">
            <v:path/>
            <v:fill on="f" focussize="0,0"/>
            <v:stroke on="f" joinstyle="miter"/>
            <v:imagedata r:id="rId22" o:title=""/>
            <o:lock v:ext="edit" aspectratio="t"/>
            <w10:wrap type="none"/>
            <w10:anchorlock/>
          </v:shape>
          <o:OLEObject Type="Embed" ProgID="PowerPoint.Slide.12" ShapeID="_x0000_i1031" DrawAspect="Content" ObjectID="_1468075731" r:id="rId21">
            <o:LockedField>false</o:LockedField>
          </o:OLEObject>
        </w:object>
      </w:r>
    </w:p>
    <w:p>
      <w:pPr>
        <w:spacing w:after="240" w:line="360" w:lineRule="auto"/>
        <w:jc w:val="both"/>
        <w:rPr>
          <w:rFonts w:ascii="Arial" w:hAnsi="Arial" w:eastAsia="Times New Roman" w:cs="Arial"/>
          <w:sz w:val="24"/>
          <w:szCs w:val="24"/>
          <w:lang w:val="en-IN" w:eastAsia="en-IN"/>
        </w:rPr>
      </w:pPr>
    </w:p>
    <w:p>
      <w:pPr>
        <w:spacing w:line="360" w:lineRule="auto"/>
        <w:jc w:val="both"/>
        <w:rPr>
          <w:rFonts w:ascii="Arial" w:hAnsi="Arial" w:eastAsia="Times New Roman" w:cs="Arial"/>
          <w:b/>
          <w:bCs/>
          <w:color w:val="000000"/>
          <w:sz w:val="24"/>
          <w:szCs w:val="24"/>
          <w:lang w:val="en-IN" w:eastAsia="en-IN"/>
        </w:rPr>
      </w:pPr>
      <w:r>
        <w:rPr>
          <w:rFonts w:ascii="Arial" w:hAnsi="Arial" w:eastAsia="Times New Roman" w:cs="Arial"/>
          <w:b/>
          <w:bCs/>
          <w:color w:val="000000"/>
          <w:sz w:val="24"/>
          <w:szCs w:val="24"/>
          <w:lang w:val="en-IN" w:eastAsia="en-IN"/>
        </w:rPr>
        <w:br w:type="page"/>
      </w:r>
    </w:p>
    <w:p>
      <w:pPr>
        <w:pStyle w:val="2"/>
        <w:rPr>
          <w:rFonts w:eastAsia="Times New Roman"/>
          <w:lang w:val="en-IN" w:eastAsia="en-IN"/>
        </w:rPr>
      </w:pPr>
      <w:r>
        <w:rPr>
          <w:rFonts w:eastAsia="Times New Roman"/>
          <w:lang w:val="en-IN" w:eastAsia="en-IN"/>
        </w:rPr>
        <w:t>References</w:t>
      </w:r>
    </w:p>
    <w:p>
      <w:pPr>
        <w:spacing w:after="0" w:line="360" w:lineRule="auto"/>
        <w:jc w:val="both"/>
        <w:rPr>
          <w:rFonts w:ascii="Arial" w:hAnsi="Arial" w:eastAsia="Times New Roman" w:cs="Arial"/>
          <w:sz w:val="24"/>
          <w:szCs w:val="24"/>
          <w:lang w:val="en-IN" w:eastAsia="en-IN"/>
        </w:rPr>
      </w:pPr>
      <w:r>
        <w:rPr>
          <w:rFonts w:ascii="Arial" w:hAnsi="Arial" w:eastAsia="Times New Roman" w:cs="Arial"/>
          <w:b/>
          <w:bCs/>
          <w:color w:val="000000"/>
          <w:sz w:val="24"/>
          <w:szCs w:val="24"/>
          <w:lang w:val="en-IN" w:eastAsia="en-IN"/>
        </w:rPr>
        <w:t>Component 1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 xml:space="preserve">Calma, A. and Dickson-Deane, C., 2020. The student as customer and quality in higher education. </w:t>
      </w:r>
      <w:r>
        <w:rPr>
          <w:rFonts w:ascii="Arial" w:hAnsi="Arial" w:eastAsia="Times New Roman" w:cs="Arial"/>
          <w:i/>
          <w:iCs/>
          <w:color w:val="000000"/>
          <w:sz w:val="24"/>
          <w:szCs w:val="24"/>
          <w:lang w:val="en-IN" w:eastAsia="en-IN"/>
        </w:rPr>
        <w:t>International Journal of Educational Management</w:t>
      </w:r>
      <w:r>
        <w:rPr>
          <w:rFonts w:ascii="Arial" w:hAnsi="Arial" w:eastAsia="Times New Roman" w:cs="Arial"/>
          <w:color w:val="000000"/>
          <w:sz w:val="24"/>
          <w:szCs w:val="24"/>
          <w:lang w:val="en-IN" w:eastAsia="en-IN"/>
        </w:rPr>
        <w:t xml:space="preserve">, </w:t>
      </w:r>
      <w:r>
        <w:rPr>
          <w:rFonts w:ascii="Arial" w:hAnsi="Arial" w:eastAsia="Times New Roman" w:cs="Arial"/>
          <w:i/>
          <w:iCs/>
          <w:color w:val="000000"/>
          <w:sz w:val="24"/>
          <w:szCs w:val="24"/>
          <w:lang w:val="en-IN" w:eastAsia="en-IN"/>
        </w:rPr>
        <w:t>34</w:t>
      </w:r>
      <w:r>
        <w:rPr>
          <w:rFonts w:ascii="Arial" w:hAnsi="Arial" w:eastAsia="Times New Roman" w:cs="Arial"/>
          <w:color w:val="000000"/>
          <w:sz w:val="24"/>
          <w:szCs w:val="24"/>
          <w:lang w:val="en-IN" w:eastAsia="en-IN"/>
        </w:rPr>
        <w:t>(8), pp.1221-1235.</w:t>
      </w:r>
      <w:r>
        <w:fldChar w:fldCharType="begin"/>
      </w:r>
      <w:r>
        <w:instrText xml:space="preserve"> HYPERLINK "https://www.emerald.com/insight/content/doi/10.1108/IJEM-03-2019-0093/full/html" </w:instrText>
      </w:r>
      <w:r>
        <w:fldChar w:fldCharType="separate"/>
      </w:r>
      <w:r>
        <w:rPr>
          <w:rFonts w:ascii="Arial" w:hAnsi="Arial" w:eastAsia="Times New Roman" w:cs="Arial"/>
          <w:color w:val="1155CC"/>
          <w:sz w:val="24"/>
          <w:szCs w:val="24"/>
          <w:lang w:val="en-IN" w:eastAsia="en-IN"/>
        </w:rPr>
        <w:t>https://www.emerald.com/insight/content/doi/10.1108/IJEM-03-2019-0093/full/html</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Lähdesmäki, T. and Koistinen, A.K., 2021. Explorations of linkages between intercultural dialogue, art, and empathy. Dialogue for intercultural understanding: Placing cultural literacy at the heart of learning, pp.45-58.</w:t>
      </w:r>
      <w:r>
        <w:fldChar w:fldCharType="begin"/>
      </w:r>
      <w:r>
        <w:instrText xml:space="preserve"> HYPERLINK "https://library.oapen.org/bitstream/handle/20.500.12657/48229/1/9783030717780.pdf" \l "page=55" </w:instrText>
      </w:r>
      <w:r>
        <w:fldChar w:fldCharType="separate"/>
      </w:r>
      <w:r>
        <w:rPr>
          <w:rFonts w:ascii="Arial" w:hAnsi="Arial" w:eastAsia="Times New Roman" w:cs="Arial"/>
          <w:color w:val="1155CC"/>
          <w:sz w:val="24"/>
          <w:szCs w:val="24"/>
          <w:lang w:val="en-IN" w:eastAsia="en-IN"/>
        </w:rPr>
        <w:t>https://library.oapen.org/bitstream/handle/20.500.12657/48229/1/9783030717780.pdf#page=55</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 xml:space="preserve">Reindrawati, D.Y., 2023. Challenges of community participation in tourism planning in developing countries. </w:t>
      </w:r>
      <w:r>
        <w:rPr>
          <w:rFonts w:ascii="Arial" w:hAnsi="Arial" w:eastAsia="Times New Roman" w:cs="Arial"/>
          <w:i/>
          <w:iCs/>
          <w:color w:val="000000"/>
          <w:sz w:val="24"/>
          <w:szCs w:val="24"/>
          <w:lang w:val="en-IN" w:eastAsia="en-IN"/>
        </w:rPr>
        <w:t>Cogent Social Sciences</w:t>
      </w:r>
      <w:r>
        <w:rPr>
          <w:rFonts w:ascii="Arial" w:hAnsi="Arial" w:eastAsia="Times New Roman" w:cs="Arial"/>
          <w:color w:val="000000"/>
          <w:sz w:val="24"/>
          <w:szCs w:val="24"/>
          <w:lang w:val="en-IN" w:eastAsia="en-IN"/>
        </w:rPr>
        <w:t xml:space="preserve">, </w:t>
      </w:r>
      <w:r>
        <w:rPr>
          <w:rFonts w:ascii="Arial" w:hAnsi="Arial" w:eastAsia="Times New Roman" w:cs="Arial"/>
          <w:i/>
          <w:iCs/>
          <w:color w:val="000000"/>
          <w:sz w:val="24"/>
          <w:szCs w:val="24"/>
          <w:lang w:val="en-IN" w:eastAsia="en-IN"/>
        </w:rPr>
        <w:t>9</w:t>
      </w:r>
      <w:r>
        <w:rPr>
          <w:rFonts w:ascii="Arial" w:hAnsi="Arial" w:eastAsia="Times New Roman" w:cs="Arial"/>
          <w:color w:val="000000"/>
          <w:sz w:val="24"/>
          <w:szCs w:val="24"/>
          <w:lang w:val="en-IN" w:eastAsia="en-IN"/>
        </w:rPr>
        <w:t>(1), p.2164240.</w:t>
      </w:r>
      <w:r>
        <w:fldChar w:fldCharType="begin"/>
      </w:r>
      <w:r>
        <w:instrText xml:space="preserve"> HYPERLINK "https://www.tandfonline.com/doi/pdf/10.1080/23311886.2022.2164240" </w:instrText>
      </w:r>
      <w:r>
        <w:fldChar w:fldCharType="separate"/>
      </w:r>
      <w:r>
        <w:rPr>
          <w:rFonts w:ascii="Arial" w:hAnsi="Arial" w:eastAsia="Times New Roman" w:cs="Arial"/>
          <w:color w:val="1155CC"/>
          <w:sz w:val="24"/>
          <w:szCs w:val="24"/>
          <w:lang w:val="en-IN" w:eastAsia="en-IN"/>
        </w:rPr>
        <w:t>https://www.tandfonline.com/doi/pdf/10.1080/23311886.2022.2164240</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b/>
          <w:bCs/>
          <w:color w:val="000000"/>
          <w:sz w:val="24"/>
          <w:szCs w:val="24"/>
          <w:lang w:val="en-IN" w:eastAsia="en-IN"/>
        </w:rPr>
        <w:t>Component 2</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 xml:space="preserve">Al-Qarni, A.B.S.B., 2024. The Effect of the Number of Rating Categories of the Likert Scale on the Correlation Coefficients. </w:t>
      </w:r>
      <w:r>
        <w:rPr>
          <w:rFonts w:ascii="Arial" w:hAnsi="Arial" w:eastAsia="Times New Roman" w:cs="Arial"/>
          <w:i/>
          <w:iCs/>
          <w:color w:val="000000"/>
          <w:sz w:val="24"/>
          <w:szCs w:val="24"/>
          <w:lang w:val="en-IN" w:eastAsia="en-IN"/>
        </w:rPr>
        <w:t>Educational Research and Innovation Journal</w:t>
      </w:r>
      <w:r>
        <w:rPr>
          <w:rFonts w:ascii="Arial" w:hAnsi="Arial" w:eastAsia="Times New Roman" w:cs="Arial"/>
          <w:color w:val="000000"/>
          <w:sz w:val="24"/>
          <w:szCs w:val="24"/>
          <w:lang w:val="en-IN" w:eastAsia="en-IN"/>
        </w:rPr>
        <w:t xml:space="preserve">, </w:t>
      </w:r>
      <w:r>
        <w:rPr>
          <w:rFonts w:ascii="Arial" w:hAnsi="Arial" w:eastAsia="Times New Roman" w:cs="Arial"/>
          <w:i/>
          <w:iCs/>
          <w:color w:val="000000"/>
          <w:sz w:val="24"/>
          <w:szCs w:val="24"/>
          <w:lang w:val="en-IN" w:eastAsia="en-IN"/>
        </w:rPr>
        <w:t>4</w:t>
      </w:r>
      <w:r>
        <w:rPr>
          <w:rFonts w:ascii="Arial" w:hAnsi="Arial" w:eastAsia="Times New Roman" w:cs="Arial"/>
          <w:color w:val="000000"/>
          <w:sz w:val="24"/>
          <w:szCs w:val="24"/>
          <w:lang w:val="en-IN" w:eastAsia="en-IN"/>
        </w:rPr>
        <w:t>(13), pp.191-206.</w:t>
      </w:r>
      <w:r>
        <w:fldChar w:fldCharType="begin"/>
      </w:r>
      <w:r>
        <w:instrText xml:space="preserve"> HYPERLINK "https://erij.journals.ekb.eg/article_340191_df9a286bbd2f1dc497d392066f4097a0.pdf" </w:instrText>
      </w:r>
      <w:r>
        <w:fldChar w:fldCharType="separate"/>
      </w:r>
      <w:r>
        <w:rPr>
          <w:rFonts w:ascii="Arial" w:hAnsi="Arial" w:eastAsia="Times New Roman" w:cs="Arial"/>
          <w:color w:val="1155CC"/>
          <w:sz w:val="24"/>
          <w:szCs w:val="24"/>
          <w:lang w:val="en-IN" w:eastAsia="en-IN"/>
        </w:rPr>
        <w:t>https://erij.journals.ekb.eg/article_340191_df9a286bbd2f1dc497d392066f4097a0.pdf</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 xml:space="preserve">Braun, V., Clarke, V., Boulton, E., Davey, L. and McEvoy, C., 2021. The online survey as a qualitative research tool. </w:t>
      </w:r>
      <w:r>
        <w:rPr>
          <w:rFonts w:ascii="Arial" w:hAnsi="Arial" w:eastAsia="Times New Roman" w:cs="Arial"/>
          <w:i/>
          <w:iCs/>
          <w:color w:val="000000"/>
          <w:sz w:val="24"/>
          <w:szCs w:val="24"/>
          <w:lang w:val="en-IN" w:eastAsia="en-IN"/>
        </w:rPr>
        <w:t>International journal of social research methodology</w:t>
      </w:r>
      <w:r>
        <w:rPr>
          <w:rFonts w:ascii="Arial" w:hAnsi="Arial" w:eastAsia="Times New Roman" w:cs="Arial"/>
          <w:color w:val="000000"/>
          <w:sz w:val="24"/>
          <w:szCs w:val="24"/>
          <w:lang w:val="en-IN" w:eastAsia="en-IN"/>
        </w:rPr>
        <w:t xml:space="preserve">, </w:t>
      </w:r>
      <w:r>
        <w:rPr>
          <w:rFonts w:ascii="Arial" w:hAnsi="Arial" w:eastAsia="Times New Roman" w:cs="Arial"/>
          <w:i/>
          <w:iCs/>
          <w:color w:val="000000"/>
          <w:sz w:val="24"/>
          <w:szCs w:val="24"/>
          <w:lang w:val="en-IN" w:eastAsia="en-IN"/>
        </w:rPr>
        <w:t>24</w:t>
      </w:r>
      <w:r>
        <w:rPr>
          <w:rFonts w:ascii="Arial" w:hAnsi="Arial" w:eastAsia="Times New Roman" w:cs="Arial"/>
          <w:color w:val="000000"/>
          <w:sz w:val="24"/>
          <w:szCs w:val="24"/>
          <w:lang w:val="en-IN" w:eastAsia="en-IN"/>
        </w:rPr>
        <w:t>(6), pp.641-654.</w:t>
      </w:r>
      <w:r>
        <w:fldChar w:fldCharType="begin"/>
      </w:r>
      <w:r>
        <w:instrText xml:space="preserve"> HYPERLINK "https://www.tandfonline.com/doi/abs/10.1080/13645579.2020.1805550" </w:instrText>
      </w:r>
      <w:r>
        <w:fldChar w:fldCharType="separate"/>
      </w:r>
      <w:r>
        <w:rPr>
          <w:rFonts w:ascii="Arial" w:hAnsi="Arial" w:eastAsia="Times New Roman" w:cs="Arial"/>
          <w:color w:val="1155CC"/>
          <w:sz w:val="24"/>
          <w:szCs w:val="24"/>
          <w:lang w:val="en-IN" w:eastAsia="en-IN"/>
        </w:rPr>
        <w:t>https://www.tandfonline.com/doi/abs/10.1080/13645579.2020.1805550</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 xml:space="preserve">Burger, L., Fay, S., Angel, L., Borella, E., Noiret, N., Plusquellec, P. and Taconnat, L., 2020. Benefit of practice of the Stroop test in young and older adults: pattern of gain and impact of educational level. </w:t>
      </w:r>
      <w:r>
        <w:rPr>
          <w:rFonts w:ascii="Arial" w:hAnsi="Arial" w:eastAsia="Times New Roman" w:cs="Arial"/>
          <w:i/>
          <w:iCs/>
          <w:color w:val="000000"/>
          <w:sz w:val="24"/>
          <w:szCs w:val="24"/>
          <w:lang w:val="en-IN" w:eastAsia="en-IN"/>
        </w:rPr>
        <w:t>Experimental aging research</w:t>
      </w:r>
      <w:r>
        <w:rPr>
          <w:rFonts w:ascii="Arial" w:hAnsi="Arial" w:eastAsia="Times New Roman" w:cs="Arial"/>
          <w:color w:val="000000"/>
          <w:sz w:val="24"/>
          <w:szCs w:val="24"/>
          <w:lang w:val="en-IN" w:eastAsia="en-IN"/>
        </w:rPr>
        <w:t xml:space="preserve">, </w:t>
      </w:r>
      <w:r>
        <w:rPr>
          <w:rFonts w:ascii="Arial" w:hAnsi="Arial" w:eastAsia="Times New Roman" w:cs="Arial"/>
          <w:i/>
          <w:iCs/>
          <w:color w:val="000000"/>
          <w:sz w:val="24"/>
          <w:szCs w:val="24"/>
          <w:lang w:val="en-IN" w:eastAsia="en-IN"/>
        </w:rPr>
        <w:t>46</w:t>
      </w:r>
      <w:r>
        <w:rPr>
          <w:rFonts w:ascii="Arial" w:hAnsi="Arial" w:eastAsia="Times New Roman" w:cs="Arial"/>
          <w:color w:val="000000"/>
          <w:sz w:val="24"/>
          <w:szCs w:val="24"/>
          <w:lang w:val="en-IN" w:eastAsia="en-IN"/>
        </w:rPr>
        <w:t>(1), pp.52-67.</w:t>
      </w:r>
      <w:r>
        <w:fldChar w:fldCharType="begin"/>
      </w:r>
      <w:r>
        <w:instrText xml:space="preserve"> HYPERLINK "https://www.tandfonline.com/doi/abs/10.1080/0361073X.2019.1693013" </w:instrText>
      </w:r>
      <w:r>
        <w:fldChar w:fldCharType="separate"/>
      </w:r>
      <w:r>
        <w:rPr>
          <w:rFonts w:ascii="Arial" w:hAnsi="Arial" w:eastAsia="Times New Roman" w:cs="Arial"/>
          <w:color w:val="1155CC"/>
          <w:sz w:val="24"/>
          <w:szCs w:val="24"/>
          <w:lang w:val="en-IN" w:eastAsia="en-IN"/>
        </w:rPr>
        <w:t>https://www.tandfonline.com/doi/abs/10.1080/0361073X.2019.1693013</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b/>
          <w:bCs/>
          <w:color w:val="000000"/>
          <w:sz w:val="24"/>
          <w:szCs w:val="24"/>
          <w:lang w:val="en-IN" w:eastAsia="en-IN"/>
        </w:rPr>
        <w:t>Component 3</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 xml:space="preserve">Hanisyah, W.A., Winarko, G.C., Elfitria, L.S. and Ardiansyah, A.S., 2023, February. The Effect of Kolb's Learning Cycle on Students' Critical Thinking Skills. In </w:t>
      </w:r>
      <w:r>
        <w:rPr>
          <w:rFonts w:ascii="Arial" w:hAnsi="Arial" w:eastAsia="Times New Roman" w:cs="Arial"/>
          <w:i/>
          <w:iCs/>
          <w:color w:val="000000"/>
          <w:sz w:val="24"/>
          <w:szCs w:val="24"/>
          <w:lang w:val="en-IN" w:eastAsia="en-IN"/>
        </w:rPr>
        <w:t>PRISMA, Prosiding Seminar Nasional Matematika</w:t>
      </w:r>
      <w:r>
        <w:rPr>
          <w:rFonts w:ascii="Arial" w:hAnsi="Arial" w:eastAsia="Times New Roman" w:cs="Arial"/>
          <w:color w:val="000000"/>
          <w:sz w:val="24"/>
          <w:szCs w:val="24"/>
          <w:lang w:val="en-IN" w:eastAsia="en-IN"/>
        </w:rPr>
        <w:t xml:space="preserve"> (Vol. 6, pp. 65-69).</w:t>
      </w:r>
      <w:r>
        <w:fldChar w:fldCharType="begin"/>
      </w:r>
      <w:r>
        <w:instrText xml:space="preserve"> HYPERLINK "https://journal.unnes.ac.id/sju/prisma/article/download/66497/23761" </w:instrText>
      </w:r>
      <w:r>
        <w:fldChar w:fldCharType="separate"/>
      </w:r>
      <w:r>
        <w:rPr>
          <w:rFonts w:ascii="Arial" w:hAnsi="Arial" w:eastAsia="Times New Roman" w:cs="Arial"/>
          <w:color w:val="1155CC"/>
          <w:sz w:val="24"/>
          <w:szCs w:val="24"/>
          <w:lang w:val="en-IN" w:eastAsia="en-IN"/>
        </w:rPr>
        <w:t>https://journal.unnes.ac.id/sju/prisma/article/download/66497/23761</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 xml:space="preserve">Nhamo, G., Dube, K. and Chikodzi, D., 2020. </w:t>
      </w:r>
      <w:r>
        <w:rPr>
          <w:rFonts w:ascii="Arial" w:hAnsi="Arial" w:eastAsia="Times New Roman" w:cs="Arial"/>
          <w:i/>
          <w:iCs/>
          <w:color w:val="000000"/>
          <w:sz w:val="24"/>
          <w:szCs w:val="24"/>
          <w:lang w:val="en-IN" w:eastAsia="en-IN"/>
        </w:rPr>
        <w:t>Counting the cost of COVID-19 on the global tourism industry</w:t>
      </w:r>
      <w:r>
        <w:rPr>
          <w:rFonts w:ascii="Arial" w:hAnsi="Arial" w:eastAsia="Times New Roman" w:cs="Arial"/>
          <w:color w:val="000000"/>
          <w:sz w:val="24"/>
          <w:szCs w:val="24"/>
          <w:lang w:val="en-IN" w:eastAsia="en-IN"/>
        </w:rPr>
        <w:t xml:space="preserve"> (pp. 183-204). Cham: Springer International Publishing.</w:t>
      </w:r>
      <w:r>
        <w:fldChar w:fldCharType="begin"/>
      </w:r>
      <w:r>
        <w:instrText xml:space="preserve"> HYPERLINK "https://link.springer.com/content/pdf/10.1007/978-3-030-56231-1.pdf" </w:instrText>
      </w:r>
      <w:r>
        <w:fldChar w:fldCharType="separate"/>
      </w:r>
      <w:r>
        <w:rPr>
          <w:rFonts w:ascii="Arial" w:hAnsi="Arial" w:eastAsia="Times New Roman" w:cs="Arial"/>
          <w:color w:val="1155CC"/>
          <w:sz w:val="24"/>
          <w:szCs w:val="24"/>
          <w:lang w:val="en-IN" w:eastAsia="en-IN"/>
        </w:rPr>
        <w:t>https://link.springer.com/content/pdf/10.1007/978-3-030-56231-1.pdf</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 xml:space="preserve">Oriade, A., Osinaike, A., Aduhene, K. and Wang, Y., 2021. Sustainability awareness, management practices and organisational culture in hotels: Evidence from developing countries. </w:t>
      </w:r>
      <w:r>
        <w:rPr>
          <w:rFonts w:ascii="Arial" w:hAnsi="Arial" w:eastAsia="Times New Roman" w:cs="Arial"/>
          <w:i/>
          <w:iCs/>
          <w:color w:val="000000"/>
          <w:sz w:val="24"/>
          <w:szCs w:val="24"/>
          <w:lang w:val="en-IN" w:eastAsia="en-IN"/>
        </w:rPr>
        <w:t>International Journal of Hospitality Management</w:t>
      </w:r>
      <w:r>
        <w:rPr>
          <w:rFonts w:ascii="Arial" w:hAnsi="Arial" w:eastAsia="Times New Roman" w:cs="Arial"/>
          <w:color w:val="000000"/>
          <w:sz w:val="24"/>
          <w:szCs w:val="24"/>
          <w:lang w:val="en-IN" w:eastAsia="en-IN"/>
        </w:rPr>
        <w:t xml:space="preserve">, </w:t>
      </w:r>
      <w:r>
        <w:rPr>
          <w:rFonts w:ascii="Arial" w:hAnsi="Arial" w:eastAsia="Times New Roman" w:cs="Arial"/>
          <w:i/>
          <w:iCs/>
          <w:color w:val="000000"/>
          <w:sz w:val="24"/>
          <w:szCs w:val="24"/>
          <w:lang w:val="en-IN" w:eastAsia="en-IN"/>
        </w:rPr>
        <w:t>92</w:t>
      </w:r>
      <w:r>
        <w:rPr>
          <w:rFonts w:ascii="Arial" w:hAnsi="Arial" w:eastAsia="Times New Roman" w:cs="Arial"/>
          <w:color w:val="000000"/>
          <w:sz w:val="24"/>
          <w:szCs w:val="24"/>
          <w:lang w:val="en-IN" w:eastAsia="en-IN"/>
        </w:rPr>
        <w:t>, p.102699.</w:t>
      </w:r>
      <w:r>
        <w:fldChar w:fldCharType="begin"/>
      </w:r>
      <w:r>
        <w:instrText xml:space="preserve"> HYPERLINK "https://wlv.openrepository.com/bitstream/handle/2436/623760/Oriade_et_al_Sustainability_awareness_2020.pdf?sequence=3&amp;isAllowed=y" </w:instrText>
      </w:r>
      <w:r>
        <w:fldChar w:fldCharType="separate"/>
      </w:r>
      <w:r>
        <w:rPr>
          <w:rFonts w:ascii="Arial" w:hAnsi="Arial" w:eastAsia="Times New Roman" w:cs="Arial"/>
          <w:color w:val="1155CC"/>
          <w:sz w:val="24"/>
          <w:szCs w:val="24"/>
          <w:lang w:val="en-IN" w:eastAsia="en-IN"/>
        </w:rPr>
        <w:t>https://wlv.openrepository.com/bitstream/handle/2436/623760/Oriade_et_al_Sustainability_awareness_2020.pdf?sequence=3&amp;isAllowed=y</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b/>
          <w:bCs/>
          <w:color w:val="000000"/>
          <w:sz w:val="24"/>
          <w:szCs w:val="24"/>
          <w:lang w:val="en-IN" w:eastAsia="en-IN"/>
        </w:rPr>
        <w:t>Component 4</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Abramson, N.R. and Moran, R. 2018 Managing Cultural Differences: Global Leadership for the 21st Century. 10th</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Christiansen, B., Branch, J.D. and Karmowska, J. 2020 Cultural Factors and Performance in 21st Century Businesses. Hershey : IGI Global.</w:t>
      </w:r>
      <w:r>
        <w:fldChar w:fldCharType="begin"/>
      </w:r>
      <w:r>
        <w:instrText xml:space="preserve"> HYPERLINK "https://books.google.com/books?hl=en&amp;lr=&amp;id=28XhDwAAQBAJ&amp;oi=fnd&amp;pg=PP1&amp;dq=Christiansen,+B.,+Branch,+J.D.+and+Karmowska,+J.+(2020)+Cultural+Factors+and+Performance+in+21st+Century+Businesses.+Hershey+:+IGI+Global.&amp;ots=beA7TNfH8W&amp;sig=wWD_bbWPR-_fFnp6aKaX5F28Y-g" </w:instrText>
      </w:r>
      <w:r>
        <w:fldChar w:fldCharType="separate"/>
      </w:r>
      <w:r>
        <w:rPr>
          <w:rFonts w:ascii="Arial" w:hAnsi="Arial" w:eastAsia="Times New Roman" w:cs="Arial"/>
          <w:color w:val="1155CC"/>
          <w:sz w:val="24"/>
          <w:szCs w:val="24"/>
          <w:lang w:val="en-IN" w:eastAsia="en-IN"/>
        </w:rPr>
        <w:t>https://books.google.com/books?hl=en&amp;lr=&amp;id=28XhDwAAQBAJ&amp;oi=fnd&amp;pg=PP1&amp;dq=Christiansen,+B.,+Branch,+J.D.+and+Karmowska,+J.+(2020)+Cultural+Factors+and+Performance+in+21st+Century+Businesses.+Hershey+:+IGI+Global.&amp;ots=beA7TNfH8W&amp;sig=wWD_bbWPR-_fFnp6aKaX5F28Y-g</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Ed. Abingdon: Routledge.</w:t>
      </w:r>
      <w:r>
        <w:fldChar w:fldCharType="begin"/>
      </w:r>
      <w:r>
        <w:instrText xml:space="preserve"> HYPERLINK "https://www.taylorfrancis.com/books/mono/10.4324/9781315403984/managing-cultural-differences-robert-moran-neil-remington-abramson" </w:instrText>
      </w:r>
      <w:r>
        <w:fldChar w:fldCharType="separate"/>
      </w:r>
      <w:r>
        <w:rPr>
          <w:rFonts w:ascii="Arial" w:hAnsi="Arial" w:eastAsia="Times New Roman" w:cs="Arial"/>
          <w:color w:val="1155CC"/>
          <w:sz w:val="24"/>
          <w:szCs w:val="24"/>
          <w:lang w:val="en-IN" w:eastAsia="en-IN"/>
        </w:rPr>
        <w:t>https://www.taylorfrancis.com/books/mono/10.4324/9781315403984/managing-cultural-differences-robert-moran-neil-remington-abramson</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p>
      <w:pPr>
        <w:spacing w:line="360" w:lineRule="auto"/>
        <w:jc w:val="both"/>
        <w:rPr>
          <w:rFonts w:ascii="Arial" w:hAnsi="Arial" w:cs="Arial"/>
          <w:sz w:val="24"/>
          <w:szCs w:val="24"/>
        </w:rPr>
      </w:pPr>
      <w:r>
        <w:rPr>
          <w:rFonts w:ascii="Arial" w:hAnsi="Arial" w:eastAsia="Times New Roman" w:cs="Arial"/>
          <w:color w:val="000000"/>
          <w:sz w:val="24"/>
          <w:szCs w:val="24"/>
          <w:lang w:val="en-IN" w:eastAsia="en-IN"/>
        </w:rPr>
        <w:t xml:space="preserve">Erkinovna, N.S., 2023. Educational Methods in Teaching the Russian Language. </w:t>
      </w:r>
      <w:r>
        <w:fldChar w:fldCharType="begin"/>
      </w:r>
      <w:r>
        <w:instrText xml:space="preserve"> HYPERLINK "https://dspace.umsida.ac.id/handle/123456789/10326" </w:instrText>
      </w:r>
      <w:r>
        <w:fldChar w:fldCharType="separate"/>
      </w:r>
      <w:r>
        <w:rPr>
          <w:rFonts w:ascii="Arial" w:hAnsi="Arial" w:eastAsia="Times New Roman" w:cs="Arial"/>
          <w:color w:val="1155CC"/>
          <w:sz w:val="24"/>
          <w:szCs w:val="24"/>
          <w:lang w:val="en-IN" w:eastAsia="en-IN"/>
        </w:rPr>
        <w:t>https://dspace.umsida.ac.id/handle/123456789/10326</w:t>
      </w:r>
      <w:r>
        <w:rPr>
          <w:rFonts w:ascii="Arial" w:hAnsi="Arial" w:eastAsia="Times New Roman" w:cs="Arial"/>
          <w:color w:val="1155CC"/>
          <w:sz w:val="24"/>
          <w:szCs w:val="24"/>
          <w:lang w:val="en-IN" w:eastAsia="en-IN"/>
        </w:rPr>
        <w:fldChar w:fldCharType="end"/>
      </w:r>
    </w:p>
    <w:p>
      <w:pPr>
        <w:spacing w:after="0" w:line="360" w:lineRule="auto"/>
        <w:jc w:val="both"/>
        <w:rPr>
          <w:rFonts w:ascii="Arial" w:hAnsi="Arial" w:eastAsia="Times New Roman" w:cs="Arial"/>
          <w:sz w:val="24"/>
          <w:szCs w:val="24"/>
          <w:lang w:val="en-IN" w:eastAsia="en-IN"/>
        </w:rPr>
      </w:pPr>
      <w:r>
        <w:fldChar w:fldCharType="begin"/>
      </w:r>
      <w:r>
        <w:instrText xml:space="preserve"> HYPERLINK "https://hiltonglobalfoundation.hilton.com/" </w:instrText>
      </w:r>
      <w:r>
        <w:fldChar w:fldCharType="separate"/>
      </w:r>
      <w:r>
        <w:rPr>
          <w:rFonts w:ascii="Arial" w:hAnsi="Arial" w:eastAsia="Times New Roman" w:cs="Arial"/>
          <w:color w:val="000000"/>
          <w:sz w:val="24"/>
          <w:szCs w:val="24"/>
          <w:lang w:val="en-IN" w:eastAsia="en-IN"/>
        </w:rPr>
        <w:t>Hiltonglobalfoundation</w:t>
      </w:r>
      <w:r>
        <w:rPr>
          <w:rFonts w:ascii="Arial" w:hAnsi="Arial" w:eastAsia="Times New Roman" w:cs="Arial"/>
          <w:color w:val="000000"/>
          <w:sz w:val="24"/>
          <w:szCs w:val="24"/>
          <w:lang w:val="en-IN" w:eastAsia="en-IN"/>
        </w:rPr>
        <w:fldChar w:fldCharType="end"/>
      </w:r>
      <w:r>
        <w:rPr>
          <w:rFonts w:ascii="Arial" w:hAnsi="Arial" w:eastAsia="Times New Roman" w:cs="Arial"/>
          <w:i/>
          <w:iCs/>
          <w:color w:val="000000"/>
          <w:sz w:val="24"/>
          <w:szCs w:val="24"/>
          <w:lang w:val="en-IN" w:eastAsia="en-IN"/>
        </w:rPr>
        <w:t xml:space="preserve">, </w:t>
      </w:r>
      <w:r>
        <w:rPr>
          <w:rFonts w:ascii="Arial" w:hAnsi="Arial" w:eastAsia="Times New Roman" w:cs="Arial"/>
          <w:color w:val="000000"/>
          <w:sz w:val="24"/>
          <w:szCs w:val="24"/>
          <w:lang w:val="en-IN" w:eastAsia="en-IN"/>
        </w:rPr>
        <w:t>2023</w:t>
      </w:r>
      <w:r>
        <w:rPr>
          <w:rFonts w:ascii="Arial" w:hAnsi="Arial" w:eastAsia="Times New Roman" w:cs="Arial"/>
          <w:i/>
          <w:iCs/>
          <w:color w:val="000000"/>
          <w:sz w:val="24"/>
          <w:szCs w:val="24"/>
          <w:lang w:val="en-IN" w:eastAsia="en-IN"/>
        </w:rPr>
        <w:t xml:space="preserve"> Creating a Better World to Travel - Hilton Global Foundation</w:t>
      </w:r>
      <w:r>
        <w:rPr>
          <w:rFonts w:ascii="Arial" w:hAnsi="Arial" w:eastAsia="Times New Roman" w:cs="Arial"/>
          <w:color w:val="000000"/>
          <w:sz w:val="24"/>
          <w:szCs w:val="24"/>
          <w:lang w:val="en-IN" w:eastAsia="en-IN"/>
        </w:rPr>
        <w:t xml:space="preserve"> . </w:t>
      </w:r>
      <w:r>
        <w:fldChar w:fldCharType="begin"/>
      </w:r>
      <w:r>
        <w:instrText xml:space="preserve"> HYPERLINK "https://hiltonglobalfoundation.hilton.com/" </w:instrText>
      </w:r>
      <w:r>
        <w:fldChar w:fldCharType="separate"/>
      </w:r>
      <w:r>
        <w:rPr>
          <w:rFonts w:ascii="Arial" w:hAnsi="Arial" w:eastAsia="Times New Roman" w:cs="Arial"/>
          <w:color w:val="000000"/>
          <w:sz w:val="24"/>
          <w:szCs w:val="24"/>
          <w:lang w:val="en-IN" w:eastAsia="en-IN"/>
        </w:rPr>
        <w:t>https://hiltonglobalfoundation.hilton.com/</w:t>
      </w:r>
      <w:r>
        <w:rPr>
          <w:rFonts w:ascii="Arial" w:hAnsi="Arial" w:eastAsia="Times New Roman" w:cs="Arial"/>
          <w:color w:val="000000"/>
          <w:sz w:val="24"/>
          <w:szCs w:val="24"/>
          <w:lang w:val="en-IN" w:eastAsia="en-IN"/>
        </w:rPr>
        <w:fldChar w:fldCharType="end"/>
      </w:r>
      <w:r>
        <w:rPr>
          <w:rFonts w:ascii="Arial" w:hAnsi="Arial" w:eastAsia="Times New Roman" w:cs="Arial"/>
          <w:color w:val="000000"/>
          <w:sz w:val="24"/>
          <w:szCs w:val="24"/>
          <w:lang w:val="en-IN" w:eastAsia="en-IN"/>
        </w:rPr>
        <w:t>.  </w:t>
      </w:r>
    </w:p>
    <w:p>
      <w:pPr>
        <w:spacing w:after="0" w:line="360" w:lineRule="auto"/>
        <w:jc w:val="both"/>
        <w:rPr>
          <w:rFonts w:ascii="Arial" w:hAnsi="Arial" w:eastAsia="Times New Roman" w:cs="Arial"/>
          <w:sz w:val="24"/>
          <w:szCs w:val="24"/>
          <w:lang w:val="en-IN" w:eastAsia="en-IN"/>
        </w:rPr>
      </w:pPr>
      <w:r>
        <w:rPr>
          <w:rFonts w:ascii="Arial" w:hAnsi="Arial" w:eastAsia="Times New Roman" w:cs="Arial"/>
          <w:color w:val="000000"/>
          <w:sz w:val="24"/>
          <w:szCs w:val="24"/>
          <w:lang w:val="en-IN" w:eastAsia="en-IN"/>
        </w:rPr>
        <w:t>Nedelko, Z. and Brzozowski, M. (eds) ‘Recent advances in the roles of cultural and personal values in organizational behavior’ in Ordóñez de Pablo, P. (2020) Advances in Human Resources Management and Organizational Development Book Series. Hershey: IGI Global.</w:t>
      </w:r>
      <w:r>
        <w:fldChar w:fldCharType="begin"/>
      </w:r>
      <w:r>
        <w:instrText xml:space="preserve"> HYPERLINK "https://books.google.com/books?hl=en&amp;lr=&amp;id=6q2rDwAAQBAJ&amp;oi=fnd&amp;pg=PR1&amp;dq=Nedelko,+Z.+and+Brzozowski,+M.+(eds)+%E2%80%98Recent+advances+in+the+roles+of+cultural+and+personal+values+in+organizational+behavior%E2%80%99+in+Ord%C3%B3%C3%B1ez+de+Pablo,+P.+(2020)+Advances+in+Human+Resources+Management+and+Organizational+Development+Book+Series.+Hershey:+IGI+Global.&amp;ots=e_TaUjuVSB&amp;sig=vGYhRvsNxglV4ujoy6niYidHEjQ" </w:instrText>
      </w:r>
      <w:r>
        <w:fldChar w:fldCharType="separate"/>
      </w:r>
      <w:r>
        <w:rPr>
          <w:rFonts w:ascii="Arial" w:hAnsi="Arial" w:eastAsia="Times New Roman" w:cs="Arial"/>
          <w:color w:val="1155CC"/>
          <w:sz w:val="24"/>
          <w:szCs w:val="24"/>
          <w:lang w:val="en-IN" w:eastAsia="en-IN"/>
        </w:rPr>
        <w:t>https://books.google.com/books?hl=en&amp;lr=&amp;id=6q2rDwAAQBAJ&amp;oi=fnd&amp;pg=PR1&amp;dq=Nedelko,+Z.+and+Brzozowski,+M.+(eds)+%E2%80%98Recent+advances+in+the+roles+of+cultural+and+personal+values+in+organizational+behavior%E2%80%99+in+Ord%C3%B3%C3%B1ez+de+Pablo,+P.+(2020)+Advances+in+Human+Resources+Management+and+Organizational+Development+Book+Series.+Hershey:+IGI+Global.&amp;ots=e_TaUjuVSB&amp;sig=vGYhRvsNxglV4ujoy6niYidHEjQ</w:t>
      </w:r>
      <w:r>
        <w:rPr>
          <w:rFonts w:ascii="Arial" w:hAnsi="Arial" w:eastAsia="Times New Roman" w:cs="Arial"/>
          <w:color w:val="1155CC"/>
          <w:sz w:val="24"/>
          <w:szCs w:val="24"/>
          <w:lang w:val="en-IN" w:eastAsia="en-IN"/>
        </w:rPr>
        <w:fldChar w:fldCharType="end"/>
      </w:r>
      <w:r>
        <w:rPr>
          <w:rFonts w:ascii="Arial" w:hAnsi="Arial" w:eastAsia="Times New Roman" w:cs="Arial"/>
          <w:color w:val="000000"/>
          <w:sz w:val="24"/>
          <w:szCs w:val="24"/>
          <w:lang w:val="en-IN" w:eastAsia="en-IN"/>
        </w:rPr>
        <w:t> </w:t>
      </w:r>
    </w:p>
    <w:sectPr>
      <w:footerReference r:id="rId5" w:type="default"/>
      <w:pgSz w:w="11906" w:h="16838"/>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86"/>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694751"/>
      <w:docPartObj>
        <w:docPartGallery w:val="AutoText"/>
      </w:docPartObj>
    </w:sdtPr>
    <w:sdtEndPr>
      <w:rPr>
        <w:rFonts w:ascii="Arial" w:hAnsi="Arial" w:cs="Arial"/>
        <w:sz w:val="24"/>
        <w:szCs w:val="24"/>
      </w:rPr>
    </w:sdtEndPr>
    <w:sdtContent>
      <w:p>
        <w:pPr>
          <w:pStyle w:val="6"/>
          <w:jc w:val="right"/>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PAGE   \* MERGEFORMAT </w:instrText>
        </w:r>
        <w:r>
          <w:rPr>
            <w:rFonts w:ascii="Arial" w:hAnsi="Arial" w:cs="Arial"/>
            <w:sz w:val="24"/>
            <w:szCs w:val="24"/>
          </w:rPr>
          <w:fldChar w:fldCharType="separate"/>
        </w:r>
        <w:r>
          <w:rPr>
            <w:rFonts w:ascii="Arial" w:hAnsi="Arial" w:cs="Arial"/>
            <w:sz w:val="24"/>
            <w:szCs w:val="24"/>
          </w:rPr>
          <w:t>10</w:t>
        </w:r>
        <w:r>
          <w:rPr>
            <w:rFonts w:ascii="Arial" w:hAnsi="Arial" w:cs="Arial"/>
            <w:sz w:val="24"/>
            <w:szCs w:val="24"/>
          </w:rP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9E8"/>
    <w:rsid w:val="002A241A"/>
    <w:rsid w:val="0039226E"/>
    <w:rsid w:val="00407E24"/>
    <w:rsid w:val="004219E8"/>
    <w:rsid w:val="006C560C"/>
    <w:rsid w:val="007E5460"/>
    <w:rsid w:val="00940411"/>
    <w:rsid w:val="00B2775A"/>
    <w:rsid w:val="00DE6EC8"/>
    <w:rsid w:val="00FF7DC4"/>
    <w:rsid w:val="0EDF1EA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1"/>
    <w:autoRedefine/>
    <w:qFormat/>
    <w:uiPriority w:val="9"/>
    <w:pPr>
      <w:keepNext/>
      <w:keepLines/>
      <w:spacing w:before="480" w:after="0" w:line="360" w:lineRule="auto"/>
      <w:jc w:val="both"/>
      <w:outlineLvl w:val="0"/>
    </w:pPr>
    <w:rPr>
      <w:rFonts w:ascii="Arial" w:hAnsi="Arial" w:eastAsiaTheme="majorEastAsia" w:cstheme="majorBidi"/>
      <w:b/>
      <w:bCs/>
      <w:sz w:val="24"/>
      <w:szCs w:val="28"/>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5"/>
    <w:autoRedefine/>
    <w:semiHidden/>
    <w:unhideWhenUsed/>
    <w:uiPriority w:val="99"/>
    <w:pPr>
      <w:spacing w:after="0" w:line="240" w:lineRule="auto"/>
    </w:pPr>
    <w:rPr>
      <w:rFonts w:ascii="Tahoma" w:hAnsi="Tahoma" w:cs="Tahoma"/>
      <w:sz w:val="16"/>
      <w:szCs w:val="16"/>
    </w:rPr>
  </w:style>
  <w:style w:type="paragraph" w:styleId="6">
    <w:name w:val="footer"/>
    <w:basedOn w:val="1"/>
    <w:link w:val="13"/>
    <w:autoRedefine/>
    <w:unhideWhenUsed/>
    <w:uiPriority w:val="99"/>
    <w:pPr>
      <w:tabs>
        <w:tab w:val="center" w:pos="4513"/>
        <w:tab w:val="right" w:pos="9026"/>
      </w:tabs>
      <w:spacing w:after="0" w:line="240" w:lineRule="auto"/>
    </w:pPr>
  </w:style>
  <w:style w:type="paragraph" w:styleId="7">
    <w:name w:val="header"/>
    <w:basedOn w:val="1"/>
    <w:link w:val="12"/>
    <w:autoRedefine/>
    <w:unhideWhenUsed/>
    <w:qFormat/>
    <w:uiPriority w:val="99"/>
    <w:pPr>
      <w:tabs>
        <w:tab w:val="center" w:pos="4513"/>
        <w:tab w:val="right" w:pos="9026"/>
      </w:tabs>
      <w:spacing w:after="0" w:line="240" w:lineRule="auto"/>
    </w:pPr>
  </w:style>
  <w:style w:type="character" w:styleId="8">
    <w:name w:val="Hyperlink"/>
    <w:basedOn w:val="3"/>
    <w:autoRedefine/>
    <w:unhideWhenUsed/>
    <w:qFormat/>
    <w:uiPriority w:val="99"/>
    <w:rPr>
      <w:color w:val="0000FF"/>
      <w:u w:val="single"/>
    </w:rPr>
  </w:style>
  <w:style w:type="paragraph" w:styleId="9">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0">
    <w:name w:val="toc 1"/>
    <w:basedOn w:val="1"/>
    <w:next w:val="1"/>
    <w:autoRedefine/>
    <w:unhideWhenUsed/>
    <w:qFormat/>
    <w:uiPriority w:val="39"/>
    <w:pPr>
      <w:spacing w:after="100"/>
    </w:pPr>
  </w:style>
  <w:style w:type="character" w:customStyle="1" w:styleId="11">
    <w:name w:val="Heading 1 Char"/>
    <w:basedOn w:val="3"/>
    <w:link w:val="2"/>
    <w:autoRedefine/>
    <w:qFormat/>
    <w:uiPriority w:val="9"/>
    <w:rPr>
      <w:rFonts w:ascii="Arial" w:hAnsi="Arial" w:eastAsiaTheme="majorEastAsia" w:cstheme="majorBidi"/>
      <w:b/>
      <w:bCs/>
      <w:sz w:val="24"/>
      <w:szCs w:val="28"/>
      <w:lang w:val="en-GB"/>
    </w:rPr>
  </w:style>
  <w:style w:type="character" w:customStyle="1" w:styleId="12">
    <w:name w:val="Header Char"/>
    <w:basedOn w:val="3"/>
    <w:link w:val="7"/>
    <w:qFormat/>
    <w:uiPriority w:val="99"/>
    <w:rPr>
      <w:lang w:val="en-GB"/>
    </w:rPr>
  </w:style>
  <w:style w:type="character" w:customStyle="1" w:styleId="13">
    <w:name w:val="Footer Char"/>
    <w:basedOn w:val="3"/>
    <w:link w:val="6"/>
    <w:autoRedefine/>
    <w:qFormat/>
    <w:uiPriority w:val="99"/>
    <w:rPr>
      <w:lang w:val="en-GB"/>
    </w:rPr>
  </w:style>
  <w:style w:type="paragraph" w:customStyle="1" w:styleId="14">
    <w:name w:val="TOC Heading"/>
    <w:basedOn w:val="2"/>
    <w:next w:val="1"/>
    <w:autoRedefine/>
    <w:semiHidden/>
    <w:unhideWhenUsed/>
    <w:qFormat/>
    <w:uiPriority w:val="39"/>
    <w:pPr>
      <w:spacing w:line="276" w:lineRule="auto"/>
      <w:jc w:val="left"/>
      <w:outlineLvl w:val="9"/>
    </w:pPr>
    <w:rPr>
      <w:rFonts w:asciiTheme="majorHAnsi" w:hAnsiTheme="majorHAnsi"/>
      <w:color w:val="376092" w:themeColor="accent1" w:themeShade="BF"/>
      <w:sz w:val="28"/>
      <w:lang w:val="en-US"/>
    </w:rPr>
  </w:style>
  <w:style w:type="character" w:customStyle="1" w:styleId="15">
    <w:name w:val="Balloon Text Char"/>
    <w:basedOn w:val="3"/>
    <w:link w:val="5"/>
    <w:autoRedefine/>
    <w:semiHidden/>
    <w:qFormat/>
    <w:uiPriority w:val="99"/>
    <w:rPr>
      <w:rFonts w:ascii="Tahoma" w:hAnsi="Tahoma" w:cs="Tahoma"/>
      <w:sz w:val="16"/>
      <w:szCs w:val="16"/>
      <w:lang w:val="en-GB"/>
    </w:rPr>
  </w:style>
  <w:style w:type="table" w:customStyle="1" w:styleId="16">
    <w:name w:val="Grid Table 6 Colorful Accent 1"/>
    <w:basedOn w:val="4"/>
    <w:uiPriority w:val="51"/>
    <w:pPr>
      <w:spacing w:after="0" w:line="240" w:lineRule="auto"/>
    </w:pPr>
    <w:rPr>
      <w:color w:val="376092" w:themeColor="accent1" w:themeShade="BF"/>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rPr>
      <w:tcPr>
        <w:tcBorders>
          <w:bottom w:val="single" w:color="95B3D7" w:themeColor="accent1" w:themeTint="99" w:sz="12" w:space="0"/>
        </w:tcBorders>
      </w:tcPr>
    </w:tblStylePr>
    <w:tblStylePr w:type="lastRow">
      <w:rPr>
        <w:b/>
        <w:bCs/>
      </w:rPr>
      <w:tcPr>
        <w:tcBorders>
          <w:top w:val="double" w:color="95B3D7" w:themeColor="accent1" w:themeTint="99"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package" Target="embeddings/Slide1.sldx"/><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1.xml"/><Relationship Id="rId22" Type="http://schemas.openxmlformats.org/officeDocument/2006/relationships/image" Target="media/image9.emf"/><Relationship Id="rId21" Type="http://schemas.openxmlformats.org/officeDocument/2006/relationships/package" Target="embeddings/Slide7.sldx"/><Relationship Id="rId20" Type="http://schemas.openxmlformats.org/officeDocument/2006/relationships/image" Target="media/image8.emf"/><Relationship Id="rId2" Type="http://schemas.openxmlformats.org/officeDocument/2006/relationships/settings" Target="settings.xml"/><Relationship Id="rId19" Type="http://schemas.openxmlformats.org/officeDocument/2006/relationships/package" Target="embeddings/Slide6.sldx"/><Relationship Id="rId18" Type="http://schemas.openxmlformats.org/officeDocument/2006/relationships/image" Target="media/image7.emf"/><Relationship Id="rId17" Type="http://schemas.openxmlformats.org/officeDocument/2006/relationships/package" Target="embeddings/Slide5.sldx"/><Relationship Id="rId16" Type="http://schemas.openxmlformats.org/officeDocument/2006/relationships/image" Target="media/image6.png"/><Relationship Id="rId15" Type="http://schemas.openxmlformats.org/officeDocument/2006/relationships/image" Target="media/image5.emf"/><Relationship Id="rId14" Type="http://schemas.openxmlformats.org/officeDocument/2006/relationships/package" Target="embeddings/Slide4.sldx"/><Relationship Id="rId13" Type="http://schemas.openxmlformats.org/officeDocument/2006/relationships/image" Target="media/image4.emf"/><Relationship Id="rId12" Type="http://schemas.openxmlformats.org/officeDocument/2006/relationships/package" Target="embeddings/Slide3.sldx"/><Relationship Id="rId11" Type="http://schemas.openxmlformats.org/officeDocument/2006/relationships/image" Target="media/image3.emf"/><Relationship Id="rId10" Type="http://schemas.openxmlformats.org/officeDocument/2006/relationships/package" Target="embeddings/Slide2.sldx"/><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D9A8C-F92B-439E-B457-B730212700B3}">
  <ds:schemaRefs/>
</ds:datastoreItem>
</file>

<file path=docProps/app.xml><?xml version="1.0" encoding="utf-8"?>
<Properties xmlns="http://schemas.openxmlformats.org/officeDocument/2006/extended-properties" xmlns:vt="http://schemas.openxmlformats.org/officeDocument/2006/docPropsVTypes">
  <Template>Normal</Template>
  <Pages>19</Pages>
  <Words>3236</Words>
  <Characters>18451</Characters>
  <Lines>153</Lines>
  <Paragraphs>43</Paragraphs>
  <TotalTime>0</TotalTime>
  <ScaleCrop>false</ScaleCrop>
  <LinksUpToDate>false</LinksUpToDate>
  <CharactersWithSpaces>21644</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2024-05-01T14:20:00Z</dcterms:created>
  <dc:creator>user</dc:creator>
  <cp:lastModifiedBy>i study</cp:lastModifiedBy>
  <dcterms:modified xsi:type="dcterms:W3CDTF">2024-05-07T15:10:08Z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2057-12.2.0.16731</vt:lpwstr>
  </property>
  <property fmtid="{D5CDD505-2E9C-101B-9397-08002B2CF9AE}" pid="3" name="ICV">
    <vt:lpwstr>267C3F7ED304450DACB32C7577AE8F08_12</vt:lpwstr>
  </property>
</Properties>
</file>