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00A4300C" w:rsidRDefault="00A4300C" w14:paraId="5E682DD8" w14:textId="206C61AE">
      <w:r w:rsidRPr="72073BA4" w:rsidR="3E773A2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Module Name: Care Communication</w:t>
      </w:r>
    </w:p>
    <w:p w:rsidR="00A4300C" w:rsidP="72073BA4" w:rsidRDefault="00A4300C" w14:paraId="47FBC275" w14:textId="35BEDEA4">
      <w:pPr>
        <w:shd w:val="clear" w:color="auto" w:fill="FFFFFF" w:themeFill="background1"/>
        <w:spacing w:before="0" w:beforeAutospacing="off" w:after="0" w:afterAutospacing="off"/>
      </w:pPr>
    </w:p>
    <w:p w:rsidR="00A4300C" w:rsidP="72073BA4" w:rsidRDefault="00A4300C" w14:paraId="4B5F7A02" w14:textId="5C4E5DD7">
      <w:pPr>
        <w:shd w:val="clear" w:color="auto" w:fill="FFFFFF" w:themeFill="background1"/>
        <w:spacing w:before="0" w:beforeAutospacing="off" w:after="0" w:afterAutospacing="off"/>
      </w:pPr>
      <w:r w:rsidRPr="72073BA4" w:rsidR="3E773A2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Module code: BMHP3003</w:t>
      </w:r>
    </w:p>
    <w:p w:rsidR="00A4300C" w:rsidP="72073BA4" w:rsidRDefault="00A4300C" w14:paraId="05CF318A" w14:textId="063FACC0">
      <w:pPr>
        <w:shd w:val="clear" w:color="auto" w:fill="FFFFFF" w:themeFill="background1"/>
        <w:spacing w:before="0" w:beforeAutospacing="off" w:after="0" w:afterAutospacing="off"/>
      </w:pPr>
    </w:p>
    <w:p w:rsidR="00A4300C" w:rsidP="72073BA4" w:rsidRDefault="00A4300C" w14:paraId="3DB73AF1" w14:textId="2C38BCD7">
      <w:pPr>
        <w:shd w:val="clear" w:color="auto" w:fill="FFFFFF" w:themeFill="background1"/>
        <w:spacing w:before="0" w:beforeAutospacing="off" w:after="0" w:afterAutospacing="off"/>
      </w:pPr>
      <w:r w:rsidRPr="72073BA4" w:rsidR="3E773A2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Assignment 1: Reference for practical role play</w:t>
      </w:r>
    </w:p>
    <w:p w:rsidR="00A4300C" w:rsidP="72073BA4" w:rsidRDefault="00A4300C" w14:paraId="657A8385" w14:textId="2AC80DC7">
      <w:pPr>
        <w:shd w:val="clear" w:color="auto" w:fill="FFFFFF" w:themeFill="background1"/>
        <w:spacing w:before="0" w:beforeAutospacing="off" w:after="0" w:afterAutospacing="off"/>
      </w:pPr>
    </w:p>
    <w:p w:rsidR="00A4300C" w:rsidP="72073BA4" w:rsidRDefault="00A4300C" w14:paraId="1B7722D4" w14:textId="2B44ED96">
      <w:pPr>
        <w:shd w:val="clear" w:color="auto" w:fill="FFFFFF" w:themeFill="background1"/>
        <w:spacing w:before="0" w:beforeAutospacing="off" w:after="0" w:afterAutospacing="off"/>
      </w:pPr>
      <w:r w:rsidRPr="72073BA4" w:rsidR="3E773A2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Student name: Shadan Othman Aziz</w:t>
      </w:r>
    </w:p>
    <w:p w:rsidR="00A4300C" w:rsidP="72073BA4" w:rsidRDefault="00A4300C" w14:paraId="02F02832" w14:textId="2984AF01">
      <w:pPr>
        <w:shd w:val="clear" w:color="auto" w:fill="FFFFFF" w:themeFill="background1"/>
        <w:spacing w:before="0" w:beforeAutospacing="off" w:after="0" w:afterAutospacing="off"/>
      </w:pPr>
    </w:p>
    <w:p w:rsidR="00A4300C" w:rsidP="72073BA4" w:rsidRDefault="00A4300C" w14:paraId="52883079" w14:textId="05A41CD5">
      <w:pPr>
        <w:shd w:val="clear" w:color="auto" w:fill="FFFFFF" w:themeFill="background1"/>
        <w:spacing w:before="0" w:beforeAutospacing="off" w:after="0" w:afterAutospacing="off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</w:pPr>
    </w:p>
    <w:p w:rsidR="00A4300C" w:rsidP="72073BA4" w:rsidRDefault="00A4300C" w14:paraId="3AC6D758" w14:textId="421D4E56">
      <w:pPr>
        <w:shd w:val="clear" w:color="auto" w:fill="FFFFFF" w:themeFill="background1"/>
        <w:spacing w:before="0" w:beforeAutospacing="off" w:after="0" w:afterAutospacing="off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242424"/>
          <w:sz w:val="28"/>
          <w:szCs w:val="28"/>
          <w:u w:val="single"/>
          <w:lang w:val="en-GB"/>
        </w:rPr>
      </w:pPr>
      <w:r w:rsidRPr="72073BA4" w:rsidR="3E773A23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242424"/>
          <w:sz w:val="28"/>
          <w:szCs w:val="28"/>
          <w:u w:val="single"/>
          <w:lang w:val="en-GB"/>
        </w:rPr>
        <w:t>Reference</w:t>
      </w:r>
    </w:p>
    <w:p w:rsidR="00A4300C" w:rsidP="72073BA4" w:rsidRDefault="00A4300C" w14:paraId="1F6FE400" w14:textId="7F1FB41A">
      <w:pPr>
        <w:shd w:val="clear" w:color="auto" w:fill="FFFFFF" w:themeFill="background1"/>
        <w:spacing w:before="0" w:beforeAutospacing="off" w:after="0" w:afterAutospacing="off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</w:pPr>
    </w:p>
    <w:p w:rsidR="00A4300C" w:rsidP="72073BA4" w:rsidRDefault="00A4300C" w14:paraId="178F7008" w14:textId="51769C3A">
      <w:pPr>
        <w:shd w:val="clear" w:color="auto" w:fill="FFFFFF" w:themeFill="background1"/>
        <w:spacing w:before="0" w:beforeAutospacing="off" w:after="0" w:afterAutospacing="off"/>
      </w:pPr>
      <w:r w:rsidRPr="72073BA4" w:rsidR="3E773A2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1. Age UK (2023)Caring for older people, Age UK. Available at: [</w:t>
      </w:r>
      <w:hyperlink>
        <w:r w:rsidRPr="72073BA4" w:rsidR="3E773A23">
          <w:rPr>
            <w:rStyle w:val="Hyperlink"/>
            <w:rFonts w:ascii="Segoe UI" w:hAnsi="Segoe UI" w:eastAsia="Segoe UI" w:cs="Segoe U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https://www.ageuk.org.uk](https://www.ageuk.org.uk</w:t>
        </w:r>
      </w:hyperlink>
      <w:r w:rsidRPr="72073BA4" w:rsidR="3E773A2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) (Accessed: 11 March 2025).  </w:t>
      </w:r>
    </w:p>
    <w:p w:rsidR="00A4300C" w:rsidP="72073BA4" w:rsidRDefault="00A4300C" w14:paraId="071EC433" w14:textId="1DCE4F98">
      <w:pPr>
        <w:shd w:val="clear" w:color="auto" w:fill="FFFFFF" w:themeFill="background1"/>
        <w:spacing w:before="0" w:beforeAutospacing="off" w:after="0" w:afterAutospacing="off"/>
      </w:pPr>
    </w:p>
    <w:p w:rsidR="00A4300C" w:rsidP="72073BA4" w:rsidRDefault="00A4300C" w14:paraId="6776C56A" w14:textId="0737FA5A">
      <w:pPr>
        <w:shd w:val="clear" w:color="auto" w:fill="FFFFFF" w:themeFill="background1"/>
        <w:spacing w:before="0" w:beforeAutospacing="off" w:after="0" w:afterAutospacing="off"/>
      </w:pPr>
      <w:r w:rsidRPr="72073BA4" w:rsidR="3E773A2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2. British Geriatrics Society (2023) Comprehensive care for older people, BGS. Available at: [</w:t>
      </w:r>
      <w:hyperlink>
        <w:r w:rsidRPr="72073BA4" w:rsidR="3E773A23">
          <w:rPr>
            <w:rStyle w:val="Hyperlink"/>
            <w:rFonts w:ascii="Segoe UI" w:hAnsi="Segoe UI" w:eastAsia="Segoe UI" w:cs="Segoe U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https://www.bgs.org.uk](https://www.bgs.org.uk</w:t>
        </w:r>
      </w:hyperlink>
      <w:r w:rsidRPr="72073BA4" w:rsidR="3E773A2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) (Accessed: 11 March 2025).  </w:t>
      </w:r>
    </w:p>
    <w:p w:rsidR="00A4300C" w:rsidP="72073BA4" w:rsidRDefault="00A4300C" w14:paraId="3DDEFC8E" w14:textId="00DB6E75">
      <w:pPr>
        <w:shd w:val="clear" w:color="auto" w:fill="FFFFFF" w:themeFill="background1"/>
        <w:spacing w:before="0" w:beforeAutospacing="off" w:after="0" w:afterAutospacing="off"/>
      </w:pPr>
    </w:p>
    <w:p w:rsidR="00A4300C" w:rsidP="72073BA4" w:rsidRDefault="00A4300C" w14:paraId="67EA0B0E" w14:textId="6385DE21">
      <w:pPr>
        <w:shd w:val="clear" w:color="auto" w:fill="FFFFFF" w:themeFill="background1"/>
        <w:spacing w:before="0" w:beforeAutospacing="off" w:after="0" w:afterAutospacing="off"/>
      </w:pPr>
      <w:r w:rsidRPr="72073BA4" w:rsidR="3E773A2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3. Care Quality Commission (CQC) (2023)The state of health and social care in England 2023/24, CQC. Available at: [</w:t>
      </w:r>
      <w:hyperlink>
        <w:r w:rsidRPr="72073BA4" w:rsidR="3E773A23">
          <w:rPr>
            <w:rStyle w:val="Hyperlink"/>
            <w:rFonts w:ascii="Segoe UI" w:hAnsi="Segoe UI" w:eastAsia="Segoe UI" w:cs="Segoe U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https://www.cqc.org.uk](https://www.cqc.org.uk</w:t>
        </w:r>
      </w:hyperlink>
      <w:r w:rsidRPr="72073BA4" w:rsidR="3E773A2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) (Accessed: 11 March 2025).  </w:t>
      </w:r>
    </w:p>
    <w:p w:rsidR="00A4300C" w:rsidP="72073BA4" w:rsidRDefault="00A4300C" w14:paraId="2BCA4D60" w14:textId="3ECDA6ED">
      <w:pPr>
        <w:shd w:val="clear" w:color="auto" w:fill="FFFFFF" w:themeFill="background1"/>
        <w:spacing w:before="0" w:beforeAutospacing="off" w:after="0" w:afterAutospacing="off"/>
      </w:pPr>
    </w:p>
    <w:p w:rsidR="00A4300C" w:rsidP="72073BA4" w:rsidRDefault="00A4300C" w14:paraId="48FFDF60" w14:textId="625EBBC8">
      <w:pPr>
        <w:shd w:val="clear" w:color="auto" w:fill="FFFFFF" w:themeFill="background1"/>
        <w:spacing w:before="0" w:beforeAutospacing="off" w:after="0" w:afterAutospacing="off"/>
      </w:pPr>
      <w:r w:rsidRPr="72073BA4" w:rsidR="3E773A2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4. Daly, M. and Westwood, S. (2022) ‘Caring for older people: Challenges and solutions’, Journal of Aging Studies, 55, pp. 101-115. Available at: [</w:t>
      </w:r>
      <w:hyperlink r:id="R58917e12d4d143f8">
        <w:r w:rsidRPr="72073BA4" w:rsidR="3E773A23">
          <w:rPr>
            <w:rStyle w:val="Hyperlink"/>
            <w:rFonts w:ascii="Segoe UI" w:hAnsi="Segoe UI" w:eastAsia="Segoe UI" w:cs="Segoe U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https://doi.org/10.1016/j.jaging.2022.101115](https://doi.org/10.1016/j.jaging.2022.101115</w:t>
        </w:r>
      </w:hyperlink>
      <w:r w:rsidRPr="72073BA4" w:rsidR="3E773A2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).  </w:t>
      </w:r>
    </w:p>
    <w:p w:rsidR="00A4300C" w:rsidP="72073BA4" w:rsidRDefault="00A4300C" w14:paraId="0E83AF7A" w14:textId="06473BD6">
      <w:pPr>
        <w:shd w:val="clear" w:color="auto" w:fill="FFFFFF" w:themeFill="background1"/>
        <w:spacing w:before="0" w:beforeAutospacing="off" w:after="0" w:afterAutospacing="off"/>
      </w:pPr>
    </w:p>
    <w:p w:rsidR="00A4300C" w:rsidP="72073BA4" w:rsidRDefault="00A4300C" w14:paraId="07A1D060" w14:textId="723B542A">
      <w:pPr>
        <w:shd w:val="clear" w:color="auto" w:fill="FFFFFF" w:themeFill="background1"/>
        <w:spacing w:before="0" w:beforeAutospacing="off" w:after="0" w:afterAutospacing="off"/>
      </w:pPr>
      <w:r w:rsidRPr="72073BA4" w:rsidR="3E773A2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5. Jones, R. and Green, P. (2023) ‘Family caregiving and support networks in aging populations’, The Gerontologist, 63(4), pp. 455-468. Available at: [</w:t>
      </w:r>
      <w:hyperlink r:id="R989f0543d9954ac2">
        <w:r w:rsidRPr="72073BA4" w:rsidR="3E773A23">
          <w:rPr>
            <w:rStyle w:val="Hyperlink"/>
            <w:rFonts w:ascii="Segoe UI" w:hAnsi="Segoe UI" w:eastAsia="Segoe UI" w:cs="Segoe U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https://doi.org/10.1093/geront/gnz123](https://doi.org/10.1093/geront/gnz123</w:t>
        </w:r>
      </w:hyperlink>
      <w:r w:rsidRPr="72073BA4" w:rsidR="3E773A2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).  </w:t>
      </w:r>
    </w:p>
    <w:p w:rsidR="00A4300C" w:rsidP="72073BA4" w:rsidRDefault="00A4300C" w14:paraId="37DCD466" w14:textId="73A8706C">
      <w:pPr>
        <w:shd w:val="clear" w:color="auto" w:fill="FFFFFF" w:themeFill="background1"/>
        <w:spacing w:before="0" w:beforeAutospacing="off" w:after="0" w:afterAutospacing="off"/>
      </w:pPr>
    </w:p>
    <w:p w:rsidR="00A4300C" w:rsidP="72073BA4" w:rsidRDefault="00A4300C" w14:paraId="3BC89815" w14:textId="72CC529B">
      <w:pPr>
        <w:shd w:val="clear" w:color="auto" w:fill="FFFFFF" w:themeFill="background1"/>
        <w:spacing w:before="0" w:beforeAutospacing="off" w:after="0" w:afterAutospacing="off"/>
      </w:pPr>
      <w:r w:rsidRPr="72073BA4" w:rsidR="3E773A2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6. National Health Service (NHS) (2024)Looking after elderly relatives, NHS. Available at: [</w:t>
      </w:r>
      <w:hyperlink>
        <w:r w:rsidRPr="72073BA4" w:rsidR="3E773A23">
          <w:rPr>
            <w:rStyle w:val="Hyperlink"/>
            <w:rFonts w:ascii="Segoe UI" w:hAnsi="Segoe UI" w:eastAsia="Segoe UI" w:cs="Segoe U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https://www.nhs.uk](https://www.nhs.uk</w:t>
        </w:r>
      </w:hyperlink>
      <w:r w:rsidRPr="72073BA4" w:rsidR="3E773A2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) (Accessed: 11 March 2025).  </w:t>
      </w:r>
    </w:p>
    <w:p w:rsidR="00A4300C" w:rsidP="72073BA4" w:rsidRDefault="00A4300C" w14:paraId="480ED12B" w14:textId="6705B7BB">
      <w:pPr>
        <w:shd w:val="clear" w:color="auto" w:fill="FFFFFF" w:themeFill="background1"/>
        <w:spacing w:before="0" w:beforeAutospacing="off" w:after="0" w:afterAutospacing="off"/>
      </w:pPr>
    </w:p>
    <w:p w:rsidR="00A4300C" w:rsidP="72073BA4" w:rsidRDefault="00A4300C" w14:paraId="497B64E0" w14:textId="64D6B529">
      <w:pPr>
        <w:shd w:val="clear" w:color="auto" w:fill="FFFFFF" w:themeFill="background1"/>
        <w:spacing w:before="0" w:beforeAutospacing="off" w:after="0" w:afterAutospacing="off"/>
      </w:pPr>
      <w:r w:rsidRPr="72073BA4" w:rsidR="3E773A2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7. National Institute on Aging (NIA) (2024)Providing care for the elderly, U.S. Department of Health &amp; Human Services. Available at: [</w:t>
      </w:r>
      <w:hyperlink>
        <w:r w:rsidRPr="72073BA4" w:rsidR="3E773A23">
          <w:rPr>
            <w:rStyle w:val="Hyperlink"/>
            <w:rFonts w:ascii="Segoe UI" w:hAnsi="Segoe UI" w:eastAsia="Segoe UI" w:cs="Segoe U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https://www.nia.nih.gov](https://www.nia.nih.gov</w:t>
        </w:r>
      </w:hyperlink>
      <w:r w:rsidRPr="72073BA4" w:rsidR="3E773A2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) (Accessed: 11 March 2025).  </w:t>
      </w:r>
    </w:p>
    <w:p w:rsidR="00A4300C" w:rsidP="72073BA4" w:rsidRDefault="00A4300C" w14:paraId="11776AA8" w14:textId="0A2464FF">
      <w:pPr>
        <w:shd w:val="clear" w:color="auto" w:fill="FFFFFF" w:themeFill="background1"/>
        <w:spacing w:before="0" w:beforeAutospacing="off" w:after="0" w:afterAutospacing="off"/>
      </w:pPr>
    </w:p>
    <w:p w:rsidR="00A4300C" w:rsidP="72073BA4" w:rsidRDefault="00A4300C" w14:paraId="52BA6F11" w14:textId="1CF6446D">
      <w:pPr>
        <w:shd w:val="clear" w:color="auto" w:fill="FFFFFF" w:themeFill="background1"/>
        <w:spacing w:before="0" w:beforeAutospacing="off" w:after="0" w:afterAutospacing="off"/>
      </w:pPr>
      <w:r w:rsidRPr="72073BA4" w:rsidR="3E773A2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8. Smith, J. (2021)Elder care: Best practices in nursing and social care, 3rd edn. London: Routledge.  </w:t>
      </w:r>
    </w:p>
    <w:p w:rsidR="00A4300C" w:rsidP="72073BA4" w:rsidRDefault="00A4300C" w14:paraId="1707BF11" w14:textId="411DE396">
      <w:pPr>
        <w:shd w:val="clear" w:color="auto" w:fill="FFFFFF" w:themeFill="background1"/>
        <w:spacing w:before="0" w:beforeAutospacing="off" w:after="0" w:afterAutospacing="off"/>
      </w:pPr>
    </w:p>
    <w:p w:rsidR="00A4300C" w:rsidP="72073BA4" w:rsidRDefault="00A4300C" w14:paraId="7CBAA508" w14:textId="10B05D20">
      <w:pPr>
        <w:shd w:val="clear" w:color="auto" w:fill="FFFFFF" w:themeFill="background1"/>
        <w:spacing w:before="0" w:beforeAutospacing="off" w:after="0" w:afterAutospacing="off"/>
      </w:pPr>
      <w:r w:rsidRPr="72073BA4" w:rsidR="3E773A2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9. Walker, A. (2022) ‘Aging in place: Policies and implications for elder care’, International Journal of Social Policy, 49(2), pp. 232-247. Available at: [</w:t>
      </w:r>
      <w:hyperlink r:id="R507236d469d34f36">
        <w:r w:rsidRPr="72073BA4" w:rsidR="3E773A23">
          <w:rPr>
            <w:rStyle w:val="Hyperlink"/>
            <w:rFonts w:ascii="Segoe UI" w:hAnsi="Segoe UI" w:eastAsia="Segoe UI" w:cs="Segoe U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https://doi.org/10.1108/IJSP-05-2022-0123](https://doi.org/10.1108/IJSP-05-2022-0123</w:t>
        </w:r>
      </w:hyperlink>
      <w:r w:rsidRPr="72073BA4" w:rsidR="3E773A2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).  </w:t>
      </w:r>
    </w:p>
    <w:p w:rsidR="00A4300C" w:rsidP="72073BA4" w:rsidRDefault="00A4300C" w14:paraId="0297CAF7" w14:textId="63DE99E4">
      <w:pPr>
        <w:shd w:val="clear" w:color="auto" w:fill="FFFFFF" w:themeFill="background1"/>
        <w:spacing w:before="0" w:beforeAutospacing="off" w:after="0" w:afterAutospacing="off"/>
      </w:pPr>
    </w:p>
    <w:p w:rsidR="00A4300C" w:rsidP="72073BA4" w:rsidRDefault="00A4300C" w14:paraId="3C75FCD7" w14:textId="36A90E3D">
      <w:pPr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72073BA4" w:rsidR="3E773A2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10. World Health Organization (WHO) (2023)Integrated care for older people (ICOPE), WHO. Available at: [https://www.who.int](https://www.who.int) (Accessed: 11 March 2025).</w:t>
      </w:r>
    </w:p>
    <w:sectPr w:rsidR="00A4300C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1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4300C"/>
    <w:rsid w:val="007141CA"/>
    <w:rsid w:val="00A4300C"/>
    <w:rsid w:val="00B56B65"/>
    <w:rsid w:val="235B90F7"/>
    <w:rsid w:val="3E773A23"/>
    <w:rsid w:val="72073B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010770F"/>
  <w15:chartTrackingRefBased/>
  <w15:docId w15:val="{E6167D90-1494-4A4F-AF0C-162A7383563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4300C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4300C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4300C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4300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4300C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4300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4300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4300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4300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A4300C"/>
    <w:rPr>
      <w:rFonts w:asciiTheme="majorHAnsi" w:hAnsiTheme="majorHAnsi" w:eastAsiaTheme="majorEastAsia" w:cstheme="majorBidi"/>
      <w:color w:val="2F5496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A4300C"/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A4300C"/>
    <w:rPr>
      <w:rFonts w:eastAsiaTheme="majorEastAsia" w:cstheme="majorBidi"/>
      <w:color w:val="2F5496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A4300C"/>
    <w:rPr>
      <w:rFonts w:eastAsiaTheme="majorEastAsia" w:cstheme="majorBidi"/>
      <w:i/>
      <w:iCs/>
      <w:color w:val="2F5496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A4300C"/>
    <w:rPr>
      <w:rFonts w:eastAsiaTheme="majorEastAsia" w:cstheme="majorBidi"/>
      <w:color w:val="2F5496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A4300C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A4300C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A4300C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A4300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4300C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A4300C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4300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A4300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4300C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A4300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4300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4300C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4300C"/>
    <w:pPr>
      <w:pBdr>
        <w:top w:val="single" w:color="2F5496" w:themeColor="accent1" w:themeShade="BF" w:sz="4" w:space="10"/>
        <w:bottom w:val="single" w:color="2F5496" w:themeColor="accent1" w:themeShade="BF" w:sz="4" w:space="10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A4300C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4300C"/>
    <w:rPr>
      <w:b/>
      <w:bCs/>
      <w:smallCaps/>
      <w:color w:val="2F5496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72073BA4"/>
    <w:rPr>
      <w:color w:val="0563C1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doi.org/10.1016/j.jaging.2022.101115](https://doi.org/10.1016/j.jaging.2022.101115" TargetMode="External" Id="R58917e12d4d143f8" /><Relationship Type="http://schemas.openxmlformats.org/officeDocument/2006/relationships/hyperlink" Target="https://doi.org/10.1093/geront/gnz123](https://doi.org/10.1093/geront/gnz123" TargetMode="External" Id="R989f0543d9954ac2" /><Relationship Type="http://schemas.openxmlformats.org/officeDocument/2006/relationships/hyperlink" Target="https://doi.org/10.1108/IJSP-05-2022-0123](https://doi.org/10.1108/IJSP-05-2022-0123" TargetMode="External" Id="R507236d469d34f36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Muhamad Dlzar</dc:creator>
  <keywords/>
  <dc:description/>
  <lastModifiedBy>Shadan Aziz (2314981)</lastModifiedBy>
  <revision>3</revision>
  <dcterms:created xsi:type="dcterms:W3CDTF">2025-03-12T14:01:00.0000000Z</dcterms:created>
  <dcterms:modified xsi:type="dcterms:W3CDTF">2025-03-12T22:06:59.8480097Z</dcterms:modified>
</coreProperties>
</file>