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6F6E5" w14:textId="77777777" w:rsidR="005F3F7F" w:rsidRPr="00CD018D" w:rsidRDefault="006B1BC6">
      <w:r w:rsidRPr="00CD018D">
        <w:rPr>
          <w:noProof/>
        </w:rPr>
        <w:drawing>
          <wp:anchor distT="0" distB="0" distL="114300" distR="114300" simplePos="0" relativeHeight="251658240" behindDoc="0" locked="0" layoutInCell="1" hidden="0" allowOverlap="1" wp14:anchorId="4DA6E556" wp14:editId="16B8F474">
            <wp:simplePos x="0" y="0"/>
            <wp:positionH relativeFrom="column">
              <wp:posOffset>114300</wp:posOffset>
            </wp:positionH>
            <wp:positionV relativeFrom="paragraph">
              <wp:posOffset>127000</wp:posOffset>
            </wp:positionV>
            <wp:extent cx="1809750" cy="723900"/>
            <wp:effectExtent l="0" t="0" r="0" b="0"/>
            <wp:wrapSquare wrapText="bothSides" distT="0" distB="0" distL="114300" distR="114300"/>
            <wp:docPr id="12" name="image7.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7.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7755DBDD" w14:textId="77777777" w:rsidR="004B33F1" w:rsidRDefault="004B33F1" w:rsidP="004B33F1">
      <w:pPr>
        <w:rPr>
          <w:b/>
          <w:bCs/>
          <w:sz w:val="36"/>
          <w:szCs w:val="36"/>
        </w:rPr>
      </w:pPr>
    </w:p>
    <w:p w14:paraId="616A8A3D" w14:textId="374F46A4" w:rsidR="005F3F7F" w:rsidRPr="00CD018D" w:rsidRDefault="006B1BC6" w:rsidP="004B33F1">
      <w:pPr>
        <w:rPr>
          <w:b/>
          <w:bCs/>
          <w:sz w:val="36"/>
          <w:szCs w:val="36"/>
        </w:rPr>
      </w:pPr>
      <w:r w:rsidRPr="00CD018D">
        <w:rPr>
          <w:b/>
          <w:bCs/>
          <w:sz w:val="36"/>
          <w:szCs w:val="36"/>
        </w:rPr>
        <w:t xml:space="preserve"> </w:t>
      </w:r>
    </w:p>
    <w:p w14:paraId="4F463AF9" w14:textId="651A3C80" w:rsidR="005F3F7F" w:rsidRPr="00CD018D" w:rsidRDefault="006B1BC6">
      <w:pPr>
        <w:jc w:val="center"/>
        <w:rPr>
          <w:b/>
          <w:bCs/>
          <w:sz w:val="36"/>
          <w:szCs w:val="36"/>
        </w:rPr>
      </w:pPr>
      <w:r w:rsidRPr="00CD018D">
        <w:rPr>
          <w:b/>
          <w:bCs/>
          <w:sz w:val="36"/>
          <w:szCs w:val="36"/>
        </w:rPr>
        <w:t>Module</w:t>
      </w:r>
      <w:r w:rsidR="004B33F1">
        <w:rPr>
          <w:b/>
          <w:bCs/>
          <w:sz w:val="36"/>
          <w:szCs w:val="36"/>
        </w:rPr>
        <w:t xml:space="preserve"> Name</w:t>
      </w:r>
      <w:r w:rsidRPr="00CD018D">
        <w:rPr>
          <w:b/>
          <w:bCs/>
          <w:sz w:val="36"/>
          <w:szCs w:val="36"/>
        </w:rPr>
        <w:t>: Health, Wellbeing and Sustainable Development</w:t>
      </w:r>
    </w:p>
    <w:p w14:paraId="4C889583" w14:textId="1CE5099A" w:rsidR="005F3F7F" w:rsidRPr="00CD018D" w:rsidRDefault="006B1BC6" w:rsidP="00F92F08">
      <w:pPr>
        <w:jc w:val="center"/>
        <w:rPr>
          <w:b/>
          <w:bCs/>
          <w:sz w:val="36"/>
          <w:szCs w:val="36"/>
        </w:rPr>
      </w:pPr>
      <w:r w:rsidRPr="00CD018D">
        <w:rPr>
          <w:b/>
          <w:bCs/>
          <w:sz w:val="36"/>
          <w:szCs w:val="36"/>
        </w:rPr>
        <w:t>Module code: BMHP6030</w:t>
      </w:r>
    </w:p>
    <w:p w14:paraId="2EDCA499" w14:textId="5514E013" w:rsidR="005F3F7F" w:rsidRPr="00CD018D" w:rsidRDefault="00F92F08" w:rsidP="00F92F08">
      <w:pPr>
        <w:rPr>
          <w:b/>
          <w:bCs/>
          <w:sz w:val="36"/>
          <w:szCs w:val="36"/>
        </w:rPr>
      </w:pPr>
      <w:r>
        <w:rPr>
          <w:b/>
          <w:bCs/>
          <w:sz w:val="36"/>
          <w:szCs w:val="36"/>
        </w:rPr>
        <w:t xml:space="preserve">                  </w:t>
      </w:r>
      <w:r w:rsidR="006B1BC6" w:rsidRPr="00CD018D">
        <w:rPr>
          <w:b/>
          <w:bCs/>
          <w:sz w:val="36"/>
          <w:szCs w:val="36"/>
        </w:rPr>
        <w:t xml:space="preserve">Student Name: </w:t>
      </w:r>
      <w:r w:rsidR="004B33F1">
        <w:rPr>
          <w:b/>
          <w:bCs/>
          <w:sz w:val="36"/>
          <w:szCs w:val="36"/>
        </w:rPr>
        <w:t>Petronela Bucur</w:t>
      </w:r>
    </w:p>
    <w:p w14:paraId="61A34B89" w14:textId="2806C5D8" w:rsidR="005F3F7F" w:rsidRPr="00CD018D" w:rsidRDefault="006B1BC6">
      <w:pPr>
        <w:jc w:val="center"/>
        <w:rPr>
          <w:b/>
          <w:bCs/>
          <w:sz w:val="36"/>
          <w:szCs w:val="36"/>
        </w:rPr>
      </w:pPr>
      <w:r w:rsidRPr="00CD018D">
        <w:rPr>
          <w:b/>
          <w:bCs/>
          <w:sz w:val="36"/>
          <w:szCs w:val="36"/>
        </w:rPr>
        <w:t>Student ID:</w:t>
      </w:r>
      <w:r w:rsidR="004B33F1">
        <w:rPr>
          <w:b/>
          <w:bCs/>
          <w:sz w:val="36"/>
          <w:szCs w:val="36"/>
        </w:rPr>
        <w:t xml:space="preserve"> 2240860</w:t>
      </w:r>
    </w:p>
    <w:p w14:paraId="18DA5FDA" w14:textId="544AEC87" w:rsidR="005F3F7F" w:rsidRPr="00CD018D" w:rsidRDefault="008B6006">
      <w:pPr>
        <w:jc w:val="center"/>
        <w:rPr>
          <w:b/>
          <w:bCs/>
          <w:sz w:val="36"/>
          <w:szCs w:val="36"/>
        </w:rPr>
      </w:pPr>
      <w:r>
        <w:rPr>
          <w:b/>
          <w:bCs/>
          <w:sz w:val="36"/>
          <w:szCs w:val="36"/>
        </w:rPr>
        <w:t>Lecturer Na</w:t>
      </w:r>
      <w:r w:rsidR="00BB690A">
        <w:rPr>
          <w:b/>
          <w:bCs/>
          <w:sz w:val="36"/>
          <w:szCs w:val="36"/>
        </w:rPr>
        <w:t>me: Zak</w:t>
      </w:r>
      <w:r w:rsidR="00F92F08">
        <w:rPr>
          <w:b/>
          <w:bCs/>
          <w:sz w:val="36"/>
          <w:szCs w:val="36"/>
        </w:rPr>
        <w:t>iyyah Ahmed</w:t>
      </w:r>
    </w:p>
    <w:p w14:paraId="0C9BF9BA" w14:textId="77777777" w:rsidR="005F3F7F" w:rsidRPr="00CD018D" w:rsidRDefault="005F3F7F"/>
    <w:p w14:paraId="56C80BA4" w14:textId="77777777" w:rsidR="005F3F7F" w:rsidRPr="00CD018D" w:rsidRDefault="006B1BC6">
      <w:r w:rsidRPr="00CD018D">
        <w:br w:type="page"/>
      </w:r>
    </w:p>
    <w:p w14:paraId="53737FD3" w14:textId="77777777" w:rsidR="005F3F7F" w:rsidRPr="00CD018D" w:rsidRDefault="006B1BC6">
      <w:pPr>
        <w:jc w:val="center"/>
        <w:rPr>
          <w:b/>
          <w:bCs/>
          <w:sz w:val="28"/>
          <w:szCs w:val="28"/>
        </w:rPr>
      </w:pPr>
      <w:r w:rsidRPr="00CD018D">
        <w:rPr>
          <w:b/>
          <w:bCs/>
          <w:sz w:val="28"/>
          <w:szCs w:val="28"/>
        </w:rPr>
        <w:lastRenderedPageBreak/>
        <w:t>Table of Contents</w:t>
      </w:r>
    </w:p>
    <w:sdt>
      <w:sdtPr>
        <w:id w:val="2020411618"/>
        <w:docPartObj>
          <w:docPartGallery w:val="Table of Contents"/>
          <w:docPartUnique/>
        </w:docPartObj>
      </w:sdtPr>
      <w:sdtEndPr/>
      <w:sdtContent>
        <w:p w14:paraId="10FB950D" w14:textId="77777777" w:rsidR="005F3F7F" w:rsidRPr="00CD018D" w:rsidRDefault="006B1BC6">
          <w:pPr>
            <w:pBdr>
              <w:top w:val="nil"/>
              <w:left w:val="nil"/>
              <w:bottom w:val="nil"/>
              <w:right w:val="nil"/>
              <w:between w:val="nil"/>
            </w:pBdr>
            <w:tabs>
              <w:tab w:val="right" w:leader="dot" w:pos="9019"/>
            </w:tabs>
            <w:spacing w:after="100"/>
          </w:pPr>
          <w:r w:rsidRPr="00CD018D">
            <w:fldChar w:fldCharType="begin"/>
          </w:r>
          <w:r w:rsidRPr="00CD018D">
            <w:instrText xml:space="preserve"> TOC \h \u \z \t "Heading 1,1,Heading 2,2,Heading 3,3,"</w:instrText>
          </w:r>
          <w:r w:rsidRPr="00CD018D">
            <w:fldChar w:fldCharType="separate"/>
          </w:r>
          <w:hyperlink w:anchor="_heading=h.o7ppbe7h4jdu">
            <w:r w:rsidR="005F3F7F" w:rsidRPr="00CD018D">
              <w:t>Introduction</w:t>
            </w:r>
            <w:r w:rsidR="005F3F7F" w:rsidRPr="00CD018D">
              <w:tab/>
              <w:t>3</w:t>
            </w:r>
          </w:hyperlink>
        </w:p>
        <w:p w14:paraId="1E91CD92" w14:textId="77777777" w:rsidR="005F3F7F" w:rsidRPr="00CD018D" w:rsidRDefault="005F3F7F">
          <w:pPr>
            <w:pBdr>
              <w:top w:val="nil"/>
              <w:left w:val="nil"/>
              <w:bottom w:val="nil"/>
              <w:right w:val="nil"/>
              <w:between w:val="nil"/>
            </w:pBdr>
            <w:tabs>
              <w:tab w:val="right" w:leader="dot" w:pos="9019"/>
            </w:tabs>
            <w:spacing w:after="100"/>
          </w:pPr>
          <w:hyperlink w:anchor="_heading=h.qb25syviskef">
            <w:r w:rsidRPr="00CD018D">
              <w:t>Section 1: SDG 3: Good Health and Wellbeing</w:t>
            </w:r>
            <w:r w:rsidRPr="00CD018D">
              <w:tab/>
              <w:t>4</w:t>
            </w:r>
          </w:hyperlink>
        </w:p>
        <w:p w14:paraId="5A881635" w14:textId="77777777" w:rsidR="005F3F7F" w:rsidRPr="00CD018D" w:rsidRDefault="005F3F7F">
          <w:pPr>
            <w:pBdr>
              <w:top w:val="nil"/>
              <w:left w:val="nil"/>
              <w:bottom w:val="nil"/>
              <w:right w:val="nil"/>
              <w:between w:val="nil"/>
            </w:pBdr>
            <w:tabs>
              <w:tab w:val="right" w:leader="dot" w:pos="9019"/>
            </w:tabs>
            <w:spacing w:after="100"/>
            <w:ind w:left="220"/>
          </w:pPr>
          <w:hyperlink w:anchor="_heading=h.9zs744w91znb">
            <w:r w:rsidRPr="00CD018D">
              <w:t>Overview of SDG 3</w:t>
            </w:r>
            <w:r w:rsidRPr="00CD018D">
              <w:tab/>
              <w:t>4</w:t>
            </w:r>
          </w:hyperlink>
        </w:p>
        <w:p w14:paraId="31C8C3A0" w14:textId="77777777" w:rsidR="005F3F7F" w:rsidRPr="00CD018D" w:rsidRDefault="005F3F7F">
          <w:pPr>
            <w:pBdr>
              <w:top w:val="nil"/>
              <w:left w:val="nil"/>
              <w:bottom w:val="nil"/>
              <w:right w:val="nil"/>
              <w:between w:val="nil"/>
            </w:pBdr>
            <w:tabs>
              <w:tab w:val="right" w:leader="dot" w:pos="9019"/>
            </w:tabs>
            <w:spacing w:after="100"/>
            <w:ind w:left="220"/>
          </w:pPr>
          <w:hyperlink w:anchor="_heading=h.5tpftbn3do1d">
            <w:r w:rsidRPr="00CD018D">
              <w:t>Global policies and initiatives</w:t>
            </w:r>
            <w:r w:rsidRPr="00CD018D">
              <w:tab/>
              <w:t>4</w:t>
            </w:r>
          </w:hyperlink>
        </w:p>
        <w:p w14:paraId="7E0598D4" w14:textId="77777777" w:rsidR="005F3F7F" w:rsidRPr="00CD018D" w:rsidRDefault="005F3F7F">
          <w:pPr>
            <w:pBdr>
              <w:top w:val="nil"/>
              <w:left w:val="nil"/>
              <w:bottom w:val="nil"/>
              <w:right w:val="nil"/>
              <w:between w:val="nil"/>
            </w:pBdr>
            <w:tabs>
              <w:tab w:val="right" w:leader="dot" w:pos="9019"/>
            </w:tabs>
            <w:spacing w:after="100"/>
            <w:ind w:left="220"/>
          </w:pPr>
          <w:hyperlink w:anchor="_heading=h.3kq2goa0nbli">
            <w:r w:rsidRPr="00CD018D">
              <w:t>National and local policies and initiatives</w:t>
            </w:r>
            <w:r w:rsidRPr="00CD018D">
              <w:tab/>
              <w:t>5</w:t>
            </w:r>
          </w:hyperlink>
        </w:p>
        <w:p w14:paraId="37C4F6B3" w14:textId="77777777" w:rsidR="005F3F7F" w:rsidRPr="00CD018D" w:rsidRDefault="005F3F7F">
          <w:pPr>
            <w:pBdr>
              <w:top w:val="nil"/>
              <w:left w:val="nil"/>
              <w:bottom w:val="nil"/>
              <w:right w:val="nil"/>
              <w:between w:val="nil"/>
            </w:pBdr>
            <w:tabs>
              <w:tab w:val="right" w:leader="dot" w:pos="9019"/>
            </w:tabs>
            <w:spacing w:after="100"/>
            <w:ind w:left="220"/>
          </w:pPr>
          <w:hyperlink w:anchor="_heading=h.m34ndmfg8u53">
            <w:r w:rsidRPr="00CD018D">
              <w:t>Critical Evaluation</w:t>
            </w:r>
            <w:r w:rsidRPr="00CD018D">
              <w:tab/>
              <w:t>7</w:t>
            </w:r>
          </w:hyperlink>
        </w:p>
        <w:p w14:paraId="1A390A45" w14:textId="77777777" w:rsidR="005F3F7F" w:rsidRPr="00CD018D" w:rsidRDefault="005F3F7F">
          <w:pPr>
            <w:pBdr>
              <w:top w:val="nil"/>
              <w:left w:val="nil"/>
              <w:bottom w:val="nil"/>
              <w:right w:val="nil"/>
              <w:between w:val="nil"/>
            </w:pBdr>
            <w:tabs>
              <w:tab w:val="right" w:leader="dot" w:pos="9019"/>
            </w:tabs>
            <w:spacing w:after="100"/>
            <w:ind w:left="220"/>
          </w:pPr>
          <w:hyperlink w:anchor="_heading=h.tkycs3v826um">
            <w:r w:rsidRPr="00CD018D">
              <w:t>Recommendations</w:t>
            </w:r>
            <w:r w:rsidRPr="00CD018D">
              <w:tab/>
              <w:t>7</w:t>
            </w:r>
          </w:hyperlink>
        </w:p>
        <w:p w14:paraId="194BB95C" w14:textId="77777777" w:rsidR="005F3F7F" w:rsidRPr="00CD018D" w:rsidRDefault="005F3F7F">
          <w:pPr>
            <w:pBdr>
              <w:top w:val="nil"/>
              <w:left w:val="nil"/>
              <w:bottom w:val="nil"/>
              <w:right w:val="nil"/>
              <w:between w:val="nil"/>
            </w:pBdr>
            <w:tabs>
              <w:tab w:val="right" w:leader="dot" w:pos="9019"/>
            </w:tabs>
            <w:spacing w:after="100"/>
          </w:pPr>
          <w:hyperlink w:anchor="_heading=h.md0fdthb5y62">
            <w:r w:rsidRPr="00CD018D">
              <w:t>Section 2: SDG 6: Clean Water and Sanitation</w:t>
            </w:r>
            <w:r w:rsidRPr="00CD018D">
              <w:tab/>
              <w:t>8</w:t>
            </w:r>
          </w:hyperlink>
        </w:p>
        <w:p w14:paraId="0912AC0F" w14:textId="77777777" w:rsidR="005F3F7F" w:rsidRPr="00CD018D" w:rsidRDefault="005F3F7F">
          <w:pPr>
            <w:pBdr>
              <w:top w:val="nil"/>
              <w:left w:val="nil"/>
              <w:bottom w:val="nil"/>
              <w:right w:val="nil"/>
              <w:between w:val="nil"/>
            </w:pBdr>
            <w:tabs>
              <w:tab w:val="right" w:leader="dot" w:pos="9019"/>
            </w:tabs>
            <w:spacing w:after="100"/>
            <w:ind w:left="220"/>
          </w:pPr>
          <w:hyperlink w:anchor="_heading=h.lqmv4mdivhgt">
            <w:r w:rsidRPr="00CD018D">
              <w:t>Overview of SDG 6</w:t>
            </w:r>
            <w:r w:rsidRPr="00CD018D">
              <w:tab/>
              <w:t>8</w:t>
            </w:r>
          </w:hyperlink>
        </w:p>
        <w:p w14:paraId="2C5F6051" w14:textId="77777777" w:rsidR="005F3F7F" w:rsidRPr="00CD018D" w:rsidRDefault="005F3F7F">
          <w:pPr>
            <w:pBdr>
              <w:top w:val="nil"/>
              <w:left w:val="nil"/>
              <w:bottom w:val="nil"/>
              <w:right w:val="nil"/>
              <w:between w:val="nil"/>
            </w:pBdr>
            <w:tabs>
              <w:tab w:val="right" w:leader="dot" w:pos="9019"/>
            </w:tabs>
            <w:spacing w:after="100"/>
            <w:ind w:left="220"/>
          </w:pPr>
          <w:hyperlink w:anchor="_heading=h.7owlzplf7n4g">
            <w:r w:rsidRPr="00CD018D">
              <w:t>Global policies and initiatives</w:t>
            </w:r>
            <w:r w:rsidRPr="00CD018D">
              <w:tab/>
              <w:t>8</w:t>
            </w:r>
          </w:hyperlink>
        </w:p>
        <w:p w14:paraId="61FEC4FC" w14:textId="77777777" w:rsidR="005F3F7F" w:rsidRPr="00CD018D" w:rsidRDefault="005F3F7F">
          <w:pPr>
            <w:pBdr>
              <w:top w:val="nil"/>
              <w:left w:val="nil"/>
              <w:bottom w:val="nil"/>
              <w:right w:val="nil"/>
              <w:between w:val="nil"/>
            </w:pBdr>
            <w:tabs>
              <w:tab w:val="right" w:leader="dot" w:pos="9019"/>
            </w:tabs>
            <w:spacing w:after="100"/>
            <w:ind w:left="220"/>
          </w:pPr>
          <w:hyperlink w:anchor="_heading=h.113v8qkfazkg">
            <w:r w:rsidRPr="00CD018D">
              <w:t>National and local policies and initiatives</w:t>
            </w:r>
            <w:r w:rsidRPr="00CD018D">
              <w:tab/>
              <w:t>9</w:t>
            </w:r>
          </w:hyperlink>
        </w:p>
        <w:p w14:paraId="05D7F548" w14:textId="77777777" w:rsidR="005F3F7F" w:rsidRPr="00CD018D" w:rsidRDefault="005F3F7F">
          <w:pPr>
            <w:pBdr>
              <w:top w:val="nil"/>
              <w:left w:val="nil"/>
              <w:bottom w:val="nil"/>
              <w:right w:val="nil"/>
              <w:between w:val="nil"/>
            </w:pBdr>
            <w:tabs>
              <w:tab w:val="right" w:leader="dot" w:pos="9019"/>
            </w:tabs>
            <w:spacing w:after="100"/>
            <w:ind w:left="220"/>
          </w:pPr>
          <w:hyperlink w:anchor="_heading=h.93x1047ysg1m">
            <w:r w:rsidRPr="00CD018D">
              <w:t>Critical Evaluation</w:t>
            </w:r>
            <w:r w:rsidRPr="00CD018D">
              <w:tab/>
              <w:t>10</w:t>
            </w:r>
          </w:hyperlink>
        </w:p>
        <w:p w14:paraId="48E976B0" w14:textId="77777777" w:rsidR="005F3F7F" w:rsidRPr="00CD018D" w:rsidRDefault="005F3F7F">
          <w:pPr>
            <w:pBdr>
              <w:top w:val="nil"/>
              <w:left w:val="nil"/>
              <w:bottom w:val="nil"/>
              <w:right w:val="nil"/>
              <w:between w:val="nil"/>
            </w:pBdr>
            <w:tabs>
              <w:tab w:val="right" w:leader="dot" w:pos="9019"/>
            </w:tabs>
            <w:spacing w:after="100"/>
            <w:ind w:left="220"/>
          </w:pPr>
          <w:hyperlink w:anchor="_heading=h.i8f0aatkfwg1">
            <w:r w:rsidRPr="00CD018D">
              <w:t>Recommendations</w:t>
            </w:r>
            <w:r w:rsidRPr="00CD018D">
              <w:tab/>
              <w:t>10</w:t>
            </w:r>
          </w:hyperlink>
        </w:p>
        <w:p w14:paraId="3F7B2C3B" w14:textId="77777777" w:rsidR="005F3F7F" w:rsidRPr="00CD018D" w:rsidRDefault="005F3F7F">
          <w:pPr>
            <w:pBdr>
              <w:top w:val="nil"/>
              <w:left w:val="nil"/>
              <w:bottom w:val="nil"/>
              <w:right w:val="nil"/>
              <w:between w:val="nil"/>
            </w:pBdr>
            <w:tabs>
              <w:tab w:val="right" w:leader="dot" w:pos="9019"/>
            </w:tabs>
            <w:spacing w:after="100"/>
          </w:pPr>
          <w:hyperlink w:anchor="_heading=h.hnwxu17pve93">
            <w:r w:rsidRPr="00CD018D">
              <w:t>Conclusion</w:t>
            </w:r>
            <w:r w:rsidRPr="00CD018D">
              <w:tab/>
              <w:t>11</w:t>
            </w:r>
          </w:hyperlink>
        </w:p>
        <w:p w14:paraId="735CBBA8" w14:textId="77777777" w:rsidR="005F3F7F" w:rsidRPr="00CD018D" w:rsidRDefault="005F3F7F">
          <w:pPr>
            <w:pBdr>
              <w:top w:val="nil"/>
              <w:left w:val="nil"/>
              <w:bottom w:val="nil"/>
              <w:right w:val="nil"/>
              <w:between w:val="nil"/>
            </w:pBdr>
            <w:tabs>
              <w:tab w:val="right" w:leader="dot" w:pos="9019"/>
            </w:tabs>
            <w:spacing w:after="100"/>
          </w:pPr>
          <w:hyperlink w:anchor="_heading=h.j3tdp4gt9wyv">
            <w:r w:rsidRPr="00CD018D">
              <w:t>References</w:t>
            </w:r>
            <w:r w:rsidRPr="00CD018D">
              <w:tab/>
              <w:t>12</w:t>
            </w:r>
          </w:hyperlink>
        </w:p>
        <w:p w14:paraId="47980F45" w14:textId="77777777" w:rsidR="005F3F7F" w:rsidRPr="00CD018D" w:rsidRDefault="006B1BC6">
          <w:r w:rsidRPr="00CD018D">
            <w:fldChar w:fldCharType="end"/>
          </w:r>
        </w:p>
      </w:sdtContent>
    </w:sdt>
    <w:p w14:paraId="2F8EB1FE" w14:textId="77777777" w:rsidR="005F3F7F" w:rsidRPr="00CD018D" w:rsidRDefault="005F3F7F"/>
    <w:p w14:paraId="104F34A5" w14:textId="77777777" w:rsidR="005F3F7F" w:rsidRPr="00CD018D" w:rsidRDefault="005F3F7F"/>
    <w:p w14:paraId="49A34979" w14:textId="77777777" w:rsidR="005F3F7F" w:rsidRPr="00CD018D" w:rsidRDefault="005F3F7F"/>
    <w:p w14:paraId="18469541" w14:textId="77777777" w:rsidR="005F3F7F" w:rsidRPr="00CD018D" w:rsidRDefault="005F3F7F"/>
    <w:p w14:paraId="66D8A079" w14:textId="77777777" w:rsidR="005F3F7F" w:rsidRPr="00CD018D" w:rsidRDefault="006B1BC6">
      <w:r w:rsidRPr="00CD018D">
        <w:br w:type="page"/>
      </w:r>
    </w:p>
    <w:p w14:paraId="1F913533" w14:textId="77777777" w:rsidR="005F3F7F" w:rsidRPr="00CD018D" w:rsidRDefault="006B1BC6">
      <w:pPr>
        <w:pStyle w:val="Titlu1"/>
      </w:pPr>
      <w:bookmarkStart w:id="0" w:name="_heading=h.o7ppbe7h4jdu" w:colFirst="0" w:colLast="0"/>
      <w:bookmarkEnd w:id="0"/>
      <w:r w:rsidRPr="00CD018D">
        <w:lastRenderedPageBreak/>
        <w:t xml:space="preserve">Introduction </w:t>
      </w:r>
    </w:p>
    <w:p w14:paraId="20B2A6F1" w14:textId="77777777" w:rsidR="005F3F7F" w:rsidRPr="00CD018D" w:rsidRDefault="006B1BC6">
      <w:r w:rsidRPr="00CD018D">
        <w:t xml:space="preserve">The importance of health, wellbeing and sustainable development are interconnected with SDG 3 which is the central pillar to promote wellbeing and healthy lives. In 2030, all member states of the United Nations adopted the Agenda for Sustainable Development, a global call to action comprising 17 Sustainable Development Goals (SDGs) to address the most urgent global issues. The </w:t>
      </w:r>
      <w:r w:rsidRPr="00CD018D">
        <w:rPr>
          <w:b/>
          <w:bCs/>
        </w:rPr>
        <w:t>SDG 3</w:t>
      </w:r>
      <w:r w:rsidRPr="00CD018D">
        <w:t xml:space="preserve"> (Good Health and Wellbeing) and </w:t>
      </w:r>
      <w:r w:rsidRPr="00CD018D">
        <w:rPr>
          <w:b/>
          <w:bCs/>
        </w:rPr>
        <w:t>SDG 6</w:t>
      </w:r>
      <w:r w:rsidRPr="00CD018D">
        <w:t xml:space="preserve"> (Clean Water and Sanitation) are crucial as well as interlinked components for building sustainable development (United Nations, 2026). These are directly interconnected, including those in which insufficient access to clean water and sanitation has a direct negative impact on the health of the population, disease burden. This has unsustainably strained the health systems of all countries. 844 million people lack the basic drinking water source and 2.3 billion do </w:t>
      </w:r>
      <w:r w:rsidRPr="00CD018D">
        <w:t xml:space="preserve">not have access to basic sanitation facilities (UNICEF, 2025).  At the same time, universal health coverage has never been achieved, and at least half of the world’s population cannot afford the necessary health services. The </w:t>
      </w:r>
      <w:r w:rsidRPr="00CD018D">
        <w:rPr>
          <w:b/>
          <w:bCs/>
          <w:i/>
          <w:iCs/>
        </w:rPr>
        <w:t xml:space="preserve">aim </w:t>
      </w:r>
      <w:r w:rsidRPr="00CD018D">
        <w:t>of this report is to focus on existing policies and initiatives on health, well-being and sustainability at the global, national, and local levels, with reference to SDG 3 and SDG 6. This report shows that SDG 3 can be advanced through the attainment of SDG 6 targets.</w:t>
      </w:r>
    </w:p>
    <w:p w14:paraId="00BB34FC" w14:textId="77777777" w:rsidR="005F3F7F" w:rsidRPr="00CD018D" w:rsidRDefault="006B1BC6">
      <w:pPr>
        <w:jc w:val="center"/>
      </w:pPr>
      <w:r w:rsidRPr="00CD018D">
        <w:t xml:space="preserve"> </w:t>
      </w:r>
      <w:r w:rsidRPr="00CD018D">
        <w:rPr>
          <w:noProof/>
        </w:rPr>
        <w:drawing>
          <wp:inline distT="114300" distB="114300" distL="114300" distR="114300" wp14:anchorId="5086C24F" wp14:editId="5CD92511">
            <wp:extent cx="2091815" cy="2091815"/>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091815" cy="2091815"/>
                    </a:xfrm>
                    <a:prstGeom prst="rect">
                      <a:avLst/>
                    </a:prstGeom>
                    <a:ln/>
                  </pic:spPr>
                </pic:pic>
              </a:graphicData>
            </a:graphic>
          </wp:inline>
        </w:drawing>
      </w:r>
    </w:p>
    <w:p w14:paraId="28EC5B53" w14:textId="77777777" w:rsidR="005F3F7F" w:rsidRPr="00CD018D" w:rsidRDefault="006B1BC6">
      <w:pPr>
        <w:jc w:val="center"/>
        <w:rPr>
          <w:b/>
          <w:bCs/>
        </w:rPr>
      </w:pPr>
      <w:r w:rsidRPr="00CD018D">
        <w:rPr>
          <w:b/>
          <w:bCs/>
        </w:rPr>
        <w:t>Figure 1: SDG 3</w:t>
      </w:r>
    </w:p>
    <w:p w14:paraId="0E784657" w14:textId="77777777" w:rsidR="005F3F7F" w:rsidRPr="00CD018D" w:rsidRDefault="006B1BC6">
      <w:pPr>
        <w:jc w:val="center"/>
      </w:pPr>
      <w:r w:rsidRPr="00CD018D">
        <w:t xml:space="preserve">Source: (The Global Goals, 2025)  </w:t>
      </w:r>
    </w:p>
    <w:p w14:paraId="372F25A6" w14:textId="77777777" w:rsidR="005F3F7F" w:rsidRPr="00CD018D" w:rsidRDefault="006B1BC6">
      <w:pPr>
        <w:jc w:val="center"/>
      </w:pPr>
      <w:r w:rsidRPr="00CD018D">
        <w:rPr>
          <w:noProof/>
        </w:rPr>
        <w:lastRenderedPageBreak/>
        <w:drawing>
          <wp:inline distT="114300" distB="114300" distL="114300" distR="114300" wp14:anchorId="116FEB40" wp14:editId="0DA0A336">
            <wp:extent cx="2079418" cy="2071688"/>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79418" cy="2071688"/>
                    </a:xfrm>
                    <a:prstGeom prst="rect">
                      <a:avLst/>
                    </a:prstGeom>
                    <a:ln/>
                  </pic:spPr>
                </pic:pic>
              </a:graphicData>
            </a:graphic>
          </wp:inline>
        </w:drawing>
      </w:r>
    </w:p>
    <w:p w14:paraId="26C42FAE" w14:textId="77777777" w:rsidR="005F3F7F" w:rsidRPr="00CD018D" w:rsidRDefault="006B1BC6">
      <w:pPr>
        <w:jc w:val="center"/>
        <w:rPr>
          <w:b/>
          <w:bCs/>
        </w:rPr>
      </w:pPr>
      <w:r w:rsidRPr="00CD018D">
        <w:rPr>
          <w:b/>
          <w:bCs/>
        </w:rPr>
        <w:t>Figure 2: SDG 6</w:t>
      </w:r>
    </w:p>
    <w:p w14:paraId="4F65E440" w14:textId="77777777" w:rsidR="005F3F7F" w:rsidRPr="00CD018D" w:rsidRDefault="006B1BC6">
      <w:pPr>
        <w:jc w:val="center"/>
      </w:pPr>
      <w:r w:rsidRPr="00CD018D">
        <w:t xml:space="preserve">Source: (United Nations, 2025)  </w:t>
      </w:r>
    </w:p>
    <w:p w14:paraId="12F25461" w14:textId="77777777" w:rsidR="005F3F7F" w:rsidRPr="00CD018D" w:rsidRDefault="006B1BC6">
      <w:pPr>
        <w:pStyle w:val="Titlu1"/>
      </w:pPr>
      <w:bookmarkStart w:id="1" w:name="_heading=h.qb25syviskef" w:colFirst="0" w:colLast="0"/>
      <w:bookmarkEnd w:id="1"/>
      <w:r w:rsidRPr="00CD018D">
        <w:t xml:space="preserve">Section 1: SDG 3: Good Health and Wellbeing </w:t>
      </w:r>
    </w:p>
    <w:p w14:paraId="759BBAA4" w14:textId="77777777" w:rsidR="005F3F7F" w:rsidRPr="00CD018D" w:rsidRDefault="006B1BC6">
      <w:pPr>
        <w:pStyle w:val="Titlu2"/>
      </w:pPr>
      <w:bookmarkStart w:id="2" w:name="_heading=h.9zs744w91znb" w:colFirst="0" w:colLast="0"/>
      <w:bookmarkEnd w:id="2"/>
      <w:r w:rsidRPr="00CD018D">
        <w:t>Overview of SDG 3</w:t>
      </w:r>
    </w:p>
    <w:p w14:paraId="725428A0" w14:textId="77777777" w:rsidR="005F3F7F" w:rsidRPr="00CD018D" w:rsidRDefault="006B1BC6">
      <w:r w:rsidRPr="00CD018D">
        <w:t xml:space="preserve">SDG 3 aims to ensure healthy lives and well-being for all people at all ages. This goal encompasses SDG 13 goals related to maternal and child mortality, communicable and non-communicable diseases (NCDs), mental health, universal health coverage (UHC), and access to medicines and vaccines. Although a positive change in the situation is also measurable, the world is far away from attaining SDG 3 by 2030, with disparities among and within countries growing after the COVID-19 pandemic situation (Shuai </w:t>
      </w:r>
      <w:r w:rsidRPr="00CD018D">
        <w:rPr>
          <w:i/>
          <w:iCs/>
        </w:rPr>
        <w:t xml:space="preserve">et al., </w:t>
      </w:r>
      <w:r w:rsidRPr="00CD018D">
        <w:t xml:space="preserve">2024). This gives worrisome impact to meet the specific targets and goals of SDG. </w:t>
      </w:r>
    </w:p>
    <w:p w14:paraId="21A7767E" w14:textId="77777777" w:rsidR="005F3F7F" w:rsidRPr="00CD018D" w:rsidRDefault="006B1BC6">
      <w:pPr>
        <w:pStyle w:val="Titlu2"/>
      </w:pPr>
      <w:bookmarkStart w:id="3" w:name="_heading=h.5tpftbn3do1d" w:colFirst="0" w:colLast="0"/>
      <w:bookmarkEnd w:id="3"/>
      <w:r w:rsidRPr="00CD018D">
        <w:t>Global policies and initiatives</w:t>
      </w:r>
    </w:p>
    <w:p w14:paraId="307976B2" w14:textId="77777777" w:rsidR="005F3F7F" w:rsidRPr="00CD018D" w:rsidRDefault="006B1BC6">
      <w:r w:rsidRPr="00CD018D">
        <w:t>On the global scale, the role of primary care in primary health care (PHC) within the universal health coverage (UHC) framework was reaffirmed. This also highlighted that effective community-based health systems are the key to reaching marginalised groups (Rai, Khatri and Assefa, 2024). Although the declaration was a major political commitment, it has not been consistently adhered to. Even though low-income nations are signatories to the declaration, they still experience severe shortages of health workers.</w:t>
      </w:r>
      <w:r w:rsidRPr="00CD018D">
        <w:t xml:space="preserve"> The global shortage of health workforce will reach 11 million by 2030, with the majority in low and lower-middle income countries (World Health Organization, 2024) This underscores a general disagreement between policy ambition on the global scale and structural facts of under-financed health systems. The WHO Global Action Plan of Healthy Lives and Well-being involving 13 </w:t>
      </w:r>
      <w:r w:rsidRPr="00CD018D">
        <w:lastRenderedPageBreak/>
        <w:t>multilateral agencies, aimed to accelerate the implementation of SDG 3 GAP by acting jointly (World Health Organization, 2024). This GAP</w:t>
      </w:r>
      <w:r w:rsidRPr="00CD018D">
        <w:t xml:space="preserve"> framework acknowledges significant investments and efforts through SDG 3 and remains committed to closer collaboration of supporting countries to achieve the SDGs. The Covid-19 pandemic demonstrated the weakness of these international commitments, undoing decades of gains in covering the vaccines, maternal health services, and treatment of tuberculosis (World Health Organization, 2021). These massive disruptions occurred particularly in the low and middle-income countries.</w:t>
      </w:r>
    </w:p>
    <w:p w14:paraId="3ECB69F9" w14:textId="77777777" w:rsidR="005F3F7F" w:rsidRPr="00CD018D" w:rsidRDefault="006B1BC6">
      <w:pPr>
        <w:jc w:val="center"/>
      </w:pPr>
      <w:r w:rsidRPr="00CD018D">
        <w:rPr>
          <w:noProof/>
        </w:rPr>
        <w:drawing>
          <wp:inline distT="114300" distB="114300" distL="114300" distR="114300" wp14:anchorId="66A2017E" wp14:editId="7020256C">
            <wp:extent cx="3439950" cy="3086602"/>
            <wp:effectExtent l="12700" t="12700" r="12700" b="127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439950" cy="3086602"/>
                    </a:xfrm>
                    <a:prstGeom prst="rect">
                      <a:avLst/>
                    </a:prstGeom>
                    <a:ln w="12700">
                      <a:solidFill>
                        <a:srgbClr val="000000"/>
                      </a:solidFill>
                      <a:prstDash val="solid"/>
                    </a:ln>
                  </pic:spPr>
                </pic:pic>
              </a:graphicData>
            </a:graphic>
          </wp:inline>
        </w:drawing>
      </w:r>
      <w:r w:rsidRPr="00CD018D">
        <w:t xml:space="preserve">  </w:t>
      </w:r>
    </w:p>
    <w:p w14:paraId="1CAD5119" w14:textId="77777777" w:rsidR="005F3F7F" w:rsidRPr="00CD018D" w:rsidRDefault="006B1BC6">
      <w:pPr>
        <w:jc w:val="center"/>
        <w:rPr>
          <w:b/>
          <w:bCs/>
        </w:rPr>
      </w:pPr>
      <w:r w:rsidRPr="00CD018D">
        <w:rPr>
          <w:b/>
          <w:bCs/>
        </w:rPr>
        <w:t xml:space="preserve">Figure 3: Design and implementation of PHC </w:t>
      </w:r>
    </w:p>
    <w:p w14:paraId="400CE52D" w14:textId="77777777" w:rsidR="005F3F7F" w:rsidRPr="00CD018D" w:rsidRDefault="006B1BC6">
      <w:pPr>
        <w:jc w:val="center"/>
      </w:pPr>
      <w:r w:rsidRPr="00CD018D">
        <w:t xml:space="preserve">Source: (Spasenoska </w:t>
      </w:r>
      <w:r w:rsidRPr="00CD018D">
        <w:rPr>
          <w:i/>
          <w:iCs/>
        </w:rPr>
        <w:t xml:space="preserve">et al., </w:t>
      </w:r>
      <w:r w:rsidRPr="00CD018D">
        <w:t xml:space="preserve">2024) </w:t>
      </w:r>
    </w:p>
    <w:p w14:paraId="49C0D8EC" w14:textId="77777777" w:rsidR="005F3F7F" w:rsidRPr="00CD018D" w:rsidRDefault="006B1BC6">
      <w:pPr>
        <w:pStyle w:val="Titlu2"/>
      </w:pPr>
      <w:bookmarkStart w:id="4" w:name="_heading=h.3kq2goa0nbli" w:colFirst="0" w:colLast="0"/>
      <w:bookmarkEnd w:id="4"/>
      <w:r w:rsidRPr="00CD018D">
        <w:t>National and local policies and initiatives</w:t>
      </w:r>
    </w:p>
    <w:p w14:paraId="064EACF4" w14:textId="77777777" w:rsidR="005F3F7F" w:rsidRPr="00CD018D" w:rsidRDefault="006B1BC6">
      <w:r w:rsidRPr="00CD018D">
        <w:t xml:space="preserve">The NHS Long Term Plan (2019) of the UK is a detailed policy framework at the national level. This plan is allocating a £20.5bn annual budget with an emphasis on early cancer detection, increased mental health services, and decreased health disparities (Alderwick and Dixon, 2019). It is also worth noting that the plan brought in the notion of Personalised Care, which incorporated self-management support and social prescribing into primary care. This approach is associated with Social Cognitive Theory. This </w:t>
      </w:r>
      <w:r w:rsidRPr="00CD018D">
        <w:t xml:space="preserve">theory states that self-efficacy, observational learning and environmental reinforcement promote behaviour change (Firmansyah and Saepuloh, 2022). The NHS aimed at taking the initiative to preventative care rather than reactive care by enabling the patients to control their long-term conditions. The </w:t>
      </w:r>
      <w:r w:rsidRPr="00CD018D">
        <w:lastRenderedPageBreak/>
        <w:t>Health Foundation found that, rather than the 2019 increase in health inequalities between the most and least deprived regions of England being reduced (Watt, Raymond and Rachet-Jacquet, 2023). These inequalitie</w:t>
      </w:r>
      <w:r w:rsidRPr="00CD018D">
        <w:t xml:space="preserve">s have become even greater, with life expectancy differences between the richest and the poorest communities remaining about 10 years wide. The number of NHS waiting lists reached a record 7.7 million in 2023, contradicting the plan's main goals (Baker, 2024). This implies that funding increments are not sufficient in isolation without structural reforms aimed at addressing the social determinants of health. </w:t>
      </w:r>
    </w:p>
    <w:p w14:paraId="134DD09B" w14:textId="77777777" w:rsidR="005F3F7F" w:rsidRPr="00CD018D" w:rsidRDefault="006B1BC6">
      <w:pPr>
        <w:jc w:val="center"/>
      </w:pPr>
      <w:r w:rsidRPr="00CD018D">
        <w:rPr>
          <w:noProof/>
        </w:rPr>
        <w:drawing>
          <wp:inline distT="114300" distB="114300" distL="114300" distR="114300" wp14:anchorId="1C489A98" wp14:editId="285F8486">
            <wp:extent cx="4567238" cy="2086363"/>
            <wp:effectExtent l="12700" t="12700" r="12700" b="127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67238" cy="2086363"/>
                    </a:xfrm>
                    <a:prstGeom prst="rect">
                      <a:avLst/>
                    </a:prstGeom>
                    <a:ln w="12700">
                      <a:solidFill>
                        <a:srgbClr val="000000"/>
                      </a:solidFill>
                      <a:prstDash val="solid"/>
                    </a:ln>
                  </pic:spPr>
                </pic:pic>
              </a:graphicData>
            </a:graphic>
          </wp:inline>
        </w:drawing>
      </w:r>
      <w:r w:rsidRPr="00CD018D">
        <w:t xml:space="preserve">   </w:t>
      </w:r>
    </w:p>
    <w:p w14:paraId="2B48741F" w14:textId="77777777" w:rsidR="005F3F7F" w:rsidRPr="00CD018D" w:rsidRDefault="006B1BC6">
      <w:pPr>
        <w:jc w:val="center"/>
        <w:rPr>
          <w:b/>
          <w:bCs/>
        </w:rPr>
      </w:pPr>
      <w:r w:rsidRPr="00CD018D">
        <w:rPr>
          <w:b/>
          <w:bCs/>
        </w:rPr>
        <w:t xml:space="preserve">Figure 4: Waiting list for hospital treatment, UK </w:t>
      </w:r>
    </w:p>
    <w:p w14:paraId="159B8A61" w14:textId="77777777" w:rsidR="005F3F7F" w:rsidRPr="00CD018D" w:rsidRDefault="006B1BC6">
      <w:pPr>
        <w:jc w:val="center"/>
      </w:pPr>
      <w:r w:rsidRPr="00CD018D">
        <w:t xml:space="preserve">Source: (Baker, 2024)  </w:t>
      </w:r>
    </w:p>
    <w:p w14:paraId="0B1858CC" w14:textId="77777777" w:rsidR="005F3F7F" w:rsidRPr="00CD018D" w:rsidRDefault="006B1BC6">
      <w:r w:rsidRPr="00CD018D">
        <w:t>On the local level, the Marmot City initiative has been adopted by such cities as Coventry and Newcastle. These realises the outcomes of the recommendations of the Marmot Review by incorporating the health equity principles into the local governance, urban planning, and public services (Newcastle City Council, 2025). Marmot City leads to cross-sector partnership between the local government, NHS and the voluntary sector as per the Fair Society, Healthy Lives report (Marmot, 2010). This aimed at addressing t</w:t>
      </w:r>
      <w:r w:rsidRPr="00CD018D">
        <w:t>he social determinants of health, such as housing, employment and education (Munro, 2020). However, outcome data have not been rigorous enough, an issue of greater magnitude in measuring complex local interventions.</w:t>
      </w:r>
    </w:p>
    <w:p w14:paraId="40134E5F" w14:textId="77777777" w:rsidR="005F3F7F" w:rsidRPr="00CD018D" w:rsidRDefault="006B1BC6">
      <w:pPr>
        <w:jc w:val="center"/>
      </w:pPr>
      <w:r w:rsidRPr="00CD018D">
        <w:rPr>
          <w:noProof/>
        </w:rPr>
        <w:drawing>
          <wp:inline distT="114300" distB="114300" distL="114300" distR="114300" wp14:anchorId="736BD135" wp14:editId="0A45D7DE">
            <wp:extent cx="5731200" cy="3937000"/>
            <wp:effectExtent l="12700" t="12700" r="12700" b="127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937000"/>
                    </a:xfrm>
                    <a:prstGeom prst="rect">
                      <a:avLst/>
                    </a:prstGeom>
                    <a:ln w="12700">
                      <a:solidFill>
                        <a:srgbClr val="000000"/>
                      </a:solidFill>
                      <a:prstDash val="solid"/>
                    </a:ln>
                  </pic:spPr>
                </pic:pic>
              </a:graphicData>
            </a:graphic>
          </wp:inline>
        </w:drawing>
      </w:r>
      <w:r w:rsidRPr="00CD018D">
        <w:t xml:space="preserve">   </w:t>
      </w:r>
    </w:p>
    <w:p w14:paraId="3FB25832" w14:textId="77777777" w:rsidR="005F3F7F" w:rsidRPr="00CD018D" w:rsidRDefault="006B1BC6">
      <w:pPr>
        <w:jc w:val="center"/>
        <w:rPr>
          <w:b/>
          <w:bCs/>
        </w:rPr>
      </w:pPr>
      <w:r w:rsidRPr="00CD018D">
        <w:rPr>
          <w:b/>
          <w:bCs/>
        </w:rPr>
        <w:t>Figure 5: Policy Recommendation from the Marmot Review Fair Society, Healthy Lives</w:t>
      </w:r>
    </w:p>
    <w:p w14:paraId="37EE4D28" w14:textId="77777777" w:rsidR="005F3F7F" w:rsidRPr="00CD018D" w:rsidRDefault="006B1BC6">
      <w:pPr>
        <w:jc w:val="center"/>
      </w:pPr>
      <w:r w:rsidRPr="00CD018D">
        <w:t>Source: (Munro, 2020)</w:t>
      </w:r>
    </w:p>
    <w:p w14:paraId="4C12CCF3" w14:textId="77777777" w:rsidR="005F3F7F" w:rsidRPr="00CD018D" w:rsidRDefault="006B1BC6">
      <w:pPr>
        <w:pStyle w:val="Titlu2"/>
      </w:pPr>
      <w:bookmarkStart w:id="5" w:name="_heading=h.m34ndmfg8u53" w:colFirst="0" w:colLast="0"/>
      <w:bookmarkEnd w:id="5"/>
      <w:r w:rsidRPr="00CD018D">
        <w:t xml:space="preserve">Critical Evaluation </w:t>
      </w:r>
    </w:p>
    <w:p w14:paraId="084D62D1" w14:textId="77777777" w:rsidR="005F3F7F" w:rsidRPr="00CD018D" w:rsidRDefault="006B1BC6">
      <w:r w:rsidRPr="00CD018D">
        <w:t xml:space="preserve">The Health Belief Model (HBM) is useful to evaluate the SDG 3 policies. The Health Belief Model suggests that when people perceive a great threat and that the prescribed action can work, they are more likely to adopt health-protective behaviours, even when perceived barriers are minimal (Alyafei and Easton-Carr, 2024). With national vaccination initiatives like Covid-19 pandemic, the threat perception has been shown to be an effective way to influence initial uptake (Phillips </w:t>
      </w:r>
      <w:r w:rsidRPr="00CD018D">
        <w:rPr>
          <w:i/>
          <w:iCs/>
        </w:rPr>
        <w:t xml:space="preserve">et al., </w:t>
      </w:r>
      <w:r w:rsidRPr="00CD018D">
        <w:t xml:space="preserve">2022). However, population-wide immunity was ultimately jeopardised by persistent vaccine hesitancy (Leonardelli </w:t>
      </w:r>
      <w:r w:rsidRPr="00CD018D">
        <w:rPr>
          <w:i/>
          <w:iCs/>
        </w:rPr>
        <w:t xml:space="preserve">et al., </w:t>
      </w:r>
      <w:r w:rsidRPr="00CD018D">
        <w:t xml:space="preserve">2023). This highlights the restrictiveness of supply-side health policies, which do not account for behavioural and psychosocial determinants.     </w:t>
      </w:r>
    </w:p>
    <w:p w14:paraId="1BD4ABEB" w14:textId="77777777" w:rsidR="005F3F7F" w:rsidRPr="00CD018D" w:rsidRDefault="006B1BC6">
      <w:pPr>
        <w:pStyle w:val="Titlu2"/>
      </w:pPr>
      <w:bookmarkStart w:id="6" w:name="_heading=h.tkycs3v826um" w:colFirst="0" w:colLast="0"/>
      <w:bookmarkEnd w:id="6"/>
      <w:r w:rsidRPr="00CD018D">
        <w:t xml:space="preserve">Recommendations </w:t>
      </w:r>
    </w:p>
    <w:p w14:paraId="48D40E7E" w14:textId="77777777" w:rsidR="005F3F7F" w:rsidRPr="00CD018D" w:rsidRDefault="006B1BC6">
      <w:r w:rsidRPr="00CD018D">
        <w:t>Integrating mental health services into primary care and eliminating parallel systems can significantly reduce hospitalisations and positively influence long-term outcomes. The UK and other high-income countries should accelerate the complete integration of mental health in the primary care pathways. This is supported by funding and a trained workforce. The international frameworks associated with SDG 3 should go beyond idealistic statements and institute binding accountability measures. This ensures that p</w:t>
      </w:r>
      <w:r w:rsidRPr="00CD018D">
        <w:t xml:space="preserve">olitical promises are translated into fair health outcomes for the neediest populations.  </w:t>
      </w:r>
    </w:p>
    <w:p w14:paraId="0A3CD37D" w14:textId="77777777" w:rsidR="005F3F7F" w:rsidRPr="00CD018D" w:rsidRDefault="006B1BC6">
      <w:pPr>
        <w:pStyle w:val="Titlu1"/>
      </w:pPr>
      <w:bookmarkStart w:id="7" w:name="_heading=h.md0fdthb5y62" w:colFirst="0" w:colLast="0"/>
      <w:bookmarkEnd w:id="7"/>
      <w:r w:rsidRPr="00CD018D">
        <w:t>Section 2: SDG 6: Clean Water and Sanitation</w:t>
      </w:r>
    </w:p>
    <w:p w14:paraId="5A8A2279" w14:textId="77777777" w:rsidR="005F3F7F" w:rsidRPr="00CD018D" w:rsidRDefault="006B1BC6">
      <w:pPr>
        <w:pStyle w:val="Titlu2"/>
      </w:pPr>
      <w:bookmarkStart w:id="8" w:name="_heading=h.lqmv4mdivhgt" w:colFirst="0" w:colLast="0"/>
      <w:bookmarkEnd w:id="8"/>
      <w:r w:rsidRPr="00CD018D">
        <w:t>Overview of SDG 6</w:t>
      </w:r>
    </w:p>
    <w:p w14:paraId="0059616A" w14:textId="77777777" w:rsidR="005F3F7F" w:rsidRPr="00CD018D" w:rsidRDefault="006B1BC6">
      <w:r w:rsidRPr="00CD018D">
        <w:t>SDG 6 aims to achieve a goal of providing availability and sustainable management of water and sanitation to all. This goal contains eight targets that include: safe drinking water, adequate sanitation and hygiene (WASH), water quality, water-use efficiency, and integrated water resource management (United Nations, 2025). Water and sanitation are necessary conditions for human health. Around 829000 deaths each year occur from diarrhoeal diseases (WHO, 2022). These are preventable through the unsafe use of w</w:t>
      </w:r>
      <w:r w:rsidRPr="00CD018D">
        <w:t xml:space="preserve">ater, lack of sanitation, and poor hygiene by affecting the vast majority of populations in low and middle-income countries. </w:t>
      </w:r>
    </w:p>
    <w:p w14:paraId="7FFAD0BB" w14:textId="77777777" w:rsidR="005F3F7F" w:rsidRPr="00CD018D" w:rsidRDefault="006B1BC6">
      <w:pPr>
        <w:pStyle w:val="Titlu2"/>
      </w:pPr>
      <w:bookmarkStart w:id="9" w:name="_heading=h.7owlzplf7n4g" w:colFirst="0" w:colLast="0"/>
      <w:bookmarkEnd w:id="9"/>
      <w:r w:rsidRPr="00CD018D">
        <w:t>Global policies and initiatives</w:t>
      </w:r>
    </w:p>
    <w:p w14:paraId="5426A319" w14:textId="77777777" w:rsidR="005F3F7F" w:rsidRPr="00CD018D" w:rsidRDefault="006B1BC6">
      <w:r w:rsidRPr="00CD018D">
        <w:t>On the global scale, there is the UN Water Action Decade created to enhance the achievement of all water-related SDGs through stronger cooperation, capacity building, and funding (United Nations, 2025). SDG 6 Global Acceleration Framework, the world will fail by far to meet SDG 6 targets by 2030. Nearly 1.8 billion individuals are expected to still be without safely managed drinking water services and half of the world’s population still lacks safely managed drinking water services (United Nations, 2022). T</w:t>
      </w:r>
      <w:r w:rsidRPr="00CD018D">
        <w:t xml:space="preserve">he greatest shortfalls have occurred in Sub-Saharan Africa where structural inequalities in infrastructure investment, governance capacity, and climate risk remain firmly embedded (Appiah, Onifade and Gyamfi, 2022). One of the major shortcomings of international initiatives like the Decade for Action is that they rely on voluntary national commitments, with no accountability mechanisms to follow. Evaristo </w:t>
      </w:r>
      <w:r w:rsidRPr="00CD018D">
        <w:rPr>
          <w:i/>
          <w:iCs/>
        </w:rPr>
        <w:t xml:space="preserve">et al. </w:t>
      </w:r>
      <w:r w:rsidRPr="00CD018D">
        <w:t>(2023) claims that global water equity will not be a feasible goal unless rich countries have bi</w:t>
      </w:r>
      <w:r w:rsidRPr="00CD018D">
        <w:t>nding budgetary commitments to provide monetary aid to developing countries. The carbon emissions associated with water scarcity by contributing 6% of UK greenhouse gas emissions (Simmons, 2025). This is one of the basic governance failures that cannot be solved by any coordinated advocacy.</w:t>
      </w:r>
    </w:p>
    <w:p w14:paraId="694BE666" w14:textId="77777777" w:rsidR="005F3F7F" w:rsidRPr="00CD018D" w:rsidRDefault="006B1BC6">
      <w:pPr>
        <w:jc w:val="center"/>
      </w:pPr>
      <w:r w:rsidRPr="00CD018D">
        <w:rPr>
          <w:noProof/>
        </w:rPr>
        <w:drawing>
          <wp:inline distT="114300" distB="114300" distL="114300" distR="114300" wp14:anchorId="34770BA2" wp14:editId="5606113A">
            <wp:extent cx="4752975" cy="19050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752975" cy="1905000"/>
                    </a:xfrm>
                    <a:prstGeom prst="rect">
                      <a:avLst/>
                    </a:prstGeom>
                    <a:ln w="12700">
                      <a:solidFill>
                        <a:srgbClr val="000000"/>
                      </a:solidFill>
                      <a:prstDash val="solid"/>
                    </a:ln>
                  </pic:spPr>
                </pic:pic>
              </a:graphicData>
            </a:graphic>
          </wp:inline>
        </w:drawing>
      </w:r>
    </w:p>
    <w:p w14:paraId="1FD2BB9C" w14:textId="77777777" w:rsidR="005F3F7F" w:rsidRPr="00CD018D" w:rsidRDefault="006B1BC6">
      <w:pPr>
        <w:jc w:val="center"/>
        <w:rPr>
          <w:b/>
          <w:bCs/>
        </w:rPr>
      </w:pPr>
      <w:r w:rsidRPr="00CD018D">
        <w:rPr>
          <w:b/>
          <w:bCs/>
        </w:rPr>
        <w:t xml:space="preserve">Figure 6: Climate change’s impact on water supply </w:t>
      </w:r>
    </w:p>
    <w:p w14:paraId="7274205E" w14:textId="77777777" w:rsidR="005F3F7F" w:rsidRPr="00CD018D" w:rsidRDefault="006B1BC6">
      <w:pPr>
        <w:jc w:val="center"/>
      </w:pPr>
      <w:r w:rsidRPr="00CD018D">
        <w:t xml:space="preserve">Source: (Rosińska </w:t>
      </w:r>
      <w:r w:rsidRPr="00CD018D">
        <w:rPr>
          <w:i/>
          <w:iCs/>
        </w:rPr>
        <w:t xml:space="preserve">et al., </w:t>
      </w:r>
      <w:r w:rsidRPr="00CD018D">
        <w:t xml:space="preserve">2024) </w:t>
      </w:r>
    </w:p>
    <w:p w14:paraId="6C0AA809" w14:textId="77777777" w:rsidR="005F3F7F" w:rsidRPr="00CD018D" w:rsidRDefault="006B1BC6">
      <w:pPr>
        <w:pStyle w:val="Titlu2"/>
      </w:pPr>
      <w:bookmarkStart w:id="10" w:name="_heading=h.113v8qkfazkg" w:colFirst="0" w:colLast="0"/>
      <w:bookmarkEnd w:id="10"/>
      <w:r w:rsidRPr="00CD018D">
        <w:t>National and local policies and initiatives</w:t>
      </w:r>
    </w:p>
    <w:p w14:paraId="116F59F7" w14:textId="77777777" w:rsidR="00065E06" w:rsidRPr="00CD018D" w:rsidRDefault="00065E06" w:rsidP="00FD1829">
      <w:r w:rsidRPr="00CD018D">
        <w:t xml:space="preserve">The United Kingdom is a developed water infrastructure nation that is high-income. Nevertheless, this is supported by the fact that there is still public and regulatory apprehension over water companies. Between 2020 and 2023, water companies in England have discharged raw sewage into rivers and coastal waters more than 300,000 times, an extremely large infrastructure and regulatory failure (Laville and Horton, 2023). It does not only pose a threat to the ecosystems but it also directly affects the health of human beings. Among the populations that use the waterways under consideration as recreational facilities, impacting the lower-income groups with low access to it. The government through the Water Industry Act and the regulatory framework of Ofwat have been largely criticized as not being that strong to promote proper incentives to comply with the environment (Ofwat, 2015). The financial fines that are imposed are minimal in comparison to company profits. The development of the SDG 6 is to take into account the compatibility of the regulatory framework and sustainability-related promises. </w:t>
      </w:r>
    </w:p>
    <w:p w14:paraId="70B352AC" w14:textId="77777777" w:rsidR="00065E06" w:rsidRPr="00CD018D" w:rsidRDefault="00065E06" w:rsidP="00FD1829">
      <w:r w:rsidRPr="00CD018D">
        <w:t>The community-led projects managed by the River Restoration Centre at the local level aim at the constant increase of the water quality and ecosystem protection, with 6.3 and 6.6 being the targets of the improvement of the local water-use management ( The River Restoration Centre , 2025). The community groups will become the targeted action, in the UK, to clean the local rivers and increase the biodiversity in this project. This community model is in line with the Social Ecological Model. This emphasises that individual, community, organisational and policy levels of focus are needed when it comes to enduring change in health behaviour (Eriksson et al., 2025). These local projects will have a direct impact of minimizing the water pollution and protecting the water resources.</w:t>
      </w:r>
    </w:p>
    <w:p w14:paraId="5F1A2493" w14:textId="2A2536C8" w:rsidR="005F3F7F" w:rsidRPr="00CD018D" w:rsidRDefault="006B1BC6" w:rsidP="00065E06">
      <w:pPr>
        <w:jc w:val="center"/>
      </w:pPr>
      <w:r w:rsidRPr="00CD018D">
        <w:rPr>
          <w:noProof/>
        </w:rPr>
        <w:drawing>
          <wp:inline distT="114300" distB="114300" distL="114300" distR="114300" wp14:anchorId="41CFD3EF" wp14:editId="5D0246F2">
            <wp:extent cx="2452301" cy="2767013"/>
            <wp:effectExtent l="12700" t="12700" r="12700" b="127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2452301" cy="2767013"/>
                    </a:xfrm>
                    <a:prstGeom prst="rect">
                      <a:avLst/>
                    </a:prstGeom>
                    <a:ln w="12700">
                      <a:solidFill>
                        <a:srgbClr val="000000"/>
                      </a:solidFill>
                      <a:prstDash val="solid"/>
                    </a:ln>
                  </pic:spPr>
                </pic:pic>
              </a:graphicData>
            </a:graphic>
          </wp:inline>
        </w:drawing>
      </w:r>
      <w:r w:rsidRPr="00CD018D">
        <w:t xml:space="preserve">  </w:t>
      </w:r>
    </w:p>
    <w:p w14:paraId="08F9FE76" w14:textId="77777777" w:rsidR="005F3F7F" w:rsidRPr="00CD018D" w:rsidRDefault="006B1BC6" w:rsidP="00FD1829">
      <w:pPr>
        <w:jc w:val="center"/>
        <w:rPr>
          <w:b/>
          <w:bCs/>
        </w:rPr>
      </w:pPr>
      <w:r w:rsidRPr="00CD018D">
        <w:rPr>
          <w:b/>
          <w:bCs/>
        </w:rPr>
        <w:t>Figure 7: River Restoration Centre’s community-led projects</w:t>
      </w:r>
    </w:p>
    <w:p w14:paraId="79A3AD49" w14:textId="77777777" w:rsidR="005F3F7F" w:rsidRPr="00CD018D" w:rsidRDefault="006B1BC6">
      <w:pPr>
        <w:jc w:val="center"/>
      </w:pPr>
      <w:r w:rsidRPr="00CD018D">
        <w:t>Source: (The River Restoration Centre, 2014)</w:t>
      </w:r>
    </w:p>
    <w:p w14:paraId="173BC11C" w14:textId="77777777" w:rsidR="005F3F7F" w:rsidRPr="00CD018D" w:rsidRDefault="006B1BC6">
      <w:pPr>
        <w:pStyle w:val="Titlu2"/>
      </w:pPr>
      <w:bookmarkStart w:id="11" w:name="_heading=h.93x1047ysg1m" w:colFirst="0" w:colLast="0"/>
      <w:bookmarkEnd w:id="11"/>
      <w:r w:rsidRPr="00CD018D">
        <w:t xml:space="preserve">Critical Evaluation </w:t>
      </w:r>
    </w:p>
    <w:p w14:paraId="6A6BFEC0" w14:textId="77777777" w:rsidR="005F3F7F" w:rsidRPr="00CD018D" w:rsidRDefault="006B1BC6">
      <w:r w:rsidRPr="00CD018D">
        <w:t xml:space="preserve">Using the Health Belief Model to SDG 6, lack of water and sanitation infrastructure leads to systemic perceived barriers to protective health behaviours including handwashing. Health promotion collections highlight the importance of handwashing hygiene becoming structurally unfeasible in places where communities lack access to clean water, revealing a paradox in the globally propagated Wash'Em behaviour change intervention (Lamb </w:t>
      </w:r>
      <w:r w:rsidRPr="00CD018D">
        <w:rPr>
          <w:i/>
          <w:iCs/>
        </w:rPr>
        <w:t xml:space="preserve">et al., </w:t>
      </w:r>
      <w:r w:rsidRPr="00CD018D">
        <w:t>2024). The responses required by policy should address structural determinants rather than individual behaviour.</w:t>
      </w:r>
    </w:p>
    <w:p w14:paraId="4C18F2B3" w14:textId="77777777" w:rsidR="005F3F7F" w:rsidRPr="00CD018D" w:rsidRDefault="006B1BC6">
      <w:pPr>
        <w:pStyle w:val="Titlu2"/>
      </w:pPr>
      <w:bookmarkStart w:id="12" w:name="_heading=h.i8f0aatkfwg1" w:colFirst="0" w:colLast="0"/>
      <w:bookmarkEnd w:id="12"/>
      <w:r w:rsidRPr="00CD018D">
        <w:t xml:space="preserve">Recommendations </w:t>
      </w:r>
    </w:p>
    <w:p w14:paraId="7423ACE4" w14:textId="77777777" w:rsidR="005F3F7F" w:rsidRPr="00CD018D" w:rsidRDefault="006B1BC6">
      <w:r w:rsidRPr="00CD018D">
        <w:t>The low and lower-middle income countries like Ethiopia where decentralised water governance, community ownership, and long-term public financing schemes produced major strides and developments in SDG 6 help to identify (Baye, 2021). This political choice and fair investment are the determining factors. The UK government should establish legal sewage discharge requirements with commensurate financial fines, and increase Official Development Assistance channelled to developing countries to build WASH facilit</w:t>
      </w:r>
      <w:r w:rsidRPr="00CD018D">
        <w:t xml:space="preserve">ies. Financing for SDG 6 worldwide needs to be redesigned to reflect the principle of common but differentiated responsibilities. </w:t>
      </w:r>
    </w:p>
    <w:p w14:paraId="17ACAE4D" w14:textId="77777777" w:rsidR="005F3F7F" w:rsidRPr="00CD018D" w:rsidRDefault="006B1BC6">
      <w:pPr>
        <w:pStyle w:val="Titlu1"/>
      </w:pPr>
      <w:bookmarkStart w:id="13" w:name="_heading=h.hnwxu17pve93" w:colFirst="0" w:colLast="0"/>
      <w:bookmarkEnd w:id="13"/>
      <w:r w:rsidRPr="00CD018D">
        <w:t xml:space="preserve">Conclusion </w:t>
      </w:r>
    </w:p>
    <w:p w14:paraId="56A78308" w14:textId="77777777" w:rsidR="005F3F7F" w:rsidRPr="00CD018D" w:rsidRDefault="006B1BC6">
      <w:r w:rsidRPr="00CD018D">
        <w:t>This report focuses on analysing policies and initiatives implemented to deal with SDG 3 (Good Health and Wellbeing) and SDG 6 (Clean Water and Sanitation) at global, national and local levels. This report has shown that though there are challenging policy frameworks in place, including the NHS Long Term Plan, their implementation is routinely ineffective. These can cause structural disparities, insufficient transparency protocols, and lack of funding by targeting the risk groups. SDG 3 and SDG 6 do not ope</w:t>
      </w:r>
      <w:r w:rsidRPr="00CD018D">
        <w:t>rate in parallel; however, they are highly dependent on each other. Polluted water and ineffective sanitation processes can cause diseases which are associated with the unstable healthcare system. Universal health coverage cannot proceed solely without corresponding improvements in water equity. The Health Belief Model also demonstrates that change in health behaviour among individuals cannot be achieved unless structural barriers like a lack of water infrastructure are addressed. To accomplish the 2030 Age</w:t>
      </w:r>
      <w:r w:rsidRPr="00CD018D">
        <w:t xml:space="preserve">nda, there must be truly integrated policymaking that does not consider SDGs as independent goals but as a system.  </w:t>
      </w:r>
    </w:p>
    <w:p w14:paraId="735AB98C" w14:textId="77777777" w:rsidR="005F3F7F" w:rsidRPr="00CD018D" w:rsidRDefault="006B1BC6">
      <w:r w:rsidRPr="00CD018D">
        <w:br w:type="page"/>
      </w:r>
    </w:p>
    <w:p w14:paraId="7A8D226C" w14:textId="77777777" w:rsidR="005F3F7F" w:rsidRPr="00CD018D" w:rsidRDefault="006B1BC6">
      <w:pPr>
        <w:pStyle w:val="Titlu1"/>
      </w:pPr>
      <w:bookmarkStart w:id="14" w:name="_heading=h.j3tdp4gt9wyv" w:colFirst="0" w:colLast="0"/>
      <w:bookmarkEnd w:id="14"/>
      <w:r w:rsidRPr="00CD018D">
        <w:t xml:space="preserve">References </w:t>
      </w:r>
    </w:p>
    <w:p w14:paraId="136E7F1A" w14:textId="77777777" w:rsidR="005F3F7F" w:rsidRPr="00CD018D" w:rsidRDefault="006B1BC6">
      <w:pPr>
        <w:spacing w:after="240"/>
      </w:pPr>
      <w:r w:rsidRPr="00CD018D">
        <w:t xml:space="preserve">Alderwick, H. and Dixon, J. (2019) ‘The NHS long term plan’, </w:t>
      </w:r>
      <w:r w:rsidRPr="00CD018D">
        <w:rPr>
          <w:i/>
          <w:iCs/>
        </w:rPr>
        <w:t>bmj</w:t>
      </w:r>
      <w:r w:rsidRPr="00CD018D">
        <w:t>, 364.</w:t>
      </w:r>
    </w:p>
    <w:p w14:paraId="110EB149" w14:textId="77777777" w:rsidR="005F3F7F" w:rsidRPr="00CD018D" w:rsidRDefault="006B1BC6">
      <w:pPr>
        <w:spacing w:after="240"/>
      </w:pPr>
      <w:r w:rsidRPr="00CD018D">
        <w:t xml:space="preserve">Alyafei, A. and Easton-Carr, R. (2024) </w:t>
      </w:r>
      <w:r w:rsidRPr="00CD018D">
        <w:rPr>
          <w:i/>
          <w:iCs/>
        </w:rPr>
        <w:t>The health belief model of behavior change</w:t>
      </w:r>
      <w:r w:rsidRPr="00CD018D">
        <w:t>. StatPearls.</w:t>
      </w:r>
    </w:p>
    <w:p w14:paraId="7BB3F0C4" w14:textId="77777777" w:rsidR="005F3F7F" w:rsidRPr="00CD018D" w:rsidRDefault="006B1BC6">
      <w:pPr>
        <w:spacing w:after="240"/>
      </w:pPr>
      <w:r w:rsidRPr="00CD018D">
        <w:t xml:space="preserve">Appiah, M., Onifade, S.T. and Gyamfi, B.A. (2022) ‘Building critical infrastructures: Evaluating the roles of governance and institutions in infrastructural developments in Sub-Sahara African countries’, </w:t>
      </w:r>
      <w:r w:rsidRPr="00CD018D">
        <w:rPr>
          <w:i/>
          <w:iCs/>
        </w:rPr>
        <w:t>Evaluation Review</w:t>
      </w:r>
      <w:r w:rsidRPr="00CD018D">
        <w:t>, 46(4), pp.391-415.</w:t>
      </w:r>
    </w:p>
    <w:p w14:paraId="412898B2" w14:textId="77777777" w:rsidR="005F3F7F" w:rsidRPr="00CD018D" w:rsidRDefault="006B1BC6">
      <w:pPr>
        <w:spacing w:after="240"/>
      </w:pPr>
      <w:r w:rsidRPr="00CD018D">
        <w:t xml:space="preserve">Baker, C. (2024) </w:t>
      </w:r>
      <w:r w:rsidRPr="00CD018D">
        <w:rPr>
          <w:i/>
          <w:iCs/>
        </w:rPr>
        <w:t xml:space="preserve">NHS Key Statistics: England, February 2020. </w:t>
      </w:r>
      <w:r w:rsidRPr="00CD018D">
        <w:t xml:space="preserve">Available at: </w:t>
      </w:r>
      <w:hyperlink r:id="rId15">
        <w:r w:rsidR="005F3F7F" w:rsidRPr="00CD018D">
          <w:rPr>
            <w:u w:val="single"/>
          </w:rPr>
          <w:t>https://commonslibrary.parliament.uk/research-briefings/cbp-7281/</w:t>
        </w:r>
      </w:hyperlink>
      <w:r w:rsidRPr="00CD018D">
        <w:t xml:space="preserve"> (Accessed: 16 March 2026). </w:t>
      </w:r>
    </w:p>
    <w:p w14:paraId="4D76CA7E" w14:textId="77777777" w:rsidR="005F3F7F" w:rsidRPr="00CD018D" w:rsidRDefault="006B1BC6">
      <w:pPr>
        <w:spacing w:after="240"/>
      </w:pPr>
      <w:r w:rsidRPr="00CD018D">
        <w:t xml:space="preserve">Baye, D. (2021) ‘Sustainable development goals (SDG) target 6.2 in Ethiopia: challenges and opportunities’, </w:t>
      </w:r>
      <w:r w:rsidRPr="00CD018D">
        <w:rPr>
          <w:i/>
          <w:iCs/>
        </w:rPr>
        <w:t>Open Access Library Journal</w:t>
      </w:r>
      <w:r w:rsidRPr="00CD018D">
        <w:t>, 8(5), pp.1-28.</w:t>
      </w:r>
    </w:p>
    <w:p w14:paraId="614317D7" w14:textId="77777777" w:rsidR="005F3F7F" w:rsidRPr="00CD018D" w:rsidRDefault="006B1BC6">
      <w:pPr>
        <w:spacing w:after="240"/>
      </w:pPr>
      <w:r w:rsidRPr="00CD018D">
        <w:t xml:space="preserve">Eriksson, M., Sundberg, L.R., Santosa, A., Lindgren, H., Ng, N. and Lindvall, K. (2025) ‘Health behavioural change–the influence of social-ecological factors and health identity’, </w:t>
      </w:r>
      <w:r w:rsidRPr="00CD018D">
        <w:rPr>
          <w:i/>
          <w:iCs/>
        </w:rPr>
        <w:t>International journal of qualitative studies on health and well-being</w:t>
      </w:r>
      <w:r w:rsidRPr="00CD018D">
        <w:t>, 20(1), p.2458309.</w:t>
      </w:r>
    </w:p>
    <w:p w14:paraId="65F68BAA" w14:textId="77777777" w:rsidR="005F3F7F" w:rsidRPr="00CD018D" w:rsidRDefault="006B1BC6">
      <w:pPr>
        <w:spacing w:after="240"/>
      </w:pPr>
      <w:r w:rsidRPr="00CD018D">
        <w:t xml:space="preserve">Evaristo, J., Jameel, Y., Tortajada, C., Wang, R.Y., Horne, J., Neukrug, H., David, C.P., Fasnacht, A.M., Ziegler, A.D. and Biswas, A. (2023) ‘Water woes: the institutional challenges in achieving SDG 6’, </w:t>
      </w:r>
      <w:r w:rsidRPr="00CD018D">
        <w:rPr>
          <w:i/>
          <w:iCs/>
        </w:rPr>
        <w:t>Sustainable Earth Reviews</w:t>
      </w:r>
      <w:r w:rsidRPr="00CD018D">
        <w:t>, 6(1), p.13.</w:t>
      </w:r>
    </w:p>
    <w:p w14:paraId="3E58DC90" w14:textId="77777777" w:rsidR="005F3F7F" w:rsidRPr="00CD018D" w:rsidRDefault="006B1BC6">
      <w:pPr>
        <w:spacing w:after="240"/>
      </w:pPr>
      <w:r w:rsidRPr="00CD018D">
        <w:t xml:space="preserve">Firmansyah, D. and Saepuloh, D. (2022) ‘Social learning theory: Cognitive and behavioral approaches’, </w:t>
      </w:r>
      <w:r w:rsidRPr="00CD018D">
        <w:rPr>
          <w:i/>
          <w:iCs/>
        </w:rPr>
        <w:t>Jurnal Ilmiah Pendidikan Holistik (JIPH),</w:t>
      </w:r>
      <w:r w:rsidRPr="00CD018D">
        <w:t xml:space="preserve"> 1(3), pp.297-324.</w:t>
      </w:r>
    </w:p>
    <w:p w14:paraId="7212580D" w14:textId="77777777" w:rsidR="005F3F7F" w:rsidRPr="00CD018D" w:rsidRDefault="006B1BC6">
      <w:pPr>
        <w:spacing w:after="240"/>
      </w:pPr>
      <w:r w:rsidRPr="00CD018D">
        <w:t xml:space="preserve">Lamb, J., Thorseth, A.H., MacDougall, A., Thorsen, W. and White, S. (2024) ‘The determinants of handwashing in humanitarian crisis setting during the COVID-19 pandemic: a multi-country analysis’, </w:t>
      </w:r>
      <w:r w:rsidRPr="00CD018D">
        <w:rPr>
          <w:i/>
          <w:iCs/>
        </w:rPr>
        <w:t>Health Promotion International</w:t>
      </w:r>
      <w:r w:rsidRPr="00CD018D">
        <w:t>, 39(6), p.daae117.</w:t>
      </w:r>
    </w:p>
    <w:p w14:paraId="44C8DF76" w14:textId="77777777" w:rsidR="005F3F7F" w:rsidRPr="00CD018D" w:rsidRDefault="006B1BC6">
      <w:pPr>
        <w:spacing w:after="240"/>
      </w:pPr>
      <w:r w:rsidRPr="00CD018D">
        <w:t xml:space="preserve">Laville, S. and Horton, H. (2023) </w:t>
      </w:r>
      <w:r w:rsidRPr="00CD018D">
        <w:rPr>
          <w:i/>
          <w:iCs/>
        </w:rPr>
        <w:t>Water firms discharged raw sewage 300,000 times last year, court hears.</w:t>
      </w:r>
      <w:r w:rsidRPr="00CD018D">
        <w:t xml:space="preserve"> Available at: </w:t>
      </w:r>
      <w:hyperlink r:id="rId16">
        <w:r w:rsidR="005F3F7F" w:rsidRPr="00CD018D">
          <w:rPr>
            <w:u w:val="single"/>
          </w:rPr>
          <w:t>https://www.theguardian.com/environment/2023/jul/04/thames-water-fined-33m-for-pumping-sewage-into-rivers</w:t>
        </w:r>
      </w:hyperlink>
      <w:r w:rsidRPr="00CD018D">
        <w:t xml:space="preserve"> (Accessed: 17 March 2026). </w:t>
      </w:r>
    </w:p>
    <w:p w14:paraId="69318BB4" w14:textId="77777777" w:rsidR="005F3F7F" w:rsidRPr="00CD018D" w:rsidRDefault="006B1BC6">
      <w:pPr>
        <w:spacing w:after="240"/>
      </w:pPr>
      <w:r w:rsidRPr="00CD018D">
        <w:t xml:space="preserve">Leonardelli, M., Mele, F., Marrone, M., Germinario, C.A., Tafuri, S., Moscara, L., Bianchi, F.P. and Stefanizzi, P. (2023) ‘The effects of the COVID-19 pandemic on vaccination hesitancy: a viewpoint’, </w:t>
      </w:r>
      <w:r w:rsidRPr="00CD018D">
        <w:rPr>
          <w:i/>
          <w:iCs/>
        </w:rPr>
        <w:t>Vaccines</w:t>
      </w:r>
      <w:r w:rsidRPr="00CD018D">
        <w:t>, 11(7), p.1191.</w:t>
      </w:r>
    </w:p>
    <w:p w14:paraId="2CC9706D" w14:textId="77777777" w:rsidR="005F3F7F" w:rsidRPr="00CD018D" w:rsidRDefault="006B1BC6">
      <w:pPr>
        <w:spacing w:after="240"/>
      </w:pPr>
      <w:r w:rsidRPr="00CD018D">
        <w:t xml:space="preserve">Marmot, M. (2010) </w:t>
      </w:r>
      <w:r w:rsidRPr="00CD018D">
        <w:rPr>
          <w:i/>
          <w:iCs/>
        </w:rPr>
        <w:t>Fair Society Healthy Lives (The Marmot Review).</w:t>
      </w:r>
      <w:r w:rsidRPr="00CD018D">
        <w:t xml:space="preserve"> Available at: </w:t>
      </w:r>
      <w:hyperlink r:id="rId17">
        <w:r w:rsidR="005F3F7F" w:rsidRPr="00CD018D">
          <w:rPr>
            <w:u w:val="single"/>
          </w:rPr>
          <w:t>https://www.instituteofhealthequity.org/resources-reports/fair-society-healthy-lives-the-marmot-review</w:t>
        </w:r>
      </w:hyperlink>
      <w:r w:rsidRPr="00CD018D">
        <w:t xml:space="preserve">  (Accessed: 16 March 2026). </w:t>
      </w:r>
    </w:p>
    <w:p w14:paraId="46EADEFD" w14:textId="4C5783E8" w:rsidR="005F3F7F" w:rsidRPr="00CD018D" w:rsidRDefault="006B1BC6">
      <w:pPr>
        <w:spacing w:after="240"/>
      </w:pPr>
      <w:r w:rsidRPr="00CD018D">
        <w:t xml:space="preserve">Munro, A. (2020) </w:t>
      </w:r>
      <w:r w:rsidRPr="00CD018D">
        <w:rPr>
          <w:i/>
          <w:iCs/>
        </w:rPr>
        <w:t>COVENTRY -A MARMOT CITY An evaluation of a city-wide approach to reducing health inequalities.</w:t>
      </w:r>
      <w:r w:rsidRPr="00CD018D">
        <w:t xml:space="preserve"> Available at: </w:t>
      </w:r>
      <w:hyperlink r:id="rId18">
        <w:r w:rsidR="005F3F7F" w:rsidRPr="00CD018D">
          <w:rPr>
            <w:u w:val="single"/>
          </w:rPr>
          <w:t>https://www.instituteofhealthequity.org/resources-reports/coventry-marmot-city-evaluation-2020/coventry-marmot-city-evaluation-2020.pdf</w:t>
        </w:r>
      </w:hyperlink>
      <w:r w:rsidRPr="00CD018D">
        <w:t xml:space="preserve">  (Accessed: 1</w:t>
      </w:r>
      <w:r w:rsidR="00CD018D">
        <w:t>5</w:t>
      </w:r>
      <w:r w:rsidRPr="00CD018D">
        <w:t xml:space="preserve"> March 2026). </w:t>
      </w:r>
    </w:p>
    <w:p w14:paraId="3B795E23" w14:textId="5804E380" w:rsidR="005F3F7F" w:rsidRPr="00CD018D" w:rsidRDefault="006B1BC6">
      <w:pPr>
        <w:spacing w:after="240"/>
      </w:pPr>
      <w:r w:rsidRPr="00CD018D">
        <w:t xml:space="preserve">Newcastle City Council (2025) </w:t>
      </w:r>
      <w:r w:rsidRPr="00CD018D">
        <w:rPr>
          <w:i/>
          <w:iCs/>
        </w:rPr>
        <w:t>Newcastle becomes a Marmot City to improve public health | Newcastle City Council</w:t>
      </w:r>
      <w:r w:rsidRPr="00CD018D">
        <w:t xml:space="preserve">. Available at: </w:t>
      </w:r>
      <w:hyperlink r:id="rId19">
        <w:r w:rsidR="005F3F7F" w:rsidRPr="00CD018D">
          <w:rPr>
            <w:u w:val="single"/>
          </w:rPr>
          <w:t>https://new.newcastle.gov.uk/news/2025/newcastle-becomes-marmot-city-improve-public-health</w:t>
        </w:r>
      </w:hyperlink>
      <w:r w:rsidRPr="00CD018D">
        <w:t xml:space="preserve">  (Accessed: 1</w:t>
      </w:r>
      <w:r w:rsidR="00CD018D">
        <w:t>5</w:t>
      </w:r>
      <w:r w:rsidRPr="00CD018D">
        <w:t xml:space="preserve"> March 2026). </w:t>
      </w:r>
    </w:p>
    <w:p w14:paraId="3A1D3078" w14:textId="77777777" w:rsidR="005F3F7F" w:rsidRPr="00CD018D" w:rsidRDefault="006B1BC6">
      <w:pPr>
        <w:spacing w:after="240"/>
      </w:pPr>
      <w:r w:rsidRPr="00CD018D">
        <w:t xml:space="preserve">Ofwat (2015) Trust in water. Available at: </w:t>
      </w:r>
      <w:hyperlink r:id="rId20">
        <w:r w:rsidR="005F3F7F" w:rsidRPr="00CD018D">
          <w:rPr>
            <w:u w:val="single"/>
          </w:rPr>
          <w:t>https://www.ofwat.gov.uk/wp-content/uploads/2015/10/pap_tec201507challenges.pdf</w:t>
        </w:r>
      </w:hyperlink>
      <w:r w:rsidRPr="00CD018D">
        <w:t xml:space="preserve">  (Accessed: 17 March 2026). </w:t>
      </w:r>
    </w:p>
    <w:p w14:paraId="0CD93793" w14:textId="77777777" w:rsidR="005F3F7F" w:rsidRPr="00CD018D" w:rsidRDefault="006B1BC6">
      <w:pPr>
        <w:spacing w:after="240"/>
      </w:pPr>
      <w:r w:rsidRPr="00CD018D">
        <w:t xml:space="preserve">Phillips, R., Gillespie, D., Hallingberg, B., Evans, J., Taiyari, K., Torrens‐Burton, A., Cannings‐John, R., Williams, D., Sheils, E., Ashfield‐Watt, P. and Akbari, A. (2022) ‘Perceived threat of COVID‐19, attitudes towards vaccination, and vaccine hesitancy: A prospective longitudinal study in the UK’, </w:t>
      </w:r>
      <w:r w:rsidRPr="00CD018D">
        <w:rPr>
          <w:i/>
          <w:iCs/>
        </w:rPr>
        <w:t>British Journal of Health Psychology</w:t>
      </w:r>
      <w:r w:rsidRPr="00CD018D">
        <w:t>, 27(4), pp.1354-1381.</w:t>
      </w:r>
    </w:p>
    <w:p w14:paraId="0435BCED" w14:textId="77777777" w:rsidR="005F3F7F" w:rsidRPr="00CD018D" w:rsidRDefault="006B1BC6">
      <w:pPr>
        <w:spacing w:after="240"/>
      </w:pPr>
      <w:r w:rsidRPr="00CD018D">
        <w:t xml:space="preserve">Rai, A., Khatri, R.B. and Assefa, Y. (2024) ‘Primary health care systems and their contribution to universal health coverage and improved health status in seven countries: an explanatory Mixed-Methods review’, </w:t>
      </w:r>
      <w:r w:rsidRPr="00CD018D">
        <w:rPr>
          <w:i/>
          <w:iCs/>
        </w:rPr>
        <w:t>International journal of environmental research and public health</w:t>
      </w:r>
      <w:r w:rsidRPr="00CD018D">
        <w:t>, 21(12), p.1601.</w:t>
      </w:r>
    </w:p>
    <w:p w14:paraId="1C9D7E42" w14:textId="77777777" w:rsidR="005F3F7F" w:rsidRPr="00CD018D" w:rsidRDefault="006B1BC6">
      <w:pPr>
        <w:spacing w:after="240"/>
      </w:pPr>
      <w:r w:rsidRPr="00CD018D">
        <w:t xml:space="preserve">Rosińska, W., Jurasz, J., Przestrzelska, K., Wartalska, K. and Kaźmierczak, B. (2024) ‘Climate change's ripple effect on water supply systems and the water-energy nexus–A review’, </w:t>
      </w:r>
      <w:r w:rsidRPr="00CD018D">
        <w:rPr>
          <w:i/>
          <w:iCs/>
        </w:rPr>
        <w:t>Water Resources and Industry</w:t>
      </w:r>
      <w:r w:rsidRPr="00CD018D">
        <w:t>, 32, p.100266.</w:t>
      </w:r>
    </w:p>
    <w:p w14:paraId="61015941" w14:textId="77777777" w:rsidR="005F3F7F" w:rsidRPr="00CD018D" w:rsidRDefault="006B1BC6">
      <w:pPr>
        <w:spacing w:after="240"/>
      </w:pPr>
      <w:r w:rsidRPr="00CD018D">
        <w:t xml:space="preserve">Shuai, C., Zhao, B., Chen, X., Liu, J., Zheng, C., Qu, S., Zou, J.P. and Xu, M. (2024) ‘Quantifying the impacts of COVID-19 on Sustainable Development Goals using machine learning models’, </w:t>
      </w:r>
      <w:r w:rsidRPr="00CD018D">
        <w:rPr>
          <w:i/>
          <w:iCs/>
        </w:rPr>
        <w:t>Fundamental research</w:t>
      </w:r>
      <w:r w:rsidRPr="00CD018D">
        <w:t>, 4(4), pp.890-897.</w:t>
      </w:r>
    </w:p>
    <w:p w14:paraId="0BCA040F" w14:textId="77777777" w:rsidR="005F3F7F" w:rsidRPr="00CD018D" w:rsidRDefault="006B1BC6">
      <w:pPr>
        <w:spacing w:after="240"/>
      </w:pPr>
      <w:r w:rsidRPr="00CD018D">
        <w:t xml:space="preserve">Simmons, L. (2025) </w:t>
      </w:r>
      <w:r w:rsidRPr="00CD018D">
        <w:rPr>
          <w:i/>
          <w:iCs/>
        </w:rPr>
        <w:t>Climate Change &amp; the Water Crisis - The Carbon Literacy Project</w:t>
      </w:r>
      <w:r w:rsidRPr="00CD018D">
        <w:t xml:space="preserve">. Available at: </w:t>
      </w:r>
      <w:hyperlink r:id="rId21">
        <w:r w:rsidR="005F3F7F" w:rsidRPr="00CD018D">
          <w:rPr>
            <w:u w:val="single"/>
          </w:rPr>
          <w:t>https://carbonliteracy.com/climate-change-the-water-crisis/</w:t>
        </w:r>
      </w:hyperlink>
      <w:r w:rsidRPr="00CD018D">
        <w:t xml:space="preserve"> (Accessed: 17 March 2026). </w:t>
      </w:r>
    </w:p>
    <w:p w14:paraId="600A6713" w14:textId="77777777" w:rsidR="005F3F7F" w:rsidRPr="00CD018D" w:rsidRDefault="006B1BC6">
      <w:pPr>
        <w:spacing w:after="240"/>
      </w:pPr>
      <w:r w:rsidRPr="00CD018D">
        <w:t xml:space="preserve">Spasenoska, D., Grundy, J., Omam, L.A., Chaudhri, I.A., Khalid, F., O’Connell, T.S. and Tampe, T. (2024) ‘Design and implementation of a primary health care (PHC) toolbox for improving the impact of support from global development partners’, </w:t>
      </w:r>
      <w:r w:rsidRPr="00CD018D">
        <w:rPr>
          <w:i/>
          <w:iCs/>
        </w:rPr>
        <w:t>BMC Global and Public Health</w:t>
      </w:r>
      <w:r w:rsidRPr="00CD018D">
        <w:t>, 2(1), p.23.</w:t>
      </w:r>
    </w:p>
    <w:p w14:paraId="0A212384" w14:textId="77777777" w:rsidR="005F3F7F" w:rsidRPr="00CD018D" w:rsidRDefault="006B1BC6">
      <w:pPr>
        <w:spacing w:after="240"/>
      </w:pPr>
      <w:r w:rsidRPr="00CD018D">
        <w:t xml:space="preserve">The River Restoration Centre (2014) </w:t>
      </w:r>
      <w:r w:rsidRPr="00CD018D">
        <w:rPr>
          <w:i/>
          <w:iCs/>
        </w:rPr>
        <w:t>Why Restore? | The RRC</w:t>
      </w:r>
      <w:r w:rsidRPr="00CD018D">
        <w:t xml:space="preserve">. Available at: </w:t>
      </w:r>
      <w:hyperlink r:id="rId22">
        <w:r w:rsidR="005F3F7F" w:rsidRPr="00CD018D">
          <w:rPr>
            <w:u w:val="single"/>
          </w:rPr>
          <w:t>https://www.therrc.co.uk/why-restore</w:t>
        </w:r>
      </w:hyperlink>
      <w:r w:rsidRPr="00CD018D">
        <w:t xml:space="preserve">  (Accessed: 17 March 2026). </w:t>
      </w:r>
    </w:p>
    <w:p w14:paraId="345C29BD" w14:textId="25BB31EC" w:rsidR="005F3F7F" w:rsidRPr="00CD018D" w:rsidRDefault="006B1BC6">
      <w:pPr>
        <w:spacing w:after="240"/>
      </w:pPr>
      <w:r w:rsidRPr="00CD018D">
        <w:t xml:space="preserve">The River Restoration Centre (2025). </w:t>
      </w:r>
      <w:r w:rsidRPr="00CD018D">
        <w:rPr>
          <w:i/>
          <w:iCs/>
        </w:rPr>
        <w:t>river advice, consultation, projects, the RRC - the River Restoration Centre</w:t>
      </w:r>
      <w:r w:rsidRPr="00CD018D">
        <w:t xml:space="preserve">. Available at: </w:t>
      </w:r>
      <w:hyperlink r:id="rId23">
        <w:r w:rsidR="005F3F7F" w:rsidRPr="00CD018D">
          <w:rPr>
            <w:u w:val="single"/>
          </w:rPr>
          <w:t>https://www.therrc.co.uk/</w:t>
        </w:r>
      </w:hyperlink>
      <w:r w:rsidRPr="00CD018D">
        <w:t xml:space="preserve"> (Accessed: 1</w:t>
      </w:r>
      <w:r w:rsidR="00CD018D">
        <w:t>4</w:t>
      </w:r>
      <w:r w:rsidRPr="00CD018D">
        <w:t xml:space="preserve"> March 2026). </w:t>
      </w:r>
    </w:p>
    <w:p w14:paraId="4EBA06A2" w14:textId="0561D3CE" w:rsidR="005F3F7F" w:rsidRPr="00CD018D" w:rsidRDefault="006B1BC6">
      <w:pPr>
        <w:spacing w:before="0" w:after="240"/>
      </w:pPr>
      <w:r w:rsidRPr="00CD018D">
        <w:t xml:space="preserve">UNICEF (2025) </w:t>
      </w:r>
      <w:r w:rsidRPr="00CD018D">
        <w:rPr>
          <w:i/>
          <w:iCs/>
        </w:rPr>
        <w:t>Water and sanitation</w:t>
      </w:r>
      <w:r w:rsidRPr="00CD018D">
        <w:t xml:space="preserve">. Available at: </w:t>
      </w:r>
      <w:hyperlink r:id="rId24">
        <w:r w:rsidR="005F3F7F" w:rsidRPr="00CD018D">
          <w:rPr>
            <w:u w:val="single"/>
          </w:rPr>
          <w:t>https://www.unicef.org/supply/water-and-sanitation</w:t>
        </w:r>
      </w:hyperlink>
      <w:r w:rsidRPr="00CD018D">
        <w:t xml:space="preserve"> (Accessed: 1</w:t>
      </w:r>
      <w:r w:rsidR="00CD018D">
        <w:t>4</w:t>
      </w:r>
      <w:r w:rsidRPr="00CD018D">
        <w:t xml:space="preserve"> March 2026). </w:t>
      </w:r>
    </w:p>
    <w:p w14:paraId="519D5FEC" w14:textId="77777777" w:rsidR="005F3F7F" w:rsidRPr="00CD018D" w:rsidRDefault="006B1BC6">
      <w:pPr>
        <w:spacing w:after="240"/>
      </w:pPr>
      <w:r w:rsidRPr="00CD018D">
        <w:t xml:space="preserve">United Nations (2022) </w:t>
      </w:r>
      <w:r w:rsidRPr="00CD018D">
        <w:rPr>
          <w:i/>
          <w:iCs/>
        </w:rPr>
        <w:t>Water</w:t>
      </w:r>
      <w:r w:rsidRPr="00CD018D">
        <w:t xml:space="preserve">. Available at: </w:t>
      </w:r>
      <w:hyperlink r:id="rId25">
        <w:r w:rsidR="005F3F7F" w:rsidRPr="00CD018D">
          <w:rPr>
            <w:u w:val="single"/>
          </w:rPr>
          <w:t>https://www.un.org/en/global-issues/water</w:t>
        </w:r>
      </w:hyperlink>
      <w:r w:rsidRPr="00CD018D">
        <w:t xml:space="preserve"> (Accessed: 17 March 2026). </w:t>
      </w:r>
    </w:p>
    <w:p w14:paraId="1D75D03B" w14:textId="77777777" w:rsidR="005F3F7F" w:rsidRPr="00CD018D" w:rsidRDefault="006B1BC6">
      <w:pPr>
        <w:spacing w:before="0" w:after="240"/>
      </w:pPr>
      <w:r w:rsidRPr="00CD018D">
        <w:t xml:space="preserve">United Nations (2025) </w:t>
      </w:r>
      <w:r w:rsidRPr="00CD018D">
        <w:rPr>
          <w:i/>
          <w:iCs/>
        </w:rPr>
        <w:t>Goal 6 | department of economic and social affairs</w:t>
      </w:r>
      <w:r w:rsidRPr="00CD018D">
        <w:t xml:space="preserve">. Available at: </w:t>
      </w:r>
      <w:hyperlink r:id="rId26">
        <w:r w:rsidR="005F3F7F" w:rsidRPr="00CD018D">
          <w:rPr>
            <w:u w:val="single"/>
          </w:rPr>
          <w:t>https://sdgs.un.org/goals/goal6</w:t>
        </w:r>
      </w:hyperlink>
      <w:r w:rsidRPr="00CD018D">
        <w:t xml:space="preserve"> (Accessed: 15 March 2026). </w:t>
      </w:r>
    </w:p>
    <w:p w14:paraId="4BC225B3" w14:textId="4EBBDFED" w:rsidR="005F3F7F" w:rsidRPr="00CD018D" w:rsidRDefault="006B1BC6">
      <w:pPr>
        <w:spacing w:after="240"/>
      </w:pPr>
      <w:r w:rsidRPr="00CD018D">
        <w:t xml:space="preserve">United Nations (2025) </w:t>
      </w:r>
      <w:r w:rsidRPr="00CD018D">
        <w:rPr>
          <w:i/>
          <w:iCs/>
        </w:rPr>
        <w:t>Water Action Decade</w:t>
      </w:r>
      <w:r w:rsidRPr="00CD018D">
        <w:t xml:space="preserve">. Available at: </w:t>
      </w:r>
      <w:hyperlink r:id="rId27">
        <w:r w:rsidR="005F3F7F" w:rsidRPr="00CD018D">
          <w:rPr>
            <w:u w:val="single"/>
          </w:rPr>
          <w:t>https://www.un.org/sustainabledevelopment/water-action-decade/</w:t>
        </w:r>
      </w:hyperlink>
      <w:r w:rsidRPr="00CD018D">
        <w:t xml:space="preserve"> (Accessed: 1</w:t>
      </w:r>
      <w:r w:rsidR="00CD018D">
        <w:t>4</w:t>
      </w:r>
      <w:r w:rsidRPr="00CD018D">
        <w:t xml:space="preserve"> March 2026). </w:t>
      </w:r>
    </w:p>
    <w:p w14:paraId="722D1BB1" w14:textId="77777777" w:rsidR="005F3F7F" w:rsidRPr="00CD018D" w:rsidRDefault="006B1BC6">
      <w:pPr>
        <w:spacing w:before="0" w:after="240"/>
      </w:pPr>
      <w:r w:rsidRPr="00CD018D">
        <w:t xml:space="preserve">United Nations (2026) </w:t>
      </w:r>
      <w:r w:rsidRPr="00CD018D">
        <w:rPr>
          <w:i/>
          <w:iCs/>
        </w:rPr>
        <w:t>The 17 sustainable development goals</w:t>
      </w:r>
      <w:r w:rsidRPr="00CD018D">
        <w:t xml:space="preserve">. Available at: </w:t>
      </w:r>
      <w:hyperlink r:id="rId28">
        <w:r w:rsidR="005F3F7F" w:rsidRPr="00CD018D">
          <w:rPr>
            <w:u w:val="single"/>
          </w:rPr>
          <w:t>https://sdgs.un.org/goals</w:t>
        </w:r>
      </w:hyperlink>
      <w:r w:rsidRPr="00CD018D">
        <w:t xml:space="preserve"> (Accessed: 15 March 2026). </w:t>
      </w:r>
    </w:p>
    <w:p w14:paraId="478C4312" w14:textId="406DCA77" w:rsidR="005F3F7F" w:rsidRPr="00CD018D" w:rsidRDefault="006B1BC6">
      <w:pPr>
        <w:spacing w:after="240"/>
      </w:pPr>
      <w:r w:rsidRPr="00CD018D">
        <w:t>Watt, T., Raymond, A. and Rachet-Jacquet, L. (2023)</w:t>
      </w:r>
      <w:r w:rsidRPr="00CD018D">
        <w:rPr>
          <w:i/>
          <w:iCs/>
        </w:rPr>
        <w:t xml:space="preserve"> Quantifying health inequalities in England</w:t>
      </w:r>
      <w:r w:rsidRPr="00CD018D">
        <w:t xml:space="preserve">. Available at: </w:t>
      </w:r>
      <w:hyperlink r:id="rId29">
        <w:r w:rsidR="005F3F7F" w:rsidRPr="00CD018D">
          <w:rPr>
            <w:u w:val="single"/>
          </w:rPr>
          <w:t>https://www.health.org.uk/reports-and-analysis/analysis/quantifying-health-inequalities-in-england</w:t>
        </w:r>
      </w:hyperlink>
      <w:r w:rsidRPr="00CD018D">
        <w:t xml:space="preserve">  (Accessed: 1</w:t>
      </w:r>
      <w:r w:rsidR="00CD018D">
        <w:t xml:space="preserve">5 </w:t>
      </w:r>
      <w:r w:rsidRPr="00CD018D">
        <w:t xml:space="preserve">March 2026). </w:t>
      </w:r>
    </w:p>
    <w:p w14:paraId="6AF5E76C" w14:textId="77777777" w:rsidR="005F3F7F" w:rsidRPr="00CD018D" w:rsidRDefault="006B1BC6">
      <w:pPr>
        <w:spacing w:after="240"/>
      </w:pPr>
      <w:r w:rsidRPr="00CD018D">
        <w:t xml:space="preserve">WHO (2022) </w:t>
      </w:r>
      <w:r w:rsidRPr="00CD018D">
        <w:rPr>
          <w:i/>
          <w:iCs/>
        </w:rPr>
        <w:t>Water and sanitation</w:t>
      </w:r>
      <w:r w:rsidRPr="00CD018D">
        <w:t xml:space="preserve">. Available at: </w:t>
      </w:r>
      <w:hyperlink r:id="rId30">
        <w:r w:rsidR="005F3F7F" w:rsidRPr="00CD018D">
          <w:rPr>
            <w:u w:val="single"/>
          </w:rPr>
          <w:t>https://www.who.int/europe/news-room/fact-sheets/item/water-and-sanitation</w:t>
        </w:r>
      </w:hyperlink>
      <w:r w:rsidRPr="00CD018D">
        <w:t xml:space="preserve"> (Accessed: 16 March 2026). </w:t>
      </w:r>
    </w:p>
    <w:p w14:paraId="76BC0AEC" w14:textId="77777777" w:rsidR="005F3F7F" w:rsidRPr="00CD018D" w:rsidRDefault="006B1BC6">
      <w:pPr>
        <w:spacing w:after="240"/>
      </w:pPr>
      <w:r w:rsidRPr="00CD018D">
        <w:t xml:space="preserve">World Health Organization (2021) </w:t>
      </w:r>
      <w:r w:rsidRPr="00CD018D">
        <w:rPr>
          <w:i/>
          <w:iCs/>
        </w:rPr>
        <w:t>The Impact of COVID-19 on Global Health Goals</w:t>
      </w:r>
      <w:r w:rsidRPr="00CD018D">
        <w:t xml:space="preserve">. Available at: </w:t>
      </w:r>
      <w:hyperlink r:id="rId31">
        <w:r w:rsidR="005F3F7F" w:rsidRPr="00CD018D">
          <w:rPr>
            <w:u w:val="single"/>
          </w:rPr>
          <w:t>https://www.who.int/news-room/spotlight/the-impact-of-covid-19-on-global-health-goals</w:t>
        </w:r>
      </w:hyperlink>
      <w:r w:rsidRPr="00CD018D">
        <w:t xml:space="preserve">  (Accessed: 16 March 2026). </w:t>
      </w:r>
    </w:p>
    <w:p w14:paraId="26FC0722" w14:textId="5ADE4FBB" w:rsidR="005F3F7F" w:rsidRPr="00CD018D" w:rsidRDefault="006B1BC6">
      <w:pPr>
        <w:spacing w:after="240"/>
      </w:pPr>
      <w:r w:rsidRPr="00CD018D">
        <w:t xml:space="preserve">World Health Organization (2024) </w:t>
      </w:r>
      <w:r w:rsidRPr="00CD018D">
        <w:rPr>
          <w:i/>
          <w:iCs/>
        </w:rPr>
        <w:t>Health workforce</w:t>
      </w:r>
      <w:r w:rsidRPr="00CD018D">
        <w:t xml:space="preserve">. Available at: </w:t>
      </w:r>
      <w:hyperlink r:id="rId32" w:anchor="tab=tab_1">
        <w:r w:rsidR="005F3F7F" w:rsidRPr="00CD018D">
          <w:rPr>
            <w:u w:val="single"/>
          </w:rPr>
          <w:t>https://www.who.int/health-topics/health-workforce#tab=tab_1</w:t>
        </w:r>
      </w:hyperlink>
      <w:r w:rsidRPr="00CD018D">
        <w:t xml:space="preserve"> (Accessed: 1</w:t>
      </w:r>
      <w:r w:rsidR="00CD018D">
        <w:t>7</w:t>
      </w:r>
      <w:r w:rsidRPr="00CD018D">
        <w:t xml:space="preserve"> March 2026). </w:t>
      </w:r>
    </w:p>
    <w:p w14:paraId="2DAA5F85" w14:textId="77777777" w:rsidR="005F3F7F" w:rsidRPr="00CD018D" w:rsidRDefault="006B1BC6">
      <w:pPr>
        <w:spacing w:after="240"/>
      </w:pPr>
      <w:r w:rsidRPr="00CD018D">
        <w:t xml:space="preserve">World Health Organization (2024) </w:t>
      </w:r>
      <w:r w:rsidRPr="00CD018D">
        <w:rPr>
          <w:i/>
          <w:iCs/>
        </w:rPr>
        <w:t>Sustainable Development Goals 3 - The Global Action Plan for Healthy Lives and Well-being for All</w:t>
      </w:r>
      <w:r w:rsidRPr="00CD018D">
        <w:t xml:space="preserve">. Available at: </w:t>
      </w:r>
      <w:hyperlink r:id="rId33">
        <w:r w:rsidR="005F3F7F" w:rsidRPr="00CD018D">
          <w:rPr>
            <w:u w:val="single"/>
          </w:rPr>
          <w:t>https://www.who.int/initiatives/sdg3-global-action-plan</w:t>
        </w:r>
      </w:hyperlink>
      <w:r w:rsidRPr="00CD018D">
        <w:t xml:space="preserve"> (Accessed: 16 March 2026). </w:t>
      </w:r>
    </w:p>
    <w:p w14:paraId="7C1F45AF" w14:textId="77777777" w:rsidR="005F3F7F" w:rsidRPr="00CD018D" w:rsidRDefault="005F3F7F"/>
    <w:p w14:paraId="56C138A5" w14:textId="77777777" w:rsidR="005F3F7F" w:rsidRPr="00CD018D" w:rsidRDefault="005F3F7F"/>
    <w:sectPr w:rsidR="005F3F7F" w:rsidRPr="00CD018D">
      <w:footerReference w:type="default" r:id="rId3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AE616" w14:textId="77777777" w:rsidR="00F41DB0" w:rsidRDefault="00F41DB0">
      <w:pPr>
        <w:spacing w:before="0" w:line="240" w:lineRule="auto"/>
      </w:pPr>
      <w:r>
        <w:separator/>
      </w:r>
    </w:p>
  </w:endnote>
  <w:endnote w:type="continuationSeparator" w:id="0">
    <w:p w14:paraId="55D0D077" w14:textId="77777777" w:rsidR="00F41DB0" w:rsidRDefault="00F41DB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C1C1CBF-D33C-4AEA-91B7-5E81560D0E99}"/>
  </w:font>
  <w:font w:name="Cambria">
    <w:panose1 w:val="02040503050406030204"/>
    <w:charset w:val="00"/>
    <w:family w:val="roman"/>
    <w:pitch w:val="variable"/>
    <w:sig w:usb0="E00006FF" w:usb1="420024FF" w:usb2="02000000" w:usb3="00000000" w:csb0="0000019F" w:csb1="00000000"/>
    <w:embedRegular r:id="rId2" w:fontKey="{054ABD93-7FA1-41F7-A4B6-F53EC0DBA8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C6FAF" w14:textId="77777777" w:rsidR="005F3F7F" w:rsidRDefault="006B1BC6">
    <w:pPr>
      <w:pBdr>
        <w:top w:val="nil"/>
        <w:left w:val="nil"/>
        <w:bottom w:val="nil"/>
        <w:right w:val="nil"/>
        <w:between w:val="nil"/>
      </w:pBdr>
      <w:tabs>
        <w:tab w:val="center" w:pos="4513"/>
        <w:tab w:val="right" w:pos="9026"/>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sidR="00065E06">
      <w:rPr>
        <w:noProof/>
        <w:color w:val="000000"/>
      </w:rPr>
      <w:t>2</w:t>
    </w:r>
    <w:r>
      <w:rPr>
        <w:color w:val="000000"/>
      </w:rPr>
      <w:fldChar w:fldCharType="end"/>
    </w:r>
  </w:p>
  <w:p w14:paraId="1C35728E" w14:textId="77777777" w:rsidR="005F3F7F" w:rsidRDefault="005F3F7F">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BD31A" w14:textId="77777777" w:rsidR="00F41DB0" w:rsidRDefault="00F41DB0">
      <w:pPr>
        <w:spacing w:before="0" w:line="240" w:lineRule="auto"/>
      </w:pPr>
      <w:r>
        <w:separator/>
      </w:r>
    </w:p>
  </w:footnote>
  <w:footnote w:type="continuationSeparator" w:id="0">
    <w:p w14:paraId="195B8CC6" w14:textId="77777777" w:rsidR="00F41DB0" w:rsidRDefault="00F41DB0">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removePersonalInformation/>
  <w:removeDateAndTime/>
  <w:embedTrueTypeFonts/>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F7F"/>
    <w:rsid w:val="00065E06"/>
    <w:rsid w:val="00270DCC"/>
    <w:rsid w:val="00277A80"/>
    <w:rsid w:val="003D266D"/>
    <w:rsid w:val="004B33F1"/>
    <w:rsid w:val="005F3F7F"/>
    <w:rsid w:val="006B1BC6"/>
    <w:rsid w:val="008B6006"/>
    <w:rsid w:val="00BB690A"/>
    <w:rsid w:val="00CD018D"/>
    <w:rsid w:val="00E3432F"/>
    <w:rsid w:val="00EC4CF8"/>
    <w:rsid w:val="00F41DB0"/>
    <w:rsid w:val="00F92F08"/>
    <w:rsid w:val="00FD18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29D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bCs/>
      <w:sz w:val="28"/>
      <w:szCs w:val="28"/>
    </w:rPr>
  </w:style>
  <w:style w:type="paragraph" w:styleId="Titlu2">
    <w:name w:val="heading 2"/>
    <w:basedOn w:val="Normal"/>
    <w:next w:val="Normal"/>
    <w:uiPriority w:val="9"/>
    <w:unhideWhenUsed/>
    <w:qFormat/>
    <w:pPr>
      <w:keepNext/>
      <w:keepLines/>
      <w:spacing w:before="360" w:after="120"/>
      <w:outlineLvl w:val="1"/>
    </w:pPr>
    <w:rPr>
      <w:b/>
      <w:bCs/>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before="0"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480BF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480BF7"/>
    <w:pPr>
      <w:spacing w:after="100"/>
    </w:pPr>
    <w:rPr>
      <w:szCs w:val="28"/>
    </w:rPr>
  </w:style>
  <w:style w:type="paragraph" w:styleId="Cuprins2">
    <w:name w:val="toc 2"/>
    <w:basedOn w:val="Normal"/>
    <w:next w:val="Normal"/>
    <w:autoRedefine/>
    <w:uiPriority w:val="39"/>
    <w:unhideWhenUsed/>
    <w:rsid w:val="00480BF7"/>
    <w:pPr>
      <w:spacing w:after="100"/>
      <w:ind w:left="220"/>
    </w:pPr>
    <w:rPr>
      <w:szCs w:val="28"/>
    </w:rPr>
  </w:style>
  <w:style w:type="character" w:styleId="Hyperlink">
    <w:name w:val="Hyperlink"/>
    <w:basedOn w:val="Fontdeparagrafimplicit"/>
    <w:uiPriority w:val="99"/>
    <w:unhideWhenUsed/>
    <w:rsid w:val="00480BF7"/>
    <w:rPr>
      <w:color w:val="0000FF" w:themeColor="hyperlink"/>
      <w:u w:val="single"/>
    </w:rPr>
  </w:style>
  <w:style w:type="paragraph" w:styleId="Listparagraf">
    <w:name w:val="List Paragraph"/>
    <w:basedOn w:val="Normal"/>
    <w:uiPriority w:val="34"/>
    <w:qFormat/>
    <w:rsid w:val="00480BF7"/>
    <w:pPr>
      <w:ind w:left="720"/>
      <w:contextualSpacing/>
    </w:pPr>
    <w:rPr>
      <w:szCs w:val="28"/>
    </w:rPr>
  </w:style>
  <w:style w:type="paragraph" w:styleId="Antet">
    <w:name w:val="header"/>
    <w:basedOn w:val="Normal"/>
    <w:link w:val="AntetCaracter"/>
    <w:uiPriority w:val="99"/>
    <w:unhideWhenUsed/>
    <w:rsid w:val="00480BF7"/>
    <w:pPr>
      <w:tabs>
        <w:tab w:val="center" w:pos="4513"/>
        <w:tab w:val="right" w:pos="9026"/>
      </w:tabs>
      <w:spacing w:before="0" w:line="240" w:lineRule="auto"/>
    </w:pPr>
    <w:rPr>
      <w:szCs w:val="28"/>
    </w:rPr>
  </w:style>
  <w:style w:type="character" w:customStyle="1" w:styleId="AntetCaracter">
    <w:name w:val="Antet Caracter"/>
    <w:basedOn w:val="Fontdeparagrafimplicit"/>
    <w:link w:val="Antet"/>
    <w:uiPriority w:val="99"/>
    <w:rsid w:val="00480BF7"/>
    <w:rPr>
      <w:szCs w:val="28"/>
    </w:rPr>
  </w:style>
  <w:style w:type="paragraph" w:styleId="Subsol">
    <w:name w:val="footer"/>
    <w:basedOn w:val="Normal"/>
    <w:link w:val="SubsolCaracter"/>
    <w:uiPriority w:val="99"/>
    <w:unhideWhenUsed/>
    <w:rsid w:val="00480BF7"/>
    <w:pPr>
      <w:tabs>
        <w:tab w:val="center" w:pos="4513"/>
        <w:tab w:val="right" w:pos="9026"/>
      </w:tabs>
      <w:spacing w:before="0" w:line="240" w:lineRule="auto"/>
    </w:pPr>
    <w:rPr>
      <w:szCs w:val="28"/>
    </w:rPr>
  </w:style>
  <w:style w:type="character" w:customStyle="1" w:styleId="SubsolCaracter">
    <w:name w:val="Subsol Caracter"/>
    <w:basedOn w:val="Fontdeparagrafimplicit"/>
    <w:link w:val="Subsol"/>
    <w:uiPriority w:val="99"/>
    <w:rsid w:val="00480BF7"/>
    <w:rPr>
      <w:szCs w:val="28"/>
    </w:rPr>
  </w:style>
  <w:style w:type="paragraph" w:styleId="Subtitlu">
    <w:name w:val="Subtitle"/>
    <w:basedOn w:val="Normal"/>
    <w:next w:val="Normal"/>
    <w:uiPriority w:val="11"/>
    <w:qFormat/>
    <w:pPr>
      <w:keepNext/>
      <w:keepLines/>
      <w:spacing w:before="0"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instituteofhealthequity.org/resources-reports/coventry-marmot-city-evaluation-2020/coventry-marmot-city-evaluation-2020.pdf" TargetMode="External"/><Relationship Id="rId26" Type="http://schemas.openxmlformats.org/officeDocument/2006/relationships/hyperlink" Target="https://sdgs.un.org/goals/goal6" TargetMode="External"/><Relationship Id="rId3" Type="http://schemas.openxmlformats.org/officeDocument/2006/relationships/settings" Target="settings.xml"/><Relationship Id="rId21" Type="http://schemas.openxmlformats.org/officeDocument/2006/relationships/hyperlink" Target="https://carbonliteracy.com/climate-change-the-water-crisis/"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nstituteofhealthequity.org/resources-reports/fair-society-healthy-lives-the-marmot-review" TargetMode="External"/><Relationship Id="rId25" Type="http://schemas.openxmlformats.org/officeDocument/2006/relationships/hyperlink" Target="https://www.un.org/en/global-issues/water" TargetMode="External"/><Relationship Id="rId33" Type="http://schemas.openxmlformats.org/officeDocument/2006/relationships/hyperlink" Target="https://www.who.int/initiatives/sdg3-global-action-plan" TargetMode="External"/><Relationship Id="rId2" Type="http://schemas.openxmlformats.org/officeDocument/2006/relationships/styles" Target="styles.xml"/><Relationship Id="rId16" Type="http://schemas.openxmlformats.org/officeDocument/2006/relationships/hyperlink" Target="https://www.theguardian.com/environment/2023/jul/04/thames-water-fined-33m-for-pumping-sewage-into-rivers" TargetMode="External"/><Relationship Id="rId20" Type="http://schemas.openxmlformats.org/officeDocument/2006/relationships/hyperlink" Target="https://www.ofwat.gov.uk/wp-content/uploads/2015/10/pap_tec201507challenges.pdf" TargetMode="External"/><Relationship Id="rId29" Type="http://schemas.openxmlformats.org/officeDocument/2006/relationships/hyperlink" Target="https://www.health.org.uk/reports-and-analysis/analysis/quantifying-health-inequalities-in-englan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unicef.org/supply/water-and-sanitation" TargetMode="External"/><Relationship Id="rId32" Type="http://schemas.openxmlformats.org/officeDocument/2006/relationships/hyperlink" Target="https://www.who.int/health-topics/health-workforce" TargetMode="External"/><Relationship Id="rId5" Type="http://schemas.openxmlformats.org/officeDocument/2006/relationships/footnotes" Target="footnotes.xml"/><Relationship Id="rId15" Type="http://schemas.openxmlformats.org/officeDocument/2006/relationships/hyperlink" Target="https://commonslibrary.parliament.uk/research-briefings/cbp-7281/" TargetMode="External"/><Relationship Id="rId23" Type="http://schemas.openxmlformats.org/officeDocument/2006/relationships/hyperlink" Target="https://www.therrc.co.uk/" TargetMode="External"/><Relationship Id="rId28" Type="http://schemas.openxmlformats.org/officeDocument/2006/relationships/hyperlink" Target="https://sdgs.un.org/goal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new.newcastle.gov.uk/news/2025/newcastle-becomes-marmot-city-improve-public-health" TargetMode="External"/><Relationship Id="rId31" Type="http://schemas.openxmlformats.org/officeDocument/2006/relationships/hyperlink" Target="https://www.who.int/news-room/spotlight/the-impact-of-covid-19-on-global-health-goal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rrc.co.uk/why-restore" TargetMode="External"/><Relationship Id="rId27" Type="http://schemas.openxmlformats.org/officeDocument/2006/relationships/hyperlink" Target="https://www.un.org/sustainabledevelopment/water-action-decade/" TargetMode="External"/><Relationship Id="rId30" Type="http://schemas.openxmlformats.org/officeDocument/2006/relationships/hyperlink" Target="https://www.who.int/europe/news-room/fact-sheets/item/water-and-sanitation" TargetMode="External"/><Relationship Id="rId35" Type="http://schemas.openxmlformats.org/officeDocument/2006/relationships/fontTable" Target="fontTable.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nn+LJRtH85rVAdYvP/CN92jFsA==">CgMxLjAyDmgubzdwcGJlN2g0amR1Mg5oLnFiMjVzeXZpc2tlZjIOaC45enM3NDR3OTF6bmIyDmguNXRwZnRibjNkbzFkMg5oLjNrcTJnb2EwbmJsaTIOaC5tMzRuZG1mZzh1NTMyDmgudGt5Y3MzdjgyNnVtMg5oLm1kMGZkdGhiNXk2MjIOaC5scW12NG1kaXZoZ3QyDmguN293bHpwbGY3bjRnMg5oLjExM3Y4cWtmYXprZzIOaC45M3gxMDQ3eXNnMW0yDmguaThmMGFhdGtmd2cxMg5oLmhud3h1MTdwdmU5MzIOaC5qM3RkcDRndDl3eXY4AHIhMXd5SjQ1TFlXa3hKUW5pYXpnSDBmdENMcTMyT3hDVTR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3494</Words>
  <Characters>20269</Characters>
  <Application>Microsoft Office Word</Application>
  <DocSecurity>0</DocSecurity>
  <Lines>168</Lines>
  <Paragraphs>47</Paragraphs>
  <ScaleCrop>false</ScaleCrop>
  <Company/>
  <LinksUpToDate>false</LinksUpToDate>
  <CharactersWithSpaces>23716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2026-03-21T15:11:00Z</dcterms:created>
  <dcterms:modified xsi:type="dcterms:W3CDTF">2026-03-21T15:11:00Z</dcterms:modified>
</cp:coreProperties>
</file>