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0756358"/>
        <w:docPartObj>
          <w:docPartGallery w:val="Cover Pages"/>
          <w:docPartUnique/>
        </w:docPartObj>
      </w:sdtPr>
      <w:sdtContent>
        <w:p w14:paraId="4ADE77B4" w14:textId="443B19C0" w:rsidR="00E921A3" w:rsidRDefault="00E921A3">
          <w:r>
            <w:rPr>
              <w:noProof/>
            </w:rPr>
            <mc:AlternateContent>
              <mc:Choice Requires="wps">
                <w:drawing>
                  <wp:anchor distT="0" distB="0" distL="114300" distR="114300" simplePos="0" relativeHeight="251659264" behindDoc="0" locked="0" layoutInCell="1" allowOverlap="1" wp14:anchorId="32AD705D" wp14:editId="42BC6FB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b/>
                                    <w:bCs/>
                                    <w:color w:val="FFFFFF" w:themeColor="background1"/>
                                    <w:sz w:val="48"/>
                                    <w:szCs w:val="48"/>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639AB84" w14:textId="1C40D9F6" w:rsidR="00E921A3" w:rsidRDefault="00621D1D" w:rsidP="00621D1D">
                                    <w:pPr>
                                      <w:pStyle w:val="Title"/>
                                      <w:jc w:val="right"/>
                                      <w:rPr>
                                        <w:color w:val="FFFFFF" w:themeColor="background1"/>
                                      </w:rPr>
                                    </w:pPr>
                                    <w:r w:rsidRPr="00621D1D">
                                      <w:rPr>
                                        <w:rFonts w:ascii="Arial" w:hAnsi="Arial" w:cs="Arial"/>
                                        <w:b/>
                                        <w:bCs/>
                                        <w:color w:val="FFFFFF" w:themeColor="background1"/>
                                        <w:sz w:val="48"/>
                                        <w:szCs w:val="48"/>
                                      </w:rPr>
                                      <w:t>Consent and its role in cases involving battery</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2AD705D"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rFonts w:ascii="Arial" w:hAnsi="Arial" w:cs="Arial"/>
                              <w:b/>
                              <w:bCs/>
                              <w:color w:val="FFFFFF" w:themeColor="background1"/>
                              <w:sz w:val="48"/>
                              <w:szCs w:val="48"/>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639AB84" w14:textId="1C40D9F6" w:rsidR="00E921A3" w:rsidRDefault="00621D1D" w:rsidP="00621D1D">
                              <w:pPr>
                                <w:pStyle w:val="Title"/>
                                <w:jc w:val="right"/>
                                <w:rPr>
                                  <w:color w:val="FFFFFF" w:themeColor="background1"/>
                                </w:rPr>
                              </w:pPr>
                              <w:r w:rsidRPr="00621D1D">
                                <w:rPr>
                                  <w:rFonts w:ascii="Arial" w:hAnsi="Arial" w:cs="Arial"/>
                                  <w:b/>
                                  <w:bCs/>
                                  <w:color w:val="FFFFFF" w:themeColor="background1"/>
                                  <w:sz w:val="48"/>
                                  <w:szCs w:val="48"/>
                                </w:rPr>
                                <w:t>Consent and its role in cases involving battery</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21751DE" wp14:editId="63AC91E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C4F1372" w14:textId="5277EE04" w:rsidR="00E921A3" w:rsidRPr="00E921A3" w:rsidRDefault="00E921A3">
                                    <w:pPr>
                                      <w:pStyle w:val="Subtitle"/>
                                      <w:rPr>
                                        <w:rFonts w:cstheme="minorBidi"/>
                                        <w:color w:val="FFFFFF" w:themeColor="background1"/>
                                      </w:rPr>
                                    </w:pPr>
                                    <w:r w:rsidRPr="00E921A3">
                                      <w:rPr>
                                        <w:color w:val="FFFFFF" w:themeColor="background1"/>
                                      </w:rPr>
                                      <w:t>Piotr Czubinski</w:t>
                                    </w:r>
                                  </w:p>
                                </w:sdtContent>
                              </w:sdt>
                              <w:p w14:paraId="114511F6" w14:textId="490431D9" w:rsidR="00E921A3" w:rsidRPr="00E921A3" w:rsidRDefault="00E921A3" w:rsidP="00E921A3">
                                <w:pPr>
                                  <w:rPr>
                                    <w:color w:val="FFFFFF" w:themeColor="background1"/>
                                    <w:lang w:val="en-US"/>
                                  </w:rPr>
                                </w:pPr>
                                <w:r w:rsidRPr="00E921A3">
                                  <w:rPr>
                                    <w:color w:val="FFFFFF" w:themeColor="background1"/>
                                    <w:lang w:val="en-US"/>
                                  </w:rPr>
                                  <w:t>2237463</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21751DE"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C4F1372" w14:textId="5277EE04" w:rsidR="00E921A3" w:rsidRPr="00E921A3" w:rsidRDefault="00E921A3">
                              <w:pPr>
                                <w:pStyle w:val="Subtitle"/>
                                <w:rPr>
                                  <w:rFonts w:cstheme="minorBidi"/>
                                  <w:color w:val="FFFFFF" w:themeColor="background1"/>
                                </w:rPr>
                              </w:pPr>
                              <w:r w:rsidRPr="00E921A3">
                                <w:rPr>
                                  <w:color w:val="FFFFFF" w:themeColor="background1"/>
                                </w:rPr>
                                <w:t>Piotr Czubinski</w:t>
                              </w:r>
                            </w:p>
                          </w:sdtContent>
                        </w:sdt>
                        <w:p w14:paraId="114511F6" w14:textId="490431D9" w:rsidR="00E921A3" w:rsidRPr="00E921A3" w:rsidRDefault="00E921A3" w:rsidP="00E921A3">
                          <w:pPr>
                            <w:rPr>
                              <w:color w:val="FFFFFF" w:themeColor="background1"/>
                              <w:lang w:val="en-US"/>
                            </w:rPr>
                          </w:pPr>
                          <w:r w:rsidRPr="00E921A3">
                            <w:rPr>
                              <w:color w:val="FFFFFF" w:themeColor="background1"/>
                              <w:lang w:val="en-US"/>
                            </w:rPr>
                            <w:t>2237463</w:t>
                          </w:r>
                        </w:p>
                      </w:txbxContent>
                    </v:textbox>
                    <w10:wrap anchorx="page" anchory="page"/>
                  </v:rect>
                </w:pict>
              </mc:Fallback>
            </mc:AlternateContent>
          </w:r>
        </w:p>
        <w:p w14:paraId="53A316C5" w14:textId="77777777" w:rsidR="00E921A3" w:rsidRDefault="00E921A3"/>
        <w:p w14:paraId="2BFD0834" w14:textId="6E6740F5" w:rsidR="00E921A3" w:rsidRDefault="00E921A3">
          <w:r>
            <w:br w:type="page"/>
          </w:r>
        </w:p>
      </w:sdtContent>
    </w:sdt>
    <w:p w14:paraId="4A76CE5B" w14:textId="42E2977F" w:rsidR="00600AF7" w:rsidRPr="002F2873" w:rsidRDefault="00600AF7" w:rsidP="00600AF7">
      <w:pPr>
        <w:pStyle w:val="paragraph"/>
        <w:spacing w:before="0" w:beforeAutospacing="0" w:after="0" w:afterAutospacing="0"/>
        <w:textAlignment w:val="baseline"/>
        <w:rPr>
          <w:rFonts w:ascii="Arial" w:hAnsi="Arial" w:cs="Arial"/>
          <w:color w:val="000000" w:themeColor="text1"/>
          <w:sz w:val="18"/>
          <w:szCs w:val="18"/>
        </w:rPr>
      </w:pPr>
      <w:r w:rsidRPr="002F2873">
        <w:rPr>
          <w:rStyle w:val="normaltextrun"/>
          <w:rFonts w:ascii="Arial" w:eastAsiaTheme="minorEastAsia" w:hAnsi="Arial" w:cs="Arial"/>
          <w:color w:val="000000" w:themeColor="text1"/>
        </w:rPr>
        <w:lastRenderedPageBreak/>
        <w:t>Over the years, the UK's legal system has grown and improved the concept of consent, especially when it comes to criminal law. Consent is a key part of figuring out who is responsible for what, and it is often used to draw the line between what is allowed and what is not. This is especially clear in cases of battery, where the presence or lack of consent can completely change the case. Now that we are in the third decade of the 21st century, recent problems have come up around consent because of the complexity of modern issues like autonomy, technological progress, and changing social standards. Notably, Ideas about what valid and informed consent means have changed a lot over the years, especially when it comes to situations where lines are blurred, like medical procedures, leisure activities, or even personal relationships (Herring, 20</w:t>
      </w:r>
      <w:r w:rsidR="00C0637D">
        <w:rPr>
          <w:rStyle w:val="normaltextrun"/>
          <w:rFonts w:ascii="Arial" w:eastAsiaTheme="minorEastAsia" w:hAnsi="Arial" w:cs="Arial"/>
          <w:color w:val="000000" w:themeColor="text1"/>
        </w:rPr>
        <w:t>19</w:t>
      </w:r>
      <w:r w:rsidRPr="002F2873">
        <w:rPr>
          <w:rStyle w:val="normaltextrun"/>
          <w:rFonts w:ascii="Arial" w:eastAsiaTheme="minorEastAsia" w:hAnsi="Arial" w:cs="Arial"/>
          <w:color w:val="000000" w:themeColor="text1"/>
        </w:rPr>
        <w:t>). The main point of this essay is to look closely at how consent has changed over time in the UK (United Kingdom), focusing on how it is used in battery cases. We will look at the many sides of consent.</w:t>
      </w:r>
      <w:r w:rsidRPr="002F2873">
        <w:rPr>
          <w:rStyle w:val="eop"/>
          <w:rFonts w:ascii="Arial" w:hAnsi="Arial" w:cs="Arial"/>
          <w:color w:val="000000" w:themeColor="text1"/>
        </w:rPr>
        <w:t> </w:t>
      </w:r>
    </w:p>
    <w:p w14:paraId="4AD7548C" w14:textId="4C2474A3" w:rsidR="00600AF7" w:rsidRPr="002F2873" w:rsidRDefault="00600AF7" w:rsidP="00600AF7">
      <w:pPr>
        <w:pStyle w:val="paragraph"/>
        <w:spacing w:before="0" w:beforeAutospacing="0" w:after="0" w:afterAutospacing="0"/>
        <w:textAlignment w:val="baseline"/>
        <w:rPr>
          <w:rFonts w:ascii="Arial" w:hAnsi="Arial" w:cs="Arial"/>
          <w:color w:val="000000" w:themeColor="text1"/>
          <w:sz w:val="18"/>
          <w:szCs w:val="18"/>
        </w:rPr>
      </w:pPr>
      <w:r w:rsidRPr="002F2873">
        <w:rPr>
          <w:rStyle w:val="normaltextrun"/>
          <w:rFonts w:ascii="Arial" w:eastAsiaTheme="minorEastAsia" w:hAnsi="Arial" w:cs="Arial"/>
          <w:color w:val="000000" w:themeColor="text1"/>
        </w:rPr>
        <w:t>Consent according to UK criminal law is an especially important idea that means someone willingly and fully agrees to do or be in a certain situation</w:t>
      </w:r>
      <w:r w:rsidR="009E1B7B">
        <w:rPr>
          <w:rStyle w:val="normaltextrun"/>
          <w:rFonts w:ascii="Arial" w:eastAsiaTheme="minorEastAsia" w:hAnsi="Arial" w:cs="Arial"/>
          <w:color w:val="000000" w:themeColor="text1"/>
        </w:rPr>
        <w:t xml:space="preserve"> </w:t>
      </w:r>
      <w:r w:rsidR="009E1B7B" w:rsidRPr="00497E52">
        <w:rPr>
          <w:rStyle w:val="normaltextrun"/>
          <w:rFonts w:ascii="Arial" w:eastAsiaTheme="minorEastAsia" w:hAnsi="Arial" w:cs="Arial"/>
          <w:color w:val="000000" w:themeColor="text1"/>
        </w:rPr>
        <w:t>(</w:t>
      </w:r>
      <w:r w:rsidR="009E1B7B" w:rsidRPr="00497E52">
        <w:rPr>
          <w:rFonts w:ascii="Arial" w:hAnsi="Arial" w:cs="Arial"/>
          <w:color w:val="000000" w:themeColor="text1"/>
          <w:shd w:val="clear" w:color="auto" w:fill="FFFFFF"/>
        </w:rPr>
        <w:t>Wertheimer</w:t>
      </w:r>
      <w:r w:rsidR="009E1B7B" w:rsidRPr="00497E52">
        <w:rPr>
          <w:rStyle w:val="normaltextrun"/>
          <w:rFonts w:ascii="Arial" w:eastAsiaTheme="minorEastAsia" w:hAnsi="Arial" w:cs="Arial"/>
          <w:color w:val="000000" w:themeColor="text1"/>
        </w:rPr>
        <w:t>,2010</w:t>
      </w:r>
      <w:r w:rsidR="00497E52" w:rsidRPr="00497E52">
        <w:rPr>
          <w:rStyle w:val="normaltextrun"/>
          <w:rFonts w:ascii="Arial" w:eastAsiaTheme="minorEastAsia" w:hAnsi="Arial" w:cs="Arial"/>
          <w:color w:val="000000" w:themeColor="text1"/>
        </w:rPr>
        <w:t>)</w:t>
      </w:r>
      <w:r w:rsidRPr="00497E52">
        <w:rPr>
          <w:rStyle w:val="normaltextrun"/>
          <w:rFonts w:ascii="Arial" w:eastAsiaTheme="minorEastAsia" w:hAnsi="Arial" w:cs="Arial"/>
          <w:color w:val="000000" w:themeColor="text1"/>
        </w:rPr>
        <w:t xml:space="preserve">Permission is based on the ideas of personal freedom and respect for each person's </w:t>
      </w:r>
      <w:r w:rsidRPr="002F2873">
        <w:rPr>
          <w:rStyle w:val="normaltextrun"/>
          <w:rFonts w:ascii="Arial" w:eastAsiaTheme="minorEastAsia" w:hAnsi="Arial" w:cs="Arial"/>
          <w:color w:val="000000" w:themeColor="text1"/>
        </w:rPr>
        <w:t>choice. For example, the Sexual Offences Act 2003 says that consent is when a person agrees voluntarily and has freedom as well as the capacity to do so (Sexual Offences Act 2003). Legally, consent must be informed, voluntary, and with capacity. Individuals must be fully informed about the effects of their consent (Montgomery v Lanarkshire Health Board,2015), consent must be given without being forced, under too much pressure, or manipulated and the person must be able to make the choice mentally (Mental Capacity Act 2005). Valid permission is especially important because it is a big part of what makes actions legal that would be illegal otherwise. This is especially true when it comes to battery, where the person's autonomy must be recognized (R v. Donovan,1934).</w:t>
      </w:r>
      <w:r w:rsidRPr="002F2873">
        <w:rPr>
          <w:rStyle w:val="eop"/>
          <w:rFonts w:ascii="Arial" w:hAnsi="Arial" w:cs="Arial"/>
          <w:color w:val="000000" w:themeColor="text1"/>
        </w:rPr>
        <w:t> </w:t>
      </w:r>
    </w:p>
    <w:p w14:paraId="41D35062" w14:textId="55890A9F" w:rsidR="00600AF7" w:rsidRPr="002F2873" w:rsidRDefault="00600AF7" w:rsidP="00600AF7">
      <w:pPr>
        <w:pStyle w:val="paragraph"/>
        <w:spacing w:before="0" w:beforeAutospacing="0" w:after="0" w:afterAutospacing="0"/>
        <w:textAlignment w:val="baseline"/>
        <w:rPr>
          <w:rFonts w:ascii="Arial" w:hAnsi="Arial" w:cs="Arial"/>
          <w:color w:val="000000" w:themeColor="text1"/>
          <w:sz w:val="18"/>
          <w:szCs w:val="18"/>
        </w:rPr>
      </w:pPr>
      <w:r w:rsidRPr="002F2873">
        <w:rPr>
          <w:rStyle w:val="normaltextrun"/>
          <w:rFonts w:ascii="Arial" w:eastAsiaTheme="minorEastAsia" w:hAnsi="Arial" w:cs="Arial"/>
          <w:color w:val="000000" w:themeColor="text1"/>
        </w:rPr>
        <w:t>What is the battery then and what is the role of consent in battery cases? The battery is the intentional or recklessly use of illegal force against another person, causing harm or physical contact (Child, Ormerod,2021). It is important to remember that hurt does not have to happen for it to be battery. If someone touches you without your permission or a legal reason, that can be battery (R v Rolfe,1952). The Offences Against the Person Act 1816 is the main piece of legislation that controls battery in England and Wales (OAPA,1861). Additionally, common assault and battery are classified as summary offenses under Section 39 of the Criminal Justice Act of 1988, and they are usually prosecuted in a Magistrates' Court (CJA,1988).</w:t>
      </w:r>
      <w:r w:rsidRPr="002F2873">
        <w:rPr>
          <w:rStyle w:val="eop"/>
          <w:rFonts w:ascii="Arial" w:hAnsi="Arial" w:cs="Arial"/>
          <w:color w:val="000000" w:themeColor="text1"/>
        </w:rPr>
        <w:t> </w:t>
      </w:r>
    </w:p>
    <w:p w14:paraId="62BF8B0D" w14:textId="77777777" w:rsidR="00600AF7" w:rsidRPr="002F2873" w:rsidRDefault="00600AF7" w:rsidP="00600AF7">
      <w:pPr>
        <w:pStyle w:val="paragraph"/>
        <w:spacing w:before="0" w:beforeAutospacing="0" w:after="0" w:afterAutospacing="0"/>
        <w:textAlignment w:val="baseline"/>
        <w:rPr>
          <w:rFonts w:ascii="Arial" w:hAnsi="Arial" w:cs="Arial"/>
          <w:color w:val="000000" w:themeColor="text1"/>
          <w:sz w:val="18"/>
          <w:szCs w:val="18"/>
        </w:rPr>
      </w:pPr>
      <w:r w:rsidRPr="002F2873">
        <w:rPr>
          <w:rStyle w:val="normaltextrun"/>
          <w:rFonts w:ascii="Arial" w:eastAsiaTheme="minorEastAsia" w:hAnsi="Arial" w:cs="Arial"/>
          <w:color w:val="000000" w:themeColor="text1"/>
        </w:rPr>
        <w:t>In battery cases, an agreement can be used as a defence to show the difference between legal touch and illegal force. The person who is being forced to agree is especially important. Force may not be considered battery if permission is given, if it is given voluntarily, after being informed, and by a person who is able to do so (Herring, 2019).</w:t>
      </w:r>
      <w:r w:rsidRPr="002F2873">
        <w:rPr>
          <w:rStyle w:val="eop"/>
          <w:rFonts w:ascii="Arial" w:hAnsi="Arial" w:cs="Arial"/>
          <w:color w:val="000000" w:themeColor="text1"/>
        </w:rPr>
        <w:t> </w:t>
      </w:r>
    </w:p>
    <w:p w14:paraId="69466E8D" w14:textId="77777777" w:rsidR="00600AF7" w:rsidRPr="002F2873" w:rsidRDefault="00600AF7" w:rsidP="00600AF7">
      <w:pPr>
        <w:pStyle w:val="paragraph"/>
        <w:spacing w:before="0" w:beforeAutospacing="0" w:after="0" w:afterAutospacing="0"/>
        <w:textAlignment w:val="baseline"/>
        <w:rPr>
          <w:rFonts w:ascii="Arial" w:hAnsi="Arial" w:cs="Arial"/>
          <w:color w:val="000000" w:themeColor="text1"/>
          <w:sz w:val="18"/>
          <w:szCs w:val="18"/>
        </w:rPr>
      </w:pPr>
      <w:r w:rsidRPr="002F2873">
        <w:rPr>
          <w:rStyle w:val="normaltextrun"/>
          <w:rFonts w:ascii="Arial" w:eastAsiaTheme="minorEastAsia" w:hAnsi="Arial" w:cs="Arial"/>
          <w:color w:val="000000" w:themeColor="text1"/>
        </w:rPr>
        <w:t>Consent for medical treatment in the UK is a key part of patient liberty. Patients must legally understand the effects of a treatment before agreeing to it (NHS, 2022). The Supreme Court of the United Kingdom made a major change to the law on informed consent in medical treatment in the case of Montgomery v. Lanarkshire Health Board 2015. The court decided that doctors must tell their patients about all the important risks of a treatment plan as well</w:t>
      </w:r>
    </w:p>
    <w:p w14:paraId="61503E9C" w14:textId="77777777" w:rsidR="006A0BD4" w:rsidRPr="002F2873" w:rsidRDefault="006A0BD4">
      <w:pPr>
        <w:rPr>
          <w:rFonts w:ascii="Arial" w:hAnsi="Arial" w:cs="Arial"/>
          <w:color w:val="000000" w:themeColor="text1"/>
          <w:sz w:val="24"/>
          <w:szCs w:val="24"/>
        </w:rPr>
      </w:pPr>
    </w:p>
    <w:p w14:paraId="1BE6B205" w14:textId="77777777" w:rsidR="008540C7" w:rsidRDefault="008540C7">
      <w:pPr>
        <w:rPr>
          <w:color w:val="000000" w:themeColor="text1"/>
          <w:sz w:val="24"/>
          <w:szCs w:val="24"/>
        </w:rPr>
      </w:pPr>
    </w:p>
    <w:p w14:paraId="788F75C6" w14:textId="77777777" w:rsidR="008540C7" w:rsidRDefault="008540C7">
      <w:pPr>
        <w:rPr>
          <w:color w:val="000000" w:themeColor="text1"/>
          <w:sz w:val="24"/>
          <w:szCs w:val="24"/>
        </w:rPr>
      </w:pPr>
    </w:p>
    <w:p w14:paraId="67613171" w14:textId="229B1E8D" w:rsidR="003D7F50" w:rsidRPr="002F2873" w:rsidRDefault="003D7F50" w:rsidP="003D7F50">
      <w:pPr>
        <w:pStyle w:val="paragraph"/>
        <w:spacing w:before="0" w:beforeAutospacing="0" w:after="0" w:afterAutospacing="0"/>
        <w:textAlignment w:val="baseline"/>
        <w:rPr>
          <w:rFonts w:ascii="Arial" w:hAnsi="Arial" w:cs="Arial"/>
          <w:color w:val="000000" w:themeColor="text1"/>
        </w:rPr>
      </w:pPr>
      <w:r w:rsidRPr="002F2873">
        <w:rPr>
          <w:rStyle w:val="normaltextrun"/>
          <w:rFonts w:ascii="Arial" w:eastAsiaTheme="minorEastAsia" w:hAnsi="Arial" w:cs="Arial"/>
          <w:color w:val="000000" w:themeColor="text1"/>
        </w:rPr>
        <w:lastRenderedPageBreak/>
        <w:t>as other options that are likely to work better. The decision emphasized the patient's right to make their own decisions about their own healthcare. This was different from the previous standard, which relied on the medical professional's opinion on what information should be shared. This case showed that the information that patients should be given must be specific to their needs and situation so that they can make choices about their treatment that are well-informed. </w:t>
      </w:r>
      <w:r w:rsidRPr="002F2873">
        <w:rPr>
          <w:rStyle w:val="eop"/>
          <w:rFonts w:ascii="Arial" w:hAnsi="Arial" w:cs="Arial"/>
          <w:color w:val="000000" w:themeColor="text1"/>
        </w:rPr>
        <w:t> </w:t>
      </w:r>
    </w:p>
    <w:p w14:paraId="16B2BA15" w14:textId="77777777" w:rsidR="003D7F50" w:rsidRPr="002F2873" w:rsidRDefault="003D7F50" w:rsidP="003D7F50">
      <w:pPr>
        <w:pStyle w:val="paragraph"/>
        <w:spacing w:before="0" w:beforeAutospacing="0" w:after="0" w:afterAutospacing="0"/>
        <w:textAlignment w:val="baseline"/>
        <w:rPr>
          <w:rFonts w:ascii="Arial" w:hAnsi="Arial" w:cs="Arial"/>
          <w:color w:val="000000" w:themeColor="text1"/>
        </w:rPr>
      </w:pPr>
      <w:r w:rsidRPr="002F2873">
        <w:rPr>
          <w:rStyle w:val="normaltextrun"/>
          <w:rFonts w:ascii="Arial" w:eastAsiaTheme="minorEastAsia" w:hAnsi="Arial" w:cs="Arial"/>
          <w:color w:val="000000" w:themeColor="text1"/>
        </w:rPr>
        <w:t>Consent is a legal and moral requirement for medical care in the UK, but it can be hard to get. The situation gets complicated when children are involved, when the adult is mentally ill, or when an emergency happens, and the patient cannot give consent. The controversial Gillick v. West Norfolk and Wisbech Area Health Authority (1985) case established that minors who meet the so-called "Gillick competence" threshold of maturity and intelligence can consent to medical treatment without the knowledge or consent of their parents (NHS, 2022). There are also ethical problems when people's abilities change, so their consent might be valid one moment but not the next. There are also problems when people decide ahead of time not to get treatment. In the case of W v. M [2011] EWHC 2443, the patient was only slightly conscious, and the court had to decide if it was in the patient's best interests to keep receiving care that was meant to keep them alive.</w:t>
      </w:r>
      <w:r w:rsidRPr="002F2873">
        <w:rPr>
          <w:rStyle w:val="eop"/>
          <w:rFonts w:ascii="Arial" w:hAnsi="Arial" w:cs="Arial"/>
          <w:color w:val="000000" w:themeColor="text1"/>
        </w:rPr>
        <w:t> </w:t>
      </w:r>
    </w:p>
    <w:p w14:paraId="61997F09" w14:textId="77777777" w:rsidR="003D7F50" w:rsidRPr="002F2873" w:rsidRDefault="003D7F50" w:rsidP="003D7F50">
      <w:pPr>
        <w:pStyle w:val="paragraph"/>
        <w:spacing w:before="0" w:beforeAutospacing="0" w:after="0" w:afterAutospacing="0"/>
        <w:textAlignment w:val="baseline"/>
        <w:rPr>
          <w:rFonts w:ascii="Arial" w:hAnsi="Arial" w:cs="Arial"/>
          <w:color w:val="000000" w:themeColor="text1"/>
        </w:rPr>
      </w:pPr>
      <w:r w:rsidRPr="002F2873">
        <w:rPr>
          <w:rStyle w:val="normaltextrun"/>
          <w:rFonts w:ascii="Arial" w:eastAsiaTheme="minorEastAsia" w:hAnsi="Arial" w:cs="Arial"/>
          <w:color w:val="000000" w:themeColor="text1"/>
        </w:rPr>
        <w:t>The line between consent and battery in intimate relationships is even thinner. R. v. Brown (1993) is a well-known case that shows how complicated agreement can be. Even though the defendants did sadomasochistic things on purpose, they were still found guilty of assault causing bodily harm. The House of Lords said that consent is not a legal defence to actual bodily harm unless the harm is something that both parties could have fairly expected. According to this decision, there is a line between activities that people agree are socially acceptable and activities that the law says are harmful in ways that are beyond what is accepted.</w:t>
      </w:r>
      <w:r w:rsidRPr="002F2873">
        <w:rPr>
          <w:rStyle w:val="eop"/>
          <w:rFonts w:ascii="Arial" w:hAnsi="Arial" w:cs="Arial"/>
          <w:color w:val="000000" w:themeColor="text1"/>
        </w:rPr>
        <w:t> </w:t>
      </w:r>
    </w:p>
    <w:p w14:paraId="58AB5A14" w14:textId="77777777" w:rsidR="003D7F50" w:rsidRPr="002F2873" w:rsidRDefault="003D7F50" w:rsidP="003D7F50">
      <w:pPr>
        <w:pStyle w:val="paragraph"/>
        <w:spacing w:before="0" w:beforeAutospacing="0" w:after="0" w:afterAutospacing="0"/>
        <w:textAlignment w:val="baseline"/>
        <w:rPr>
          <w:rFonts w:ascii="Arial" w:hAnsi="Arial" w:cs="Arial"/>
          <w:color w:val="000000" w:themeColor="text1"/>
        </w:rPr>
      </w:pPr>
      <w:r w:rsidRPr="002F2873">
        <w:rPr>
          <w:rStyle w:val="normaltextrun"/>
          <w:rFonts w:ascii="Arial" w:eastAsiaTheme="minorEastAsia" w:hAnsi="Arial" w:cs="Arial"/>
          <w:color w:val="000000" w:themeColor="text1"/>
        </w:rPr>
        <w:t>On the other hand, in R. v. Wilson (1996), the Court of Appeal looked at the issue of consent in the context of bodily harm happening in a marriage. At her request, a husband burned his wife's bottom with a hot knife. He was first found guilty because it has been shown that consent is not a defence to bodily harm. On appeal, however, it was decided that this was a private act between two adults who agreed to it and had no intention of being violent. It was like getting a tattoo; it should not be investigated or prosecuted as a crime. For this case to be different from R v Brown, which involved sadomasochistic actions, the person involved did not mean to hurt anyone and the act was more like getting a tattoo than hurting someone.</w:t>
      </w:r>
      <w:r w:rsidRPr="002F2873">
        <w:rPr>
          <w:rStyle w:val="eop"/>
          <w:rFonts w:ascii="Arial" w:hAnsi="Arial" w:cs="Arial"/>
          <w:color w:val="000000" w:themeColor="text1"/>
        </w:rPr>
        <w:t> </w:t>
      </w:r>
    </w:p>
    <w:p w14:paraId="40AB9AFD" w14:textId="77777777" w:rsidR="003D7F50" w:rsidRPr="002F2873" w:rsidRDefault="003D7F50" w:rsidP="003D7F50">
      <w:pPr>
        <w:pStyle w:val="paragraph"/>
        <w:spacing w:before="0" w:beforeAutospacing="0" w:after="0" w:afterAutospacing="0"/>
        <w:textAlignment w:val="baseline"/>
        <w:rPr>
          <w:rFonts w:ascii="Arial" w:hAnsi="Arial" w:cs="Arial"/>
          <w:color w:val="000000" w:themeColor="text1"/>
        </w:rPr>
      </w:pPr>
      <w:r w:rsidRPr="002F2873">
        <w:rPr>
          <w:rStyle w:val="normaltextrun"/>
          <w:rFonts w:ascii="Arial" w:eastAsiaTheme="minorEastAsia" w:hAnsi="Arial" w:cs="Arial"/>
          <w:color w:val="000000" w:themeColor="text1"/>
        </w:rPr>
        <w:t>As a defence, consent must demonstrate that the victim has the ability and freedom to make that choice (Taylor, 2018). In addition, the act in question cannot be one that society wants to be illegal even with consent. If a person does something without having permission to do so, they put themselves at risk of facing a variety of legal consequences, which may range from financial penalties to prison time. In the UK, the consequences for battery depend on how bad the crime was. If the battery causes Actual Bodily Harm (ABH), it is taken more seriously and can get you up to 5 years in prison. If you are found guilty of Assault with Intent to Cause Grievous Bodily Harm (GBH), you could spend the rest of your life in prison (Crown, 2022).</w:t>
      </w:r>
      <w:r w:rsidRPr="002F2873">
        <w:rPr>
          <w:rStyle w:val="eop"/>
          <w:rFonts w:ascii="Arial" w:hAnsi="Arial" w:cs="Arial"/>
          <w:color w:val="000000" w:themeColor="text1"/>
        </w:rPr>
        <w:t> </w:t>
      </w:r>
    </w:p>
    <w:p w14:paraId="2A01DB6A" w14:textId="77777777" w:rsidR="008540C7" w:rsidRDefault="008540C7">
      <w:pPr>
        <w:rPr>
          <w:rFonts w:ascii="Arial" w:hAnsi="Arial" w:cs="Arial"/>
          <w:color w:val="000000" w:themeColor="text1"/>
          <w:sz w:val="24"/>
          <w:szCs w:val="24"/>
        </w:rPr>
      </w:pPr>
    </w:p>
    <w:p w14:paraId="4126F9CA" w14:textId="77777777" w:rsidR="009C7F83" w:rsidRDefault="009C7F83">
      <w:pPr>
        <w:rPr>
          <w:rFonts w:ascii="Arial" w:hAnsi="Arial" w:cs="Arial"/>
          <w:color w:val="000000" w:themeColor="text1"/>
          <w:sz w:val="24"/>
          <w:szCs w:val="24"/>
        </w:rPr>
      </w:pPr>
    </w:p>
    <w:p w14:paraId="16ED27AE" w14:textId="77777777" w:rsidR="009C7F83" w:rsidRDefault="009C7F83">
      <w:pPr>
        <w:rPr>
          <w:rFonts w:ascii="Arial" w:hAnsi="Arial" w:cs="Arial"/>
          <w:color w:val="000000" w:themeColor="text1"/>
          <w:sz w:val="24"/>
          <w:szCs w:val="24"/>
        </w:rPr>
      </w:pPr>
    </w:p>
    <w:p w14:paraId="6B547F71" w14:textId="237A881A" w:rsidR="009C7F83" w:rsidRDefault="009C7F83">
      <w:pPr>
        <w:rPr>
          <w:rStyle w:val="eop"/>
          <w:rFonts w:ascii="Arial" w:hAnsi="Arial" w:cs="Arial"/>
          <w:color w:val="000000" w:themeColor="text1"/>
          <w:sz w:val="24"/>
          <w:szCs w:val="24"/>
          <w:shd w:val="clear" w:color="auto" w:fill="FFFFFF"/>
        </w:rPr>
      </w:pPr>
      <w:r w:rsidRPr="009C7F83">
        <w:rPr>
          <w:rStyle w:val="normaltextrun"/>
          <w:rFonts w:ascii="Arial" w:hAnsi="Arial" w:cs="Arial"/>
          <w:color w:val="000000" w:themeColor="text1"/>
          <w:sz w:val="24"/>
          <w:szCs w:val="24"/>
          <w:shd w:val="clear" w:color="auto" w:fill="FFFFFF"/>
        </w:rPr>
        <w:lastRenderedPageBreak/>
        <w:t>In conclusion, it is important for people to have the freedom to choose for themselves and for their bodies to stay healthy, so the idea of consent in UK law is difficult and always changing. When proper consent is given, the autonomy principle makes it legal to do things that would normally be considered battery. People are becoming more aware of consent, especially in cases of battery in the UK, thanks to changes in the law and in conversations in society. Key court decisions, like R v. Brown, which limited the defence of consent, and R v. Wilson, which explained how consent works in private acts between adults who agree to them, have shown how important it is in these situations. In the same way that people's expectations of personal freedom and respect for their own choices are growing, consent is also evolving at the same time. More focus on informed and positive consent in social and legal contexts shows that people are more aware of their own limits and want to protect their rights. (Herring, 2019).</w:t>
      </w:r>
      <w:r w:rsidRPr="009C7F83">
        <w:rPr>
          <w:rStyle w:val="eop"/>
          <w:rFonts w:ascii="Arial" w:hAnsi="Arial" w:cs="Arial"/>
          <w:color w:val="000000" w:themeColor="text1"/>
          <w:sz w:val="24"/>
          <w:szCs w:val="24"/>
          <w:shd w:val="clear" w:color="auto" w:fill="FFFFFF"/>
        </w:rPr>
        <w:t> </w:t>
      </w:r>
    </w:p>
    <w:p w14:paraId="16D129DE" w14:textId="77777777" w:rsidR="00C42909" w:rsidRDefault="00C42909">
      <w:pPr>
        <w:rPr>
          <w:rStyle w:val="eop"/>
          <w:rFonts w:ascii="Arial" w:hAnsi="Arial" w:cs="Arial"/>
          <w:color w:val="000000" w:themeColor="text1"/>
          <w:sz w:val="24"/>
          <w:szCs w:val="24"/>
          <w:shd w:val="clear" w:color="auto" w:fill="FFFFFF"/>
        </w:rPr>
      </w:pPr>
    </w:p>
    <w:p w14:paraId="5EDC2836" w14:textId="77777777" w:rsidR="00C42909" w:rsidRDefault="00C42909">
      <w:pPr>
        <w:rPr>
          <w:rStyle w:val="eop"/>
          <w:rFonts w:ascii="Arial" w:hAnsi="Arial" w:cs="Arial"/>
          <w:color w:val="000000" w:themeColor="text1"/>
          <w:sz w:val="24"/>
          <w:szCs w:val="24"/>
          <w:shd w:val="clear" w:color="auto" w:fill="FFFFFF"/>
        </w:rPr>
      </w:pPr>
    </w:p>
    <w:p w14:paraId="69C69077" w14:textId="77777777" w:rsidR="00C42909" w:rsidRDefault="00C42909">
      <w:pPr>
        <w:rPr>
          <w:rStyle w:val="eop"/>
          <w:rFonts w:ascii="Arial" w:hAnsi="Arial" w:cs="Arial"/>
          <w:color w:val="000000" w:themeColor="text1"/>
          <w:sz w:val="24"/>
          <w:szCs w:val="24"/>
          <w:shd w:val="clear" w:color="auto" w:fill="FFFFFF"/>
        </w:rPr>
      </w:pPr>
    </w:p>
    <w:p w14:paraId="1E81E0DC" w14:textId="77777777" w:rsidR="00C42909" w:rsidRDefault="00C42909">
      <w:pPr>
        <w:rPr>
          <w:rStyle w:val="eop"/>
          <w:rFonts w:ascii="Arial" w:hAnsi="Arial" w:cs="Arial"/>
          <w:color w:val="000000" w:themeColor="text1"/>
          <w:sz w:val="24"/>
          <w:szCs w:val="24"/>
          <w:shd w:val="clear" w:color="auto" w:fill="FFFFFF"/>
        </w:rPr>
      </w:pPr>
    </w:p>
    <w:p w14:paraId="3B98C0C2" w14:textId="77777777" w:rsidR="00C42909" w:rsidRDefault="00C42909">
      <w:pPr>
        <w:rPr>
          <w:rStyle w:val="eop"/>
          <w:rFonts w:ascii="Arial" w:hAnsi="Arial" w:cs="Arial"/>
          <w:color w:val="000000" w:themeColor="text1"/>
          <w:sz w:val="24"/>
          <w:szCs w:val="24"/>
          <w:shd w:val="clear" w:color="auto" w:fill="FFFFFF"/>
        </w:rPr>
      </w:pPr>
    </w:p>
    <w:p w14:paraId="037D6BEE" w14:textId="77777777" w:rsidR="00C42909" w:rsidRDefault="00C42909">
      <w:pPr>
        <w:rPr>
          <w:rStyle w:val="eop"/>
          <w:rFonts w:ascii="Arial" w:hAnsi="Arial" w:cs="Arial"/>
          <w:color w:val="000000" w:themeColor="text1"/>
          <w:sz w:val="24"/>
          <w:szCs w:val="24"/>
          <w:shd w:val="clear" w:color="auto" w:fill="FFFFFF"/>
        </w:rPr>
      </w:pPr>
    </w:p>
    <w:p w14:paraId="52482909" w14:textId="77777777" w:rsidR="00C42909" w:rsidRDefault="00C42909">
      <w:pPr>
        <w:rPr>
          <w:rStyle w:val="eop"/>
          <w:rFonts w:ascii="Arial" w:hAnsi="Arial" w:cs="Arial"/>
          <w:color w:val="000000" w:themeColor="text1"/>
          <w:sz w:val="24"/>
          <w:szCs w:val="24"/>
          <w:shd w:val="clear" w:color="auto" w:fill="FFFFFF"/>
        </w:rPr>
      </w:pPr>
    </w:p>
    <w:p w14:paraId="0148CC67" w14:textId="77777777" w:rsidR="00C42909" w:rsidRDefault="00C42909">
      <w:pPr>
        <w:rPr>
          <w:rStyle w:val="eop"/>
          <w:rFonts w:ascii="Arial" w:hAnsi="Arial" w:cs="Arial"/>
          <w:color w:val="000000" w:themeColor="text1"/>
          <w:sz w:val="24"/>
          <w:szCs w:val="24"/>
          <w:shd w:val="clear" w:color="auto" w:fill="FFFFFF"/>
        </w:rPr>
      </w:pPr>
    </w:p>
    <w:p w14:paraId="14B67A32" w14:textId="77777777" w:rsidR="00C42909" w:rsidRDefault="00C42909">
      <w:pPr>
        <w:rPr>
          <w:rStyle w:val="eop"/>
          <w:rFonts w:ascii="Arial" w:hAnsi="Arial" w:cs="Arial"/>
          <w:color w:val="000000" w:themeColor="text1"/>
          <w:sz w:val="24"/>
          <w:szCs w:val="24"/>
          <w:shd w:val="clear" w:color="auto" w:fill="FFFFFF"/>
        </w:rPr>
      </w:pPr>
    </w:p>
    <w:p w14:paraId="76042F1D" w14:textId="77777777" w:rsidR="00C42909" w:rsidRDefault="00C42909">
      <w:pPr>
        <w:rPr>
          <w:rStyle w:val="eop"/>
          <w:rFonts w:ascii="Arial" w:hAnsi="Arial" w:cs="Arial"/>
          <w:color w:val="000000" w:themeColor="text1"/>
          <w:sz w:val="24"/>
          <w:szCs w:val="24"/>
          <w:shd w:val="clear" w:color="auto" w:fill="FFFFFF"/>
        </w:rPr>
      </w:pPr>
    </w:p>
    <w:p w14:paraId="519F44B8" w14:textId="77777777" w:rsidR="00C42909" w:rsidRDefault="00C42909">
      <w:pPr>
        <w:rPr>
          <w:rStyle w:val="eop"/>
          <w:rFonts w:ascii="Arial" w:hAnsi="Arial" w:cs="Arial"/>
          <w:color w:val="000000" w:themeColor="text1"/>
          <w:sz w:val="24"/>
          <w:szCs w:val="24"/>
          <w:shd w:val="clear" w:color="auto" w:fill="FFFFFF"/>
        </w:rPr>
      </w:pPr>
    </w:p>
    <w:p w14:paraId="5FE24DF6" w14:textId="77777777" w:rsidR="00C42909" w:rsidRDefault="00C42909">
      <w:pPr>
        <w:rPr>
          <w:rStyle w:val="eop"/>
          <w:rFonts w:ascii="Arial" w:hAnsi="Arial" w:cs="Arial"/>
          <w:color w:val="000000" w:themeColor="text1"/>
          <w:sz w:val="24"/>
          <w:szCs w:val="24"/>
          <w:shd w:val="clear" w:color="auto" w:fill="FFFFFF"/>
        </w:rPr>
      </w:pPr>
    </w:p>
    <w:p w14:paraId="2D3D02C3" w14:textId="77777777" w:rsidR="00C42909" w:rsidRDefault="00C42909">
      <w:pPr>
        <w:rPr>
          <w:rStyle w:val="eop"/>
          <w:rFonts w:ascii="Arial" w:hAnsi="Arial" w:cs="Arial"/>
          <w:color w:val="000000" w:themeColor="text1"/>
          <w:sz w:val="24"/>
          <w:szCs w:val="24"/>
          <w:shd w:val="clear" w:color="auto" w:fill="FFFFFF"/>
        </w:rPr>
      </w:pPr>
    </w:p>
    <w:p w14:paraId="42F53DFB" w14:textId="77777777" w:rsidR="00C42909" w:rsidRDefault="00C42909">
      <w:pPr>
        <w:rPr>
          <w:rStyle w:val="eop"/>
          <w:rFonts w:ascii="Arial" w:hAnsi="Arial" w:cs="Arial"/>
          <w:color w:val="000000" w:themeColor="text1"/>
          <w:sz w:val="24"/>
          <w:szCs w:val="24"/>
          <w:shd w:val="clear" w:color="auto" w:fill="FFFFFF"/>
        </w:rPr>
      </w:pPr>
    </w:p>
    <w:p w14:paraId="1E8BAD61" w14:textId="77777777" w:rsidR="00C42909" w:rsidRDefault="00C42909">
      <w:pPr>
        <w:rPr>
          <w:rStyle w:val="eop"/>
          <w:rFonts w:ascii="Arial" w:hAnsi="Arial" w:cs="Arial"/>
          <w:color w:val="000000" w:themeColor="text1"/>
          <w:sz w:val="24"/>
          <w:szCs w:val="24"/>
          <w:shd w:val="clear" w:color="auto" w:fill="FFFFFF"/>
        </w:rPr>
      </w:pPr>
    </w:p>
    <w:p w14:paraId="2DFF6C25" w14:textId="77777777" w:rsidR="00C42909" w:rsidRDefault="00C42909">
      <w:pPr>
        <w:rPr>
          <w:rStyle w:val="eop"/>
          <w:rFonts w:ascii="Arial" w:hAnsi="Arial" w:cs="Arial"/>
          <w:color w:val="000000" w:themeColor="text1"/>
          <w:sz w:val="24"/>
          <w:szCs w:val="24"/>
          <w:shd w:val="clear" w:color="auto" w:fill="FFFFFF"/>
        </w:rPr>
      </w:pPr>
    </w:p>
    <w:p w14:paraId="6B718DD9" w14:textId="77777777" w:rsidR="00C42909" w:rsidRDefault="00C42909">
      <w:pPr>
        <w:rPr>
          <w:rStyle w:val="eop"/>
          <w:rFonts w:ascii="Arial" w:hAnsi="Arial" w:cs="Arial"/>
          <w:color w:val="000000" w:themeColor="text1"/>
          <w:sz w:val="24"/>
          <w:szCs w:val="24"/>
          <w:shd w:val="clear" w:color="auto" w:fill="FFFFFF"/>
        </w:rPr>
      </w:pPr>
    </w:p>
    <w:p w14:paraId="20C42EF3" w14:textId="77777777" w:rsidR="00C42909" w:rsidRDefault="00C42909">
      <w:pPr>
        <w:rPr>
          <w:rStyle w:val="eop"/>
          <w:rFonts w:ascii="Arial" w:hAnsi="Arial" w:cs="Arial"/>
          <w:color w:val="000000" w:themeColor="text1"/>
          <w:sz w:val="24"/>
          <w:szCs w:val="24"/>
          <w:shd w:val="clear" w:color="auto" w:fill="FFFFFF"/>
        </w:rPr>
      </w:pPr>
    </w:p>
    <w:p w14:paraId="2AE846C8" w14:textId="77777777" w:rsidR="00C42909" w:rsidRDefault="00C42909">
      <w:pPr>
        <w:rPr>
          <w:rStyle w:val="eop"/>
          <w:rFonts w:ascii="Arial" w:hAnsi="Arial" w:cs="Arial"/>
          <w:color w:val="000000" w:themeColor="text1"/>
          <w:sz w:val="24"/>
          <w:szCs w:val="24"/>
          <w:shd w:val="clear" w:color="auto" w:fill="FFFFFF"/>
        </w:rPr>
      </w:pPr>
    </w:p>
    <w:p w14:paraId="3B48D569" w14:textId="77777777" w:rsidR="00C42909" w:rsidRDefault="00C42909">
      <w:pPr>
        <w:rPr>
          <w:rStyle w:val="eop"/>
          <w:rFonts w:ascii="Arial" w:hAnsi="Arial" w:cs="Arial"/>
          <w:color w:val="000000" w:themeColor="text1"/>
          <w:sz w:val="24"/>
          <w:szCs w:val="24"/>
          <w:shd w:val="clear" w:color="auto" w:fill="FFFFFF"/>
        </w:rPr>
      </w:pPr>
    </w:p>
    <w:p w14:paraId="71115CF9" w14:textId="77777777" w:rsidR="00C42909" w:rsidRDefault="00C42909">
      <w:pPr>
        <w:rPr>
          <w:rStyle w:val="eop"/>
          <w:rFonts w:ascii="Arial" w:hAnsi="Arial" w:cs="Arial"/>
          <w:color w:val="000000" w:themeColor="text1"/>
          <w:sz w:val="24"/>
          <w:szCs w:val="24"/>
          <w:shd w:val="clear" w:color="auto" w:fill="FFFFFF"/>
        </w:rPr>
      </w:pPr>
    </w:p>
    <w:p w14:paraId="2D119137" w14:textId="77777777" w:rsidR="00C42909" w:rsidRDefault="00C42909">
      <w:pPr>
        <w:rPr>
          <w:rStyle w:val="eop"/>
          <w:rFonts w:ascii="Arial" w:hAnsi="Arial" w:cs="Arial"/>
          <w:color w:val="000000" w:themeColor="text1"/>
          <w:sz w:val="24"/>
          <w:szCs w:val="24"/>
          <w:shd w:val="clear" w:color="auto" w:fill="FFFFFF"/>
        </w:rPr>
      </w:pPr>
    </w:p>
    <w:p w14:paraId="5E6596CA" w14:textId="48EFEBC0" w:rsidR="000C00C5" w:rsidRPr="00531456" w:rsidRDefault="005D4A7E">
      <w:pPr>
        <w:rPr>
          <w:rStyle w:val="normaltextrun"/>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shd w:val="clear" w:color="auto" w:fill="FFFFFF"/>
        </w:rPr>
        <w:lastRenderedPageBreak/>
        <w:t xml:space="preserve">CASE LIST </w:t>
      </w:r>
      <w:r w:rsidRPr="00531456">
        <w:rPr>
          <w:rStyle w:val="eop"/>
          <w:rFonts w:ascii="Arial" w:hAnsi="Arial" w:cs="Arial"/>
          <w:color w:val="000000" w:themeColor="text1"/>
          <w:sz w:val="24"/>
          <w:szCs w:val="24"/>
          <w:shd w:val="clear" w:color="auto" w:fill="FFFFFF"/>
        </w:rPr>
        <w:t> </w:t>
      </w:r>
    </w:p>
    <w:p w14:paraId="1C00AA82" w14:textId="52FD95B5" w:rsidR="00C42909" w:rsidRPr="00531456" w:rsidRDefault="000C00C5">
      <w:pPr>
        <w:rPr>
          <w:rStyle w:val="eop"/>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shd w:val="clear" w:color="auto" w:fill="FFFFFF"/>
        </w:rPr>
        <w:t xml:space="preserve">Gillick v West Norfolk &amp; Wisbeck Area Health Authority,1986 [ AC 112] </w:t>
      </w:r>
      <w:hyperlink r:id="rId7" w:tgtFrame="_blank" w:history="1">
        <w:r w:rsidRPr="00531456">
          <w:rPr>
            <w:rStyle w:val="normaltextrun"/>
            <w:rFonts w:ascii="Arial" w:hAnsi="Arial" w:cs="Arial"/>
            <w:color w:val="000000" w:themeColor="text1"/>
            <w:sz w:val="24"/>
            <w:szCs w:val="24"/>
            <w:shd w:val="clear" w:color="auto" w:fill="FFFFFF"/>
          </w:rPr>
          <w:t>https://lawprof.co/criminal-law/general-part-cases/gillick-v-west-norfolk-and-wisbech-aha-1986-ac-112-1986-crim-l-r-113/</w:t>
        </w:r>
      </w:hyperlink>
      <w:r w:rsidRPr="00531456">
        <w:rPr>
          <w:rStyle w:val="eop"/>
          <w:rFonts w:ascii="Arial" w:hAnsi="Arial" w:cs="Arial"/>
          <w:color w:val="000000" w:themeColor="text1"/>
          <w:sz w:val="24"/>
          <w:szCs w:val="24"/>
          <w:shd w:val="clear" w:color="auto" w:fill="FFFFFF"/>
        </w:rPr>
        <w:t> </w:t>
      </w:r>
    </w:p>
    <w:p w14:paraId="3622A883" w14:textId="0B730F13" w:rsidR="005D4A7E" w:rsidRPr="00531456" w:rsidRDefault="005D4A7E">
      <w:pPr>
        <w:rPr>
          <w:rStyle w:val="eop"/>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shd w:val="clear" w:color="auto" w:fill="FFFFFF"/>
        </w:rPr>
        <w:t xml:space="preserve">Montgomery v Lanarkshire Health Board,2015 [UKSC 11] </w:t>
      </w:r>
      <w:hyperlink r:id="rId8" w:tgtFrame="_blank" w:history="1">
        <w:r w:rsidRPr="00531456">
          <w:rPr>
            <w:rStyle w:val="normaltextrun"/>
            <w:rFonts w:ascii="Arial" w:hAnsi="Arial" w:cs="Arial"/>
            <w:color w:val="000000" w:themeColor="text1"/>
            <w:sz w:val="24"/>
            <w:szCs w:val="24"/>
            <w:shd w:val="clear" w:color="auto" w:fill="FFFFFF"/>
          </w:rPr>
          <w:t>https://www.supremecourt.uk/cases/uksc-2013-0136.html</w:t>
        </w:r>
      </w:hyperlink>
      <w:r w:rsidRPr="00531456">
        <w:rPr>
          <w:rStyle w:val="eop"/>
          <w:rFonts w:ascii="Arial" w:hAnsi="Arial" w:cs="Arial"/>
          <w:color w:val="000000" w:themeColor="text1"/>
          <w:sz w:val="24"/>
          <w:szCs w:val="24"/>
          <w:shd w:val="clear" w:color="auto" w:fill="FFFFFF"/>
        </w:rPr>
        <w:t> </w:t>
      </w:r>
    </w:p>
    <w:p w14:paraId="5E3C55B6" w14:textId="635C6063" w:rsidR="009867C3" w:rsidRPr="00531456" w:rsidRDefault="009867C3">
      <w:pPr>
        <w:rPr>
          <w:rStyle w:val="eop"/>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shd w:val="clear" w:color="auto" w:fill="FFFFFF"/>
        </w:rPr>
        <w:t xml:space="preserve">R v Brown,1993 [2 All ER 75] </w:t>
      </w:r>
      <w:hyperlink r:id="rId9" w:history="1">
        <w:r w:rsidR="0030061B" w:rsidRPr="00531456">
          <w:rPr>
            <w:rStyle w:val="Hyperlink"/>
            <w:rFonts w:ascii="Arial" w:hAnsi="Arial" w:cs="Arial"/>
            <w:color w:val="000000" w:themeColor="text1"/>
            <w:sz w:val="24"/>
            <w:szCs w:val="24"/>
            <w:shd w:val="clear" w:color="auto" w:fill="FFFFFF"/>
          </w:rPr>
          <w:t>http://www.e-lawresources.co.uk/cases/R-v-Brown-1993.php</w:t>
        </w:r>
      </w:hyperlink>
      <w:r w:rsidRPr="00531456">
        <w:rPr>
          <w:rStyle w:val="eop"/>
          <w:rFonts w:ascii="Arial" w:hAnsi="Arial" w:cs="Arial"/>
          <w:color w:val="000000" w:themeColor="text1"/>
          <w:sz w:val="24"/>
          <w:szCs w:val="24"/>
          <w:shd w:val="clear" w:color="auto" w:fill="FFFFFF"/>
        </w:rPr>
        <w:t> </w:t>
      </w:r>
    </w:p>
    <w:p w14:paraId="587A5278" w14:textId="46E116F8" w:rsidR="0030061B" w:rsidRPr="00531456" w:rsidRDefault="0030061B">
      <w:pPr>
        <w:rPr>
          <w:rStyle w:val="normaltextrun"/>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shd w:val="clear" w:color="auto" w:fill="FFFFFF"/>
        </w:rPr>
        <w:t xml:space="preserve">R v. Donovan ,1934 [2 KB 498] </w:t>
      </w:r>
      <w:hyperlink r:id="rId10" w:history="1">
        <w:r w:rsidR="00C33E15" w:rsidRPr="00531456">
          <w:rPr>
            <w:rStyle w:val="Hyperlink"/>
            <w:rFonts w:ascii="Arial" w:hAnsi="Arial" w:cs="Arial"/>
            <w:color w:val="000000" w:themeColor="text1"/>
            <w:sz w:val="24"/>
            <w:szCs w:val="24"/>
            <w:shd w:val="clear" w:color="auto" w:fill="FFFFFF"/>
          </w:rPr>
          <w:t>https://www.lawteacher.net/cases/r-v-donovan.php</w:t>
        </w:r>
      </w:hyperlink>
    </w:p>
    <w:p w14:paraId="597D152B" w14:textId="204F56B2" w:rsidR="00C33E15" w:rsidRPr="00531456" w:rsidRDefault="00C33E15">
      <w:pPr>
        <w:rPr>
          <w:rStyle w:val="eop"/>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shd w:val="clear" w:color="auto" w:fill="FFFFFF"/>
        </w:rPr>
        <w:t xml:space="preserve">R v Rolfe, 1952 [ 36 Cr App R 4] </w:t>
      </w:r>
      <w:hyperlink r:id="rId11" w:history="1">
        <w:r w:rsidRPr="00531456">
          <w:rPr>
            <w:rStyle w:val="Hyperlink"/>
            <w:rFonts w:ascii="Arial" w:hAnsi="Arial" w:cs="Arial"/>
            <w:color w:val="000000" w:themeColor="text1"/>
            <w:sz w:val="24"/>
            <w:szCs w:val="24"/>
            <w:shd w:val="clear" w:color="auto" w:fill="FFFFFF"/>
          </w:rPr>
          <w:t>https://ipsaloquitur.com/criminal-law/cases/r-v-rolfe-kenneth/</w:t>
        </w:r>
      </w:hyperlink>
      <w:r w:rsidRPr="00531456">
        <w:rPr>
          <w:rStyle w:val="eop"/>
          <w:rFonts w:ascii="Arial" w:hAnsi="Arial" w:cs="Arial"/>
          <w:color w:val="000000" w:themeColor="text1"/>
          <w:sz w:val="24"/>
          <w:szCs w:val="24"/>
          <w:shd w:val="clear" w:color="auto" w:fill="FFFFFF"/>
        </w:rPr>
        <w:t> </w:t>
      </w:r>
    </w:p>
    <w:p w14:paraId="3AA068E1" w14:textId="5B1275DF" w:rsidR="00C33E15" w:rsidRPr="00531456" w:rsidRDefault="00C33E15">
      <w:pPr>
        <w:rPr>
          <w:rStyle w:val="eop"/>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shd w:val="clear" w:color="auto" w:fill="FFFFFF"/>
        </w:rPr>
        <w:t xml:space="preserve">R v Wilson,1996 [2 Cr. App. R. 241] </w:t>
      </w:r>
      <w:hyperlink r:id="rId12" w:history="1">
        <w:r w:rsidR="004201F6" w:rsidRPr="00531456">
          <w:rPr>
            <w:rStyle w:val="Hyperlink"/>
            <w:rFonts w:ascii="Arial" w:hAnsi="Arial" w:cs="Arial"/>
            <w:color w:val="000000" w:themeColor="text1"/>
            <w:sz w:val="24"/>
            <w:szCs w:val="24"/>
            <w:shd w:val="clear" w:color="auto" w:fill="FFFFFF"/>
          </w:rPr>
          <w:t>https://www.lawteacher.net/cases/r-v-wilson.php</w:t>
        </w:r>
      </w:hyperlink>
      <w:r w:rsidRPr="00531456">
        <w:rPr>
          <w:rStyle w:val="eop"/>
          <w:rFonts w:ascii="Arial" w:hAnsi="Arial" w:cs="Arial"/>
          <w:color w:val="000000" w:themeColor="text1"/>
          <w:sz w:val="24"/>
          <w:szCs w:val="24"/>
          <w:shd w:val="clear" w:color="auto" w:fill="FFFFFF"/>
        </w:rPr>
        <w:t> </w:t>
      </w:r>
    </w:p>
    <w:p w14:paraId="01FF7EAF" w14:textId="77777777" w:rsidR="004201F6" w:rsidRPr="00531456" w:rsidRDefault="004201F6" w:rsidP="004201F6">
      <w:pPr>
        <w:pStyle w:val="paragraph"/>
        <w:spacing w:before="0" w:beforeAutospacing="0" w:after="0" w:afterAutospacing="0"/>
        <w:textAlignment w:val="baseline"/>
        <w:rPr>
          <w:rFonts w:ascii="Arial" w:hAnsi="Arial" w:cs="Arial"/>
          <w:color w:val="000000" w:themeColor="text1"/>
        </w:rPr>
      </w:pPr>
      <w:r w:rsidRPr="00531456">
        <w:rPr>
          <w:rStyle w:val="normaltextrun"/>
          <w:rFonts w:ascii="Arial" w:eastAsiaTheme="minorEastAsia" w:hAnsi="Arial" w:cs="Arial"/>
          <w:color w:val="000000" w:themeColor="text1"/>
        </w:rPr>
        <w:t>W v. M, 2011 [EWHC 2443]</w:t>
      </w:r>
      <w:r w:rsidRPr="00531456">
        <w:rPr>
          <w:rStyle w:val="eop"/>
          <w:rFonts w:ascii="Arial" w:hAnsi="Arial" w:cs="Arial"/>
          <w:color w:val="000000" w:themeColor="text1"/>
        </w:rPr>
        <w:t> </w:t>
      </w:r>
    </w:p>
    <w:p w14:paraId="41ABA543" w14:textId="77777777" w:rsidR="004201F6" w:rsidRPr="00531456" w:rsidRDefault="004201F6" w:rsidP="004201F6">
      <w:pPr>
        <w:pStyle w:val="paragraph"/>
        <w:spacing w:before="0" w:beforeAutospacing="0" w:after="0" w:afterAutospacing="0"/>
        <w:textAlignment w:val="baseline"/>
        <w:rPr>
          <w:rFonts w:ascii="Arial" w:hAnsi="Arial" w:cs="Arial"/>
          <w:color w:val="000000" w:themeColor="text1"/>
        </w:rPr>
      </w:pPr>
      <w:r w:rsidRPr="00531456">
        <w:rPr>
          <w:rStyle w:val="normaltextrun"/>
          <w:rFonts w:ascii="Arial" w:eastAsiaTheme="minorEastAsia" w:hAnsi="Arial" w:cs="Arial"/>
          <w:color w:val="000000" w:themeColor="text1"/>
        </w:rPr>
        <w:t>https://www.mentalhealthlaw.co.uk/Re_M;_W_v_M_(2011)_EWHC_2443_(COP)</w:t>
      </w:r>
      <w:r w:rsidRPr="00531456">
        <w:rPr>
          <w:rStyle w:val="eop"/>
          <w:rFonts w:ascii="Arial" w:hAnsi="Arial" w:cs="Arial"/>
          <w:color w:val="000000" w:themeColor="text1"/>
        </w:rPr>
        <w:t> </w:t>
      </w:r>
    </w:p>
    <w:p w14:paraId="324E151D" w14:textId="77777777" w:rsidR="004201F6" w:rsidRPr="00531456" w:rsidRDefault="004201F6">
      <w:pPr>
        <w:rPr>
          <w:rFonts w:ascii="Arial" w:hAnsi="Arial" w:cs="Arial"/>
          <w:color w:val="000000" w:themeColor="text1"/>
          <w:sz w:val="24"/>
          <w:szCs w:val="24"/>
        </w:rPr>
      </w:pPr>
    </w:p>
    <w:p w14:paraId="7AEFEF1F" w14:textId="35D52463" w:rsidR="00305FAD" w:rsidRPr="00531456" w:rsidRDefault="00305FAD">
      <w:pPr>
        <w:rPr>
          <w:rFonts w:ascii="Arial" w:hAnsi="Arial" w:cs="Arial"/>
          <w:color w:val="000000" w:themeColor="text1"/>
          <w:sz w:val="24"/>
          <w:szCs w:val="24"/>
        </w:rPr>
      </w:pPr>
      <w:r w:rsidRPr="00531456">
        <w:rPr>
          <w:rFonts w:ascii="Arial" w:hAnsi="Arial" w:cs="Arial"/>
          <w:color w:val="000000" w:themeColor="text1"/>
          <w:sz w:val="24"/>
          <w:szCs w:val="24"/>
        </w:rPr>
        <w:t>REFERENCE LIST</w:t>
      </w:r>
    </w:p>
    <w:p w14:paraId="3860C992" w14:textId="7A149CD6" w:rsidR="00673AEC" w:rsidRPr="00531456" w:rsidRDefault="00673AEC">
      <w:pPr>
        <w:rPr>
          <w:rStyle w:val="normaltextrun"/>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shd w:val="clear" w:color="auto" w:fill="FFFFFF"/>
        </w:rPr>
        <w:t>Child, J. (John J.), Ormerod, D., &amp; Smith, J. C. (John C. (2021). </w:t>
      </w:r>
      <w:r w:rsidRPr="00914493">
        <w:rPr>
          <w:rStyle w:val="normaltextrun"/>
          <w:rFonts w:ascii="Arial" w:hAnsi="Arial" w:cs="Arial"/>
          <w:color w:val="000000" w:themeColor="text1"/>
          <w:sz w:val="24"/>
          <w:szCs w:val="24"/>
          <w:shd w:val="clear" w:color="auto" w:fill="FFFFFF"/>
        </w:rPr>
        <w:t xml:space="preserve">Smith, Hogan, and Ormerod’s </w:t>
      </w:r>
      <w:r w:rsidR="00404CE8" w:rsidRPr="00914493">
        <w:rPr>
          <w:rStyle w:val="normaltextrun"/>
          <w:rFonts w:ascii="Arial" w:hAnsi="Arial" w:cs="Arial"/>
          <w:color w:val="000000" w:themeColor="text1"/>
          <w:sz w:val="24"/>
          <w:szCs w:val="24"/>
          <w:shd w:val="clear" w:color="auto" w:fill="FFFFFF"/>
        </w:rPr>
        <w:t>Essentials</w:t>
      </w:r>
      <w:r w:rsidRPr="00914493">
        <w:rPr>
          <w:rStyle w:val="normaltextrun"/>
          <w:rFonts w:ascii="Arial" w:hAnsi="Arial" w:cs="Arial"/>
          <w:color w:val="000000" w:themeColor="text1"/>
          <w:sz w:val="24"/>
          <w:szCs w:val="24"/>
          <w:shd w:val="clear" w:color="auto" w:fill="FFFFFF"/>
        </w:rPr>
        <w:t xml:space="preserve"> of </w:t>
      </w:r>
      <w:r w:rsidR="00404CE8" w:rsidRPr="00914493">
        <w:rPr>
          <w:rStyle w:val="normaltextrun"/>
          <w:rFonts w:ascii="Arial" w:hAnsi="Arial" w:cs="Arial"/>
          <w:color w:val="000000" w:themeColor="text1"/>
          <w:sz w:val="24"/>
          <w:szCs w:val="24"/>
          <w:shd w:val="clear" w:color="auto" w:fill="FFFFFF"/>
        </w:rPr>
        <w:t>Criminal Law</w:t>
      </w:r>
      <w:r w:rsidRPr="00914493">
        <w:rPr>
          <w:rStyle w:val="normaltextrun"/>
          <w:rFonts w:ascii="Arial" w:hAnsi="Arial" w:cs="Arial"/>
          <w:color w:val="000000" w:themeColor="text1"/>
          <w:sz w:val="24"/>
          <w:szCs w:val="24"/>
          <w:shd w:val="clear" w:color="auto" w:fill="FFFFFF"/>
        </w:rPr>
        <w:t> </w:t>
      </w:r>
      <w:r w:rsidRPr="00531456">
        <w:rPr>
          <w:rStyle w:val="normaltextrun"/>
          <w:rFonts w:ascii="Arial" w:hAnsi="Arial" w:cs="Arial"/>
          <w:color w:val="000000" w:themeColor="text1"/>
          <w:sz w:val="24"/>
          <w:szCs w:val="24"/>
          <w:shd w:val="clear" w:color="auto" w:fill="FFFFFF"/>
        </w:rPr>
        <w:t>(Fourth edition.). Oxford University Press.</w:t>
      </w:r>
    </w:p>
    <w:p w14:paraId="225FE8C4" w14:textId="16727D46" w:rsidR="00595D3B" w:rsidRPr="00531456" w:rsidRDefault="00595D3B">
      <w:pPr>
        <w:rPr>
          <w:rStyle w:val="eop"/>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rPr>
        <w:t xml:space="preserve">Criminal Justice Act 1988, s. 39. </w:t>
      </w:r>
      <w:hyperlink r:id="rId13" w:history="1">
        <w:r w:rsidR="00BC4C66" w:rsidRPr="00531456">
          <w:rPr>
            <w:rStyle w:val="Hyperlink"/>
            <w:rFonts w:ascii="Arial" w:hAnsi="Arial" w:cs="Arial"/>
            <w:color w:val="000000" w:themeColor="text1"/>
            <w:sz w:val="24"/>
            <w:szCs w:val="24"/>
          </w:rPr>
          <w:t>https://www.legislation.gov.uk/ukpga/1988/33/section/39</w:t>
        </w:r>
      </w:hyperlink>
      <w:r w:rsidRPr="00531456">
        <w:rPr>
          <w:rStyle w:val="eop"/>
          <w:rFonts w:ascii="Arial" w:hAnsi="Arial" w:cs="Arial"/>
          <w:color w:val="000000" w:themeColor="text1"/>
          <w:sz w:val="24"/>
          <w:szCs w:val="24"/>
          <w:shd w:val="clear" w:color="auto" w:fill="FFFFFF"/>
        </w:rPr>
        <w:t> </w:t>
      </w:r>
    </w:p>
    <w:p w14:paraId="0B95F7E8" w14:textId="275C01B5" w:rsidR="00BC4C66" w:rsidRPr="00531456" w:rsidRDefault="00BC4C66">
      <w:pPr>
        <w:rPr>
          <w:rStyle w:val="eop"/>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rPr>
        <w:t xml:space="preserve">Herring, J. (2019). Criminal </w:t>
      </w:r>
      <w:r w:rsidR="00404CE8">
        <w:rPr>
          <w:rStyle w:val="normaltextrun"/>
          <w:rFonts w:ascii="Arial" w:hAnsi="Arial" w:cs="Arial"/>
          <w:color w:val="000000" w:themeColor="text1"/>
          <w:sz w:val="24"/>
          <w:szCs w:val="24"/>
        </w:rPr>
        <w:t>Law</w:t>
      </w:r>
      <w:r w:rsidRPr="00531456">
        <w:rPr>
          <w:rStyle w:val="normaltextrun"/>
          <w:rFonts w:ascii="Arial" w:hAnsi="Arial" w:cs="Arial"/>
          <w:color w:val="000000" w:themeColor="text1"/>
          <w:sz w:val="24"/>
          <w:szCs w:val="24"/>
        </w:rPr>
        <w:t> (Eleventh edition) Macmillan Law Masters</w:t>
      </w:r>
      <w:r w:rsidRPr="00531456">
        <w:rPr>
          <w:rStyle w:val="eop"/>
          <w:rFonts w:ascii="Arial" w:hAnsi="Arial" w:cs="Arial"/>
          <w:color w:val="000000" w:themeColor="text1"/>
          <w:sz w:val="24"/>
          <w:szCs w:val="24"/>
          <w:shd w:val="clear" w:color="auto" w:fill="FFFFFF"/>
        </w:rPr>
        <w:t> </w:t>
      </w:r>
    </w:p>
    <w:p w14:paraId="42614316" w14:textId="5B110024" w:rsidR="002F1F94" w:rsidRPr="00531456" w:rsidRDefault="002F1F94">
      <w:pPr>
        <w:rPr>
          <w:rStyle w:val="eop"/>
          <w:rFonts w:ascii="Arial" w:hAnsi="Arial" w:cs="Arial"/>
          <w:color w:val="000000" w:themeColor="text1"/>
          <w:sz w:val="24"/>
          <w:szCs w:val="24"/>
          <w:shd w:val="clear" w:color="auto" w:fill="FFFFFF"/>
        </w:rPr>
      </w:pPr>
      <w:r w:rsidRPr="00531456">
        <w:rPr>
          <w:rStyle w:val="normaltextrun"/>
          <w:rFonts w:ascii="Arial" w:hAnsi="Arial" w:cs="Arial"/>
          <w:color w:val="000000" w:themeColor="text1"/>
          <w:sz w:val="24"/>
          <w:szCs w:val="24"/>
        </w:rPr>
        <w:t xml:space="preserve">Mental Capacity Act 2005 </w:t>
      </w:r>
      <w:hyperlink r:id="rId14" w:tgtFrame="_blank" w:history="1">
        <w:r w:rsidRPr="00531456">
          <w:rPr>
            <w:rStyle w:val="normaltextrun"/>
            <w:rFonts w:ascii="Arial" w:hAnsi="Arial" w:cs="Arial"/>
            <w:color w:val="000000" w:themeColor="text1"/>
            <w:sz w:val="24"/>
            <w:szCs w:val="24"/>
            <w:u w:val="single"/>
          </w:rPr>
          <w:t>https://www.legislation.gov.uk/ukpga/2005/9/contents</w:t>
        </w:r>
      </w:hyperlink>
      <w:r w:rsidRPr="00531456">
        <w:rPr>
          <w:rStyle w:val="eop"/>
          <w:rFonts w:ascii="Arial" w:hAnsi="Arial" w:cs="Arial"/>
          <w:color w:val="000000" w:themeColor="text1"/>
          <w:sz w:val="24"/>
          <w:szCs w:val="24"/>
          <w:shd w:val="clear" w:color="auto" w:fill="FFFFFF"/>
        </w:rPr>
        <w:t> </w:t>
      </w:r>
    </w:p>
    <w:p w14:paraId="462B83BC" w14:textId="1FF6024E" w:rsidR="00142C35" w:rsidRPr="00531456" w:rsidRDefault="00142C35" w:rsidP="00142C35">
      <w:pPr>
        <w:pStyle w:val="paragraph"/>
        <w:spacing w:before="0" w:beforeAutospacing="0" w:after="0" w:afterAutospacing="0"/>
        <w:textAlignment w:val="baseline"/>
        <w:rPr>
          <w:rFonts w:ascii="Arial" w:hAnsi="Arial" w:cs="Arial"/>
          <w:color w:val="000000" w:themeColor="text1"/>
        </w:rPr>
      </w:pPr>
      <w:r w:rsidRPr="00531456">
        <w:rPr>
          <w:rStyle w:val="normaltextrun"/>
          <w:rFonts w:ascii="Arial" w:eastAsiaTheme="minorEastAsia" w:hAnsi="Arial" w:cs="Arial"/>
          <w:color w:val="000000" w:themeColor="text1"/>
        </w:rPr>
        <w:t xml:space="preserve">NHS 2022 </w:t>
      </w:r>
      <w:r w:rsidR="00404CE8">
        <w:rPr>
          <w:rStyle w:val="normaltextrun"/>
          <w:rFonts w:ascii="Arial" w:eastAsiaTheme="minorEastAsia" w:hAnsi="Arial" w:cs="Arial"/>
          <w:color w:val="000000" w:themeColor="text1"/>
        </w:rPr>
        <w:t xml:space="preserve"> Consent </w:t>
      </w:r>
      <w:r w:rsidR="008A2C9D">
        <w:rPr>
          <w:rStyle w:val="normaltextrun"/>
          <w:rFonts w:ascii="Arial" w:eastAsiaTheme="minorEastAsia" w:hAnsi="Arial" w:cs="Arial"/>
          <w:color w:val="000000" w:themeColor="text1"/>
        </w:rPr>
        <w:t xml:space="preserve">to </w:t>
      </w:r>
      <w:hyperlink r:id="rId15" w:tgtFrame="_blank" w:history="1">
        <w:r w:rsidR="00404CE8">
          <w:rPr>
            <w:rStyle w:val="normaltextrun"/>
            <w:rFonts w:ascii="Arial" w:eastAsiaTheme="minorEastAsia" w:hAnsi="Arial" w:cs="Arial"/>
            <w:color w:val="000000" w:themeColor="text1"/>
          </w:rPr>
          <w:t>Treatment</w:t>
        </w:r>
      </w:hyperlink>
      <w:r w:rsidRPr="00531456">
        <w:rPr>
          <w:rStyle w:val="eop"/>
          <w:rFonts w:ascii="Arial" w:hAnsi="Arial" w:cs="Arial"/>
          <w:color w:val="000000" w:themeColor="text1"/>
        </w:rPr>
        <w:t> </w:t>
      </w:r>
    </w:p>
    <w:p w14:paraId="0E6999FF" w14:textId="77777777" w:rsidR="00142C35" w:rsidRPr="00531456" w:rsidRDefault="00142C35" w:rsidP="00142C35">
      <w:pPr>
        <w:pStyle w:val="paragraph"/>
        <w:spacing w:before="0" w:beforeAutospacing="0" w:after="0" w:afterAutospacing="0"/>
        <w:textAlignment w:val="baseline"/>
        <w:rPr>
          <w:rFonts w:ascii="Arial" w:hAnsi="Arial" w:cs="Arial"/>
          <w:color w:val="000000" w:themeColor="text1"/>
        </w:rPr>
      </w:pPr>
      <w:r w:rsidRPr="00531456">
        <w:rPr>
          <w:rStyle w:val="normaltextrun"/>
          <w:rFonts w:ascii="Arial" w:eastAsiaTheme="minorEastAsia" w:hAnsi="Arial" w:cs="Arial"/>
          <w:color w:val="000000" w:themeColor="text1"/>
        </w:rPr>
        <w:t> </w:t>
      </w:r>
      <w:hyperlink r:id="rId16" w:tgtFrame="_blank" w:history="1">
        <w:r w:rsidRPr="00531456">
          <w:rPr>
            <w:rStyle w:val="normaltextrun"/>
            <w:rFonts w:ascii="Arial" w:eastAsiaTheme="minorEastAsia" w:hAnsi="Arial" w:cs="Arial"/>
            <w:color w:val="000000" w:themeColor="text1"/>
            <w:u w:val="single"/>
          </w:rPr>
          <w:t>https://www.nhs.uk/conditions/consent-to-treatment/children/</w:t>
        </w:r>
      </w:hyperlink>
      <w:r w:rsidRPr="00531456">
        <w:rPr>
          <w:rStyle w:val="eop"/>
          <w:rFonts w:ascii="Arial" w:hAnsi="Arial" w:cs="Arial"/>
          <w:color w:val="000000" w:themeColor="text1"/>
        </w:rPr>
        <w:t> </w:t>
      </w:r>
    </w:p>
    <w:p w14:paraId="0A69FFD1" w14:textId="77777777" w:rsidR="00142C35" w:rsidRPr="00531456" w:rsidRDefault="00142C35" w:rsidP="00142C35">
      <w:pPr>
        <w:pStyle w:val="paragraph"/>
        <w:spacing w:before="0" w:beforeAutospacing="0" w:after="0" w:afterAutospacing="0"/>
        <w:textAlignment w:val="baseline"/>
        <w:rPr>
          <w:rStyle w:val="normaltextrun"/>
          <w:rFonts w:ascii="Arial" w:eastAsiaTheme="minorEastAsia" w:hAnsi="Arial" w:cs="Arial"/>
          <w:color w:val="000000" w:themeColor="text1"/>
        </w:rPr>
      </w:pPr>
    </w:p>
    <w:p w14:paraId="044575D3" w14:textId="497C214D" w:rsidR="00142C35" w:rsidRPr="00531456" w:rsidRDefault="00142C35" w:rsidP="00142C35">
      <w:pPr>
        <w:pStyle w:val="paragraph"/>
        <w:spacing w:before="0" w:beforeAutospacing="0" w:after="0" w:afterAutospacing="0"/>
        <w:textAlignment w:val="baseline"/>
        <w:rPr>
          <w:rFonts w:ascii="Arial" w:hAnsi="Arial" w:cs="Arial"/>
          <w:color w:val="000000" w:themeColor="text1"/>
        </w:rPr>
      </w:pPr>
      <w:r w:rsidRPr="00531456">
        <w:rPr>
          <w:rStyle w:val="normaltextrun"/>
          <w:rFonts w:ascii="Arial" w:eastAsiaTheme="minorEastAsia" w:hAnsi="Arial" w:cs="Arial"/>
          <w:color w:val="000000" w:themeColor="text1"/>
        </w:rPr>
        <w:t xml:space="preserve">NHS 2022 </w:t>
      </w:r>
      <w:r w:rsidR="008A2C9D">
        <w:rPr>
          <w:rStyle w:val="normaltextrun"/>
          <w:rFonts w:ascii="Arial" w:eastAsiaTheme="minorEastAsia" w:hAnsi="Arial" w:cs="Arial"/>
          <w:color w:val="000000" w:themeColor="text1"/>
        </w:rPr>
        <w:t xml:space="preserve">Consent to </w:t>
      </w:r>
      <w:hyperlink r:id="rId17" w:tgtFrame="_blank" w:history="1">
        <w:r w:rsidR="008A2C9D">
          <w:rPr>
            <w:rStyle w:val="normaltextrun"/>
            <w:rFonts w:ascii="Arial" w:eastAsiaTheme="minorEastAsia" w:hAnsi="Arial" w:cs="Arial"/>
            <w:color w:val="000000" w:themeColor="text1"/>
          </w:rPr>
          <w:t>Treatment</w:t>
        </w:r>
      </w:hyperlink>
      <w:r w:rsidRPr="00531456">
        <w:rPr>
          <w:rStyle w:val="eop"/>
          <w:rFonts w:ascii="Arial" w:hAnsi="Arial" w:cs="Arial"/>
          <w:color w:val="000000" w:themeColor="text1"/>
        </w:rPr>
        <w:t> </w:t>
      </w:r>
    </w:p>
    <w:p w14:paraId="77C5DD3E" w14:textId="77777777" w:rsidR="00142C35" w:rsidRPr="00531456" w:rsidRDefault="00142C35" w:rsidP="00142C35">
      <w:pPr>
        <w:pStyle w:val="paragraph"/>
        <w:spacing w:before="0" w:beforeAutospacing="0" w:after="0" w:afterAutospacing="0"/>
        <w:textAlignment w:val="baseline"/>
        <w:rPr>
          <w:rFonts w:ascii="Arial" w:hAnsi="Arial" w:cs="Arial"/>
          <w:color w:val="000000" w:themeColor="text1"/>
        </w:rPr>
      </w:pPr>
      <w:r w:rsidRPr="00531456">
        <w:rPr>
          <w:rStyle w:val="normaltextrun"/>
          <w:rFonts w:ascii="Arial" w:eastAsiaTheme="minorEastAsia" w:hAnsi="Arial" w:cs="Arial"/>
          <w:color w:val="000000" w:themeColor="text1"/>
        </w:rPr>
        <w:t> </w:t>
      </w:r>
      <w:hyperlink r:id="rId18" w:tgtFrame="_blank" w:history="1">
        <w:r w:rsidRPr="00531456">
          <w:rPr>
            <w:rStyle w:val="normaltextrun"/>
            <w:rFonts w:ascii="Arial" w:eastAsiaTheme="minorEastAsia" w:hAnsi="Arial" w:cs="Arial"/>
            <w:color w:val="000000" w:themeColor="text1"/>
            <w:u w:val="single"/>
          </w:rPr>
          <w:t>https://www.nhs.uk/conditions/consent-to-treatment/</w:t>
        </w:r>
      </w:hyperlink>
      <w:r w:rsidRPr="00531456">
        <w:rPr>
          <w:rStyle w:val="eop"/>
          <w:rFonts w:ascii="Arial" w:hAnsi="Arial" w:cs="Arial"/>
          <w:color w:val="000000" w:themeColor="text1"/>
        </w:rPr>
        <w:t> </w:t>
      </w:r>
    </w:p>
    <w:p w14:paraId="5FA23EA6" w14:textId="77777777" w:rsidR="00142C35" w:rsidRPr="00531456" w:rsidRDefault="00142C35">
      <w:pPr>
        <w:rPr>
          <w:rFonts w:ascii="Arial" w:hAnsi="Arial" w:cs="Arial"/>
          <w:color w:val="000000" w:themeColor="text1"/>
          <w:sz w:val="24"/>
          <w:szCs w:val="24"/>
        </w:rPr>
      </w:pPr>
    </w:p>
    <w:p w14:paraId="334BCB9E" w14:textId="77777777" w:rsidR="00CF192D" w:rsidRPr="00531456" w:rsidRDefault="00CF192D" w:rsidP="00CF192D">
      <w:pPr>
        <w:pStyle w:val="paragraph"/>
        <w:spacing w:before="0" w:beforeAutospacing="0" w:after="0" w:afterAutospacing="0"/>
        <w:textAlignment w:val="baseline"/>
        <w:rPr>
          <w:rFonts w:ascii="Arial" w:hAnsi="Arial" w:cs="Arial"/>
          <w:color w:val="000000" w:themeColor="text1"/>
        </w:rPr>
      </w:pPr>
      <w:r w:rsidRPr="00531456">
        <w:rPr>
          <w:rStyle w:val="normaltextrun"/>
          <w:rFonts w:ascii="Arial" w:eastAsiaTheme="minorEastAsia" w:hAnsi="Arial" w:cs="Arial"/>
          <w:color w:val="000000" w:themeColor="text1"/>
        </w:rPr>
        <w:t>Offences Against the Person Act 1861 https://www.legislation.gov.uk/ukpga/Vict/24-25/100/contents</w:t>
      </w:r>
      <w:r w:rsidRPr="00531456">
        <w:rPr>
          <w:rStyle w:val="eop"/>
          <w:rFonts w:ascii="Arial" w:hAnsi="Arial" w:cs="Arial"/>
          <w:color w:val="000000" w:themeColor="text1"/>
        </w:rPr>
        <w:t> </w:t>
      </w:r>
    </w:p>
    <w:p w14:paraId="2A445F85" w14:textId="77777777" w:rsidR="00CF192D" w:rsidRPr="00531456" w:rsidRDefault="00CF192D" w:rsidP="00CF192D">
      <w:pPr>
        <w:pStyle w:val="paragraph"/>
        <w:spacing w:before="0" w:beforeAutospacing="0" w:after="0" w:afterAutospacing="0"/>
        <w:textAlignment w:val="baseline"/>
        <w:rPr>
          <w:rStyle w:val="normaltextrun"/>
          <w:rFonts w:ascii="Arial" w:eastAsiaTheme="minorEastAsia" w:hAnsi="Arial" w:cs="Arial"/>
          <w:color w:val="000000" w:themeColor="text1"/>
        </w:rPr>
      </w:pPr>
    </w:p>
    <w:p w14:paraId="7DCF3872" w14:textId="5711B5C9" w:rsidR="00CF192D" w:rsidRPr="00531456" w:rsidRDefault="00CF192D" w:rsidP="00CF192D">
      <w:pPr>
        <w:pStyle w:val="paragraph"/>
        <w:spacing w:before="0" w:beforeAutospacing="0" w:after="0" w:afterAutospacing="0"/>
        <w:textAlignment w:val="baseline"/>
        <w:rPr>
          <w:rStyle w:val="eop"/>
          <w:rFonts w:ascii="Arial" w:hAnsi="Arial" w:cs="Arial"/>
          <w:color w:val="000000" w:themeColor="text1"/>
        </w:rPr>
      </w:pPr>
      <w:r w:rsidRPr="00531456">
        <w:rPr>
          <w:rStyle w:val="normaltextrun"/>
          <w:rFonts w:ascii="Arial" w:eastAsiaTheme="minorEastAsia" w:hAnsi="Arial" w:cs="Arial"/>
          <w:color w:val="000000" w:themeColor="text1"/>
        </w:rPr>
        <w:t xml:space="preserve">Offences Against the Person Act 1861, s. 47. </w:t>
      </w:r>
      <w:hyperlink r:id="rId19" w:history="1">
        <w:r w:rsidR="00A90928" w:rsidRPr="00531456">
          <w:rPr>
            <w:rStyle w:val="Hyperlink"/>
            <w:rFonts w:ascii="Arial" w:eastAsiaTheme="minorEastAsia" w:hAnsi="Arial" w:cs="Arial"/>
            <w:color w:val="000000" w:themeColor="text1"/>
          </w:rPr>
          <w:t>https://www.legislation.gov.uk/ukpga/Vict/24-25/100/section/47</w:t>
        </w:r>
      </w:hyperlink>
      <w:r w:rsidRPr="00531456">
        <w:rPr>
          <w:rStyle w:val="eop"/>
          <w:rFonts w:ascii="Arial" w:hAnsi="Arial" w:cs="Arial"/>
          <w:color w:val="000000" w:themeColor="text1"/>
        </w:rPr>
        <w:t> </w:t>
      </w:r>
    </w:p>
    <w:p w14:paraId="7192989F" w14:textId="77777777" w:rsidR="00A90928" w:rsidRPr="00531456" w:rsidRDefault="00A90928" w:rsidP="00CF192D">
      <w:pPr>
        <w:pStyle w:val="paragraph"/>
        <w:spacing w:before="0" w:beforeAutospacing="0" w:after="0" w:afterAutospacing="0"/>
        <w:textAlignment w:val="baseline"/>
        <w:rPr>
          <w:rStyle w:val="eop"/>
          <w:rFonts w:ascii="Arial" w:hAnsi="Arial" w:cs="Arial"/>
          <w:color w:val="000000" w:themeColor="text1"/>
        </w:rPr>
      </w:pPr>
    </w:p>
    <w:p w14:paraId="159555F3" w14:textId="3746932C" w:rsidR="0011045D" w:rsidRPr="00531456" w:rsidRDefault="0011045D" w:rsidP="00CF192D">
      <w:pPr>
        <w:pStyle w:val="paragraph"/>
        <w:spacing w:before="0" w:beforeAutospacing="0" w:after="0" w:afterAutospacing="0"/>
        <w:textAlignment w:val="baseline"/>
        <w:rPr>
          <w:rFonts w:ascii="Arial" w:hAnsi="Arial" w:cs="Arial"/>
          <w:color w:val="000000" w:themeColor="text1"/>
          <w:shd w:val="clear" w:color="auto" w:fill="FFFFFF"/>
        </w:rPr>
      </w:pPr>
      <w:r w:rsidRPr="00531456">
        <w:rPr>
          <w:rStyle w:val="normaltextrun"/>
          <w:rFonts w:ascii="Arial" w:hAnsi="Arial" w:cs="Arial"/>
          <w:color w:val="000000" w:themeColor="text1"/>
        </w:rPr>
        <w:t xml:space="preserve">Sexual Offences Act 2003 </w:t>
      </w:r>
      <w:hyperlink r:id="rId20" w:tgtFrame="_blank" w:history="1">
        <w:r w:rsidRPr="00531456">
          <w:rPr>
            <w:rStyle w:val="normaltextrun"/>
            <w:rFonts w:ascii="Arial" w:hAnsi="Arial" w:cs="Arial"/>
            <w:color w:val="000000" w:themeColor="text1"/>
            <w:u w:val="single"/>
          </w:rPr>
          <w:t>https://www.legislation.gov.uk/ukpga/2003/42/contents</w:t>
        </w:r>
      </w:hyperlink>
      <w:r w:rsidRPr="00531456">
        <w:rPr>
          <w:rStyle w:val="eop"/>
          <w:rFonts w:ascii="Arial" w:hAnsi="Arial" w:cs="Arial"/>
          <w:color w:val="000000" w:themeColor="text1"/>
          <w:shd w:val="clear" w:color="auto" w:fill="FFFFFF"/>
        </w:rPr>
        <w:t> </w:t>
      </w:r>
    </w:p>
    <w:p w14:paraId="648C410F" w14:textId="77777777" w:rsidR="0011045D" w:rsidRPr="00531456" w:rsidRDefault="0011045D" w:rsidP="00CF192D">
      <w:pPr>
        <w:pStyle w:val="paragraph"/>
        <w:spacing w:before="0" w:beforeAutospacing="0" w:after="0" w:afterAutospacing="0"/>
        <w:textAlignment w:val="baseline"/>
        <w:rPr>
          <w:rFonts w:ascii="Arial" w:hAnsi="Arial" w:cs="Arial"/>
          <w:color w:val="000000" w:themeColor="text1"/>
          <w:shd w:val="clear" w:color="auto" w:fill="FFFFFF"/>
        </w:rPr>
      </w:pPr>
    </w:p>
    <w:p w14:paraId="2531A700" w14:textId="074AC036" w:rsidR="00A90928" w:rsidRPr="00531456" w:rsidRDefault="00A90928" w:rsidP="00CF192D">
      <w:pPr>
        <w:pStyle w:val="paragraph"/>
        <w:spacing w:before="0" w:beforeAutospacing="0" w:after="0" w:afterAutospacing="0"/>
        <w:textAlignment w:val="baseline"/>
        <w:rPr>
          <w:rFonts w:ascii="Arial" w:hAnsi="Arial" w:cs="Arial"/>
          <w:color w:val="000000" w:themeColor="text1"/>
          <w:shd w:val="clear" w:color="auto" w:fill="FFFFFF"/>
        </w:rPr>
      </w:pPr>
      <w:r w:rsidRPr="00531456">
        <w:rPr>
          <w:rFonts w:ascii="Arial" w:hAnsi="Arial" w:cs="Arial"/>
          <w:color w:val="000000" w:themeColor="text1"/>
          <w:shd w:val="clear" w:color="auto" w:fill="FFFFFF"/>
        </w:rPr>
        <w:t>Taylor, L. (2018) Elliott and Quinn</w:t>
      </w:r>
      <w:r w:rsidRPr="00531456">
        <w:rPr>
          <w:rFonts w:ascii="Arial" w:hAnsi="Arial" w:cs="Arial"/>
          <w:color w:val="000000" w:themeColor="text1"/>
          <w:shd w:val="clear" w:color="auto" w:fill="FFFFFF"/>
          <w:vertAlign w:val="superscript"/>
        </w:rPr>
        <w:t>1</w:t>
      </w:r>
      <w:r w:rsidRPr="00531456">
        <w:rPr>
          <w:rFonts w:ascii="Arial" w:hAnsi="Arial" w:cs="Arial"/>
          <w:color w:val="000000" w:themeColor="text1"/>
          <w:shd w:val="clear" w:color="auto" w:fill="FFFFFF"/>
        </w:rPr>
        <w:t>s criminal law. Twelfth edition</w:t>
      </w:r>
      <w:r w:rsidR="008320A0" w:rsidRPr="00531456">
        <w:rPr>
          <w:rFonts w:ascii="Arial" w:hAnsi="Arial" w:cs="Arial"/>
          <w:color w:val="000000" w:themeColor="text1"/>
          <w:shd w:val="clear" w:color="auto" w:fill="FFFFFF"/>
        </w:rPr>
        <w:t xml:space="preserve">, </w:t>
      </w:r>
      <w:r w:rsidR="008320A0" w:rsidRPr="00531456">
        <w:rPr>
          <w:rFonts w:ascii="Arial" w:hAnsi="Arial" w:cs="Arial"/>
          <w:color w:val="000000" w:themeColor="text1"/>
          <w:shd w:val="clear" w:color="auto" w:fill="FFFFFF"/>
        </w:rPr>
        <w:t>Pearson Education Limited.</w:t>
      </w:r>
    </w:p>
    <w:p w14:paraId="59BE4617" w14:textId="77777777" w:rsidR="00E364A0" w:rsidRPr="00531456" w:rsidRDefault="00E364A0" w:rsidP="00CF192D">
      <w:pPr>
        <w:pStyle w:val="paragraph"/>
        <w:spacing w:before="0" w:beforeAutospacing="0" w:after="0" w:afterAutospacing="0"/>
        <w:textAlignment w:val="baseline"/>
        <w:rPr>
          <w:rFonts w:ascii="Arial" w:hAnsi="Arial" w:cs="Arial"/>
          <w:color w:val="000000" w:themeColor="text1"/>
          <w:shd w:val="clear" w:color="auto" w:fill="FFFFFF"/>
        </w:rPr>
      </w:pPr>
    </w:p>
    <w:p w14:paraId="54496C48" w14:textId="66D20973" w:rsidR="00E364A0" w:rsidRPr="008A2C9D" w:rsidRDefault="00E364A0" w:rsidP="00E364A0">
      <w:pPr>
        <w:pStyle w:val="paragraph"/>
        <w:spacing w:before="0" w:beforeAutospacing="0" w:after="0" w:afterAutospacing="0"/>
        <w:textAlignment w:val="baseline"/>
        <w:rPr>
          <w:rFonts w:ascii="Arial" w:hAnsi="Arial" w:cs="Arial"/>
          <w:color w:val="000000" w:themeColor="text1"/>
        </w:rPr>
      </w:pPr>
      <w:r w:rsidRPr="008A2C9D">
        <w:rPr>
          <w:rStyle w:val="normaltextrun"/>
          <w:rFonts w:ascii="Arial" w:eastAsiaTheme="minorEastAsia" w:hAnsi="Arial" w:cs="Arial"/>
          <w:color w:val="000000" w:themeColor="text1"/>
        </w:rPr>
        <w:lastRenderedPageBreak/>
        <w:t xml:space="preserve">The </w:t>
      </w:r>
      <w:r w:rsidR="00E24FCC">
        <w:rPr>
          <w:rStyle w:val="normaltextrun"/>
          <w:rFonts w:ascii="Arial" w:eastAsiaTheme="minorEastAsia" w:hAnsi="Arial" w:cs="Arial"/>
          <w:color w:val="000000" w:themeColor="text1"/>
        </w:rPr>
        <w:t>C</w:t>
      </w:r>
      <w:r w:rsidRPr="008A2C9D">
        <w:rPr>
          <w:rStyle w:val="normaltextrun"/>
          <w:rFonts w:ascii="Arial" w:eastAsiaTheme="minorEastAsia" w:hAnsi="Arial" w:cs="Arial"/>
          <w:color w:val="000000" w:themeColor="text1"/>
        </w:rPr>
        <w:t>rown 2022 Offences against the Person</w:t>
      </w:r>
      <w:r w:rsidRPr="008A2C9D">
        <w:rPr>
          <w:rStyle w:val="eop"/>
          <w:rFonts w:ascii="Arial" w:hAnsi="Arial" w:cs="Arial"/>
          <w:color w:val="000000" w:themeColor="text1"/>
        </w:rPr>
        <w:t> </w:t>
      </w:r>
    </w:p>
    <w:p w14:paraId="1FCBE278" w14:textId="77777777" w:rsidR="00E364A0" w:rsidRPr="008A2C9D" w:rsidRDefault="00E364A0" w:rsidP="00E364A0">
      <w:pPr>
        <w:pStyle w:val="paragraph"/>
        <w:spacing w:before="0" w:beforeAutospacing="0" w:after="0" w:afterAutospacing="0"/>
        <w:textAlignment w:val="baseline"/>
        <w:rPr>
          <w:rFonts w:ascii="Arial" w:hAnsi="Arial" w:cs="Arial"/>
          <w:color w:val="000000" w:themeColor="text1"/>
        </w:rPr>
      </w:pPr>
      <w:r w:rsidRPr="008A2C9D">
        <w:rPr>
          <w:rStyle w:val="eop"/>
          <w:rFonts w:ascii="Arial" w:hAnsi="Arial" w:cs="Arial"/>
          <w:color w:val="000000" w:themeColor="text1"/>
        </w:rPr>
        <w:t> </w:t>
      </w:r>
    </w:p>
    <w:p w14:paraId="6BBBE70A" w14:textId="77777777" w:rsidR="00E364A0" w:rsidRPr="008A2C9D" w:rsidRDefault="00E364A0" w:rsidP="00E364A0">
      <w:pPr>
        <w:pStyle w:val="paragraph"/>
        <w:spacing w:before="0" w:beforeAutospacing="0" w:after="0" w:afterAutospacing="0"/>
        <w:textAlignment w:val="baseline"/>
        <w:rPr>
          <w:rFonts w:ascii="Arial" w:hAnsi="Arial" w:cs="Arial"/>
        </w:rPr>
      </w:pPr>
      <w:hyperlink r:id="rId21" w:tgtFrame="_blank" w:history="1">
        <w:r w:rsidRPr="008A2C9D">
          <w:rPr>
            <w:rStyle w:val="normaltextrun"/>
            <w:rFonts w:ascii="Arial" w:eastAsiaTheme="minorEastAsia" w:hAnsi="Arial" w:cs="Arial"/>
            <w:color w:val="000000"/>
            <w:u w:val="single"/>
          </w:rPr>
          <w:t>https://www.cps.gov.uk/legal-guidance/offences-against-person-incorporating-charging-standard</w:t>
        </w:r>
      </w:hyperlink>
      <w:r w:rsidRPr="008A2C9D">
        <w:rPr>
          <w:rStyle w:val="eop"/>
          <w:rFonts w:ascii="Arial" w:hAnsi="Arial" w:cs="Arial"/>
          <w:color w:val="000000"/>
        </w:rPr>
        <w:t> </w:t>
      </w:r>
    </w:p>
    <w:p w14:paraId="0909B76C" w14:textId="77777777" w:rsidR="00E364A0" w:rsidRPr="008A2C9D" w:rsidRDefault="00E364A0" w:rsidP="00CF192D">
      <w:pPr>
        <w:pStyle w:val="paragraph"/>
        <w:spacing w:before="0" w:beforeAutospacing="0" w:after="0" w:afterAutospacing="0"/>
        <w:textAlignment w:val="baseline"/>
        <w:rPr>
          <w:rFonts w:ascii="Arial" w:hAnsi="Arial" w:cs="Arial"/>
        </w:rPr>
      </w:pPr>
    </w:p>
    <w:p w14:paraId="4DB078E9" w14:textId="6F0A8361" w:rsidR="00CF192D" w:rsidRPr="006E23C1" w:rsidRDefault="006E23C1">
      <w:pPr>
        <w:rPr>
          <w:rFonts w:ascii="Arial" w:hAnsi="Arial" w:cs="Arial"/>
          <w:color w:val="000000" w:themeColor="text1"/>
          <w:sz w:val="24"/>
          <w:szCs w:val="24"/>
        </w:rPr>
      </w:pPr>
      <w:r w:rsidRPr="006E23C1">
        <w:rPr>
          <w:rFonts w:ascii="Arial" w:hAnsi="Arial" w:cs="Arial"/>
          <w:color w:val="000000" w:themeColor="text1"/>
          <w:sz w:val="24"/>
          <w:szCs w:val="24"/>
          <w:shd w:val="clear" w:color="auto" w:fill="FFFFFF"/>
        </w:rPr>
        <w:t>Wertheimer, A. (2010). </w:t>
      </w:r>
      <w:r w:rsidRPr="006E23C1">
        <w:rPr>
          <w:rFonts w:ascii="Arial" w:hAnsi="Arial" w:cs="Arial"/>
          <w:i/>
          <w:iCs/>
          <w:color w:val="000000" w:themeColor="text1"/>
          <w:sz w:val="24"/>
          <w:szCs w:val="24"/>
          <w:shd w:val="clear" w:color="auto" w:fill="FFFFFF"/>
        </w:rPr>
        <w:t>Consent to Sexual Relations</w:t>
      </w:r>
      <w:r w:rsidRPr="006E23C1">
        <w:rPr>
          <w:rFonts w:ascii="Arial" w:hAnsi="Arial" w:cs="Arial"/>
          <w:color w:val="000000" w:themeColor="text1"/>
          <w:sz w:val="24"/>
          <w:szCs w:val="24"/>
          <w:shd w:val="clear" w:color="auto" w:fill="FFFFFF"/>
        </w:rPr>
        <w:t>. Cambridge University Press.</w:t>
      </w:r>
    </w:p>
    <w:sectPr w:rsidR="00CF192D" w:rsidRPr="006E23C1" w:rsidSect="00E921A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1A3"/>
    <w:rsid w:val="000172AB"/>
    <w:rsid w:val="000B05E6"/>
    <w:rsid w:val="000C00C5"/>
    <w:rsid w:val="001028EC"/>
    <w:rsid w:val="0011045D"/>
    <w:rsid w:val="00142C35"/>
    <w:rsid w:val="0026509E"/>
    <w:rsid w:val="002E50CC"/>
    <w:rsid w:val="002F1F94"/>
    <w:rsid w:val="002F2873"/>
    <w:rsid w:val="0030061B"/>
    <w:rsid w:val="00305FAD"/>
    <w:rsid w:val="003D7F50"/>
    <w:rsid w:val="00404CE8"/>
    <w:rsid w:val="004201F6"/>
    <w:rsid w:val="00497E52"/>
    <w:rsid w:val="00531456"/>
    <w:rsid w:val="00595D3B"/>
    <w:rsid w:val="005D0B33"/>
    <w:rsid w:val="005D4A7E"/>
    <w:rsid w:val="00600AF7"/>
    <w:rsid w:val="00621D1D"/>
    <w:rsid w:val="0064291E"/>
    <w:rsid w:val="00673AEC"/>
    <w:rsid w:val="006A0BD4"/>
    <w:rsid w:val="006E23C1"/>
    <w:rsid w:val="00736871"/>
    <w:rsid w:val="008320A0"/>
    <w:rsid w:val="008540C7"/>
    <w:rsid w:val="008A2C9D"/>
    <w:rsid w:val="00914493"/>
    <w:rsid w:val="009867C3"/>
    <w:rsid w:val="009C7F83"/>
    <w:rsid w:val="009E1B7B"/>
    <w:rsid w:val="009F092F"/>
    <w:rsid w:val="00A33F1F"/>
    <w:rsid w:val="00A90928"/>
    <w:rsid w:val="00AF1A27"/>
    <w:rsid w:val="00B22277"/>
    <w:rsid w:val="00BC4C66"/>
    <w:rsid w:val="00BD35A1"/>
    <w:rsid w:val="00C0637D"/>
    <w:rsid w:val="00C16F0C"/>
    <w:rsid w:val="00C33E15"/>
    <w:rsid w:val="00C42909"/>
    <w:rsid w:val="00CF192D"/>
    <w:rsid w:val="00D73DAD"/>
    <w:rsid w:val="00E24FCC"/>
    <w:rsid w:val="00E364A0"/>
    <w:rsid w:val="00E81731"/>
    <w:rsid w:val="00E921A3"/>
    <w:rsid w:val="00F81521"/>
    <w:rsid w:val="00FB5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9227A"/>
  <w15:chartTrackingRefBased/>
  <w15:docId w15:val="{13826A21-E048-426F-A39A-F4F421AA7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921A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E921A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E921A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E921A3"/>
    <w:rPr>
      <w:rFonts w:eastAsiaTheme="minorEastAsia" w:cs="Times New Roman"/>
      <w:color w:val="5A5A5A" w:themeColor="text1" w:themeTint="A5"/>
      <w:spacing w:val="15"/>
      <w:lang w:val="en-US"/>
    </w:rPr>
  </w:style>
  <w:style w:type="paragraph" w:customStyle="1" w:styleId="paragraph">
    <w:name w:val="paragraph"/>
    <w:basedOn w:val="Normal"/>
    <w:rsid w:val="00E921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921A3"/>
  </w:style>
  <w:style w:type="character" w:customStyle="1" w:styleId="eop">
    <w:name w:val="eop"/>
    <w:basedOn w:val="DefaultParagraphFont"/>
    <w:rsid w:val="00E921A3"/>
  </w:style>
  <w:style w:type="character" w:customStyle="1" w:styleId="scxw213474349">
    <w:name w:val="scxw213474349"/>
    <w:basedOn w:val="DefaultParagraphFont"/>
    <w:rsid w:val="006A0BD4"/>
  </w:style>
  <w:style w:type="character" w:styleId="Hyperlink">
    <w:name w:val="Hyperlink"/>
    <w:basedOn w:val="DefaultParagraphFont"/>
    <w:uiPriority w:val="99"/>
    <w:unhideWhenUsed/>
    <w:rsid w:val="0030061B"/>
    <w:rPr>
      <w:color w:val="0563C1" w:themeColor="hyperlink"/>
      <w:u w:val="single"/>
    </w:rPr>
  </w:style>
  <w:style w:type="character" w:styleId="UnresolvedMention">
    <w:name w:val="Unresolved Mention"/>
    <w:basedOn w:val="DefaultParagraphFont"/>
    <w:uiPriority w:val="99"/>
    <w:semiHidden/>
    <w:unhideWhenUsed/>
    <w:rsid w:val="003006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2804">
      <w:bodyDiv w:val="1"/>
      <w:marLeft w:val="0"/>
      <w:marRight w:val="0"/>
      <w:marTop w:val="0"/>
      <w:marBottom w:val="0"/>
      <w:divBdr>
        <w:top w:val="none" w:sz="0" w:space="0" w:color="auto"/>
        <w:left w:val="none" w:sz="0" w:space="0" w:color="auto"/>
        <w:bottom w:val="none" w:sz="0" w:space="0" w:color="auto"/>
        <w:right w:val="none" w:sz="0" w:space="0" w:color="auto"/>
      </w:divBdr>
      <w:divsChild>
        <w:div w:id="737939460">
          <w:marLeft w:val="0"/>
          <w:marRight w:val="0"/>
          <w:marTop w:val="0"/>
          <w:marBottom w:val="0"/>
          <w:divBdr>
            <w:top w:val="none" w:sz="0" w:space="0" w:color="auto"/>
            <w:left w:val="none" w:sz="0" w:space="0" w:color="auto"/>
            <w:bottom w:val="none" w:sz="0" w:space="0" w:color="auto"/>
            <w:right w:val="none" w:sz="0" w:space="0" w:color="auto"/>
          </w:divBdr>
        </w:div>
        <w:div w:id="746097">
          <w:marLeft w:val="0"/>
          <w:marRight w:val="0"/>
          <w:marTop w:val="0"/>
          <w:marBottom w:val="0"/>
          <w:divBdr>
            <w:top w:val="none" w:sz="0" w:space="0" w:color="auto"/>
            <w:left w:val="none" w:sz="0" w:space="0" w:color="auto"/>
            <w:bottom w:val="none" w:sz="0" w:space="0" w:color="auto"/>
            <w:right w:val="none" w:sz="0" w:space="0" w:color="auto"/>
          </w:divBdr>
        </w:div>
        <w:div w:id="893352524">
          <w:marLeft w:val="0"/>
          <w:marRight w:val="0"/>
          <w:marTop w:val="0"/>
          <w:marBottom w:val="0"/>
          <w:divBdr>
            <w:top w:val="none" w:sz="0" w:space="0" w:color="auto"/>
            <w:left w:val="none" w:sz="0" w:space="0" w:color="auto"/>
            <w:bottom w:val="none" w:sz="0" w:space="0" w:color="auto"/>
            <w:right w:val="none" w:sz="0" w:space="0" w:color="auto"/>
          </w:divBdr>
        </w:div>
        <w:div w:id="1502500730">
          <w:marLeft w:val="0"/>
          <w:marRight w:val="0"/>
          <w:marTop w:val="0"/>
          <w:marBottom w:val="0"/>
          <w:divBdr>
            <w:top w:val="none" w:sz="0" w:space="0" w:color="auto"/>
            <w:left w:val="none" w:sz="0" w:space="0" w:color="auto"/>
            <w:bottom w:val="none" w:sz="0" w:space="0" w:color="auto"/>
            <w:right w:val="none" w:sz="0" w:space="0" w:color="auto"/>
          </w:divBdr>
        </w:div>
      </w:divsChild>
    </w:div>
    <w:div w:id="386799281">
      <w:bodyDiv w:val="1"/>
      <w:marLeft w:val="0"/>
      <w:marRight w:val="0"/>
      <w:marTop w:val="0"/>
      <w:marBottom w:val="0"/>
      <w:divBdr>
        <w:top w:val="none" w:sz="0" w:space="0" w:color="auto"/>
        <w:left w:val="none" w:sz="0" w:space="0" w:color="auto"/>
        <w:bottom w:val="none" w:sz="0" w:space="0" w:color="auto"/>
        <w:right w:val="none" w:sz="0" w:space="0" w:color="auto"/>
      </w:divBdr>
      <w:divsChild>
        <w:div w:id="926571685">
          <w:marLeft w:val="0"/>
          <w:marRight w:val="0"/>
          <w:marTop w:val="0"/>
          <w:marBottom w:val="0"/>
          <w:divBdr>
            <w:top w:val="none" w:sz="0" w:space="0" w:color="auto"/>
            <w:left w:val="none" w:sz="0" w:space="0" w:color="auto"/>
            <w:bottom w:val="none" w:sz="0" w:space="0" w:color="auto"/>
            <w:right w:val="none" w:sz="0" w:space="0" w:color="auto"/>
          </w:divBdr>
        </w:div>
        <w:div w:id="1299922645">
          <w:marLeft w:val="0"/>
          <w:marRight w:val="0"/>
          <w:marTop w:val="0"/>
          <w:marBottom w:val="0"/>
          <w:divBdr>
            <w:top w:val="none" w:sz="0" w:space="0" w:color="auto"/>
            <w:left w:val="none" w:sz="0" w:space="0" w:color="auto"/>
            <w:bottom w:val="none" w:sz="0" w:space="0" w:color="auto"/>
            <w:right w:val="none" w:sz="0" w:space="0" w:color="auto"/>
          </w:divBdr>
        </w:div>
      </w:divsChild>
    </w:div>
    <w:div w:id="469370019">
      <w:bodyDiv w:val="1"/>
      <w:marLeft w:val="0"/>
      <w:marRight w:val="0"/>
      <w:marTop w:val="0"/>
      <w:marBottom w:val="0"/>
      <w:divBdr>
        <w:top w:val="none" w:sz="0" w:space="0" w:color="auto"/>
        <w:left w:val="none" w:sz="0" w:space="0" w:color="auto"/>
        <w:bottom w:val="none" w:sz="0" w:space="0" w:color="auto"/>
        <w:right w:val="none" w:sz="0" w:space="0" w:color="auto"/>
      </w:divBdr>
      <w:divsChild>
        <w:div w:id="17202754">
          <w:marLeft w:val="0"/>
          <w:marRight w:val="0"/>
          <w:marTop w:val="0"/>
          <w:marBottom w:val="0"/>
          <w:divBdr>
            <w:top w:val="none" w:sz="0" w:space="0" w:color="auto"/>
            <w:left w:val="none" w:sz="0" w:space="0" w:color="auto"/>
            <w:bottom w:val="none" w:sz="0" w:space="0" w:color="auto"/>
            <w:right w:val="none" w:sz="0" w:space="0" w:color="auto"/>
          </w:divBdr>
        </w:div>
        <w:div w:id="1472550608">
          <w:marLeft w:val="0"/>
          <w:marRight w:val="0"/>
          <w:marTop w:val="0"/>
          <w:marBottom w:val="0"/>
          <w:divBdr>
            <w:top w:val="none" w:sz="0" w:space="0" w:color="auto"/>
            <w:left w:val="none" w:sz="0" w:space="0" w:color="auto"/>
            <w:bottom w:val="none" w:sz="0" w:space="0" w:color="auto"/>
            <w:right w:val="none" w:sz="0" w:space="0" w:color="auto"/>
          </w:divBdr>
        </w:div>
      </w:divsChild>
    </w:div>
    <w:div w:id="564876280">
      <w:bodyDiv w:val="1"/>
      <w:marLeft w:val="0"/>
      <w:marRight w:val="0"/>
      <w:marTop w:val="0"/>
      <w:marBottom w:val="0"/>
      <w:divBdr>
        <w:top w:val="none" w:sz="0" w:space="0" w:color="auto"/>
        <w:left w:val="none" w:sz="0" w:space="0" w:color="auto"/>
        <w:bottom w:val="none" w:sz="0" w:space="0" w:color="auto"/>
        <w:right w:val="none" w:sz="0" w:space="0" w:color="auto"/>
      </w:divBdr>
      <w:divsChild>
        <w:div w:id="772241297">
          <w:marLeft w:val="0"/>
          <w:marRight w:val="0"/>
          <w:marTop w:val="0"/>
          <w:marBottom w:val="0"/>
          <w:divBdr>
            <w:top w:val="none" w:sz="0" w:space="0" w:color="auto"/>
            <w:left w:val="none" w:sz="0" w:space="0" w:color="auto"/>
            <w:bottom w:val="none" w:sz="0" w:space="0" w:color="auto"/>
            <w:right w:val="none" w:sz="0" w:space="0" w:color="auto"/>
          </w:divBdr>
        </w:div>
        <w:div w:id="263684076">
          <w:marLeft w:val="0"/>
          <w:marRight w:val="0"/>
          <w:marTop w:val="0"/>
          <w:marBottom w:val="0"/>
          <w:divBdr>
            <w:top w:val="none" w:sz="0" w:space="0" w:color="auto"/>
            <w:left w:val="none" w:sz="0" w:space="0" w:color="auto"/>
            <w:bottom w:val="none" w:sz="0" w:space="0" w:color="auto"/>
            <w:right w:val="none" w:sz="0" w:space="0" w:color="auto"/>
          </w:divBdr>
        </w:div>
      </w:divsChild>
    </w:div>
    <w:div w:id="618612007">
      <w:bodyDiv w:val="1"/>
      <w:marLeft w:val="0"/>
      <w:marRight w:val="0"/>
      <w:marTop w:val="0"/>
      <w:marBottom w:val="0"/>
      <w:divBdr>
        <w:top w:val="none" w:sz="0" w:space="0" w:color="auto"/>
        <w:left w:val="none" w:sz="0" w:space="0" w:color="auto"/>
        <w:bottom w:val="none" w:sz="0" w:space="0" w:color="auto"/>
        <w:right w:val="none" w:sz="0" w:space="0" w:color="auto"/>
      </w:divBdr>
      <w:divsChild>
        <w:div w:id="695468927">
          <w:marLeft w:val="0"/>
          <w:marRight w:val="0"/>
          <w:marTop w:val="0"/>
          <w:marBottom w:val="0"/>
          <w:divBdr>
            <w:top w:val="none" w:sz="0" w:space="0" w:color="auto"/>
            <w:left w:val="none" w:sz="0" w:space="0" w:color="auto"/>
            <w:bottom w:val="none" w:sz="0" w:space="0" w:color="auto"/>
            <w:right w:val="none" w:sz="0" w:space="0" w:color="auto"/>
          </w:divBdr>
        </w:div>
        <w:div w:id="863715046">
          <w:marLeft w:val="0"/>
          <w:marRight w:val="0"/>
          <w:marTop w:val="0"/>
          <w:marBottom w:val="0"/>
          <w:divBdr>
            <w:top w:val="none" w:sz="0" w:space="0" w:color="auto"/>
            <w:left w:val="none" w:sz="0" w:space="0" w:color="auto"/>
            <w:bottom w:val="none" w:sz="0" w:space="0" w:color="auto"/>
            <w:right w:val="none" w:sz="0" w:space="0" w:color="auto"/>
          </w:divBdr>
        </w:div>
      </w:divsChild>
    </w:div>
    <w:div w:id="754789269">
      <w:bodyDiv w:val="1"/>
      <w:marLeft w:val="0"/>
      <w:marRight w:val="0"/>
      <w:marTop w:val="0"/>
      <w:marBottom w:val="0"/>
      <w:divBdr>
        <w:top w:val="none" w:sz="0" w:space="0" w:color="auto"/>
        <w:left w:val="none" w:sz="0" w:space="0" w:color="auto"/>
        <w:bottom w:val="none" w:sz="0" w:space="0" w:color="auto"/>
        <w:right w:val="none" w:sz="0" w:space="0" w:color="auto"/>
      </w:divBdr>
      <w:divsChild>
        <w:div w:id="365451436">
          <w:marLeft w:val="0"/>
          <w:marRight w:val="0"/>
          <w:marTop w:val="0"/>
          <w:marBottom w:val="0"/>
          <w:divBdr>
            <w:top w:val="none" w:sz="0" w:space="0" w:color="auto"/>
            <w:left w:val="none" w:sz="0" w:space="0" w:color="auto"/>
            <w:bottom w:val="none" w:sz="0" w:space="0" w:color="auto"/>
            <w:right w:val="none" w:sz="0" w:space="0" w:color="auto"/>
          </w:divBdr>
        </w:div>
        <w:div w:id="1828591416">
          <w:marLeft w:val="0"/>
          <w:marRight w:val="0"/>
          <w:marTop w:val="0"/>
          <w:marBottom w:val="0"/>
          <w:divBdr>
            <w:top w:val="none" w:sz="0" w:space="0" w:color="auto"/>
            <w:left w:val="none" w:sz="0" w:space="0" w:color="auto"/>
            <w:bottom w:val="none" w:sz="0" w:space="0" w:color="auto"/>
            <w:right w:val="none" w:sz="0" w:space="0" w:color="auto"/>
          </w:divBdr>
        </w:div>
        <w:div w:id="1291519397">
          <w:marLeft w:val="0"/>
          <w:marRight w:val="0"/>
          <w:marTop w:val="0"/>
          <w:marBottom w:val="0"/>
          <w:divBdr>
            <w:top w:val="none" w:sz="0" w:space="0" w:color="auto"/>
            <w:left w:val="none" w:sz="0" w:space="0" w:color="auto"/>
            <w:bottom w:val="none" w:sz="0" w:space="0" w:color="auto"/>
            <w:right w:val="none" w:sz="0" w:space="0" w:color="auto"/>
          </w:divBdr>
        </w:div>
        <w:div w:id="288442488">
          <w:marLeft w:val="0"/>
          <w:marRight w:val="0"/>
          <w:marTop w:val="0"/>
          <w:marBottom w:val="0"/>
          <w:divBdr>
            <w:top w:val="none" w:sz="0" w:space="0" w:color="auto"/>
            <w:left w:val="none" w:sz="0" w:space="0" w:color="auto"/>
            <w:bottom w:val="none" w:sz="0" w:space="0" w:color="auto"/>
            <w:right w:val="none" w:sz="0" w:space="0" w:color="auto"/>
          </w:divBdr>
        </w:div>
        <w:div w:id="1347292422">
          <w:marLeft w:val="0"/>
          <w:marRight w:val="0"/>
          <w:marTop w:val="0"/>
          <w:marBottom w:val="0"/>
          <w:divBdr>
            <w:top w:val="none" w:sz="0" w:space="0" w:color="auto"/>
            <w:left w:val="none" w:sz="0" w:space="0" w:color="auto"/>
            <w:bottom w:val="none" w:sz="0" w:space="0" w:color="auto"/>
            <w:right w:val="none" w:sz="0" w:space="0" w:color="auto"/>
          </w:divBdr>
        </w:div>
      </w:divsChild>
    </w:div>
    <w:div w:id="830172193">
      <w:bodyDiv w:val="1"/>
      <w:marLeft w:val="0"/>
      <w:marRight w:val="0"/>
      <w:marTop w:val="0"/>
      <w:marBottom w:val="0"/>
      <w:divBdr>
        <w:top w:val="none" w:sz="0" w:space="0" w:color="auto"/>
        <w:left w:val="none" w:sz="0" w:space="0" w:color="auto"/>
        <w:bottom w:val="none" w:sz="0" w:space="0" w:color="auto"/>
        <w:right w:val="none" w:sz="0" w:space="0" w:color="auto"/>
      </w:divBdr>
      <w:divsChild>
        <w:div w:id="156576234">
          <w:marLeft w:val="0"/>
          <w:marRight w:val="0"/>
          <w:marTop w:val="0"/>
          <w:marBottom w:val="0"/>
          <w:divBdr>
            <w:top w:val="none" w:sz="0" w:space="0" w:color="auto"/>
            <w:left w:val="none" w:sz="0" w:space="0" w:color="auto"/>
            <w:bottom w:val="none" w:sz="0" w:space="0" w:color="auto"/>
            <w:right w:val="none" w:sz="0" w:space="0" w:color="auto"/>
          </w:divBdr>
        </w:div>
        <w:div w:id="120005536">
          <w:marLeft w:val="0"/>
          <w:marRight w:val="0"/>
          <w:marTop w:val="0"/>
          <w:marBottom w:val="0"/>
          <w:divBdr>
            <w:top w:val="none" w:sz="0" w:space="0" w:color="auto"/>
            <w:left w:val="none" w:sz="0" w:space="0" w:color="auto"/>
            <w:bottom w:val="none" w:sz="0" w:space="0" w:color="auto"/>
            <w:right w:val="none" w:sz="0" w:space="0" w:color="auto"/>
          </w:divBdr>
        </w:div>
      </w:divsChild>
    </w:div>
    <w:div w:id="1014235180">
      <w:bodyDiv w:val="1"/>
      <w:marLeft w:val="0"/>
      <w:marRight w:val="0"/>
      <w:marTop w:val="0"/>
      <w:marBottom w:val="0"/>
      <w:divBdr>
        <w:top w:val="none" w:sz="0" w:space="0" w:color="auto"/>
        <w:left w:val="none" w:sz="0" w:space="0" w:color="auto"/>
        <w:bottom w:val="none" w:sz="0" w:space="0" w:color="auto"/>
        <w:right w:val="none" w:sz="0" w:space="0" w:color="auto"/>
      </w:divBdr>
      <w:divsChild>
        <w:div w:id="1446118530">
          <w:marLeft w:val="0"/>
          <w:marRight w:val="0"/>
          <w:marTop w:val="0"/>
          <w:marBottom w:val="0"/>
          <w:divBdr>
            <w:top w:val="none" w:sz="0" w:space="0" w:color="auto"/>
            <w:left w:val="none" w:sz="0" w:space="0" w:color="auto"/>
            <w:bottom w:val="none" w:sz="0" w:space="0" w:color="auto"/>
            <w:right w:val="none" w:sz="0" w:space="0" w:color="auto"/>
          </w:divBdr>
        </w:div>
        <w:div w:id="12002405">
          <w:marLeft w:val="0"/>
          <w:marRight w:val="0"/>
          <w:marTop w:val="0"/>
          <w:marBottom w:val="0"/>
          <w:divBdr>
            <w:top w:val="none" w:sz="0" w:space="0" w:color="auto"/>
            <w:left w:val="none" w:sz="0" w:space="0" w:color="auto"/>
            <w:bottom w:val="none" w:sz="0" w:space="0" w:color="auto"/>
            <w:right w:val="none" w:sz="0" w:space="0" w:color="auto"/>
          </w:divBdr>
        </w:div>
        <w:div w:id="921449998">
          <w:marLeft w:val="0"/>
          <w:marRight w:val="0"/>
          <w:marTop w:val="0"/>
          <w:marBottom w:val="0"/>
          <w:divBdr>
            <w:top w:val="none" w:sz="0" w:space="0" w:color="auto"/>
            <w:left w:val="none" w:sz="0" w:space="0" w:color="auto"/>
            <w:bottom w:val="none" w:sz="0" w:space="0" w:color="auto"/>
            <w:right w:val="none" w:sz="0" w:space="0" w:color="auto"/>
          </w:divBdr>
        </w:div>
      </w:divsChild>
    </w:div>
    <w:div w:id="1018654349">
      <w:bodyDiv w:val="1"/>
      <w:marLeft w:val="0"/>
      <w:marRight w:val="0"/>
      <w:marTop w:val="0"/>
      <w:marBottom w:val="0"/>
      <w:divBdr>
        <w:top w:val="none" w:sz="0" w:space="0" w:color="auto"/>
        <w:left w:val="none" w:sz="0" w:space="0" w:color="auto"/>
        <w:bottom w:val="none" w:sz="0" w:space="0" w:color="auto"/>
        <w:right w:val="none" w:sz="0" w:space="0" w:color="auto"/>
      </w:divBdr>
      <w:divsChild>
        <w:div w:id="1874884033">
          <w:marLeft w:val="0"/>
          <w:marRight w:val="0"/>
          <w:marTop w:val="0"/>
          <w:marBottom w:val="0"/>
          <w:divBdr>
            <w:top w:val="none" w:sz="0" w:space="0" w:color="auto"/>
            <w:left w:val="none" w:sz="0" w:space="0" w:color="auto"/>
            <w:bottom w:val="none" w:sz="0" w:space="0" w:color="auto"/>
            <w:right w:val="none" w:sz="0" w:space="0" w:color="auto"/>
          </w:divBdr>
        </w:div>
        <w:div w:id="569925327">
          <w:marLeft w:val="0"/>
          <w:marRight w:val="0"/>
          <w:marTop w:val="0"/>
          <w:marBottom w:val="0"/>
          <w:divBdr>
            <w:top w:val="none" w:sz="0" w:space="0" w:color="auto"/>
            <w:left w:val="none" w:sz="0" w:space="0" w:color="auto"/>
            <w:bottom w:val="none" w:sz="0" w:space="0" w:color="auto"/>
            <w:right w:val="none" w:sz="0" w:space="0" w:color="auto"/>
          </w:divBdr>
        </w:div>
        <w:div w:id="1113213126">
          <w:marLeft w:val="0"/>
          <w:marRight w:val="0"/>
          <w:marTop w:val="0"/>
          <w:marBottom w:val="0"/>
          <w:divBdr>
            <w:top w:val="none" w:sz="0" w:space="0" w:color="auto"/>
            <w:left w:val="none" w:sz="0" w:space="0" w:color="auto"/>
            <w:bottom w:val="none" w:sz="0" w:space="0" w:color="auto"/>
            <w:right w:val="none" w:sz="0" w:space="0" w:color="auto"/>
          </w:divBdr>
        </w:div>
        <w:div w:id="2058434072">
          <w:marLeft w:val="0"/>
          <w:marRight w:val="0"/>
          <w:marTop w:val="0"/>
          <w:marBottom w:val="0"/>
          <w:divBdr>
            <w:top w:val="none" w:sz="0" w:space="0" w:color="auto"/>
            <w:left w:val="none" w:sz="0" w:space="0" w:color="auto"/>
            <w:bottom w:val="none" w:sz="0" w:space="0" w:color="auto"/>
            <w:right w:val="none" w:sz="0" w:space="0" w:color="auto"/>
          </w:divBdr>
        </w:div>
      </w:divsChild>
    </w:div>
    <w:div w:id="1031148805">
      <w:bodyDiv w:val="1"/>
      <w:marLeft w:val="0"/>
      <w:marRight w:val="0"/>
      <w:marTop w:val="0"/>
      <w:marBottom w:val="0"/>
      <w:divBdr>
        <w:top w:val="none" w:sz="0" w:space="0" w:color="auto"/>
        <w:left w:val="none" w:sz="0" w:space="0" w:color="auto"/>
        <w:bottom w:val="none" w:sz="0" w:space="0" w:color="auto"/>
        <w:right w:val="none" w:sz="0" w:space="0" w:color="auto"/>
      </w:divBdr>
      <w:divsChild>
        <w:div w:id="1775979289">
          <w:marLeft w:val="0"/>
          <w:marRight w:val="0"/>
          <w:marTop w:val="0"/>
          <w:marBottom w:val="0"/>
          <w:divBdr>
            <w:top w:val="none" w:sz="0" w:space="0" w:color="auto"/>
            <w:left w:val="none" w:sz="0" w:space="0" w:color="auto"/>
            <w:bottom w:val="none" w:sz="0" w:space="0" w:color="auto"/>
            <w:right w:val="none" w:sz="0" w:space="0" w:color="auto"/>
          </w:divBdr>
        </w:div>
        <w:div w:id="381370487">
          <w:marLeft w:val="0"/>
          <w:marRight w:val="0"/>
          <w:marTop w:val="0"/>
          <w:marBottom w:val="0"/>
          <w:divBdr>
            <w:top w:val="none" w:sz="0" w:space="0" w:color="auto"/>
            <w:left w:val="none" w:sz="0" w:space="0" w:color="auto"/>
            <w:bottom w:val="none" w:sz="0" w:space="0" w:color="auto"/>
            <w:right w:val="none" w:sz="0" w:space="0" w:color="auto"/>
          </w:divBdr>
        </w:div>
      </w:divsChild>
    </w:div>
    <w:div w:id="1209948358">
      <w:bodyDiv w:val="1"/>
      <w:marLeft w:val="0"/>
      <w:marRight w:val="0"/>
      <w:marTop w:val="0"/>
      <w:marBottom w:val="0"/>
      <w:divBdr>
        <w:top w:val="none" w:sz="0" w:space="0" w:color="auto"/>
        <w:left w:val="none" w:sz="0" w:space="0" w:color="auto"/>
        <w:bottom w:val="none" w:sz="0" w:space="0" w:color="auto"/>
        <w:right w:val="none" w:sz="0" w:space="0" w:color="auto"/>
      </w:divBdr>
      <w:divsChild>
        <w:div w:id="491602382">
          <w:marLeft w:val="0"/>
          <w:marRight w:val="0"/>
          <w:marTop w:val="0"/>
          <w:marBottom w:val="0"/>
          <w:divBdr>
            <w:top w:val="none" w:sz="0" w:space="0" w:color="auto"/>
            <w:left w:val="none" w:sz="0" w:space="0" w:color="auto"/>
            <w:bottom w:val="none" w:sz="0" w:space="0" w:color="auto"/>
            <w:right w:val="none" w:sz="0" w:space="0" w:color="auto"/>
          </w:divBdr>
        </w:div>
        <w:div w:id="211116949">
          <w:marLeft w:val="0"/>
          <w:marRight w:val="0"/>
          <w:marTop w:val="0"/>
          <w:marBottom w:val="0"/>
          <w:divBdr>
            <w:top w:val="none" w:sz="0" w:space="0" w:color="auto"/>
            <w:left w:val="none" w:sz="0" w:space="0" w:color="auto"/>
            <w:bottom w:val="none" w:sz="0" w:space="0" w:color="auto"/>
            <w:right w:val="none" w:sz="0" w:space="0" w:color="auto"/>
          </w:divBdr>
        </w:div>
        <w:div w:id="1917323707">
          <w:marLeft w:val="0"/>
          <w:marRight w:val="0"/>
          <w:marTop w:val="0"/>
          <w:marBottom w:val="0"/>
          <w:divBdr>
            <w:top w:val="none" w:sz="0" w:space="0" w:color="auto"/>
            <w:left w:val="none" w:sz="0" w:space="0" w:color="auto"/>
            <w:bottom w:val="none" w:sz="0" w:space="0" w:color="auto"/>
            <w:right w:val="none" w:sz="0" w:space="0" w:color="auto"/>
          </w:divBdr>
        </w:div>
      </w:divsChild>
    </w:div>
    <w:div w:id="1395277452">
      <w:bodyDiv w:val="1"/>
      <w:marLeft w:val="0"/>
      <w:marRight w:val="0"/>
      <w:marTop w:val="0"/>
      <w:marBottom w:val="0"/>
      <w:divBdr>
        <w:top w:val="none" w:sz="0" w:space="0" w:color="auto"/>
        <w:left w:val="none" w:sz="0" w:space="0" w:color="auto"/>
        <w:bottom w:val="none" w:sz="0" w:space="0" w:color="auto"/>
        <w:right w:val="none" w:sz="0" w:space="0" w:color="auto"/>
      </w:divBdr>
      <w:divsChild>
        <w:div w:id="672801051">
          <w:marLeft w:val="0"/>
          <w:marRight w:val="0"/>
          <w:marTop w:val="0"/>
          <w:marBottom w:val="0"/>
          <w:divBdr>
            <w:top w:val="none" w:sz="0" w:space="0" w:color="auto"/>
            <w:left w:val="none" w:sz="0" w:space="0" w:color="auto"/>
            <w:bottom w:val="none" w:sz="0" w:space="0" w:color="auto"/>
            <w:right w:val="none" w:sz="0" w:space="0" w:color="auto"/>
          </w:divBdr>
        </w:div>
        <w:div w:id="768039509">
          <w:marLeft w:val="0"/>
          <w:marRight w:val="0"/>
          <w:marTop w:val="0"/>
          <w:marBottom w:val="0"/>
          <w:divBdr>
            <w:top w:val="none" w:sz="0" w:space="0" w:color="auto"/>
            <w:left w:val="none" w:sz="0" w:space="0" w:color="auto"/>
            <w:bottom w:val="none" w:sz="0" w:space="0" w:color="auto"/>
            <w:right w:val="none" w:sz="0" w:space="0" w:color="auto"/>
          </w:divBdr>
        </w:div>
        <w:div w:id="592276596">
          <w:marLeft w:val="0"/>
          <w:marRight w:val="0"/>
          <w:marTop w:val="0"/>
          <w:marBottom w:val="0"/>
          <w:divBdr>
            <w:top w:val="none" w:sz="0" w:space="0" w:color="auto"/>
            <w:left w:val="none" w:sz="0" w:space="0" w:color="auto"/>
            <w:bottom w:val="none" w:sz="0" w:space="0" w:color="auto"/>
            <w:right w:val="none" w:sz="0" w:space="0" w:color="auto"/>
          </w:divBdr>
        </w:div>
        <w:div w:id="1303191249">
          <w:marLeft w:val="0"/>
          <w:marRight w:val="0"/>
          <w:marTop w:val="0"/>
          <w:marBottom w:val="0"/>
          <w:divBdr>
            <w:top w:val="none" w:sz="0" w:space="0" w:color="auto"/>
            <w:left w:val="none" w:sz="0" w:space="0" w:color="auto"/>
            <w:bottom w:val="none" w:sz="0" w:space="0" w:color="auto"/>
            <w:right w:val="none" w:sz="0" w:space="0" w:color="auto"/>
          </w:divBdr>
        </w:div>
        <w:div w:id="1326274912">
          <w:marLeft w:val="0"/>
          <w:marRight w:val="0"/>
          <w:marTop w:val="0"/>
          <w:marBottom w:val="0"/>
          <w:divBdr>
            <w:top w:val="none" w:sz="0" w:space="0" w:color="auto"/>
            <w:left w:val="none" w:sz="0" w:space="0" w:color="auto"/>
            <w:bottom w:val="none" w:sz="0" w:space="0" w:color="auto"/>
            <w:right w:val="none" w:sz="0" w:space="0" w:color="auto"/>
          </w:divBdr>
        </w:div>
      </w:divsChild>
    </w:div>
    <w:div w:id="1521505124">
      <w:bodyDiv w:val="1"/>
      <w:marLeft w:val="0"/>
      <w:marRight w:val="0"/>
      <w:marTop w:val="0"/>
      <w:marBottom w:val="0"/>
      <w:divBdr>
        <w:top w:val="none" w:sz="0" w:space="0" w:color="auto"/>
        <w:left w:val="none" w:sz="0" w:space="0" w:color="auto"/>
        <w:bottom w:val="none" w:sz="0" w:space="0" w:color="auto"/>
        <w:right w:val="none" w:sz="0" w:space="0" w:color="auto"/>
      </w:divBdr>
      <w:divsChild>
        <w:div w:id="119499926">
          <w:marLeft w:val="0"/>
          <w:marRight w:val="0"/>
          <w:marTop w:val="0"/>
          <w:marBottom w:val="0"/>
          <w:divBdr>
            <w:top w:val="none" w:sz="0" w:space="0" w:color="auto"/>
            <w:left w:val="none" w:sz="0" w:space="0" w:color="auto"/>
            <w:bottom w:val="none" w:sz="0" w:space="0" w:color="auto"/>
            <w:right w:val="none" w:sz="0" w:space="0" w:color="auto"/>
          </w:divBdr>
        </w:div>
        <w:div w:id="1826891634">
          <w:marLeft w:val="0"/>
          <w:marRight w:val="0"/>
          <w:marTop w:val="0"/>
          <w:marBottom w:val="0"/>
          <w:divBdr>
            <w:top w:val="none" w:sz="0" w:space="0" w:color="auto"/>
            <w:left w:val="none" w:sz="0" w:space="0" w:color="auto"/>
            <w:bottom w:val="none" w:sz="0" w:space="0" w:color="auto"/>
            <w:right w:val="none" w:sz="0" w:space="0" w:color="auto"/>
          </w:divBdr>
        </w:div>
      </w:divsChild>
    </w:div>
    <w:div w:id="1631352884">
      <w:bodyDiv w:val="1"/>
      <w:marLeft w:val="0"/>
      <w:marRight w:val="0"/>
      <w:marTop w:val="0"/>
      <w:marBottom w:val="0"/>
      <w:divBdr>
        <w:top w:val="none" w:sz="0" w:space="0" w:color="auto"/>
        <w:left w:val="none" w:sz="0" w:space="0" w:color="auto"/>
        <w:bottom w:val="none" w:sz="0" w:space="0" w:color="auto"/>
        <w:right w:val="none" w:sz="0" w:space="0" w:color="auto"/>
      </w:divBdr>
      <w:divsChild>
        <w:div w:id="989358987">
          <w:marLeft w:val="0"/>
          <w:marRight w:val="0"/>
          <w:marTop w:val="0"/>
          <w:marBottom w:val="0"/>
          <w:divBdr>
            <w:top w:val="none" w:sz="0" w:space="0" w:color="auto"/>
            <w:left w:val="none" w:sz="0" w:space="0" w:color="auto"/>
            <w:bottom w:val="none" w:sz="0" w:space="0" w:color="auto"/>
            <w:right w:val="none" w:sz="0" w:space="0" w:color="auto"/>
          </w:divBdr>
        </w:div>
        <w:div w:id="1591547943">
          <w:marLeft w:val="0"/>
          <w:marRight w:val="0"/>
          <w:marTop w:val="0"/>
          <w:marBottom w:val="0"/>
          <w:divBdr>
            <w:top w:val="none" w:sz="0" w:space="0" w:color="auto"/>
            <w:left w:val="none" w:sz="0" w:space="0" w:color="auto"/>
            <w:bottom w:val="none" w:sz="0" w:space="0" w:color="auto"/>
            <w:right w:val="none" w:sz="0" w:space="0" w:color="auto"/>
          </w:divBdr>
        </w:div>
        <w:div w:id="692416021">
          <w:marLeft w:val="0"/>
          <w:marRight w:val="0"/>
          <w:marTop w:val="0"/>
          <w:marBottom w:val="0"/>
          <w:divBdr>
            <w:top w:val="none" w:sz="0" w:space="0" w:color="auto"/>
            <w:left w:val="none" w:sz="0" w:space="0" w:color="auto"/>
            <w:bottom w:val="none" w:sz="0" w:space="0" w:color="auto"/>
            <w:right w:val="none" w:sz="0" w:space="0" w:color="auto"/>
          </w:divBdr>
        </w:div>
        <w:div w:id="902135663">
          <w:marLeft w:val="0"/>
          <w:marRight w:val="0"/>
          <w:marTop w:val="0"/>
          <w:marBottom w:val="0"/>
          <w:divBdr>
            <w:top w:val="none" w:sz="0" w:space="0" w:color="auto"/>
            <w:left w:val="none" w:sz="0" w:space="0" w:color="auto"/>
            <w:bottom w:val="none" w:sz="0" w:space="0" w:color="auto"/>
            <w:right w:val="none" w:sz="0" w:space="0" w:color="auto"/>
          </w:divBdr>
        </w:div>
        <w:div w:id="1812019593">
          <w:marLeft w:val="0"/>
          <w:marRight w:val="0"/>
          <w:marTop w:val="0"/>
          <w:marBottom w:val="0"/>
          <w:divBdr>
            <w:top w:val="none" w:sz="0" w:space="0" w:color="auto"/>
            <w:left w:val="none" w:sz="0" w:space="0" w:color="auto"/>
            <w:bottom w:val="none" w:sz="0" w:space="0" w:color="auto"/>
            <w:right w:val="none" w:sz="0" w:space="0" w:color="auto"/>
          </w:divBdr>
        </w:div>
      </w:divsChild>
    </w:div>
    <w:div w:id="1696887964">
      <w:bodyDiv w:val="1"/>
      <w:marLeft w:val="0"/>
      <w:marRight w:val="0"/>
      <w:marTop w:val="0"/>
      <w:marBottom w:val="0"/>
      <w:divBdr>
        <w:top w:val="none" w:sz="0" w:space="0" w:color="auto"/>
        <w:left w:val="none" w:sz="0" w:space="0" w:color="auto"/>
        <w:bottom w:val="none" w:sz="0" w:space="0" w:color="auto"/>
        <w:right w:val="none" w:sz="0" w:space="0" w:color="auto"/>
      </w:divBdr>
      <w:divsChild>
        <w:div w:id="2122186834">
          <w:marLeft w:val="0"/>
          <w:marRight w:val="0"/>
          <w:marTop w:val="0"/>
          <w:marBottom w:val="0"/>
          <w:divBdr>
            <w:top w:val="none" w:sz="0" w:space="0" w:color="auto"/>
            <w:left w:val="none" w:sz="0" w:space="0" w:color="auto"/>
            <w:bottom w:val="none" w:sz="0" w:space="0" w:color="auto"/>
            <w:right w:val="none" w:sz="0" w:space="0" w:color="auto"/>
          </w:divBdr>
        </w:div>
        <w:div w:id="1220897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remecourt.uk/cases/uksc-2013-0136.html" TargetMode="External"/><Relationship Id="rId13" Type="http://schemas.openxmlformats.org/officeDocument/2006/relationships/hyperlink" Target="https://www.legislation.gov.uk/ukpga/1988/33/section/39" TargetMode="External"/><Relationship Id="rId18" Type="http://schemas.openxmlformats.org/officeDocument/2006/relationships/hyperlink" Target="https://www.nhs.uk/conditions/consent-to-treatment/" TargetMode="External"/><Relationship Id="rId3" Type="http://schemas.openxmlformats.org/officeDocument/2006/relationships/customXml" Target="../customXml/item3.xml"/><Relationship Id="rId21" Type="http://schemas.openxmlformats.org/officeDocument/2006/relationships/hyperlink" Target="https://www.cps.gov.uk/legal-guidance/offences-against-person-incorporating-charging-standard" TargetMode="External"/><Relationship Id="rId7" Type="http://schemas.openxmlformats.org/officeDocument/2006/relationships/hyperlink" Target="https://lawprof.co/criminal-law/general-part-cases/gillick-v-west-norfolk-and-wisbech-aha-1986-ac-112-1986-crim-l-r-113/" TargetMode="External"/><Relationship Id="rId12" Type="http://schemas.openxmlformats.org/officeDocument/2006/relationships/hyperlink" Target="https://www.lawteacher.net/cases/r-v-wilson.php" TargetMode="External"/><Relationship Id="rId17" Type="http://schemas.openxmlformats.org/officeDocument/2006/relationships/hyperlink" Target="https://www.nhs.uk/conditions/consent-to-treatment/" TargetMode="External"/><Relationship Id="rId2" Type="http://schemas.openxmlformats.org/officeDocument/2006/relationships/customXml" Target="../customXml/item2.xml"/><Relationship Id="rId16" Type="http://schemas.openxmlformats.org/officeDocument/2006/relationships/hyperlink" Target="https://www.nhs.uk/conditions/consent-to-treatment/children/" TargetMode="External"/><Relationship Id="rId20" Type="http://schemas.openxmlformats.org/officeDocument/2006/relationships/hyperlink" Target="https://www.legislation.gov.uk/ukpga/2003/42/cont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psaloquitur.com/criminal-law/cases/r-v-rolfe-kenneth/" TargetMode="External"/><Relationship Id="rId5" Type="http://schemas.openxmlformats.org/officeDocument/2006/relationships/settings" Target="settings.xml"/><Relationship Id="rId15" Type="http://schemas.openxmlformats.org/officeDocument/2006/relationships/hyperlink" Target="https://www.nhs.uk/conditions/consent-to-treatment/" TargetMode="External"/><Relationship Id="rId23" Type="http://schemas.openxmlformats.org/officeDocument/2006/relationships/theme" Target="theme/theme1.xml"/><Relationship Id="rId10" Type="http://schemas.openxmlformats.org/officeDocument/2006/relationships/hyperlink" Target="https://www.lawteacher.net/cases/r-v-donovan.php" TargetMode="External"/><Relationship Id="rId19" Type="http://schemas.openxmlformats.org/officeDocument/2006/relationships/hyperlink" Target="https://www.legislation.gov.uk/ukpga/Vict/24-25/100/section/47" TargetMode="External"/><Relationship Id="rId4" Type="http://schemas.openxmlformats.org/officeDocument/2006/relationships/styles" Target="styles.xml"/><Relationship Id="rId9" Type="http://schemas.openxmlformats.org/officeDocument/2006/relationships/hyperlink" Target="http://www.e-lawresources.co.uk/cases/R-v-Brown-1993.php" TargetMode="External"/><Relationship Id="rId14" Type="http://schemas.openxmlformats.org/officeDocument/2006/relationships/hyperlink" Target="https://www.legislation.gov.uk/ukpga/2005/9/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3ab0a0-177c-4664-a7c5-83ebe3d5d33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11" ma:contentTypeDescription="Create a new document." ma:contentTypeScope="" ma:versionID="3543eeaaa567d18429c6128c8c846c62">
  <xsd:schema xmlns:xsd="http://www.w3.org/2001/XMLSchema" xmlns:xs="http://www.w3.org/2001/XMLSchema" xmlns:p="http://schemas.microsoft.com/office/2006/metadata/properties" xmlns:ns3="6f3ab0a0-177c-4664-a7c5-83ebe3d5d33a" xmlns:ns4="40f56d7e-19cf-4c71-ac65-8a0d9fdd6cc1" targetNamespace="http://schemas.microsoft.com/office/2006/metadata/properties" ma:root="true" ma:fieldsID="453e609d135b6a7ff6489fb99fe2ef5a" ns3:_="" ns4:_="">
    <xsd:import namespace="6f3ab0a0-177c-4664-a7c5-83ebe3d5d33a"/>
    <xsd:import namespace="40f56d7e-19cf-4c71-ac65-8a0d9fdd6c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f56d7e-19cf-4c71-ac65-8a0d9fdd6cc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5A55DB-C4D4-4EAD-884B-E3375832B0E7}">
  <ds:schemaRefs>
    <ds:schemaRef ds:uri="http://schemas.microsoft.com/office/2006/metadata/properties"/>
    <ds:schemaRef ds:uri="http://schemas.microsoft.com/office/infopath/2007/PartnerControls"/>
    <ds:schemaRef ds:uri="6f3ab0a0-177c-4664-a7c5-83ebe3d5d33a"/>
  </ds:schemaRefs>
</ds:datastoreItem>
</file>

<file path=customXml/itemProps2.xml><?xml version="1.0" encoding="utf-8"?>
<ds:datastoreItem xmlns:ds="http://schemas.openxmlformats.org/officeDocument/2006/customXml" ds:itemID="{8F1B41F8-B002-4A52-9F90-6A714C449146}">
  <ds:schemaRefs>
    <ds:schemaRef ds:uri="http://schemas.microsoft.com/sharepoint/v3/contenttype/forms"/>
  </ds:schemaRefs>
</ds:datastoreItem>
</file>

<file path=customXml/itemProps3.xml><?xml version="1.0" encoding="utf-8"?>
<ds:datastoreItem xmlns:ds="http://schemas.openxmlformats.org/officeDocument/2006/customXml" ds:itemID="{C0CE4671-FC3E-40F2-9662-0F40B9C95D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40f56d7e-19cf-4c71-ac65-8a0d9fdd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1584</Words>
  <Characters>8555</Characters>
  <Application>Microsoft Office Word</Application>
  <DocSecurity>0</DocSecurity>
  <Lines>180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Consent and its role in cases involving battery</dc:title>
  <dc:subject>Piotr Czubinski</dc:subject>
  <dc:creator>Piotr Czubinski</dc:creator>
  <cp:keywords/>
  <dc:description/>
  <cp:lastModifiedBy>Piotr Czubinski</cp:lastModifiedBy>
  <cp:revision>3</cp:revision>
  <dcterms:created xsi:type="dcterms:W3CDTF">2023-11-06T13:41:00Z</dcterms:created>
  <dcterms:modified xsi:type="dcterms:W3CDTF">2023-11-06T13:41:00Z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066d34fe-63d5-476f-aab6-429f2c54319e</vt:lpwstr>
  </property>
  <property fmtid="{D5CDD505-2E9C-101B-9397-08002B2CF9AE}" pid="3" name="ContentTypeId">
    <vt:lpwstr>0x010100DAF1B30F5168BD4798AF0BC34582E39D</vt:lpwstr>
  </property>
</Properties>
</file>