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E9CD88" w14:textId="3CF92491" w:rsidR="00080267" w:rsidRPr="00AF3C60" w:rsidRDefault="46D994B2" w:rsidP="00AF3C60">
      <w:pPr>
        <w:spacing w:line="360" w:lineRule="auto"/>
        <w:jc w:val="both"/>
        <w:rPr>
          <w:rFonts w:ascii="Times New Roman" w:hAnsi="Times New Roman" w:cs="Times New Roman"/>
          <w:color w:val="000000" w:themeColor="text1"/>
        </w:rPr>
      </w:pPr>
      <w:r w:rsidRPr="00AF3C60">
        <w:rPr>
          <w:rFonts w:ascii="Times New Roman" w:eastAsia="Aptos" w:hAnsi="Times New Roman" w:cs="Times New Roman"/>
          <w:color w:val="000000" w:themeColor="text1"/>
        </w:rPr>
        <w:t>Consulting Report for Burj Al Arab, Dubai</w:t>
      </w:r>
    </w:p>
    <w:p w14:paraId="1ED6D251" w14:textId="0F6722FA" w:rsidR="00080267" w:rsidRPr="00AF3C60" w:rsidRDefault="46D994B2" w:rsidP="00AF3C60">
      <w:pPr>
        <w:spacing w:line="360" w:lineRule="auto"/>
        <w:jc w:val="both"/>
        <w:rPr>
          <w:rFonts w:ascii="Times New Roman" w:hAnsi="Times New Roman" w:cs="Times New Roman"/>
          <w:color w:val="000000" w:themeColor="text1"/>
        </w:rPr>
      </w:pPr>
      <w:r w:rsidRPr="00AF3C60">
        <w:rPr>
          <w:rFonts w:ascii="Times New Roman" w:eastAsia="Aptos" w:hAnsi="Times New Roman" w:cs="Times New Roman"/>
          <w:color w:val="000000" w:themeColor="text1"/>
        </w:rPr>
        <w:t>Enhancing Operational Efficiency and Guest Experience</w:t>
      </w:r>
    </w:p>
    <w:p w14:paraId="00751B24" w14:textId="59183898" w:rsidR="00080267" w:rsidRPr="00AF3C60" w:rsidRDefault="46D994B2" w:rsidP="00AF3C60">
      <w:pPr>
        <w:spacing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color w:val="000000" w:themeColor="text1"/>
        </w:rPr>
        <w:t xml:space="preserve">Prepared by: </w:t>
      </w:r>
      <w:proofErr w:type="spellStart"/>
      <w:r w:rsidR="143774F5" w:rsidRPr="00AF3C60">
        <w:rPr>
          <w:rFonts w:ascii="Times New Roman" w:eastAsia="Aptos" w:hAnsi="Times New Roman" w:cs="Times New Roman"/>
          <w:color w:val="000000" w:themeColor="text1"/>
        </w:rPr>
        <w:t>Melis</w:t>
      </w:r>
      <w:proofErr w:type="spellEnd"/>
      <w:r w:rsidR="143774F5" w:rsidRPr="00AF3C60">
        <w:rPr>
          <w:rFonts w:ascii="Times New Roman" w:eastAsia="Aptos" w:hAnsi="Times New Roman" w:cs="Times New Roman"/>
          <w:color w:val="000000" w:themeColor="text1"/>
        </w:rPr>
        <w:t xml:space="preserve"> Shaban</w:t>
      </w:r>
    </w:p>
    <w:p w14:paraId="26E28976" w14:textId="12803646" w:rsidR="00080267" w:rsidRPr="00AF3C60" w:rsidRDefault="46D994B2" w:rsidP="00AF3C60">
      <w:pPr>
        <w:spacing w:line="360" w:lineRule="auto"/>
        <w:jc w:val="both"/>
        <w:rPr>
          <w:rFonts w:ascii="Times New Roman" w:hAnsi="Times New Roman" w:cs="Times New Roman"/>
          <w:color w:val="000000" w:themeColor="text1"/>
        </w:rPr>
      </w:pPr>
      <w:r w:rsidRPr="00AF3C60">
        <w:rPr>
          <w:rFonts w:ascii="Times New Roman" w:eastAsia="Aptos" w:hAnsi="Times New Roman" w:cs="Times New Roman"/>
          <w:color w:val="000000" w:themeColor="text1"/>
        </w:rPr>
        <w:t>Student Number:</w:t>
      </w:r>
      <w:r w:rsidR="5CD7D173" w:rsidRPr="00AF3C60">
        <w:rPr>
          <w:rFonts w:ascii="Times New Roman" w:eastAsia="Aptos" w:hAnsi="Times New Roman" w:cs="Times New Roman"/>
          <w:color w:val="000000" w:themeColor="text1"/>
        </w:rPr>
        <w:t xml:space="preserve"> 2212035</w:t>
      </w:r>
    </w:p>
    <w:p w14:paraId="55DE03DF" w14:textId="021BB4C8" w:rsidR="00080267" w:rsidRPr="00AF3C60" w:rsidRDefault="28AC8EAF" w:rsidP="00AF3C60">
      <w:pPr>
        <w:spacing w:line="360" w:lineRule="auto"/>
        <w:jc w:val="both"/>
        <w:rPr>
          <w:rFonts w:ascii="Times New Roman" w:hAnsi="Times New Roman" w:cs="Times New Roman"/>
          <w:color w:val="000000" w:themeColor="text1"/>
        </w:rPr>
      </w:pPr>
      <w:r w:rsidRPr="00AF3C60">
        <w:rPr>
          <w:rFonts w:ascii="Times New Roman" w:eastAsia="Aptos" w:hAnsi="Times New Roman" w:cs="Times New Roman"/>
          <w:color w:val="000000" w:themeColor="text1"/>
        </w:rPr>
        <w:t xml:space="preserve">Module Code BMIH6005 </w:t>
      </w:r>
    </w:p>
    <w:p w14:paraId="37C563EE" w14:textId="344CE390" w:rsidR="00080267" w:rsidRPr="00AF3C60" w:rsidRDefault="28AC8EAF" w:rsidP="00AF3C60">
      <w:pPr>
        <w:spacing w:line="360" w:lineRule="auto"/>
        <w:jc w:val="both"/>
        <w:rPr>
          <w:rFonts w:ascii="Times New Roman" w:hAnsi="Times New Roman" w:cs="Times New Roman"/>
          <w:color w:val="000000" w:themeColor="text1"/>
        </w:rPr>
      </w:pPr>
      <w:r w:rsidRPr="00AF3C60">
        <w:rPr>
          <w:rFonts w:ascii="Times New Roman" w:eastAsia="Aptos" w:hAnsi="Times New Roman" w:cs="Times New Roman"/>
          <w:color w:val="000000" w:themeColor="text1"/>
        </w:rPr>
        <w:t xml:space="preserve">Module Title </w:t>
      </w:r>
      <w:proofErr w:type="spellStart"/>
      <w:r w:rsidRPr="00AF3C60">
        <w:rPr>
          <w:rFonts w:ascii="Times New Roman" w:eastAsia="Aptos" w:hAnsi="Times New Roman" w:cs="Times New Roman"/>
          <w:color w:val="000000" w:themeColor="text1"/>
        </w:rPr>
        <w:t>Organisational</w:t>
      </w:r>
      <w:proofErr w:type="spellEnd"/>
      <w:r w:rsidRPr="00AF3C60">
        <w:rPr>
          <w:rFonts w:ascii="Times New Roman" w:eastAsia="Aptos" w:hAnsi="Times New Roman" w:cs="Times New Roman"/>
          <w:color w:val="000000" w:themeColor="text1"/>
        </w:rPr>
        <w:t xml:space="preserve"> Consultancy</w:t>
      </w:r>
    </w:p>
    <w:p w14:paraId="2C078E63" w14:textId="51370C74" w:rsidR="00080267" w:rsidRDefault="46D994B2" w:rsidP="00AF3C60">
      <w:pPr>
        <w:spacing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color w:val="000000" w:themeColor="text1"/>
        </w:rPr>
        <w:t>Date: November 12, 2024</w:t>
      </w:r>
    </w:p>
    <w:p w14:paraId="2ED71C3C" w14:textId="64973354" w:rsidR="00855440" w:rsidRPr="00AF3C60" w:rsidRDefault="00855440" w:rsidP="00AF3C60">
      <w:pPr>
        <w:spacing w:line="360" w:lineRule="auto"/>
        <w:jc w:val="both"/>
        <w:rPr>
          <w:rFonts w:ascii="Times New Roman" w:hAnsi="Times New Roman" w:cs="Times New Roman"/>
          <w:color w:val="000000" w:themeColor="text1"/>
        </w:rPr>
      </w:pPr>
      <w:r>
        <w:rPr>
          <w:rFonts w:ascii="Times New Roman" w:eastAsia="Aptos" w:hAnsi="Times New Roman" w:cs="Times New Roman"/>
          <w:color w:val="000000" w:themeColor="text1"/>
        </w:rPr>
        <w:t>Wordcount: 5860</w:t>
      </w:r>
    </w:p>
    <w:p w14:paraId="6843C5B1" w14:textId="3BCB8C4B" w:rsidR="43535B51" w:rsidRPr="00AF3C60" w:rsidRDefault="6E2E38D3" w:rsidP="00AF3C60">
      <w:pPr>
        <w:spacing w:line="360" w:lineRule="auto"/>
        <w:jc w:val="both"/>
        <w:rPr>
          <w:rFonts w:ascii="Times New Roman" w:eastAsia="Aptos" w:hAnsi="Times New Roman" w:cs="Times New Roman"/>
          <w:color w:val="000000" w:themeColor="text1"/>
        </w:rPr>
      </w:pPr>
      <w:r w:rsidRPr="00AF3C60">
        <w:rPr>
          <w:rFonts w:ascii="Times New Roman" w:hAnsi="Times New Roman" w:cs="Times New Roman"/>
          <w:noProof/>
          <w:color w:val="000000" w:themeColor="text1"/>
        </w:rPr>
        <w:drawing>
          <wp:inline distT="0" distB="0" distL="0" distR="0" wp14:anchorId="41724F5B" wp14:editId="56AD6A63">
            <wp:extent cx="1819275" cy="1819275"/>
            <wp:effectExtent l="0" t="0" r="0" b="0"/>
            <wp:docPr id="234545003" name="Picture 234545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1819275" cy="1819275"/>
                    </a:xfrm>
                    <a:prstGeom prst="rect">
                      <a:avLst/>
                    </a:prstGeom>
                  </pic:spPr>
                </pic:pic>
              </a:graphicData>
            </a:graphic>
          </wp:inline>
        </w:drawing>
      </w:r>
    </w:p>
    <w:p w14:paraId="7B24E49A" w14:textId="68D942F5" w:rsidR="43535B51" w:rsidRPr="00AF3C60" w:rsidRDefault="43535B51" w:rsidP="00AF3C60">
      <w:pPr>
        <w:spacing w:line="360" w:lineRule="auto"/>
        <w:jc w:val="both"/>
        <w:rPr>
          <w:rFonts w:ascii="Times New Roman" w:eastAsia="Aptos" w:hAnsi="Times New Roman" w:cs="Times New Roman"/>
          <w:color w:val="000000" w:themeColor="text1"/>
        </w:rPr>
      </w:pPr>
    </w:p>
    <w:p w14:paraId="1D1C9ACA" w14:textId="7E189579" w:rsidR="43535B51" w:rsidRPr="00AF3C60" w:rsidRDefault="43535B51" w:rsidP="00AF3C60">
      <w:pPr>
        <w:spacing w:line="360" w:lineRule="auto"/>
        <w:jc w:val="both"/>
        <w:rPr>
          <w:rFonts w:ascii="Times New Roman" w:eastAsia="Aptos" w:hAnsi="Times New Roman" w:cs="Times New Roman"/>
          <w:color w:val="000000" w:themeColor="text1"/>
        </w:rPr>
      </w:pPr>
    </w:p>
    <w:p w14:paraId="75A09448" w14:textId="72C6C825" w:rsidR="43535B51" w:rsidRPr="00AF3C60" w:rsidRDefault="43535B51" w:rsidP="00AF3C60">
      <w:pPr>
        <w:spacing w:line="360" w:lineRule="auto"/>
        <w:jc w:val="both"/>
        <w:rPr>
          <w:rFonts w:ascii="Times New Roman" w:eastAsia="Aptos" w:hAnsi="Times New Roman" w:cs="Times New Roman"/>
          <w:color w:val="000000" w:themeColor="text1"/>
        </w:rPr>
      </w:pPr>
    </w:p>
    <w:p w14:paraId="46CE8579" w14:textId="13FE1715" w:rsidR="43535B51" w:rsidRPr="00AF3C60" w:rsidRDefault="43535B51" w:rsidP="00AF3C60">
      <w:pPr>
        <w:spacing w:line="360" w:lineRule="auto"/>
        <w:jc w:val="both"/>
        <w:rPr>
          <w:rFonts w:ascii="Times New Roman" w:eastAsia="Aptos" w:hAnsi="Times New Roman" w:cs="Times New Roman"/>
          <w:color w:val="000000" w:themeColor="text1"/>
        </w:rPr>
      </w:pPr>
    </w:p>
    <w:p w14:paraId="4D796636" w14:textId="59367E39" w:rsidR="43535B51" w:rsidRPr="00AF3C60" w:rsidRDefault="43535B51" w:rsidP="00AF3C60">
      <w:pPr>
        <w:spacing w:line="360" w:lineRule="auto"/>
        <w:jc w:val="both"/>
        <w:rPr>
          <w:rFonts w:ascii="Times New Roman" w:eastAsia="Aptos" w:hAnsi="Times New Roman" w:cs="Times New Roman"/>
          <w:color w:val="000000" w:themeColor="text1"/>
        </w:rPr>
      </w:pPr>
    </w:p>
    <w:p w14:paraId="4D95A69C" w14:textId="463AAD6D" w:rsidR="43535B51" w:rsidRPr="00AF3C60" w:rsidRDefault="43535B51" w:rsidP="00AF3C60">
      <w:pPr>
        <w:spacing w:line="360" w:lineRule="auto"/>
        <w:jc w:val="both"/>
        <w:rPr>
          <w:rFonts w:ascii="Times New Roman" w:eastAsia="Aptos" w:hAnsi="Times New Roman" w:cs="Times New Roman"/>
          <w:color w:val="000000" w:themeColor="text1"/>
        </w:rPr>
      </w:pPr>
    </w:p>
    <w:p w14:paraId="7101237A" w14:textId="04E011A0" w:rsidR="43535B51" w:rsidRPr="00AF3C60" w:rsidRDefault="43535B51" w:rsidP="00AF3C60">
      <w:pPr>
        <w:spacing w:line="360" w:lineRule="auto"/>
        <w:jc w:val="both"/>
        <w:rPr>
          <w:rFonts w:ascii="Times New Roman" w:eastAsia="Aptos" w:hAnsi="Times New Roman" w:cs="Times New Roman"/>
          <w:color w:val="000000" w:themeColor="text1"/>
        </w:rPr>
      </w:pPr>
    </w:p>
    <w:p w14:paraId="3F88BFD7" w14:textId="2C7701F7" w:rsidR="43535B51" w:rsidRPr="00AF3C60" w:rsidRDefault="43535B51" w:rsidP="00AF3C60">
      <w:pPr>
        <w:spacing w:line="360" w:lineRule="auto"/>
        <w:jc w:val="both"/>
        <w:rPr>
          <w:rFonts w:ascii="Times New Roman" w:eastAsia="Aptos" w:hAnsi="Times New Roman" w:cs="Times New Roman"/>
          <w:color w:val="000000" w:themeColor="text1"/>
        </w:rPr>
      </w:pPr>
    </w:p>
    <w:p w14:paraId="6FCDC9A9" w14:textId="77777777" w:rsidR="009C0531" w:rsidRDefault="009C0531" w:rsidP="00AF3C60">
      <w:pPr>
        <w:spacing w:before="240" w:after="240" w:line="360" w:lineRule="auto"/>
        <w:jc w:val="both"/>
        <w:rPr>
          <w:rFonts w:ascii="Times New Roman" w:eastAsia="Aptos" w:hAnsi="Times New Roman" w:cs="Times New Roman"/>
          <w:color w:val="000000" w:themeColor="text1"/>
        </w:rPr>
      </w:pPr>
    </w:p>
    <w:sdt>
      <w:sdtPr>
        <w:id w:val="-117460751"/>
        <w:docPartObj>
          <w:docPartGallery w:val="Table of Contents"/>
          <w:docPartUnique/>
        </w:docPartObj>
      </w:sdtPr>
      <w:sdtEndPr>
        <w:rPr>
          <w:rFonts w:asciiTheme="minorHAnsi" w:eastAsiaTheme="minorEastAsia" w:hAnsiTheme="minorHAnsi" w:cstheme="minorBidi"/>
          <w:noProof/>
          <w:color w:val="auto"/>
          <w:sz w:val="24"/>
          <w:szCs w:val="24"/>
          <w:lang w:eastAsia="ja-JP"/>
        </w:rPr>
      </w:sdtEndPr>
      <w:sdtContent>
        <w:p w14:paraId="0B1297EE" w14:textId="2159F729" w:rsidR="009C0531" w:rsidRDefault="009C0531">
          <w:pPr>
            <w:pStyle w:val="TOCHeading"/>
          </w:pPr>
          <w:r>
            <w:t>Table of Contents</w:t>
          </w:r>
        </w:p>
        <w:p w14:paraId="768A5A15" w14:textId="203BD3F1" w:rsidR="009C0531" w:rsidRDefault="009C0531">
          <w:pPr>
            <w:pStyle w:val="TOC3"/>
            <w:tabs>
              <w:tab w:val="right" w:leader="dot" w:pos="9350"/>
            </w:tabs>
            <w:rPr>
              <w:noProof/>
            </w:rPr>
          </w:pPr>
          <w:r>
            <w:fldChar w:fldCharType="begin"/>
          </w:r>
          <w:r>
            <w:instrText xml:space="preserve"> TOC \o "1-3" \h \z \u </w:instrText>
          </w:r>
          <w:r>
            <w:fldChar w:fldCharType="separate"/>
          </w:r>
          <w:hyperlink w:anchor="_Toc182344123" w:history="1">
            <w:r w:rsidRPr="00175550">
              <w:rPr>
                <w:rStyle w:val="Hyperlink"/>
                <w:rFonts w:ascii="Times New Roman" w:eastAsia="Aptos" w:hAnsi="Times New Roman" w:cs="Times New Roman"/>
                <w:b/>
                <w:bCs/>
                <w:noProof/>
              </w:rPr>
              <w:t>Analysis</w:t>
            </w:r>
            <w:r>
              <w:rPr>
                <w:noProof/>
                <w:webHidden/>
              </w:rPr>
              <w:tab/>
            </w:r>
            <w:r>
              <w:rPr>
                <w:noProof/>
                <w:webHidden/>
              </w:rPr>
              <w:fldChar w:fldCharType="begin"/>
            </w:r>
            <w:r>
              <w:rPr>
                <w:noProof/>
                <w:webHidden/>
              </w:rPr>
              <w:instrText xml:space="preserve"> PAGEREF _Toc182344123 \h </w:instrText>
            </w:r>
            <w:r>
              <w:rPr>
                <w:noProof/>
                <w:webHidden/>
              </w:rPr>
            </w:r>
            <w:r>
              <w:rPr>
                <w:noProof/>
                <w:webHidden/>
              </w:rPr>
              <w:fldChar w:fldCharType="separate"/>
            </w:r>
            <w:r>
              <w:rPr>
                <w:noProof/>
                <w:webHidden/>
              </w:rPr>
              <w:t>7</w:t>
            </w:r>
            <w:r>
              <w:rPr>
                <w:noProof/>
                <w:webHidden/>
              </w:rPr>
              <w:fldChar w:fldCharType="end"/>
            </w:r>
          </w:hyperlink>
        </w:p>
        <w:p w14:paraId="34AEDE0D" w14:textId="5DC3820F" w:rsidR="009C0531" w:rsidRDefault="009C0531">
          <w:pPr>
            <w:pStyle w:val="TOC3"/>
            <w:tabs>
              <w:tab w:val="right" w:leader="dot" w:pos="9350"/>
            </w:tabs>
            <w:rPr>
              <w:noProof/>
            </w:rPr>
          </w:pPr>
          <w:hyperlink w:anchor="_Toc182344124" w:history="1">
            <w:r w:rsidRPr="00175550">
              <w:rPr>
                <w:rStyle w:val="Hyperlink"/>
                <w:rFonts w:ascii="Times New Roman" w:eastAsia="Aptos" w:hAnsi="Times New Roman" w:cs="Times New Roman"/>
                <w:b/>
                <w:bCs/>
                <w:noProof/>
              </w:rPr>
              <w:t>1. Identification of Issues Impacting Burj Al Arab</w:t>
            </w:r>
            <w:r>
              <w:rPr>
                <w:noProof/>
                <w:webHidden/>
              </w:rPr>
              <w:tab/>
            </w:r>
            <w:r>
              <w:rPr>
                <w:noProof/>
                <w:webHidden/>
              </w:rPr>
              <w:fldChar w:fldCharType="begin"/>
            </w:r>
            <w:r>
              <w:rPr>
                <w:noProof/>
                <w:webHidden/>
              </w:rPr>
              <w:instrText xml:space="preserve"> PAGEREF _Toc182344124 \h </w:instrText>
            </w:r>
            <w:r>
              <w:rPr>
                <w:noProof/>
                <w:webHidden/>
              </w:rPr>
            </w:r>
            <w:r>
              <w:rPr>
                <w:noProof/>
                <w:webHidden/>
              </w:rPr>
              <w:fldChar w:fldCharType="separate"/>
            </w:r>
            <w:r>
              <w:rPr>
                <w:noProof/>
                <w:webHidden/>
              </w:rPr>
              <w:t>7</w:t>
            </w:r>
            <w:r>
              <w:rPr>
                <w:noProof/>
                <w:webHidden/>
              </w:rPr>
              <w:fldChar w:fldCharType="end"/>
            </w:r>
          </w:hyperlink>
        </w:p>
        <w:p w14:paraId="33896D78" w14:textId="2940164B" w:rsidR="009C0531" w:rsidRDefault="009C0531">
          <w:pPr>
            <w:pStyle w:val="TOC3"/>
            <w:tabs>
              <w:tab w:val="right" w:leader="dot" w:pos="9350"/>
            </w:tabs>
            <w:rPr>
              <w:noProof/>
            </w:rPr>
          </w:pPr>
          <w:hyperlink w:anchor="_Toc182344125" w:history="1">
            <w:r w:rsidRPr="00175550">
              <w:rPr>
                <w:rStyle w:val="Hyperlink"/>
                <w:rFonts w:ascii="Times New Roman" w:eastAsia="Aptos" w:hAnsi="Times New Roman" w:cs="Times New Roman"/>
                <w:b/>
                <w:bCs/>
                <w:noProof/>
              </w:rPr>
              <w:t>Concluding Strategic Insights</w:t>
            </w:r>
            <w:r>
              <w:rPr>
                <w:noProof/>
                <w:webHidden/>
              </w:rPr>
              <w:tab/>
            </w:r>
            <w:r>
              <w:rPr>
                <w:noProof/>
                <w:webHidden/>
              </w:rPr>
              <w:fldChar w:fldCharType="begin"/>
            </w:r>
            <w:r>
              <w:rPr>
                <w:noProof/>
                <w:webHidden/>
              </w:rPr>
              <w:instrText xml:space="preserve"> PAGEREF _Toc182344125 \h </w:instrText>
            </w:r>
            <w:r>
              <w:rPr>
                <w:noProof/>
                <w:webHidden/>
              </w:rPr>
            </w:r>
            <w:r>
              <w:rPr>
                <w:noProof/>
                <w:webHidden/>
              </w:rPr>
              <w:fldChar w:fldCharType="separate"/>
            </w:r>
            <w:r>
              <w:rPr>
                <w:noProof/>
                <w:webHidden/>
              </w:rPr>
              <w:t>11</w:t>
            </w:r>
            <w:r>
              <w:rPr>
                <w:noProof/>
                <w:webHidden/>
              </w:rPr>
              <w:fldChar w:fldCharType="end"/>
            </w:r>
          </w:hyperlink>
        </w:p>
        <w:p w14:paraId="3A3958C7" w14:textId="3BB1FFA6" w:rsidR="009C0531" w:rsidRDefault="009C0531">
          <w:pPr>
            <w:pStyle w:val="TOC3"/>
            <w:tabs>
              <w:tab w:val="right" w:leader="dot" w:pos="9350"/>
            </w:tabs>
            <w:rPr>
              <w:noProof/>
            </w:rPr>
          </w:pPr>
          <w:hyperlink w:anchor="_Toc182344126" w:history="1">
            <w:r w:rsidRPr="00175550">
              <w:rPr>
                <w:rStyle w:val="Hyperlink"/>
                <w:rFonts w:ascii="Times New Roman" w:eastAsia="Aptos" w:hAnsi="Times New Roman" w:cs="Times New Roman"/>
                <w:b/>
                <w:bCs/>
                <w:noProof/>
              </w:rPr>
              <w:t>In-Depth Analysis for Burj Al Arab</w:t>
            </w:r>
            <w:r>
              <w:rPr>
                <w:noProof/>
                <w:webHidden/>
              </w:rPr>
              <w:tab/>
            </w:r>
            <w:r>
              <w:rPr>
                <w:noProof/>
                <w:webHidden/>
              </w:rPr>
              <w:fldChar w:fldCharType="begin"/>
            </w:r>
            <w:r>
              <w:rPr>
                <w:noProof/>
                <w:webHidden/>
              </w:rPr>
              <w:instrText xml:space="preserve"> PAGEREF _Toc182344126 \h </w:instrText>
            </w:r>
            <w:r>
              <w:rPr>
                <w:noProof/>
                <w:webHidden/>
              </w:rPr>
            </w:r>
            <w:r>
              <w:rPr>
                <w:noProof/>
                <w:webHidden/>
              </w:rPr>
              <w:fldChar w:fldCharType="separate"/>
            </w:r>
            <w:r>
              <w:rPr>
                <w:noProof/>
                <w:webHidden/>
              </w:rPr>
              <w:t>12</w:t>
            </w:r>
            <w:r>
              <w:rPr>
                <w:noProof/>
                <w:webHidden/>
              </w:rPr>
              <w:fldChar w:fldCharType="end"/>
            </w:r>
          </w:hyperlink>
        </w:p>
        <w:p w14:paraId="450FAF5F" w14:textId="571F4373" w:rsidR="009C0531" w:rsidRDefault="009C0531">
          <w:pPr>
            <w:pStyle w:val="TOC3"/>
            <w:tabs>
              <w:tab w:val="right" w:leader="dot" w:pos="9350"/>
            </w:tabs>
            <w:rPr>
              <w:noProof/>
            </w:rPr>
          </w:pPr>
          <w:hyperlink w:anchor="_Toc182344127" w:history="1">
            <w:r w:rsidRPr="00175550">
              <w:rPr>
                <w:rStyle w:val="Hyperlink"/>
                <w:rFonts w:ascii="Times New Roman" w:eastAsia="Aptos" w:hAnsi="Times New Roman" w:cs="Times New Roman"/>
                <w:b/>
                <w:bCs/>
                <w:noProof/>
              </w:rPr>
              <w:t>Recommendation 1</w:t>
            </w:r>
            <w:r>
              <w:rPr>
                <w:noProof/>
                <w:webHidden/>
              </w:rPr>
              <w:tab/>
            </w:r>
            <w:r>
              <w:rPr>
                <w:noProof/>
                <w:webHidden/>
              </w:rPr>
              <w:fldChar w:fldCharType="begin"/>
            </w:r>
            <w:r>
              <w:rPr>
                <w:noProof/>
                <w:webHidden/>
              </w:rPr>
              <w:instrText xml:space="preserve"> PAGEREF _Toc182344127 \h </w:instrText>
            </w:r>
            <w:r>
              <w:rPr>
                <w:noProof/>
                <w:webHidden/>
              </w:rPr>
            </w:r>
            <w:r>
              <w:rPr>
                <w:noProof/>
                <w:webHidden/>
              </w:rPr>
              <w:fldChar w:fldCharType="separate"/>
            </w:r>
            <w:r>
              <w:rPr>
                <w:noProof/>
                <w:webHidden/>
              </w:rPr>
              <w:t>16</w:t>
            </w:r>
            <w:r>
              <w:rPr>
                <w:noProof/>
                <w:webHidden/>
              </w:rPr>
              <w:fldChar w:fldCharType="end"/>
            </w:r>
          </w:hyperlink>
        </w:p>
        <w:p w14:paraId="05C7AAA1" w14:textId="63FB3F8B" w:rsidR="009C0531" w:rsidRDefault="009C0531">
          <w:pPr>
            <w:pStyle w:val="TOC3"/>
            <w:tabs>
              <w:tab w:val="right" w:leader="dot" w:pos="9350"/>
            </w:tabs>
            <w:rPr>
              <w:noProof/>
            </w:rPr>
          </w:pPr>
          <w:hyperlink w:anchor="_Toc182344128" w:history="1">
            <w:r w:rsidRPr="00175550">
              <w:rPr>
                <w:rStyle w:val="Hyperlink"/>
                <w:rFonts w:ascii="Times New Roman" w:hAnsi="Times New Roman" w:cs="Times New Roman"/>
                <w:b/>
                <w:bCs/>
                <w:noProof/>
              </w:rPr>
              <w:t>Detailed Implementation Examples and Outcomes</w:t>
            </w:r>
            <w:r>
              <w:rPr>
                <w:noProof/>
                <w:webHidden/>
              </w:rPr>
              <w:tab/>
            </w:r>
            <w:r>
              <w:rPr>
                <w:noProof/>
                <w:webHidden/>
              </w:rPr>
              <w:fldChar w:fldCharType="begin"/>
            </w:r>
            <w:r>
              <w:rPr>
                <w:noProof/>
                <w:webHidden/>
              </w:rPr>
              <w:instrText xml:space="preserve"> PAGEREF _Toc182344128 \h </w:instrText>
            </w:r>
            <w:r>
              <w:rPr>
                <w:noProof/>
                <w:webHidden/>
              </w:rPr>
            </w:r>
            <w:r>
              <w:rPr>
                <w:noProof/>
                <w:webHidden/>
              </w:rPr>
              <w:fldChar w:fldCharType="separate"/>
            </w:r>
            <w:r>
              <w:rPr>
                <w:noProof/>
                <w:webHidden/>
              </w:rPr>
              <w:t>19</w:t>
            </w:r>
            <w:r>
              <w:rPr>
                <w:noProof/>
                <w:webHidden/>
              </w:rPr>
              <w:fldChar w:fldCharType="end"/>
            </w:r>
          </w:hyperlink>
        </w:p>
        <w:p w14:paraId="57E9912B" w14:textId="0E7B1968" w:rsidR="009C0531" w:rsidRDefault="009C0531">
          <w:pPr>
            <w:pStyle w:val="TOC3"/>
            <w:tabs>
              <w:tab w:val="right" w:leader="dot" w:pos="9350"/>
            </w:tabs>
            <w:rPr>
              <w:noProof/>
            </w:rPr>
          </w:pPr>
          <w:hyperlink w:anchor="_Toc182344129" w:history="1">
            <w:r w:rsidRPr="00175550">
              <w:rPr>
                <w:rStyle w:val="Hyperlink"/>
                <w:rFonts w:ascii="Times New Roman" w:hAnsi="Times New Roman" w:cs="Times New Roman"/>
                <w:b/>
                <w:bCs/>
                <w:noProof/>
              </w:rPr>
              <w:t>Conclusion and Strategic Positioning</w:t>
            </w:r>
            <w:r>
              <w:rPr>
                <w:noProof/>
                <w:webHidden/>
              </w:rPr>
              <w:tab/>
            </w:r>
            <w:r>
              <w:rPr>
                <w:noProof/>
                <w:webHidden/>
              </w:rPr>
              <w:fldChar w:fldCharType="begin"/>
            </w:r>
            <w:r>
              <w:rPr>
                <w:noProof/>
                <w:webHidden/>
              </w:rPr>
              <w:instrText xml:space="preserve"> PAGEREF _Toc182344129 \h </w:instrText>
            </w:r>
            <w:r>
              <w:rPr>
                <w:noProof/>
                <w:webHidden/>
              </w:rPr>
            </w:r>
            <w:r>
              <w:rPr>
                <w:noProof/>
                <w:webHidden/>
              </w:rPr>
              <w:fldChar w:fldCharType="separate"/>
            </w:r>
            <w:r>
              <w:rPr>
                <w:noProof/>
                <w:webHidden/>
              </w:rPr>
              <w:t>21</w:t>
            </w:r>
            <w:r>
              <w:rPr>
                <w:noProof/>
                <w:webHidden/>
              </w:rPr>
              <w:fldChar w:fldCharType="end"/>
            </w:r>
          </w:hyperlink>
        </w:p>
        <w:p w14:paraId="3672FEAE" w14:textId="4F268789" w:rsidR="009C0531" w:rsidRDefault="009C0531">
          <w:pPr>
            <w:pStyle w:val="TOC3"/>
            <w:tabs>
              <w:tab w:val="right" w:leader="dot" w:pos="9350"/>
            </w:tabs>
            <w:rPr>
              <w:noProof/>
            </w:rPr>
          </w:pPr>
          <w:hyperlink w:anchor="_Toc182344130" w:history="1">
            <w:r w:rsidRPr="00175550">
              <w:rPr>
                <w:rStyle w:val="Hyperlink"/>
                <w:rFonts w:ascii="Times New Roman" w:eastAsia="Aptos" w:hAnsi="Times New Roman" w:cs="Times New Roman"/>
                <w:b/>
                <w:bCs/>
                <w:noProof/>
              </w:rPr>
              <w:t>Recommendation 2: Comprehensive Sustainability Initiatives</w:t>
            </w:r>
            <w:r>
              <w:rPr>
                <w:noProof/>
                <w:webHidden/>
              </w:rPr>
              <w:tab/>
            </w:r>
            <w:r>
              <w:rPr>
                <w:noProof/>
                <w:webHidden/>
              </w:rPr>
              <w:fldChar w:fldCharType="begin"/>
            </w:r>
            <w:r>
              <w:rPr>
                <w:noProof/>
                <w:webHidden/>
              </w:rPr>
              <w:instrText xml:space="preserve"> PAGEREF _Toc182344130 \h </w:instrText>
            </w:r>
            <w:r>
              <w:rPr>
                <w:noProof/>
                <w:webHidden/>
              </w:rPr>
            </w:r>
            <w:r>
              <w:rPr>
                <w:noProof/>
                <w:webHidden/>
              </w:rPr>
              <w:fldChar w:fldCharType="separate"/>
            </w:r>
            <w:r>
              <w:rPr>
                <w:noProof/>
                <w:webHidden/>
              </w:rPr>
              <w:t>21</w:t>
            </w:r>
            <w:r>
              <w:rPr>
                <w:noProof/>
                <w:webHidden/>
              </w:rPr>
              <w:fldChar w:fldCharType="end"/>
            </w:r>
          </w:hyperlink>
        </w:p>
        <w:p w14:paraId="74A12DCD" w14:textId="5A26E48A" w:rsidR="009C0531" w:rsidRDefault="009C0531">
          <w:pPr>
            <w:pStyle w:val="TOC3"/>
            <w:tabs>
              <w:tab w:val="right" w:leader="dot" w:pos="9350"/>
            </w:tabs>
            <w:rPr>
              <w:noProof/>
            </w:rPr>
          </w:pPr>
          <w:hyperlink w:anchor="_Toc182344131" w:history="1">
            <w:r w:rsidRPr="00175550">
              <w:rPr>
                <w:rStyle w:val="Hyperlink"/>
                <w:rFonts w:ascii="Times New Roman" w:eastAsia="Aptos" w:hAnsi="Times New Roman" w:cs="Times New Roman"/>
                <w:b/>
                <w:bCs/>
                <w:noProof/>
              </w:rPr>
              <w:t>Recommendation 3: Strengthen Guest Experience through Enhanced Staff Training</w:t>
            </w:r>
            <w:r>
              <w:rPr>
                <w:noProof/>
                <w:webHidden/>
              </w:rPr>
              <w:tab/>
            </w:r>
            <w:r>
              <w:rPr>
                <w:noProof/>
                <w:webHidden/>
              </w:rPr>
              <w:fldChar w:fldCharType="begin"/>
            </w:r>
            <w:r>
              <w:rPr>
                <w:noProof/>
                <w:webHidden/>
              </w:rPr>
              <w:instrText xml:space="preserve"> PAGEREF _Toc182344131 \h </w:instrText>
            </w:r>
            <w:r>
              <w:rPr>
                <w:noProof/>
                <w:webHidden/>
              </w:rPr>
            </w:r>
            <w:r>
              <w:rPr>
                <w:noProof/>
                <w:webHidden/>
              </w:rPr>
              <w:fldChar w:fldCharType="separate"/>
            </w:r>
            <w:r>
              <w:rPr>
                <w:noProof/>
                <w:webHidden/>
              </w:rPr>
              <w:t>23</w:t>
            </w:r>
            <w:r>
              <w:rPr>
                <w:noProof/>
                <w:webHidden/>
              </w:rPr>
              <w:fldChar w:fldCharType="end"/>
            </w:r>
          </w:hyperlink>
        </w:p>
        <w:p w14:paraId="66671472" w14:textId="511A6530" w:rsidR="009C0531" w:rsidRDefault="009C0531">
          <w:pPr>
            <w:pStyle w:val="TOC3"/>
            <w:tabs>
              <w:tab w:val="right" w:leader="dot" w:pos="9350"/>
            </w:tabs>
            <w:rPr>
              <w:noProof/>
            </w:rPr>
          </w:pPr>
          <w:hyperlink w:anchor="_Toc182344132" w:history="1">
            <w:r w:rsidRPr="00175550">
              <w:rPr>
                <w:rStyle w:val="Hyperlink"/>
                <w:rFonts w:ascii="Times New Roman" w:eastAsia="Aptos" w:hAnsi="Times New Roman" w:cs="Times New Roman"/>
                <w:b/>
                <w:bCs/>
                <w:noProof/>
              </w:rPr>
              <w:t>Enhanced Monitoring and KPI Tracking</w:t>
            </w:r>
            <w:r>
              <w:rPr>
                <w:noProof/>
                <w:webHidden/>
              </w:rPr>
              <w:tab/>
            </w:r>
            <w:r>
              <w:rPr>
                <w:noProof/>
                <w:webHidden/>
              </w:rPr>
              <w:fldChar w:fldCharType="begin"/>
            </w:r>
            <w:r>
              <w:rPr>
                <w:noProof/>
                <w:webHidden/>
              </w:rPr>
              <w:instrText xml:space="preserve"> PAGEREF _Toc182344132 \h </w:instrText>
            </w:r>
            <w:r>
              <w:rPr>
                <w:noProof/>
                <w:webHidden/>
              </w:rPr>
            </w:r>
            <w:r>
              <w:rPr>
                <w:noProof/>
                <w:webHidden/>
              </w:rPr>
              <w:fldChar w:fldCharType="separate"/>
            </w:r>
            <w:r>
              <w:rPr>
                <w:noProof/>
                <w:webHidden/>
              </w:rPr>
              <w:t>24</w:t>
            </w:r>
            <w:r>
              <w:rPr>
                <w:noProof/>
                <w:webHidden/>
              </w:rPr>
              <w:fldChar w:fldCharType="end"/>
            </w:r>
          </w:hyperlink>
        </w:p>
        <w:p w14:paraId="1B8846BD" w14:textId="28F876B8" w:rsidR="009C0531" w:rsidRDefault="009C0531">
          <w:pPr>
            <w:pStyle w:val="TOC3"/>
            <w:tabs>
              <w:tab w:val="right" w:leader="dot" w:pos="9350"/>
            </w:tabs>
            <w:rPr>
              <w:noProof/>
            </w:rPr>
          </w:pPr>
          <w:hyperlink w:anchor="_Toc182344133" w:history="1">
            <w:r w:rsidRPr="00175550">
              <w:rPr>
                <w:rStyle w:val="Hyperlink"/>
                <w:rFonts w:ascii="Times New Roman" w:eastAsia="Aptos" w:hAnsi="Times New Roman" w:cs="Times New Roman"/>
                <w:b/>
                <w:bCs/>
                <w:noProof/>
              </w:rPr>
              <w:t>Expected Long-Term Impact and Projected Benefits</w:t>
            </w:r>
            <w:r>
              <w:rPr>
                <w:noProof/>
                <w:webHidden/>
              </w:rPr>
              <w:tab/>
            </w:r>
            <w:r>
              <w:rPr>
                <w:noProof/>
                <w:webHidden/>
              </w:rPr>
              <w:fldChar w:fldCharType="begin"/>
            </w:r>
            <w:r>
              <w:rPr>
                <w:noProof/>
                <w:webHidden/>
              </w:rPr>
              <w:instrText xml:space="preserve"> PAGEREF _Toc182344133 \h </w:instrText>
            </w:r>
            <w:r>
              <w:rPr>
                <w:noProof/>
                <w:webHidden/>
              </w:rPr>
            </w:r>
            <w:r>
              <w:rPr>
                <w:noProof/>
                <w:webHidden/>
              </w:rPr>
              <w:fldChar w:fldCharType="separate"/>
            </w:r>
            <w:r>
              <w:rPr>
                <w:noProof/>
                <w:webHidden/>
              </w:rPr>
              <w:t>25</w:t>
            </w:r>
            <w:r>
              <w:rPr>
                <w:noProof/>
                <w:webHidden/>
              </w:rPr>
              <w:fldChar w:fldCharType="end"/>
            </w:r>
          </w:hyperlink>
        </w:p>
        <w:p w14:paraId="560E74A9" w14:textId="5F64EF02" w:rsidR="009C0531" w:rsidRDefault="009C0531">
          <w:pPr>
            <w:pStyle w:val="TOC3"/>
            <w:tabs>
              <w:tab w:val="right" w:leader="dot" w:pos="9350"/>
            </w:tabs>
            <w:rPr>
              <w:noProof/>
            </w:rPr>
          </w:pPr>
          <w:hyperlink w:anchor="_Toc182344134" w:history="1">
            <w:r w:rsidRPr="00175550">
              <w:rPr>
                <w:rStyle w:val="Hyperlink"/>
                <w:rFonts w:ascii="Times New Roman" w:eastAsia="Aptos" w:hAnsi="Times New Roman" w:cs="Times New Roman"/>
                <w:b/>
                <w:bCs/>
                <w:noProof/>
              </w:rPr>
              <w:t>Action Plan</w:t>
            </w:r>
            <w:r>
              <w:rPr>
                <w:noProof/>
                <w:webHidden/>
              </w:rPr>
              <w:tab/>
            </w:r>
            <w:r>
              <w:rPr>
                <w:noProof/>
                <w:webHidden/>
              </w:rPr>
              <w:fldChar w:fldCharType="begin"/>
            </w:r>
            <w:r>
              <w:rPr>
                <w:noProof/>
                <w:webHidden/>
              </w:rPr>
              <w:instrText xml:space="preserve"> PAGEREF _Toc182344134 \h </w:instrText>
            </w:r>
            <w:r>
              <w:rPr>
                <w:noProof/>
                <w:webHidden/>
              </w:rPr>
            </w:r>
            <w:r>
              <w:rPr>
                <w:noProof/>
                <w:webHidden/>
              </w:rPr>
              <w:fldChar w:fldCharType="separate"/>
            </w:r>
            <w:r>
              <w:rPr>
                <w:noProof/>
                <w:webHidden/>
              </w:rPr>
              <w:t>26</w:t>
            </w:r>
            <w:r>
              <w:rPr>
                <w:noProof/>
                <w:webHidden/>
              </w:rPr>
              <w:fldChar w:fldCharType="end"/>
            </w:r>
          </w:hyperlink>
        </w:p>
        <w:p w14:paraId="039E537C" w14:textId="0DE61272" w:rsidR="009C0531" w:rsidRDefault="009C0531">
          <w:pPr>
            <w:pStyle w:val="TOC3"/>
            <w:tabs>
              <w:tab w:val="right" w:leader="dot" w:pos="9350"/>
            </w:tabs>
            <w:rPr>
              <w:noProof/>
            </w:rPr>
          </w:pPr>
          <w:hyperlink w:anchor="_Toc182344135" w:history="1">
            <w:r w:rsidRPr="00175550">
              <w:rPr>
                <w:rStyle w:val="Hyperlink"/>
                <w:rFonts w:ascii="Times New Roman" w:eastAsia="Aptos" w:hAnsi="Times New Roman" w:cs="Times New Roman"/>
                <w:b/>
                <w:bCs/>
                <w:noProof/>
              </w:rPr>
              <w:t>Action Plan Monitoring and KPIs</w:t>
            </w:r>
            <w:r>
              <w:rPr>
                <w:noProof/>
                <w:webHidden/>
              </w:rPr>
              <w:tab/>
            </w:r>
            <w:r>
              <w:rPr>
                <w:noProof/>
                <w:webHidden/>
              </w:rPr>
              <w:fldChar w:fldCharType="begin"/>
            </w:r>
            <w:r>
              <w:rPr>
                <w:noProof/>
                <w:webHidden/>
              </w:rPr>
              <w:instrText xml:space="preserve"> PAGEREF _Toc182344135 \h </w:instrText>
            </w:r>
            <w:r>
              <w:rPr>
                <w:noProof/>
                <w:webHidden/>
              </w:rPr>
            </w:r>
            <w:r>
              <w:rPr>
                <w:noProof/>
                <w:webHidden/>
              </w:rPr>
              <w:fldChar w:fldCharType="separate"/>
            </w:r>
            <w:r>
              <w:rPr>
                <w:noProof/>
                <w:webHidden/>
              </w:rPr>
              <w:t>28</w:t>
            </w:r>
            <w:r>
              <w:rPr>
                <w:noProof/>
                <w:webHidden/>
              </w:rPr>
              <w:fldChar w:fldCharType="end"/>
            </w:r>
          </w:hyperlink>
        </w:p>
        <w:p w14:paraId="6BF57896" w14:textId="203C555B" w:rsidR="009C0531" w:rsidRDefault="009C0531">
          <w:pPr>
            <w:pStyle w:val="TOC3"/>
            <w:tabs>
              <w:tab w:val="right" w:leader="dot" w:pos="9350"/>
            </w:tabs>
            <w:rPr>
              <w:noProof/>
            </w:rPr>
          </w:pPr>
          <w:hyperlink w:anchor="_Toc182344136" w:history="1">
            <w:r w:rsidRPr="00175550">
              <w:rPr>
                <w:rStyle w:val="Hyperlink"/>
                <w:rFonts w:ascii="Times New Roman" w:eastAsia="Aptos" w:hAnsi="Times New Roman" w:cs="Times New Roman"/>
                <w:b/>
                <w:bCs/>
                <w:noProof/>
              </w:rPr>
              <w:t>Conclusion</w:t>
            </w:r>
            <w:r>
              <w:rPr>
                <w:noProof/>
                <w:webHidden/>
              </w:rPr>
              <w:tab/>
            </w:r>
            <w:r>
              <w:rPr>
                <w:noProof/>
                <w:webHidden/>
              </w:rPr>
              <w:fldChar w:fldCharType="begin"/>
            </w:r>
            <w:r>
              <w:rPr>
                <w:noProof/>
                <w:webHidden/>
              </w:rPr>
              <w:instrText xml:space="preserve"> PAGEREF _Toc182344136 \h </w:instrText>
            </w:r>
            <w:r>
              <w:rPr>
                <w:noProof/>
                <w:webHidden/>
              </w:rPr>
            </w:r>
            <w:r>
              <w:rPr>
                <w:noProof/>
                <w:webHidden/>
              </w:rPr>
              <w:fldChar w:fldCharType="separate"/>
            </w:r>
            <w:r>
              <w:rPr>
                <w:noProof/>
                <w:webHidden/>
              </w:rPr>
              <w:t>29</w:t>
            </w:r>
            <w:r>
              <w:rPr>
                <w:noProof/>
                <w:webHidden/>
              </w:rPr>
              <w:fldChar w:fldCharType="end"/>
            </w:r>
          </w:hyperlink>
        </w:p>
        <w:p w14:paraId="635B4107" w14:textId="45A335F6" w:rsidR="009C0531" w:rsidRDefault="009C0531">
          <w:r>
            <w:rPr>
              <w:b/>
              <w:bCs/>
              <w:noProof/>
            </w:rPr>
            <w:fldChar w:fldCharType="end"/>
          </w:r>
        </w:p>
      </w:sdtContent>
    </w:sdt>
    <w:p w14:paraId="7AD8F8C8" w14:textId="77777777" w:rsidR="009C0531" w:rsidRDefault="009C0531" w:rsidP="00AF3C60">
      <w:pPr>
        <w:spacing w:before="240" w:after="240" w:line="360" w:lineRule="auto"/>
        <w:jc w:val="both"/>
        <w:rPr>
          <w:rFonts w:ascii="Times New Roman" w:eastAsia="Aptos" w:hAnsi="Times New Roman" w:cs="Times New Roman"/>
          <w:b/>
          <w:bCs/>
          <w:color w:val="000000" w:themeColor="text1"/>
        </w:rPr>
      </w:pPr>
    </w:p>
    <w:p w14:paraId="06BED1A7" w14:textId="77777777" w:rsidR="009C0531" w:rsidRDefault="009C0531" w:rsidP="00AF3C60">
      <w:pPr>
        <w:spacing w:before="240" w:after="240" w:line="360" w:lineRule="auto"/>
        <w:jc w:val="both"/>
        <w:rPr>
          <w:rFonts w:ascii="Times New Roman" w:eastAsia="Aptos" w:hAnsi="Times New Roman" w:cs="Times New Roman"/>
          <w:b/>
          <w:bCs/>
          <w:color w:val="000000" w:themeColor="text1"/>
        </w:rPr>
      </w:pPr>
    </w:p>
    <w:p w14:paraId="2F73263B" w14:textId="77777777" w:rsidR="009C0531" w:rsidRDefault="009C0531" w:rsidP="00AF3C60">
      <w:pPr>
        <w:spacing w:before="240" w:after="240" w:line="360" w:lineRule="auto"/>
        <w:jc w:val="both"/>
        <w:rPr>
          <w:rFonts w:ascii="Times New Roman" w:eastAsia="Aptos" w:hAnsi="Times New Roman" w:cs="Times New Roman"/>
          <w:b/>
          <w:bCs/>
          <w:color w:val="000000" w:themeColor="text1"/>
        </w:rPr>
      </w:pPr>
    </w:p>
    <w:p w14:paraId="47CF7C73" w14:textId="77777777" w:rsidR="009C0531" w:rsidRDefault="009C0531" w:rsidP="00AF3C60">
      <w:pPr>
        <w:spacing w:before="240" w:after="240" w:line="360" w:lineRule="auto"/>
        <w:jc w:val="both"/>
        <w:rPr>
          <w:rFonts w:ascii="Times New Roman" w:eastAsia="Aptos" w:hAnsi="Times New Roman" w:cs="Times New Roman"/>
          <w:b/>
          <w:bCs/>
          <w:color w:val="000000" w:themeColor="text1"/>
        </w:rPr>
      </w:pPr>
    </w:p>
    <w:p w14:paraId="7E43177C" w14:textId="77777777" w:rsidR="009C0531" w:rsidRDefault="009C0531" w:rsidP="00AF3C60">
      <w:pPr>
        <w:spacing w:before="240" w:after="240" w:line="360" w:lineRule="auto"/>
        <w:jc w:val="both"/>
        <w:rPr>
          <w:rFonts w:ascii="Times New Roman" w:eastAsia="Aptos" w:hAnsi="Times New Roman" w:cs="Times New Roman"/>
          <w:b/>
          <w:bCs/>
          <w:color w:val="000000" w:themeColor="text1"/>
        </w:rPr>
      </w:pPr>
    </w:p>
    <w:p w14:paraId="77FCA883" w14:textId="77777777" w:rsidR="009C0531" w:rsidRDefault="009C0531" w:rsidP="00AF3C60">
      <w:pPr>
        <w:spacing w:before="240" w:after="240" w:line="360" w:lineRule="auto"/>
        <w:jc w:val="both"/>
        <w:rPr>
          <w:rFonts w:ascii="Times New Roman" w:eastAsia="Aptos" w:hAnsi="Times New Roman" w:cs="Times New Roman"/>
          <w:b/>
          <w:bCs/>
          <w:color w:val="000000" w:themeColor="text1"/>
        </w:rPr>
      </w:pPr>
    </w:p>
    <w:p w14:paraId="63AF9E5A" w14:textId="77777777" w:rsidR="009C0531" w:rsidRDefault="009C0531" w:rsidP="00AF3C60">
      <w:pPr>
        <w:spacing w:before="240" w:after="240" w:line="360" w:lineRule="auto"/>
        <w:jc w:val="both"/>
        <w:rPr>
          <w:rFonts w:ascii="Times New Roman" w:eastAsia="Aptos" w:hAnsi="Times New Roman" w:cs="Times New Roman"/>
          <w:b/>
          <w:bCs/>
          <w:color w:val="000000" w:themeColor="text1"/>
        </w:rPr>
      </w:pPr>
    </w:p>
    <w:p w14:paraId="2F3594F2" w14:textId="77777777" w:rsidR="009C0531" w:rsidRDefault="009C0531" w:rsidP="00AF3C60">
      <w:pPr>
        <w:spacing w:before="240" w:after="240" w:line="360" w:lineRule="auto"/>
        <w:jc w:val="both"/>
        <w:rPr>
          <w:rFonts w:ascii="Times New Roman" w:eastAsia="Aptos" w:hAnsi="Times New Roman" w:cs="Times New Roman"/>
          <w:b/>
          <w:bCs/>
          <w:color w:val="000000" w:themeColor="text1"/>
        </w:rPr>
      </w:pPr>
    </w:p>
    <w:p w14:paraId="4FF26E50" w14:textId="77777777" w:rsidR="009C0531" w:rsidRDefault="009C0531" w:rsidP="00AF3C60">
      <w:pPr>
        <w:spacing w:before="240" w:after="240" w:line="360" w:lineRule="auto"/>
        <w:jc w:val="both"/>
        <w:rPr>
          <w:rFonts w:ascii="Times New Roman" w:eastAsia="Aptos" w:hAnsi="Times New Roman" w:cs="Times New Roman"/>
          <w:b/>
          <w:bCs/>
          <w:color w:val="000000" w:themeColor="text1"/>
        </w:rPr>
      </w:pPr>
    </w:p>
    <w:p w14:paraId="76BB1DC0" w14:textId="77777777" w:rsidR="009C0531" w:rsidRDefault="009C0531" w:rsidP="00AF3C60">
      <w:pPr>
        <w:spacing w:before="240" w:after="240" w:line="360" w:lineRule="auto"/>
        <w:jc w:val="both"/>
        <w:rPr>
          <w:rFonts w:ascii="Times New Roman" w:eastAsia="Aptos" w:hAnsi="Times New Roman" w:cs="Times New Roman"/>
          <w:b/>
          <w:bCs/>
          <w:color w:val="000000" w:themeColor="text1"/>
        </w:rPr>
      </w:pPr>
    </w:p>
    <w:p w14:paraId="19793B1C" w14:textId="77777777" w:rsidR="009C0531" w:rsidRDefault="009C0531" w:rsidP="00AF3C60">
      <w:pPr>
        <w:spacing w:before="240" w:after="240" w:line="360" w:lineRule="auto"/>
        <w:jc w:val="both"/>
        <w:rPr>
          <w:rFonts w:ascii="Times New Roman" w:eastAsia="Aptos" w:hAnsi="Times New Roman" w:cs="Times New Roman"/>
          <w:b/>
          <w:bCs/>
          <w:color w:val="000000" w:themeColor="text1"/>
        </w:rPr>
      </w:pPr>
    </w:p>
    <w:p w14:paraId="77449EA3" w14:textId="77777777" w:rsidR="009C0531" w:rsidRDefault="009C0531" w:rsidP="00AF3C60">
      <w:pPr>
        <w:spacing w:before="240" w:after="240" w:line="360" w:lineRule="auto"/>
        <w:jc w:val="both"/>
        <w:rPr>
          <w:rFonts w:ascii="Times New Roman" w:eastAsia="Aptos" w:hAnsi="Times New Roman" w:cs="Times New Roman"/>
          <w:b/>
          <w:bCs/>
          <w:color w:val="000000" w:themeColor="text1"/>
        </w:rPr>
      </w:pPr>
    </w:p>
    <w:p w14:paraId="716BA522" w14:textId="5ADD4FA0" w:rsidR="77657239" w:rsidRPr="00AF3C60" w:rsidRDefault="77657239"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b/>
          <w:bCs/>
          <w:color w:val="000000" w:themeColor="text1"/>
        </w:rPr>
        <w:lastRenderedPageBreak/>
        <w:t>Executive Summary</w:t>
      </w:r>
    </w:p>
    <w:p w14:paraId="11564CD3" w14:textId="293B896D" w:rsidR="77657239" w:rsidRPr="00AF3C60" w:rsidRDefault="77657239"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color w:val="000000" w:themeColor="text1"/>
        </w:rPr>
        <w:t xml:space="preserve">This consultancy report addresses three main operational challenges for Burj Al Arab, Dubai’s iconic luxury hotel: enhancing digital engagement, optimizing operational efficiency, and aligning with sustainability trends. </w:t>
      </w:r>
      <w:r w:rsidRPr="00AF3C60">
        <w:rPr>
          <w:rFonts w:ascii="Times New Roman" w:eastAsia="Aptos" w:hAnsi="Times New Roman" w:cs="Times New Roman"/>
          <w:b/>
          <w:bCs/>
          <w:color w:val="000000" w:themeColor="text1"/>
        </w:rPr>
        <w:t>Insight Hospitality Consulting</w:t>
      </w:r>
      <w:r w:rsidRPr="00AF3C60">
        <w:rPr>
          <w:rFonts w:ascii="Times New Roman" w:eastAsia="Aptos" w:hAnsi="Times New Roman" w:cs="Times New Roman"/>
          <w:color w:val="000000" w:themeColor="text1"/>
        </w:rPr>
        <w:t xml:space="preserve"> conducted an analysis to assess how these issues affect guest satisfaction, operational costs, and competitive positioning.</w:t>
      </w:r>
    </w:p>
    <w:p w14:paraId="1B8F2762" w14:textId="37C8AFF3" w:rsidR="77657239" w:rsidRPr="00AF3C60" w:rsidRDefault="77657239"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b/>
          <w:bCs/>
          <w:color w:val="000000" w:themeColor="text1"/>
        </w:rPr>
        <w:t>Problem Overview</w:t>
      </w:r>
    </w:p>
    <w:p w14:paraId="4831C2AD" w14:textId="3B76D176" w:rsidR="77657239" w:rsidRPr="00AF3C60" w:rsidRDefault="77657239"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color w:val="000000" w:themeColor="text1"/>
        </w:rPr>
        <w:t>As a high-end destination, Burj Al Arab faces competitive pressures in Dubai’s rapidly evolving hospitality sector. With guest expectations shifting toward digital convenience and eco-consciousness, the hotel must adapt without compromising its luxury standards. Our PESTEL, SWOT, and TOWS analyses highlight the underlying factors affecting the hotel, from external economic conditions to internal digital and environmental gaps.</w:t>
      </w:r>
    </w:p>
    <w:p w14:paraId="4797B8B4" w14:textId="42F497BD" w:rsidR="77657239" w:rsidRPr="00AF3C60" w:rsidRDefault="77657239"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b/>
          <w:bCs/>
          <w:color w:val="000000" w:themeColor="text1"/>
        </w:rPr>
        <w:t>Key Findings</w:t>
      </w:r>
    </w:p>
    <w:p w14:paraId="59D31760" w14:textId="228D6E5D" w:rsidR="77657239" w:rsidRPr="00AF3C60" w:rsidRDefault="77657239" w:rsidP="00AF3C60">
      <w:pPr>
        <w:pStyle w:val="ListParagraph"/>
        <w:numPr>
          <w:ilvl w:val="0"/>
          <w:numId w:val="31"/>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PESTEL Analysis</w:t>
      </w:r>
      <w:r w:rsidRPr="00AF3C60">
        <w:rPr>
          <w:rFonts w:ascii="Times New Roman" w:eastAsia="Aptos" w:hAnsi="Times New Roman" w:cs="Times New Roman"/>
          <w:color w:val="000000" w:themeColor="text1"/>
        </w:rPr>
        <w:t>: Examining external forces, the analysis revealed that political stability and pro-tourism policies benefit the hotel. However, economic and environmental challenges, such as energy demands and guest preferences for sustainable accommodations, require operational adjustments.</w:t>
      </w:r>
    </w:p>
    <w:p w14:paraId="5A2EB1D8" w14:textId="18DFCCFF" w:rsidR="77657239" w:rsidRPr="00AF3C60" w:rsidRDefault="77657239" w:rsidP="00AF3C60">
      <w:pPr>
        <w:pStyle w:val="ListParagraph"/>
        <w:numPr>
          <w:ilvl w:val="0"/>
          <w:numId w:val="31"/>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SWOT and TOWS Analysis</w:t>
      </w:r>
      <w:r w:rsidRPr="00AF3C60">
        <w:rPr>
          <w:rFonts w:ascii="Times New Roman" w:eastAsia="Aptos" w:hAnsi="Times New Roman" w:cs="Times New Roman"/>
          <w:color w:val="000000" w:themeColor="text1"/>
        </w:rPr>
        <w:t>: Burj Al Arab’s core strengths—its brand reputation and iconic architecture—position it advantageously. However, weaknesses in digital engagement and sustainability present risks. Strategies developed through TOWS show opportunities for eco-luxury positioning and technology-driven enhancements.</w:t>
      </w:r>
    </w:p>
    <w:p w14:paraId="4644A709" w14:textId="0DCBFF16" w:rsidR="77657239" w:rsidRPr="00AF3C60" w:rsidRDefault="77657239"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b/>
          <w:bCs/>
          <w:color w:val="000000" w:themeColor="text1"/>
        </w:rPr>
        <w:t>Recommendations</w:t>
      </w:r>
    </w:p>
    <w:p w14:paraId="2F201900" w14:textId="33A33B79" w:rsidR="77657239" w:rsidRPr="00AF3C60" w:rsidRDefault="77657239" w:rsidP="00AF3C60">
      <w:pPr>
        <w:pStyle w:val="ListParagraph"/>
        <w:numPr>
          <w:ilvl w:val="0"/>
          <w:numId w:val="30"/>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Digital Engagement</w:t>
      </w:r>
      <w:r w:rsidRPr="00AF3C60">
        <w:rPr>
          <w:rFonts w:ascii="Times New Roman" w:eastAsia="Aptos" w:hAnsi="Times New Roman" w:cs="Times New Roman"/>
          <w:color w:val="000000" w:themeColor="text1"/>
        </w:rPr>
        <w:t>: Implement a custom guest app with features like mobile check-in, room controls, and in-app service requests, improving convenience and guest interaction.</w:t>
      </w:r>
    </w:p>
    <w:p w14:paraId="592C8F96" w14:textId="5F789840" w:rsidR="77657239" w:rsidRPr="00AF3C60" w:rsidRDefault="77657239" w:rsidP="00AF3C60">
      <w:pPr>
        <w:pStyle w:val="ListParagraph"/>
        <w:numPr>
          <w:ilvl w:val="0"/>
          <w:numId w:val="30"/>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Sustainability Initiatives</w:t>
      </w:r>
      <w:r w:rsidRPr="00AF3C60">
        <w:rPr>
          <w:rFonts w:ascii="Times New Roman" w:eastAsia="Aptos" w:hAnsi="Times New Roman" w:cs="Times New Roman"/>
          <w:color w:val="000000" w:themeColor="text1"/>
        </w:rPr>
        <w:t>: Adopt energy-efficient lighting, water-saving technologies, and recycling practices to reduce costs and environmental impact.</w:t>
      </w:r>
    </w:p>
    <w:p w14:paraId="287E754D" w14:textId="26DBF977" w:rsidR="77657239" w:rsidRPr="00AF3C60" w:rsidRDefault="77657239" w:rsidP="00AF3C60">
      <w:pPr>
        <w:pStyle w:val="ListParagraph"/>
        <w:numPr>
          <w:ilvl w:val="0"/>
          <w:numId w:val="30"/>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Enhanced Staff Training</w:t>
      </w:r>
      <w:r w:rsidRPr="00AF3C60">
        <w:rPr>
          <w:rFonts w:ascii="Times New Roman" w:eastAsia="Aptos" w:hAnsi="Times New Roman" w:cs="Times New Roman"/>
          <w:color w:val="000000" w:themeColor="text1"/>
        </w:rPr>
        <w:t>: Establish a continuous training program focused on luxury service and cultural sensitivity, maintaining Burj Al Arab’s high service standards.</w:t>
      </w:r>
    </w:p>
    <w:p w14:paraId="14425486" w14:textId="6D802B35" w:rsidR="77657239" w:rsidRPr="00AF3C60" w:rsidRDefault="77657239"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b/>
          <w:bCs/>
          <w:color w:val="000000" w:themeColor="text1"/>
        </w:rPr>
        <w:lastRenderedPageBreak/>
        <w:t>Projected Outcomes</w:t>
      </w:r>
    </w:p>
    <w:p w14:paraId="47759DF3" w14:textId="6558DBB5" w:rsidR="77657239" w:rsidRPr="00AF3C60" w:rsidRDefault="77657239"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color w:val="000000" w:themeColor="text1"/>
        </w:rPr>
        <w:t>Our recommendations, supported by Kotter’s and Lewin’s change management models, promise increased guest satisfaction, streamlined operations, and brand alignment with modern luxury expectations. Successful implementation could improve guest ratings, enhance brand loyalty, and position Burj Al Arab as a leader in sustainable luxury.</w:t>
      </w:r>
      <w:r w:rsidRPr="00AF3C60">
        <w:rPr>
          <w:rFonts w:ascii="Times New Roman" w:eastAsia="Aptos" w:hAnsi="Times New Roman" w:cs="Times New Roman"/>
          <w:b/>
          <w:bCs/>
          <w:color w:val="000000" w:themeColor="text1"/>
        </w:rPr>
        <w:t xml:space="preserve"> </w:t>
      </w:r>
    </w:p>
    <w:p w14:paraId="51C1E0B6" w14:textId="77777777" w:rsidR="009C0531" w:rsidRDefault="009C0531" w:rsidP="00AF3C60">
      <w:pPr>
        <w:spacing w:before="240" w:after="240" w:line="360" w:lineRule="auto"/>
        <w:jc w:val="both"/>
        <w:rPr>
          <w:rFonts w:ascii="Times New Roman" w:eastAsia="Aptos" w:hAnsi="Times New Roman" w:cs="Times New Roman"/>
          <w:b/>
          <w:bCs/>
          <w:color w:val="000000" w:themeColor="text1"/>
        </w:rPr>
      </w:pPr>
    </w:p>
    <w:p w14:paraId="6419A798" w14:textId="77777777" w:rsidR="009C0531" w:rsidRDefault="009C0531" w:rsidP="00AF3C60">
      <w:pPr>
        <w:spacing w:before="240" w:after="240" w:line="360" w:lineRule="auto"/>
        <w:jc w:val="both"/>
        <w:rPr>
          <w:rFonts w:ascii="Times New Roman" w:eastAsia="Aptos" w:hAnsi="Times New Roman" w:cs="Times New Roman"/>
          <w:b/>
          <w:bCs/>
          <w:color w:val="000000" w:themeColor="text1"/>
        </w:rPr>
      </w:pPr>
    </w:p>
    <w:p w14:paraId="626F8BF5" w14:textId="77777777" w:rsidR="009C0531" w:rsidRDefault="009C0531" w:rsidP="00AF3C60">
      <w:pPr>
        <w:spacing w:before="240" w:after="240" w:line="360" w:lineRule="auto"/>
        <w:jc w:val="both"/>
        <w:rPr>
          <w:rFonts w:ascii="Times New Roman" w:eastAsia="Aptos" w:hAnsi="Times New Roman" w:cs="Times New Roman"/>
          <w:b/>
          <w:bCs/>
          <w:color w:val="000000" w:themeColor="text1"/>
        </w:rPr>
      </w:pPr>
    </w:p>
    <w:p w14:paraId="2FE141B8" w14:textId="77777777" w:rsidR="009C0531" w:rsidRDefault="009C0531" w:rsidP="00AF3C60">
      <w:pPr>
        <w:spacing w:before="240" w:after="240" w:line="360" w:lineRule="auto"/>
        <w:jc w:val="both"/>
        <w:rPr>
          <w:rFonts w:ascii="Times New Roman" w:eastAsia="Aptos" w:hAnsi="Times New Roman" w:cs="Times New Roman"/>
          <w:b/>
          <w:bCs/>
          <w:color w:val="000000" w:themeColor="text1"/>
        </w:rPr>
      </w:pPr>
    </w:p>
    <w:p w14:paraId="5B9D9CEB" w14:textId="77777777" w:rsidR="009C0531" w:rsidRDefault="009C0531" w:rsidP="00AF3C60">
      <w:pPr>
        <w:spacing w:before="240" w:after="240" w:line="360" w:lineRule="auto"/>
        <w:jc w:val="both"/>
        <w:rPr>
          <w:rFonts w:ascii="Times New Roman" w:eastAsia="Aptos" w:hAnsi="Times New Roman" w:cs="Times New Roman"/>
          <w:b/>
          <w:bCs/>
          <w:color w:val="000000" w:themeColor="text1"/>
        </w:rPr>
      </w:pPr>
    </w:p>
    <w:p w14:paraId="4FF37025" w14:textId="77777777" w:rsidR="009C0531" w:rsidRDefault="009C0531" w:rsidP="00AF3C60">
      <w:pPr>
        <w:spacing w:before="240" w:after="240" w:line="360" w:lineRule="auto"/>
        <w:jc w:val="both"/>
        <w:rPr>
          <w:rFonts w:ascii="Times New Roman" w:eastAsia="Aptos" w:hAnsi="Times New Roman" w:cs="Times New Roman"/>
          <w:b/>
          <w:bCs/>
          <w:color w:val="000000" w:themeColor="text1"/>
        </w:rPr>
      </w:pPr>
    </w:p>
    <w:p w14:paraId="3F34D32F" w14:textId="77777777" w:rsidR="009C0531" w:rsidRDefault="009C0531" w:rsidP="00AF3C60">
      <w:pPr>
        <w:spacing w:before="240" w:after="240" w:line="360" w:lineRule="auto"/>
        <w:jc w:val="both"/>
        <w:rPr>
          <w:rFonts w:ascii="Times New Roman" w:eastAsia="Aptos" w:hAnsi="Times New Roman" w:cs="Times New Roman"/>
          <w:b/>
          <w:bCs/>
          <w:color w:val="000000" w:themeColor="text1"/>
        </w:rPr>
      </w:pPr>
    </w:p>
    <w:p w14:paraId="74CCC74B" w14:textId="77777777" w:rsidR="009C0531" w:rsidRDefault="009C0531" w:rsidP="00AF3C60">
      <w:pPr>
        <w:spacing w:before="240" w:after="240" w:line="360" w:lineRule="auto"/>
        <w:jc w:val="both"/>
        <w:rPr>
          <w:rFonts w:ascii="Times New Roman" w:eastAsia="Aptos" w:hAnsi="Times New Roman" w:cs="Times New Roman"/>
          <w:b/>
          <w:bCs/>
          <w:color w:val="000000" w:themeColor="text1"/>
        </w:rPr>
      </w:pPr>
    </w:p>
    <w:p w14:paraId="691AB09C" w14:textId="77777777" w:rsidR="009C0531" w:rsidRDefault="009C0531" w:rsidP="00AF3C60">
      <w:pPr>
        <w:spacing w:before="240" w:after="240" w:line="360" w:lineRule="auto"/>
        <w:jc w:val="both"/>
        <w:rPr>
          <w:rFonts w:ascii="Times New Roman" w:eastAsia="Aptos" w:hAnsi="Times New Roman" w:cs="Times New Roman"/>
          <w:b/>
          <w:bCs/>
          <w:color w:val="000000" w:themeColor="text1"/>
        </w:rPr>
      </w:pPr>
    </w:p>
    <w:p w14:paraId="624DEF50" w14:textId="77777777" w:rsidR="009C0531" w:rsidRDefault="009C0531" w:rsidP="00AF3C60">
      <w:pPr>
        <w:spacing w:before="240" w:after="240" w:line="360" w:lineRule="auto"/>
        <w:jc w:val="both"/>
        <w:rPr>
          <w:rFonts w:ascii="Times New Roman" w:eastAsia="Aptos" w:hAnsi="Times New Roman" w:cs="Times New Roman"/>
          <w:b/>
          <w:bCs/>
          <w:color w:val="000000" w:themeColor="text1"/>
        </w:rPr>
      </w:pPr>
    </w:p>
    <w:p w14:paraId="2CE1D17D" w14:textId="77777777" w:rsidR="009C0531" w:rsidRDefault="009C0531" w:rsidP="00AF3C60">
      <w:pPr>
        <w:spacing w:before="240" w:after="240" w:line="360" w:lineRule="auto"/>
        <w:jc w:val="both"/>
        <w:rPr>
          <w:rFonts w:ascii="Times New Roman" w:eastAsia="Aptos" w:hAnsi="Times New Roman" w:cs="Times New Roman"/>
          <w:b/>
          <w:bCs/>
          <w:color w:val="000000" w:themeColor="text1"/>
        </w:rPr>
      </w:pPr>
    </w:p>
    <w:p w14:paraId="05E389FB" w14:textId="77777777" w:rsidR="009C0531" w:rsidRDefault="009C0531" w:rsidP="00AF3C60">
      <w:pPr>
        <w:spacing w:before="240" w:after="240" w:line="360" w:lineRule="auto"/>
        <w:jc w:val="both"/>
        <w:rPr>
          <w:rFonts w:ascii="Times New Roman" w:eastAsia="Aptos" w:hAnsi="Times New Roman" w:cs="Times New Roman"/>
          <w:b/>
          <w:bCs/>
          <w:color w:val="000000" w:themeColor="text1"/>
        </w:rPr>
      </w:pPr>
    </w:p>
    <w:p w14:paraId="4991299D" w14:textId="77777777" w:rsidR="009C0531" w:rsidRDefault="009C0531" w:rsidP="00AF3C60">
      <w:pPr>
        <w:spacing w:before="240" w:after="240" w:line="360" w:lineRule="auto"/>
        <w:jc w:val="both"/>
        <w:rPr>
          <w:rFonts w:ascii="Times New Roman" w:eastAsia="Aptos" w:hAnsi="Times New Roman" w:cs="Times New Roman"/>
          <w:b/>
          <w:bCs/>
          <w:color w:val="000000" w:themeColor="text1"/>
        </w:rPr>
      </w:pPr>
    </w:p>
    <w:p w14:paraId="64EE9C82" w14:textId="77777777" w:rsidR="009C0531" w:rsidRDefault="009C0531" w:rsidP="00AF3C60">
      <w:pPr>
        <w:spacing w:before="240" w:after="240" w:line="360" w:lineRule="auto"/>
        <w:jc w:val="both"/>
        <w:rPr>
          <w:rFonts w:ascii="Times New Roman" w:eastAsia="Aptos" w:hAnsi="Times New Roman" w:cs="Times New Roman"/>
          <w:b/>
          <w:bCs/>
          <w:color w:val="000000" w:themeColor="text1"/>
        </w:rPr>
      </w:pPr>
    </w:p>
    <w:p w14:paraId="11749DE2" w14:textId="77777777" w:rsidR="009C0531" w:rsidRDefault="009C0531" w:rsidP="00AF3C60">
      <w:pPr>
        <w:spacing w:before="240" w:after="240" w:line="360" w:lineRule="auto"/>
        <w:jc w:val="both"/>
        <w:rPr>
          <w:rFonts w:ascii="Times New Roman" w:eastAsia="Aptos" w:hAnsi="Times New Roman" w:cs="Times New Roman"/>
          <w:b/>
          <w:bCs/>
          <w:color w:val="000000" w:themeColor="text1"/>
        </w:rPr>
      </w:pPr>
    </w:p>
    <w:p w14:paraId="539EB65A" w14:textId="77777777" w:rsidR="009C0531" w:rsidRDefault="009C0531" w:rsidP="00AF3C60">
      <w:pPr>
        <w:spacing w:before="240" w:after="240" w:line="360" w:lineRule="auto"/>
        <w:jc w:val="both"/>
        <w:rPr>
          <w:rFonts w:ascii="Times New Roman" w:eastAsia="Aptos" w:hAnsi="Times New Roman" w:cs="Times New Roman"/>
          <w:b/>
          <w:bCs/>
          <w:color w:val="000000" w:themeColor="text1"/>
        </w:rPr>
      </w:pPr>
    </w:p>
    <w:p w14:paraId="4665E966" w14:textId="41D997BB" w:rsidR="46D994B2" w:rsidRPr="00AF3C60" w:rsidRDefault="46D994B2"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b/>
          <w:bCs/>
          <w:color w:val="000000" w:themeColor="text1"/>
        </w:rPr>
        <w:lastRenderedPageBreak/>
        <w:t>Introduction</w:t>
      </w:r>
    </w:p>
    <w:p w14:paraId="3658F861" w14:textId="7C6C767C" w:rsidR="46D994B2" w:rsidRPr="00AF3C60" w:rsidRDefault="46D994B2"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b/>
          <w:bCs/>
          <w:color w:val="000000" w:themeColor="text1"/>
        </w:rPr>
        <w:t>Overview of Burj Al Arab, Dubai</w:t>
      </w:r>
    </w:p>
    <w:p w14:paraId="686D04B4" w14:textId="24465D27" w:rsidR="46D994B2" w:rsidRPr="00AF3C60" w:rsidRDefault="46D994B2"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color w:val="000000" w:themeColor="text1"/>
        </w:rPr>
        <w:t>The Burj Al Arab, located in Dubai’s affluent Jumeirah district, stands as one of the world’s most iconic luxury hotels, symbolizing the pinnacle of luxury hospitality. Its unique sail-shaped architecture, prominent location on an artificial island, and exceptional range of high-end services have cemented its reputation globally since its opening in 1999. Catering to an elite clientele, Burj Al Arab offers 202 exquisitely designed suites, multiple fine dining establishments, private beach access, a full-service spa, and dedicated butler services. Each element is designed to provide an experience that transcends traditional hotel offerings, positioning Burj Al Arab not just as a place to stay, but as a destination.</w:t>
      </w:r>
    </w:p>
    <w:p w14:paraId="31C7F234" w14:textId="170F5D20" w:rsidR="46D994B2" w:rsidRPr="00AF3C60" w:rsidRDefault="46D994B2"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color w:val="000000" w:themeColor="text1"/>
        </w:rPr>
        <w:t>Despite its successes, the hotel faces challenges in adapting to modern luxury standards while retaining its historic identity. These challenges are exacerbated by the evolving expectations of luxury travelers who seek not only opulence but also personalized, digital, and sustainable experiences. Furthermore, high operational costs due to luxury maintenance, limited digital engagement, and the pressure to incorporate sustainability practices underscore the need for strategic intervention to maintain its competitive edge in Dubai’s high-end market.</w:t>
      </w:r>
    </w:p>
    <w:p w14:paraId="6CF0F0E2" w14:textId="48434659" w:rsidR="46D994B2" w:rsidRPr="00AF3C60" w:rsidRDefault="46D994B2"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b/>
          <w:bCs/>
          <w:color w:val="000000" w:themeColor="text1"/>
        </w:rPr>
        <w:t>About Insight Hospitality Consulting</w:t>
      </w:r>
    </w:p>
    <w:p w14:paraId="14D3D752" w14:textId="0066FA11" w:rsidR="46D994B2" w:rsidRPr="00AF3C60" w:rsidRDefault="47E7E549"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Insight Hospitality Consulting</w:t>
      </w:r>
      <w:r w:rsidR="46D994B2" w:rsidRPr="00AF3C60">
        <w:rPr>
          <w:rFonts w:ascii="Times New Roman" w:hAnsi="Times New Roman" w:cs="Times New Roman"/>
          <w:color w:val="000000" w:themeColor="text1"/>
        </w:rPr>
        <w:t xml:space="preserve"> specializes in consulting for high-end and luxury hotels globally, with a strong focus on sustainable practices, digital transformation, and operational excellence. With a proven track record of assisting iconic hotels in addressing unique challenges, Insight Hospitality Consulting combines industry insights with data-driven analysis to craft actionable solutions that align with the specific values and needs of each client. Our team has successfully guided several luxury brands in enhancing guest experiences, optimizing costs, and transitioning into sustainable operations while ensuring brand integrity and guest satisfaction. As an expert consultancy firm, we are committed to supporting Burj Al Arab in meeting its goals by providing strategic recommendations that resonate with its reputation and operational priorities.</w:t>
      </w:r>
    </w:p>
    <w:p w14:paraId="0494BF4B" w14:textId="77777777" w:rsidR="00971786" w:rsidRPr="00AF3C60" w:rsidRDefault="00971786" w:rsidP="00AF3C60">
      <w:pPr>
        <w:spacing w:before="240" w:after="240" w:line="360" w:lineRule="auto"/>
        <w:jc w:val="both"/>
        <w:rPr>
          <w:rFonts w:ascii="Times New Roman" w:eastAsia="Aptos" w:hAnsi="Times New Roman" w:cs="Times New Roman"/>
          <w:b/>
          <w:bCs/>
          <w:color w:val="000000" w:themeColor="text1"/>
        </w:rPr>
      </w:pPr>
    </w:p>
    <w:p w14:paraId="6F460DAD" w14:textId="3BFA18C3" w:rsidR="46D994B2" w:rsidRPr="00AF3C60" w:rsidRDefault="46D994B2"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b/>
          <w:bCs/>
          <w:color w:val="000000" w:themeColor="text1"/>
        </w:rPr>
        <w:lastRenderedPageBreak/>
        <w:t>Frameworks and Theoretical Approach</w:t>
      </w:r>
    </w:p>
    <w:p w14:paraId="0745C628" w14:textId="26EC9249" w:rsidR="46D994B2" w:rsidRPr="00AF3C60" w:rsidRDefault="46D994B2"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color w:val="000000" w:themeColor="text1"/>
        </w:rPr>
        <w:t>This report leverages three primary analytical frameworks—PESTEL, SWOT, and TOWS—to evaluate the external and internal challenges impacting Burj Al Arab. These frameworks enable a structured analysis, facilitating the identification of core issues and strategic recommendations for overcoming them:</w:t>
      </w:r>
    </w:p>
    <w:p w14:paraId="5E382DEC" w14:textId="4F9E63FD" w:rsidR="46D994B2" w:rsidRPr="00AF3C60" w:rsidRDefault="46D994B2" w:rsidP="00AF3C60">
      <w:pPr>
        <w:pStyle w:val="ListParagraph"/>
        <w:numPr>
          <w:ilvl w:val="0"/>
          <w:numId w:val="35"/>
        </w:numPr>
        <w:spacing w:before="240" w:after="24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PESTEL Analysis</w:t>
      </w:r>
      <w:r w:rsidRPr="00AF3C60">
        <w:rPr>
          <w:rFonts w:ascii="Times New Roman" w:eastAsia="Aptos" w:hAnsi="Times New Roman" w:cs="Times New Roman"/>
          <w:color w:val="000000" w:themeColor="text1"/>
        </w:rPr>
        <w:t>: The PESTEL framework (Political, Economic, Social, Technological, Environmental, and Legal) is instrumental in examining the external macro-environment affecting Burj Al Arab. This approach helps identify external pressures and opportunities that the hotel must consider, from government tourism policies to Dubai’s tech-forward “Smart City” initiative.</w:t>
      </w:r>
    </w:p>
    <w:p w14:paraId="1B0D9788" w14:textId="0E606566" w:rsidR="46D994B2" w:rsidRPr="00AF3C60" w:rsidRDefault="46D994B2" w:rsidP="00AF3C60">
      <w:pPr>
        <w:pStyle w:val="ListParagraph"/>
        <w:numPr>
          <w:ilvl w:val="0"/>
          <w:numId w:val="35"/>
        </w:numPr>
        <w:spacing w:before="240" w:after="24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SWOT Analysis</w:t>
      </w:r>
      <w:r w:rsidRPr="00AF3C60">
        <w:rPr>
          <w:rFonts w:ascii="Times New Roman" w:eastAsia="Aptos" w:hAnsi="Times New Roman" w:cs="Times New Roman"/>
          <w:color w:val="000000" w:themeColor="text1"/>
        </w:rPr>
        <w:t>: The SWOT analysis delves into Burj Al Arab’s internal strengths and weaknesses, alongside opportunities and threats in the competitive landscape. This evaluation allows for a focused understanding of the hotel’s position, recognizing factors that can be leveraged and issues that need mitigation.</w:t>
      </w:r>
    </w:p>
    <w:p w14:paraId="64556F72" w14:textId="1EB3EDC0" w:rsidR="46D994B2" w:rsidRPr="00AF3C60" w:rsidRDefault="46D994B2" w:rsidP="00AF3C60">
      <w:pPr>
        <w:pStyle w:val="ListParagraph"/>
        <w:numPr>
          <w:ilvl w:val="0"/>
          <w:numId w:val="35"/>
        </w:numPr>
        <w:spacing w:before="240" w:after="24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TOWS Analysis</w:t>
      </w:r>
      <w:r w:rsidRPr="00AF3C60">
        <w:rPr>
          <w:rFonts w:ascii="Times New Roman" w:eastAsia="Aptos" w:hAnsi="Times New Roman" w:cs="Times New Roman"/>
          <w:color w:val="000000" w:themeColor="text1"/>
        </w:rPr>
        <w:t>: The TOWS matrix builds on the SWOT analysis by converting insights into actionable strategies that address the identified challenges. By cross-referencing strengths and weaknesses with opportunities and threats, this analysis will help generate strategic solutions specifically tailored to Burj Al Arab’s unique circumstances and market positioning.</w:t>
      </w:r>
    </w:p>
    <w:p w14:paraId="7DC62019" w14:textId="7C682BB1" w:rsidR="46D994B2" w:rsidRPr="00AF3C60" w:rsidRDefault="46D994B2"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color w:val="000000" w:themeColor="text1"/>
        </w:rPr>
        <w:t>This structured approach will yield insights that support Burj Al Arab’s objectives of enhancing operational efficiency, elevating guest satisfaction, and integrating sustainable practices. The analysis will serve as the foundation for targeted recommendations, followed by an implementation plan that ensures these solutions align with the hotel’s iconic status and industry expectations.</w:t>
      </w:r>
    </w:p>
    <w:p w14:paraId="6F3DFF53" w14:textId="733B41E6" w:rsidR="43535B51" w:rsidRPr="00AF3C60" w:rsidRDefault="43535B51" w:rsidP="00AF3C60">
      <w:pPr>
        <w:spacing w:before="240" w:after="240" w:line="360" w:lineRule="auto"/>
        <w:jc w:val="both"/>
        <w:rPr>
          <w:rFonts w:ascii="Times New Roman" w:eastAsia="Aptos" w:hAnsi="Times New Roman" w:cs="Times New Roman"/>
          <w:color w:val="000000" w:themeColor="text1"/>
        </w:rPr>
      </w:pPr>
    </w:p>
    <w:p w14:paraId="297A652F" w14:textId="1019E068" w:rsidR="1E5D8E41" w:rsidRPr="00AF3C60" w:rsidRDefault="1E5D8E41" w:rsidP="00AF3C60">
      <w:pPr>
        <w:pStyle w:val="Heading3"/>
        <w:spacing w:before="281" w:after="281" w:line="360" w:lineRule="auto"/>
        <w:jc w:val="both"/>
        <w:rPr>
          <w:rFonts w:ascii="Times New Roman" w:hAnsi="Times New Roman" w:cs="Times New Roman"/>
          <w:color w:val="000000" w:themeColor="text1"/>
          <w:sz w:val="24"/>
          <w:szCs w:val="24"/>
        </w:rPr>
      </w:pPr>
      <w:bookmarkStart w:id="0" w:name="_Toc182344123"/>
      <w:r w:rsidRPr="00AF3C60">
        <w:rPr>
          <w:rFonts w:ascii="Times New Roman" w:eastAsia="Aptos" w:hAnsi="Times New Roman" w:cs="Times New Roman"/>
          <w:b/>
          <w:bCs/>
          <w:color w:val="000000" w:themeColor="text1"/>
          <w:sz w:val="24"/>
          <w:szCs w:val="24"/>
        </w:rPr>
        <w:lastRenderedPageBreak/>
        <w:t>Analysis</w:t>
      </w:r>
      <w:bookmarkEnd w:id="0"/>
      <w:r w:rsidRPr="00AF3C60">
        <w:rPr>
          <w:rFonts w:ascii="Times New Roman" w:eastAsia="Aptos" w:hAnsi="Times New Roman" w:cs="Times New Roman"/>
          <w:b/>
          <w:bCs/>
          <w:color w:val="000000" w:themeColor="text1"/>
          <w:sz w:val="24"/>
          <w:szCs w:val="24"/>
        </w:rPr>
        <w:t xml:space="preserve"> </w:t>
      </w:r>
    </w:p>
    <w:p w14:paraId="2970E79E" w14:textId="0AB3CCF8" w:rsidR="1E5D8E41" w:rsidRPr="00AF3C60" w:rsidRDefault="1E5D8E41" w:rsidP="00AF3C60">
      <w:pPr>
        <w:pStyle w:val="Heading3"/>
        <w:spacing w:before="281" w:after="281" w:line="360" w:lineRule="auto"/>
        <w:jc w:val="both"/>
        <w:rPr>
          <w:rFonts w:ascii="Times New Roman" w:hAnsi="Times New Roman" w:cs="Times New Roman"/>
          <w:color w:val="000000" w:themeColor="text1"/>
          <w:sz w:val="24"/>
          <w:szCs w:val="24"/>
        </w:rPr>
      </w:pPr>
      <w:bookmarkStart w:id="1" w:name="_Toc182344124"/>
      <w:r w:rsidRPr="00AF3C60">
        <w:rPr>
          <w:rFonts w:ascii="Times New Roman" w:eastAsia="Aptos" w:hAnsi="Times New Roman" w:cs="Times New Roman"/>
          <w:b/>
          <w:bCs/>
          <w:color w:val="000000" w:themeColor="text1"/>
          <w:sz w:val="24"/>
          <w:szCs w:val="24"/>
        </w:rPr>
        <w:t>1. Identification of Issues Impacting Burj Al Arab</w:t>
      </w:r>
      <w:bookmarkEnd w:id="1"/>
    </w:p>
    <w:p w14:paraId="35E878A5" w14:textId="7C184D16" w:rsidR="1E5D8E41" w:rsidRPr="00AF3C60" w:rsidRDefault="1E5D8E41"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color w:val="000000" w:themeColor="text1"/>
        </w:rPr>
        <w:t>Burj Al Arab faces several key challenges related to high operational costs, evolving guest expectations for digital convenience, and a growing demand for sustainability. Each of these factors poses a risk to its long-term competitive positioning within Dubai’s luxury hotel market. With high costs tied to maintaining its ultra-luxury offerings, operational efficiency becomes essential to ensure profitability without compromising guest experience. Furthermore, the limited integration of digital engagement tools, such as mobile check-ins and customized in-room technology, may hinder the hotel’s appeal among tech-savvy travelers who now expect these conveniences as part of the luxury experience.</w:t>
      </w:r>
    </w:p>
    <w:p w14:paraId="64BE9F00" w14:textId="0E97F907" w:rsidR="1E5D8E41" w:rsidRPr="00AF3C60" w:rsidRDefault="1E5D8E41"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color w:val="000000" w:themeColor="text1"/>
        </w:rPr>
        <w:t>Lastly, the demand for sustainability has become a critical concern, as many luxury travelers prioritize environmentally conscious practices when choosing accommodations. Dubai’s arid climate and high energy needs present a significant challenge for hotels aiming to meet these standards. For Burj Al Arab, implementing sustainable practices is not only a reputational advantage but also aligns with broader global trends that increasingly define modern luxury standards.</w:t>
      </w:r>
    </w:p>
    <w:p w14:paraId="5CF06376" w14:textId="65E2EF62" w:rsidR="43535B51" w:rsidRPr="00AF3C60" w:rsidRDefault="1E9A8ADF" w:rsidP="00AF3C60">
      <w:pPr>
        <w:pStyle w:val="Heading4"/>
        <w:spacing w:before="319" w:after="319" w:line="360" w:lineRule="auto"/>
        <w:jc w:val="both"/>
        <w:rPr>
          <w:rFonts w:ascii="Times New Roman" w:hAnsi="Times New Roman" w:cs="Times New Roman"/>
          <w:color w:val="000000" w:themeColor="text1"/>
        </w:rPr>
      </w:pPr>
      <w:r w:rsidRPr="00AF3C60">
        <w:rPr>
          <w:rFonts w:ascii="Times New Roman" w:eastAsia="Aptos" w:hAnsi="Times New Roman" w:cs="Times New Roman"/>
          <w:b/>
          <w:bCs/>
          <w:color w:val="000000" w:themeColor="text1"/>
        </w:rPr>
        <w:t>PESTEL Analysis</w:t>
      </w:r>
    </w:p>
    <w:p w14:paraId="771AC8F9" w14:textId="1DC19EE9" w:rsidR="43535B51" w:rsidRPr="00AF3C60" w:rsidRDefault="1E9A8ADF" w:rsidP="00AF3C60">
      <w:pPr>
        <w:pStyle w:val="ListParagraph"/>
        <w:numPr>
          <w:ilvl w:val="0"/>
          <w:numId w:val="5"/>
        </w:numPr>
        <w:spacing w:before="240" w:after="24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Political Factors</w:t>
      </w:r>
      <w:r w:rsidR="43535B51" w:rsidRPr="00AF3C60">
        <w:rPr>
          <w:rFonts w:ascii="Times New Roman" w:hAnsi="Times New Roman" w:cs="Times New Roman"/>
          <w:color w:val="000000" w:themeColor="text1"/>
        </w:rPr>
        <w:br/>
      </w:r>
      <w:r w:rsidRPr="00AF3C60">
        <w:rPr>
          <w:rFonts w:ascii="Times New Roman" w:eastAsia="Aptos" w:hAnsi="Times New Roman" w:cs="Times New Roman"/>
          <w:color w:val="000000" w:themeColor="text1"/>
        </w:rPr>
        <w:t xml:space="preserve">The UAE government has consistently supported the hospitality and tourism sector through policies such as </w:t>
      </w:r>
      <w:r w:rsidRPr="00AF3C60">
        <w:rPr>
          <w:rFonts w:ascii="Times New Roman" w:eastAsia="Aptos" w:hAnsi="Times New Roman" w:cs="Times New Roman"/>
          <w:b/>
          <w:bCs/>
          <w:color w:val="000000" w:themeColor="text1"/>
        </w:rPr>
        <w:t>Vision 2021</w:t>
      </w:r>
      <w:r w:rsidRPr="00AF3C60">
        <w:rPr>
          <w:rFonts w:ascii="Times New Roman" w:eastAsia="Aptos" w:hAnsi="Times New Roman" w:cs="Times New Roman"/>
          <w:color w:val="000000" w:themeColor="text1"/>
        </w:rPr>
        <w:t xml:space="preserve"> and </w:t>
      </w:r>
      <w:r w:rsidRPr="00AF3C60">
        <w:rPr>
          <w:rFonts w:ascii="Times New Roman" w:eastAsia="Aptos" w:hAnsi="Times New Roman" w:cs="Times New Roman"/>
          <w:b/>
          <w:bCs/>
          <w:color w:val="000000" w:themeColor="text1"/>
        </w:rPr>
        <w:t>Dubai Tourism Strategy 2025</w:t>
      </w:r>
      <w:r w:rsidRPr="00AF3C60">
        <w:rPr>
          <w:rFonts w:ascii="Times New Roman" w:eastAsia="Aptos" w:hAnsi="Times New Roman" w:cs="Times New Roman"/>
          <w:color w:val="000000" w:themeColor="text1"/>
        </w:rPr>
        <w:t>, aiming to solidify Dubai’s status as a global tourism leader. This pro-tourism environment offers a stable operational landscape for Burj Al Arab. However, the political emphasis on sustainability and carbon footprint reduction is becoming increasingly significant. New policies are expected to drive luxury properties towards greener practices, which could require substantial investment.</w:t>
      </w:r>
    </w:p>
    <w:p w14:paraId="07BD9E92" w14:textId="44721516" w:rsidR="43535B51" w:rsidRPr="00AF3C60" w:rsidRDefault="1E9A8ADF"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b/>
          <w:bCs/>
          <w:color w:val="000000" w:themeColor="text1"/>
        </w:rPr>
        <w:t>Strategic Implication</w:t>
      </w:r>
      <w:r w:rsidRPr="00AF3C60">
        <w:rPr>
          <w:rFonts w:ascii="Times New Roman" w:eastAsia="Aptos" w:hAnsi="Times New Roman" w:cs="Times New Roman"/>
          <w:color w:val="000000" w:themeColor="text1"/>
        </w:rPr>
        <w:t xml:space="preserve">: Burj Al Arab can align itself with UAE’s sustainability goals by adopting renewable energy solutions such as solar panels and energy-efficient systems. Partnering with </w:t>
      </w:r>
      <w:r w:rsidRPr="00AF3C60">
        <w:rPr>
          <w:rFonts w:ascii="Times New Roman" w:eastAsia="Aptos" w:hAnsi="Times New Roman" w:cs="Times New Roman"/>
          <w:color w:val="000000" w:themeColor="text1"/>
        </w:rPr>
        <w:lastRenderedPageBreak/>
        <w:t>government-backed eco-initiatives will not only ensure compliance but also enhance the hotel’s marketability to eco-conscious travelers. Incorporating visible eco-certifications can also be an effective strategy to strengthen trust among guests prioritizing environmental responsibility.</w:t>
      </w:r>
    </w:p>
    <w:p w14:paraId="7960B571" w14:textId="15478CA4" w:rsidR="43535B51" w:rsidRPr="00AF3C60" w:rsidRDefault="1E9A8ADF" w:rsidP="00AF3C60">
      <w:pPr>
        <w:pStyle w:val="ListParagraph"/>
        <w:numPr>
          <w:ilvl w:val="0"/>
          <w:numId w:val="5"/>
        </w:numPr>
        <w:spacing w:before="240" w:after="24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Economic Factors</w:t>
      </w:r>
      <w:r w:rsidR="43535B51" w:rsidRPr="00AF3C60">
        <w:rPr>
          <w:rFonts w:ascii="Times New Roman" w:hAnsi="Times New Roman" w:cs="Times New Roman"/>
          <w:color w:val="000000" w:themeColor="text1"/>
        </w:rPr>
        <w:br/>
      </w:r>
      <w:r w:rsidRPr="00AF3C60">
        <w:rPr>
          <w:rFonts w:ascii="Times New Roman" w:eastAsia="Aptos" w:hAnsi="Times New Roman" w:cs="Times New Roman"/>
          <w:color w:val="000000" w:themeColor="text1"/>
        </w:rPr>
        <w:t>Dubai’s economy is closely linked with its tourism and hospitality sector, attracting millions of high-income travelers each year. However, global economic fluctuations, inflation, and currency rate variability present challenges that can impact spending on luxury travel. The luxury segment, while resilient, isn’t immune to downturns, which can lead to reduced international travel and discretionary spending.</w:t>
      </w:r>
    </w:p>
    <w:p w14:paraId="577D4046" w14:textId="767A1C04" w:rsidR="43535B51" w:rsidRPr="00AF3C60" w:rsidRDefault="1E9A8ADF"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b/>
          <w:bCs/>
          <w:color w:val="000000" w:themeColor="text1"/>
        </w:rPr>
        <w:t>Strategic Implication</w:t>
      </w:r>
      <w:r w:rsidRPr="00AF3C60">
        <w:rPr>
          <w:rFonts w:ascii="Times New Roman" w:eastAsia="Aptos" w:hAnsi="Times New Roman" w:cs="Times New Roman"/>
          <w:color w:val="000000" w:themeColor="text1"/>
        </w:rPr>
        <w:t>: To safeguard against economic shifts, Burj Al Arab should adopt flexible pricing strategies and loyalty programs that offer value-added experiences. For instance, bundling exclusive services like spa treatments, dining experiences, and cultural tours with room bookings can make packages more appealing, even during economic lulls. Seasonal promotions targeting regional guests during global downturns can also maintain steady occupancy.</w:t>
      </w:r>
    </w:p>
    <w:p w14:paraId="6FBEDE84" w14:textId="21C394A1" w:rsidR="43535B51" w:rsidRPr="00AF3C60" w:rsidRDefault="1E9A8ADF" w:rsidP="00AF3C60">
      <w:pPr>
        <w:pStyle w:val="ListParagraph"/>
        <w:numPr>
          <w:ilvl w:val="0"/>
          <w:numId w:val="5"/>
        </w:numPr>
        <w:spacing w:before="240" w:after="24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Social Factors</w:t>
      </w:r>
      <w:r w:rsidR="43535B51" w:rsidRPr="00AF3C60">
        <w:rPr>
          <w:rFonts w:ascii="Times New Roman" w:hAnsi="Times New Roman" w:cs="Times New Roman"/>
          <w:color w:val="000000" w:themeColor="text1"/>
        </w:rPr>
        <w:br/>
      </w:r>
      <w:r w:rsidRPr="00AF3C60">
        <w:rPr>
          <w:rFonts w:ascii="Times New Roman" w:eastAsia="Aptos" w:hAnsi="Times New Roman" w:cs="Times New Roman"/>
          <w:color w:val="000000" w:themeColor="text1"/>
        </w:rPr>
        <w:t xml:space="preserve">Modern luxury travelers are no longer satisfied with traditional definitions of luxury; they seek experiences that align with their values, including sustainability, wellness, and cultural immersion. According to a </w:t>
      </w:r>
      <w:r w:rsidRPr="00AF3C60">
        <w:rPr>
          <w:rFonts w:ascii="Times New Roman" w:eastAsia="Aptos" w:hAnsi="Times New Roman" w:cs="Times New Roman"/>
          <w:b/>
          <w:bCs/>
          <w:color w:val="000000" w:themeColor="text1"/>
        </w:rPr>
        <w:t>2022 survey by Skift</w:t>
      </w:r>
      <w:r w:rsidRPr="00AF3C60">
        <w:rPr>
          <w:rFonts w:ascii="Times New Roman" w:eastAsia="Aptos" w:hAnsi="Times New Roman" w:cs="Times New Roman"/>
          <w:color w:val="000000" w:themeColor="text1"/>
        </w:rPr>
        <w:t>, 73% of luxury travelers prefer properties that demonstrate a strong commitment to eco-friendly practices, and wellness tourism has seen a compound annual growth rate of 7.5%.</w:t>
      </w:r>
    </w:p>
    <w:p w14:paraId="338E352B" w14:textId="6D9F9091" w:rsidR="43535B51" w:rsidRPr="00AF3C60" w:rsidRDefault="1E9A8ADF"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b/>
          <w:bCs/>
          <w:color w:val="000000" w:themeColor="text1"/>
        </w:rPr>
        <w:t>Strategic Implication</w:t>
      </w:r>
      <w:r w:rsidRPr="00AF3C60">
        <w:rPr>
          <w:rFonts w:ascii="Times New Roman" w:eastAsia="Aptos" w:hAnsi="Times New Roman" w:cs="Times New Roman"/>
          <w:color w:val="000000" w:themeColor="text1"/>
        </w:rPr>
        <w:t>: Burj Al Arab has the opportunity to revamp its offerings by integrating wellness-focused and eco-friendly experiences. The hotel could introduce packages that include bespoke spa services, wellness workshops, and sustainable, organic dining. Creating partnerships with local artisans and offering eco-friendly room features would also appeal to guests looking for authentic and responsible luxury stays.</w:t>
      </w:r>
    </w:p>
    <w:p w14:paraId="1C79A0A1" w14:textId="18CE83A0" w:rsidR="43535B51" w:rsidRPr="00AF3C60" w:rsidRDefault="1E9A8ADF" w:rsidP="00AF3C60">
      <w:pPr>
        <w:pStyle w:val="ListParagraph"/>
        <w:numPr>
          <w:ilvl w:val="0"/>
          <w:numId w:val="5"/>
        </w:numPr>
        <w:spacing w:before="240" w:after="24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Technological Factors</w:t>
      </w:r>
      <w:r w:rsidR="43535B51" w:rsidRPr="00AF3C60">
        <w:rPr>
          <w:rFonts w:ascii="Times New Roman" w:hAnsi="Times New Roman" w:cs="Times New Roman"/>
          <w:color w:val="000000" w:themeColor="text1"/>
        </w:rPr>
        <w:br/>
      </w:r>
      <w:r w:rsidRPr="00AF3C60">
        <w:rPr>
          <w:rFonts w:ascii="Times New Roman" w:eastAsia="Aptos" w:hAnsi="Times New Roman" w:cs="Times New Roman"/>
          <w:color w:val="000000" w:themeColor="text1"/>
        </w:rPr>
        <w:t xml:space="preserve">Technological innovation is redefining guest expectations in the luxury sector. Digital services such as mobile check-in, voice-activated room controls, and AI-based concierge </w:t>
      </w:r>
      <w:r w:rsidRPr="00AF3C60">
        <w:rPr>
          <w:rFonts w:ascii="Times New Roman" w:eastAsia="Aptos" w:hAnsi="Times New Roman" w:cs="Times New Roman"/>
          <w:color w:val="000000" w:themeColor="text1"/>
        </w:rPr>
        <w:lastRenderedPageBreak/>
        <w:t xml:space="preserve">support have become essential features in top-tier hospitality. Competitors like </w:t>
      </w:r>
      <w:r w:rsidRPr="00AF3C60">
        <w:rPr>
          <w:rFonts w:ascii="Times New Roman" w:eastAsia="Aptos" w:hAnsi="Times New Roman" w:cs="Times New Roman"/>
          <w:b/>
          <w:bCs/>
          <w:color w:val="000000" w:themeColor="text1"/>
        </w:rPr>
        <w:t>The Ritz-Carlton</w:t>
      </w:r>
      <w:r w:rsidRPr="00AF3C60">
        <w:rPr>
          <w:rFonts w:ascii="Times New Roman" w:eastAsia="Aptos" w:hAnsi="Times New Roman" w:cs="Times New Roman"/>
          <w:color w:val="000000" w:themeColor="text1"/>
        </w:rPr>
        <w:t xml:space="preserve"> and </w:t>
      </w:r>
      <w:r w:rsidRPr="00AF3C60">
        <w:rPr>
          <w:rFonts w:ascii="Times New Roman" w:eastAsia="Aptos" w:hAnsi="Times New Roman" w:cs="Times New Roman"/>
          <w:b/>
          <w:bCs/>
          <w:color w:val="000000" w:themeColor="text1"/>
        </w:rPr>
        <w:t>Four Seasons</w:t>
      </w:r>
      <w:r w:rsidRPr="00AF3C60">
        <w:rPr>
          <w:rFonts w:ascii="Times New Roman" w:eastAsia="Aptos" w:hAnsi="Times New Roman" w:cs="Times New Roman"/>
          <w:color w:val="000000" w:themeColor="text1"/>
        </w:rPr>
        <w:t xml:space="preserve"> leverage proprietary apps that offer seamless guest experiences, streamlining operations and enhancing customer satisfaction.</w:t>
      </w:r>
    </w:p>
    <w:p w14:paraId="300B07BC" w14:textId="0DE77751" w:rsidR="43535B51" w:rsidRPr="00AF3C60" w:rsidRDefault="1E9A8ADF"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b/>
          <w:bCs/>
          <w:color w:val="000000" w:themeColor="text1"/>
        </w:rPr>
        <w:t>Strategic Implication</w:t>
      </w:r>
      <w:r w:rsidRPr="00AF3C60">
        <w:rPr>
          <w:rFonts w:ascii="Times New Roman" w:eastAsia="Aptos" w:hAnsi="Times New Roman" w:cs="Times New Roman"/>
          <w:color w:val="000000" w:themeColor="text1"/>
        </w:rPr>
        <w:t>: Implementing a robust, guest-friendly app would position Burj Al Arab as a technologically advanced luxury hotel. Features such as digital room customization, in-app service requests, and AI-based support can improve operational efficiency and elevate guest experiences. Training staff to integrate these digital solutions effectively ensures seamless adoption, helping the hotel meet modern luxury standards.</w:t>
      </w:r>
    </w:p>
    <w:p w14:paraId="1CE831AC" w14:textId="6E3E29AB" w:rsidR="43535B51" w:rsidRPr="00AF3C60" w:rsidRDefault="1E9A8ADF" w:rsidP="00AF3C60">
      <w:pPr>
        <w:pStyle w:val="ListParagraph"/>
        <w:numPr>
          <w:ilvl w:val="0"/>
          <w:numId w:val="5"/>
        </w:numPr>
        <w:spacing w:before="240" w:after="24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Environmental Factors</w:t>
      </w:r>
      <w:r w:rsidR="43535B51" w:rsidRPr="00AF3C60">
        <w:rPr>
          <w:rFonts w:ascii="Times New Roman" w:hAnsi="Times New Roman" w:cs="Times New Roman"/>
          <w:color w:val="000000" w:themeColor="text1"/>
        </w:rPr>
        <w:br/>
      </w:r>
      <w:r w:rsidRPr="00AF3C60">
        <w:rPr>
          <w:rFonts w:ascii="Times New Roman" w:eastAsia="Aptos" w:hAnsi="Times New Roman" w:cs="Times New Roman"/>
          <w:color w:val="000000" w:themeColor="text1"/>
        </w:rPr>
        <w:t>Environmental awareness has become a significant factor influencing the hospitality industry. Guests increasingly choose accommodations that actively demonstrate sustainability initiatives. Dubai’s climate, characterized by high temperatures and limited freshwater resources, poses unique challenges. For luxury hotels like Burj Al Arab, adopting sustainable practices is crucial for maintaining competitiveness.</w:t>
      </w:r>
    </w:p>
    <w:p w14:paraId="19BC0BB6" w14:textId="381B1312" w:rsidR="43535B51" w:rsidRPr="00AF3C60" w:rsidRDefault="1E9A8ADF"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b/>
          <w:bCs/>
          <w:color w:val="000000" w:themeColor="text1"/>
        </w:rPr>
        <w:t>Strategic Implication</w:t>
      </w:r>
      <w:r w:rsidRPr="00AF3C60">
        <w:rPr>
          <w:rFonts w:ascii="Times New Roman" w:eastAsia="Aptos" w:hAnsi="Times New Roman" w:cs="Times New Roman"/>
          <w:color w:val="000000" w:themeColor="text1"/>
        </w:rPr>
        <w:t>: Investing in water-saving technologies, such as low-flow showerheads and graywater recycling systems, will align the hotel with eco-friendly practices while reducing water bills. The introduction of energy-efficient LED lighting and automated energy management systems can minimize energy use, contributing to sustainability and operational cost savings. Marketing these initiatives to guests who value environmental responsibility enhances Burj Al Arab’s brand reputation.</w:t>
      </w:r>
    </w:p>
    <w:p w14:paraId="06E5E71E" w14:textId="72E3C7F3" w:rsidR="43535B51" w:rsidRPr="00AF3C60" w:rsidRDefault="1E9A8ADF" w:rsidP="00AF3C60">
      <w:pPr>
        <w:pStyle w:val="ListParagraph"/>
        <w:numPr>
          <w:ilvl w:val="0"/>
          <w:numId w:val="5"/>
        </w:numPr>
        <w:spacing w:before="240" w:after="24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Legal Factors</w:t>
      </w:r>
      <w:r w:rsidR="43535B51" w:rsidRPr="00AF3C60">
        <w:rPr>
          <w:rFonts w:ascii="Times New Roman" w:hAnsi="Times New Roman" w:cs="Times New Roman"/>
          <w:color w:val="000000" w:themeColor="text1"/>
        </w:rPr>
        <w:br/>
      </w:r>
      <w:r w:rsidRPr="00AF3C60">
        <w:rPr>
          <w:rFonts w:ascii="Times New Roman" w:eastAsia="Aptos" w:hAnsi="Times New Roman" w:cs="Times New Roman"/>
          <w:color w:val="000000" w:themeColor="text1"/>
        </w:rPr>
        <w:t>Adherence to UAE regulations on environmental sustainability, health, and safety is critical. The region’s stringent waste reduction laws and bans on single-use plastics necessitate significant operational adjustments. Non-compliance can result in fines and negatively impact brand reputation, particularly for high-profile establishments like Burj Al Arab.</w:t>
      </w:r>
    </w:p>
    <w:p w14:paraId="0FBD1348" w14:textId="4C01AE29" w:rsidR="43535B51" w:rsidRPr="00AF3C60" w:rsidRDefault="1E9A8ADF"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b/>
          <w:bCs/>
          <w:color w:val="000000" w:themeColor="text1"/>
        </w:rPr>
        <w:t>Strategic Implication</w:t>
      </w:r>
      <w:r w:rsidRPr="00AF3C60">
        <w:rPr>
          <w:rFonts w:ascii="Times New Roman" w:eastAsia="Aptos" w:hAnsi="Times New Roman" w:cs="Times New Roman"/>
          <w:color w:val="000000" w:themeColor="text1"/>
        </w:rPr>
        <w:t xml:space="preserve">: To ensure compliance, Burj Al Arab should proactively adopt biodegradable products in guest amenities, enhance waste segregation, and integrate a comprehensive recycling program. These changes support both legal compliance and brand </w:t>
      </w:r>
      <w:r w:rsidRPr="00AF3C60">
        <w:rPr>
          <w:rFonts w:ascii="Times New Roman" w:eastAsia="Aptos" w:hAnsi="Times New Roman" w:cs="Times New Roman"/>
          <w:color w:val="000000" w:themeColor="text1"/>
        </w:rPr>
        <w:lastRenderedPageBreak/>
        <w:t>positioning as a responsible luxury provider. Training staff on sustainable practices ensures adherence to these standards across operations.</w:t>
      </w:r>
    </w:p>
    <w:p w14:paraId="6FB78A7A" w14:textId="3F0B4539" w:rsidR="43535B51" w:rsidRPr="00AF3C60" w:rsidRDefault="43535B51" w:rsidP="00AF3C60">
      <w:pPr>
        <w:spacing w:after="0" w:line="360" w:lineRule="auto"/>
        <w:jc w:val="both"/>
        <w:rPr>
          <w:rFonts w:ascii="Times New Roman" w:hAnsi="Times New Roman" w:cs="Times New Roman"/>
          <w:color w:val="000000" w:themeColor="text1"/>
        </w:rPr>
      </w:pPr>
    </w:p>
    <w:p w14:paraId="6FD041F9" w14:textId="7D4A7956" w:rsidR="43535B51" w:rsidRPr="00AF3C60" w:rsidRDefault="1E9A8ADF" w:rsidP="00AF3C60">
      <w:pPr>
        <w:pStyle w:val="Heading4"/>
        <w:spacing w:before="319" w:after="319" w:line="360" w:lineRule="auto"/>
        <w:jc w:val="both"/>
        <w:rPr>
          <w:rFonts w:ascii="Times New Roman" w:hAnsi="Times New Roman" w:cs="Times New Roman"/>
          <w:color w:val="000000" w:themeColor="text1"/>
        </w:rPr>
      </w:pPr>
      <w:r w:rsidRPr="00AF3C60">
        <w:rPr>
          <w:rFonts w:ascii="Times New Roman" w:eastAsia="Aptos" w:hAnsi="Times New Roman" w:cs="Times New Roman"/>
          <w:b/>
          <w:bCs/>
          <w:color w:val="000000" w:themeColor="text1"/>
        </w:rPr>
        <w:t>2. SWOT Analysis for Burj Al Arab</w:t>
      </w:r>
    </w:p>
    <w:tbl>
      <w:tblPr>
        <w:tblStyle w:val="TableGridLight"/>
        <w:tblW w:w="9360" w:type="dxa"/>
        <w:tblLayout w:type="fixed"/>
        <w:tblLook w:val="06A0" w:firstRow="1" w:lastRow="0" w:firstColumn="1" w:lastColumn="0" w:noHBand="1" w:noVBand="1"/>
      </w:tblPr>
      <w:tblGrid>
        <w:gridCol w:w="4673"/>
        <w:gridCol w:w="4687"/>
      </w:tblGrid>
      <w:tr w:rsidR="00AF3C60" w:rsidRPr="00AF3C60" w14:paraId="086C3975" w14:textId="77777777" w:rsidTr="00971786">
        <w:trPr>
          <w:trHeight w:val="300"/>
        </w:trPr>
        <w:tc>
          <w:tcPr>
            <w:tcW w:w="4673" w:type="dxa"/>
          </w:tcPr>
          <w:p w14:paraId="293E75E4" w14:textId="7B59F79A"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b/>
                <w:bCs/>
                <w:color w:val="000000" w:themeColor="text1"/>
              </w:rPr>
              <w:t>Strengths</w:t>
            </w:r>
          </w:p>
        </w:tc>
        <w:tc>
          <w:tcPr>
            <w:tcW w:w="4687" w:type="dxa"/>
          </w:tcPr>
          <w:p w14:paraId="4D9FEBA6" w14:textId="1AA2045B"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b/>
                <w:bCs/>
                <w:color w:val="000000" w:themeColor="text1"/>
              </w:rPr>
              <w:t>Weaknesses</w:t>
            </w:r>
          </w:p>
        </w:tc>
      </w:tr>
      <w:tr w:rsidR="00AF3C60" w:rsidRPr="00AF3C60" w14:paraId="304D178B" w14:textId="77777777" w:rsidTr="00971786">
        <w:trPr>
          <w:trHeight w:val="300"/>
        </w:trPr>
        <w:tc>
          <w:tcPr>
            <w:tcW w:w="4673" w:type="dxa"/>
          </w:tcPr>
          <w:p w14:paraId="13F45460" w14:textId="2A01B2AF"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Unmatched global reputation and brand recognition</w:t>
            </w:r>
          </w:p>
        </w:tc>
        <w:tc>
          <w:tcPr>
            <w:tcW w:w="4687" w:type="dxa"/>
          </w:tcPr>
          <w:p w14:paraId="383D19AD" w14:textId="3B379419"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High operational costs due to extensive service</w:t>
            </w:r>
          </w:p>
        </w:tc>
      </w:tr>
      <w:tr w:rsidR="00AF3C60" w:rsidRPr="00AF3C60" w14:paraId="5A8AEDC5" w14:textId="77777777" w:rsidTr="00971786">
        <w:trPr>
          <w:trHeight w:val="300"/>
        </w:trPr>
        <w:tc>
          <w:tcPr>
            <w:tcW w:w="4673" w:type="dxa"/>
          </w:tcPr>
          <w:p w14:paraId="6153CF08" w14:textId="6A74A876"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Unique architectural design and luxurious offerings</w:t>
            </w:r>
          </w:p>
        </w:tc>
        <w:tc>
          <w:tcPr>
            <w:tcW w:w="4687" w:type="dxa"/>
          </w:tcPr>
          <w:p w14:paraId="7588D6B3" w14:textId="295AABAB"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Limited digital integration compared to competitors</w:t>
            </w:r>
          </w:p>
        </w:tc>
      </w:tr>
      <w:tr w:rsidR="00AF3C60" w:rsidRPr="00AF3C60" w14:paraId="7C112E2D" w14:textId="77777777" w:rsidTr="00971786">
        <w:trPr>
          <w:trHeight w:val="300"/>
        </w:trPr>
        <w:tc>
          <w:tcPr>
            <w:tcW w:w="4673" w:type="dxa"/>
          </w:tcPr>
          <w:p w14:paraId="18403560" w14:textId="6206E2D0"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Renowned for personalized, exceptional guest service</w:t>
            </w:r>
          </w:p>
        </w:tc>
        <w:tc>
          <w:tcPr>
            <w:tcW w:w="4687" w:type="dxa"/>
          </w:tcPr>
          <w:p w14:paraId="62880853" w14:textId="263B588F"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Significant energy and resource consumption</w:t>
            </w:r>
          </w:p>
        </w:tc>
      </w:tr>
      <w:tr w:rsidR="00AF3C60" w:rsidRPr="00AF3C60" w14:paraId="77216660" w14:textId="77777777" w:rsidTr="00971786">
        <w:trPr>
          <w:trHeight w:val="300"/>
        </w:trPr>
        <w:tc>
          <w:tcPr>
            <w:tcW w:w="4673" w:type="dxa"/>
          </w:tcPr>
          <w:p w14:paraId="5EEF467A" w14:textId="74401413"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b/>
                <w:bCs/>
                <w:color w:val="000000" w:themeColor="text1"/>
              </w:rPr>
              <w:t>Opportunities</w:t>
            </w:r>
          </w:p>
        </w:tc>
        <w:tc>
          <w:tcPr>
            <w:tcW w:w="4687" w:type="dxa"/>
          </w:tcPr>
          <w:p w14:paraId="52C87631" w14:textId="5A89E9B0"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b/>
                <w:bCs/>
                <w:color w:val="000000" w:themeColor="text1"/>
              </w:rPr>
              <w:t>Threats</w:t>
            </w:r>
          </w:p>
        </w:tc>
      </w:tr>
      <w:tr w:rsidR="00AF3C60" w:rsidRPr="00AF3C60" w14:paraId="6EC8B87F" w14:textId="77777777" w:rsidTr="00971786">
        <w:trPr>
          <w:trHeight w:val="300"/>
        </w:trPr>
        <w:tc>
          <w:tcPr>
            <w:tcW w:w="4673" w:type="dxa"/>
          </w:tcPr>
          <w:p w14:paraId="357F7599" w14:textId="0E086B99"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Rising demand for eco-luxury and wellness experiences</w:t>
            </w:r>
          </w:p>
        </w:tc>
        <w:tc>
          <w:tcPr>
            <w:tcW w:w="4687" w:type="dxa"/>
          </w:tcPr>
          <w:p w14:paraId="07E1972A" w14:textId="34F39B3E"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Increasing competition from tech-forward luxury hotels</w:t>
            </w:r>
          </w:p>
        </w:tc>
      </w:tr>
      <w:tr w:rsidR="00AF3C60" w:rsidRPr="00AF3C60" w14:paraId="41718AB1" w14:textId="77777777" w:rsidTr="00971786">
        <w:trPr>
          <w:trHeight w:val="300"/>
        </w:trPr>
        <w:tc>
          <w:tcPr>
            <w:tcW w:w="4673" w:type="dxa"/>
          </w:tcPr>
          <w:p w14:paraId="4DEE076A" w14:textId="62BBD895"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Expansion in digital services to attract tech-savvy guests</w:t>
            </w:r>
          </w:p>
        </w:tc>
        <w:tc>
          <w:tcPr>
            <w:tcW w:w="4687" w:type="dxa"/>
          </w:tcPr>
          <w:p w14:paraId="656E9AC5" w14:textId="51572A8A"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Economic downturns impacting international luxury travel</w:t>
            </w:r>
          </w:p>
        </w:tc>
      </w:tr>
    </w:tbl>
    <w:p w14:paraId="4D4C12BF" w14:textId="77777777" w:rsidR="00971786" w:rsidRPr="00AF3C60" w:rsidRDefault="00971786" w:rsidP="00AF3C60">
      <w:pPr>
        <w:spacing w:before="240" w:after="240" w:line="360" w:lineRule="auto"/>
        <w:jc w:val="both"/>
        <w:rPr>
          <w:rFonts w:ascii="Times New Roman" w:eastAsia="Aptos" w:hAnsi="Times New Roman" w:cs="Times New Roman"/>
          <w:b/>
          <w:bCs/>
          <w:color w:val="000000" w:themeColor="text1"/>
        </w:rPr>
      </w:pPr>
    </w:p>
    <w:p w14:paraId="74D0042D" w14:textId="701E1658" w:rsidR="43535B51" w:rsidRPr="00AF3C60" w:rsidRDefault="1E9A8ADF"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b/>
          <w:bCs/>
          <w:color w:val="000000" w:themeColor="text1"/>
        </w:rPr>
        <w:t>In-Depth Strategic Implications from SWOT</w:t>
      </w:r>
      <w:r w:rsidRPr="00AF3C60">
        <w:rPr>
          <w:rFonts w:ascii="Times New Roman" w:eastAsia="Aptos" w:hAnsi="Times New Roman" w:cs="Times New Roman"/>
          <w:color w:val="000000" w:themeColor="text1"/>
        </w:rPr>
        <w:t>:</w:t>
      </w:r>
    </w:p>
    <w:p w14:paraId="5E6148E5" w14:textId="3A1F8527" w:rsidR="43535B51" w:rsidRPr="00AF3C60" w:rsidRDefault="1E9A8ADF" w:rsidP="00AF3C60">
      <w:pPr>
        <w:pStyle w:val="ListParagraph"/>
        <w:numPr>
          <w:ilvl w:val="0"/>
          <w:numId w:val="4"/>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Leveraging Strengths</w:t>
      </w:r>
      <w:r w:rsidRPr="00AF3C60">
        <w:rPr>
          <w:rFonts w:ascii="Times New Roman" w:eastAsia="Aptos" w:hAnsi="Times New Roman" w:cs="Times New Roman"/>
          <w:color w:val="000000" w:themeColor="text1"/>
        </w:rPr>
        <w:t>: Burj Al Arab’s iconic status and high standards of guest care can be leveraged to introduce eco-conscious and wellness-oriented services. This would align with current trends and reinforce its market position as a leader in luxury hospitality.</w:t>
      </w:r>
    </w:p>
    <w:p w14:paraId="472C349D" w14:textId="38E87A27" w:rsidR="43535B51" w:rsidRPr="00AF3C60" w:rsidRDefault="1E9A8ADF" w:rsidP="00AF3C60">
      <w:pPr>
        <w:pStyle w:val="ListParagraph"/>
        <w:numPr>
          <w:ilvl w:val="0"/>
          <w:numId w:val="4"/>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Addressing Weaknesses</w:t>
      </w:r>
      <w:r w:rsidRPr="00AF3C60">
        <w:rPr>
          <w:rFonts w:ascii="Times New Roman" w:eastAsia="Aptos" w:hAnsi="Times New Roman" w:cs="Times New Roman"/>
          <w:color w:val="000000" w:themeColor="text1"/>
        </w:rPr>
        <w:t>: Operational costs can be reduced through investments in energy-efficient technology and smart room automation. This modernization not only meets sustainability goals but also enhances guest experiences by offering advanced room personalization options.</w:t>
      </w:r>
    </w:p>
    <w:p w14:paraId="7256B8C4" w14:textId="53890250" w:rsidR="43535B51" w:rsidRPr="00AF3C60" w:rsidRDefault="1E9A8ADF" w:rsidP="00AF3C60">
      <w:pPr>
        <w:pStyle w:val="ListParagraph"/>
        <w:numPr>
          <w:ilvl w:val="0"/>
          <w:numId w:val="4"/>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Capitalizing on Opportunities</w:t>
      </w:r>
      <w:r w:rsidRPr="00AF3C60">
        <w:rPr>
          <w:rFonts w:ascii="Times New Roman" w:eastAsia="Aptos" w:hAnsi="Times New Roman" w:cs="Times New Roman"/>
          <w:color w:val="000000" w:themeColor="text1"/>
        </w:rPr>
        <w:t>: With the global shift towards eco-luxury and wellness, Burj Al Arab can introduce new services that cater to these preferences, such as eco-</w:t>
      </w:r>
      <w:r w:rsidRPr="00AF3C60">
        <w:rPr>
          <w:rFonts w:ascii="Times New Roman" w:eastAsia="Aptos" w:hAnsi="Times New Roman" w:cs="Times New Roman"/>
          <w:color w:val="000000" w:themeColor="text1"/>
        </w:rPr>
        <w:lastRenderedPageBreak/>
        <w:t>friendly suites and health-focused dining options. These services can attract new demographics, including younger travelers who prioritize sustainability.</w:t>
      </w:r>
    </w:p>
    <w:p w14:paraId="01ECDB6C" w14:textId="4D473108" w:rsidR="43535B51" w:rsidRPr="00AF3C60" w:rsidRDefault="1E9A8ADF" w:rsidP="00AF3C60">
      <w:pPr>
        <w:pStyle w:val="ListParagraph"/>
        <w:numPr>
          <w:ilvl w:val="0"/>
          <w:numId w:val="4"/>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Mitigating Threats</w:t>
      </w:r>
      <w:r w:rsidRPr="00AF3C60">
        <w:rPr>
          <w:rFonts w:ascii="Times New Roman" w:eastAsia="Aptos" w:hAnsi="Times New Roman" w:cs="Times New Roman"/>
          <w:color w:val="000000" w:themeColor="text1"/>
        </w:rPr>
        <w:t>: To counter growing competition and economic fluctuations, Burj Al Arab should emphasize its unique offerings, such as private, bespoke experiences, while adopting flexible booking options that offer assurances during uncertain times.</w:t>
      </w:r>
    </w:p>
    <w:p w14:paraId="4AA3BDD9" w14:textId="7C70B0F7" w:rsidR="43535B51" w:rsidRPr="00AF3C60" w:rsidRDefault="43535B51" w:rsidP="00AF3C60">
      <w:pPr>
        <w:spacing w:after="0" w:line="360" w:lineRule="auto"/>
        <w:jc w:val="both"/>
        <w:rPr>
          <w:rFonts w:ascii="Times New Roman" w:hAnsi="Times New Roman" w:cs="Times New Roman"/>
          <w:color w:val="000000" w:themeColor="text1"/>
        </w:rPr>
      </w:pPr>
    </w:p>
    <w:p w14:paraId="5CDF2AEE" w14:textId="455A53A2" w:rsidR="43535B51" w:rsidRPr="00AF3C60" w:rsidRDefault="1E9A8ADF" w:rsidP="00AF3C60">
      <w:pPr>
        <w:pStyle w:val="Heading4"/>
        <w:spacing w:before="319" w:after="319" w:line="360" w:lineRule="auto"/>
        <w:jc w:val="both"/>
        <w:rPr>
          <w:rFonts w:ascii="Times New Roman" w:hAnsi="Times New Roman" w:cs="Times New Roman"/>
          <w:color w:val="000000" w:themeColor="text1"/>
        </w:rPr>
      </w:pPr>
      <w:r w:rsidRPr="00AF3C60">
        <w:rPr>
          <w:rFonts w:ascii="Times New Roman" w:eastAsia="Aptos" w:hAnsi="Times New Roman" w:cs="Times New Roman"/>
          <w:b/>
          <w:bCs/>
          <w:color w:val="000000" w:themeColor="text1"/>
        </w:rPr>
        <w:t>3. TOWS Analysis: Converting Insights into Strategy</w:t>
      </w:r>
    </w:p>
    <w:tbl>
      <w:tblPr>
        <w:tblStyle w:val="TableGridLight"/>
        <w:tblW w:w="9360" w:type="dxa"/>
        <w:tblLayout w:type="fixed"/>
        <w:tblLook w:val="06A0" w:firstRow="1" w:lastRow="0" w:firstColumn="1" w:lastColumn="0" w:noHBand="1" w:noVBand="1"/>
      </w:tblPr>
      <w:tblGrid>
        <w:gridCol w:w="1980"/>
        <w:gridCol w:w="7380"/>
      </w:tblGrid>
      <w:tr w:rsidR="00AF3C60" w:rsidRPr="00AF3C60" w14:paraId="6E9754C8" w14:textId="77777777" w:rsidTr="00971786">
        <w:trPr>
          <w:trHeight w:val="300"/>
        </w:trPr>
        <w:tc>
          <w:tcPr>
            <w:tcW w:w="1980" w:type="dxa"/>
          </w:tcPr>
          <w:p w14:paraId="0E64242F" w14:textId="2ED79EB3"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b/>
                <w:bCs/>
                <w:color w:val="000000" w:themeColor="text1"/>
              </w:rPr>
              <w:t>TOWS Strategy</w:t>
            </w:r>
          </w:p>
        </w:tc>
        <w:tc>
          <w:tcPr>
            <w:tcW w:w="7380" w:type="dxa"/>
          </w:tcPr>
          <w:p w14:paraId="4BA32D58" w14:textId="000B5532"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b/>
                <w:bCs/>
                <w:color w:val="000000" w:themeColor="text1"/>
              </w:rPr>
              <w:t>Actionable Recommendations</w:t>
            </w:r>
          </w:p>
        </w:tc>
      </w:tr>
      <w:tr w:rsidR="00AF3C60" w:rsidRPr="00AF3C60" w14:paraId="4F960EC9" w14:textId="77777777" w:rsidTr="00971786">
        <w:trPr>
          <w:trHeight w:val="300"/>
        </w:trPr>
        <w:tc>
          <w:tcPr>
            <w:tcW w:w="1980" w:type="dxa"/>
          </w:tcPr>
          <w:p w14:paraId="755B1130" w14:textId="63D519A0"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b/>
                <w:bCs/>
                <w:color w:val="000000" w:themeColor="text1"/>
              </w:rPr>
              <w:t>Strengths-Opportunities (SO)</w:t>
            </w:r>
          </w:p>
        </w:tc>
        <w:tc>
          <w:tcPr>
            <w:tcW w:w="7380" w:type="dxa"/>
          </w:tcPr>
          <w:p w14:paraId="6C46A9F8" w14:textId="6860B210"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Leverage the hotel’s unmatched brand reputation to launch exclusive “Sustainable Luxury Suites” featuring eco-friendly amenities and technologies. Highlight these rooms in marketing campaigns to attract environmentally conscious travelers.</w:t>
            </w:r>
          </w:p>
        </w:tc>
      </w:tr>
      <w:tr w:rsidR="00AF3C60" w:rsidRPr="00AF3C60" w14:paraId="0588B04A" w14:textId="77777777" w:rsidTr="00971786">
        <w:trPr>
          <w:trHeight w:val="300"/>
        </w:trPr>
        <w:tc>
          <w:tcPr>
            <w:tcW w:w="1980" w:type="dxa"/>
          </w:tcPr>
          <w:p w14:paraId="4A53A1C4" w14:textId="363F28D1"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b/>
                <w:bCs/>
                <w:color w:val="000000" w:themeColor="text1"/>
              </w:rPr>
              <w:t>Strengths-Threats (ST)</w:t>
            </w:r>
          </w:p>
        </w:tc>
        <w:tc>
          <w:tcPr>
            <w:tcW w:w="7380" w:type="dxa"/>
          </w:tcPr>
          <w:p w14:paraId="6F2921E7" w14:textId="58A6082E"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Differentiate through personalized, high-value experiences that emphasize local culture and wellness. This approach makes Burj Al Arab stand out from new competitors while reinforcing its reputation for exceptional service.</w:t>
            </w:r>
          </w:p>
        </w:tc>
      </w:tr>
      <w:tr w:rsidR="00AF3C60" w:rsidRPr="00AF3C60" w14:paraId="3ABB08E1" w14:textId="77777777" w:rsidTr="00971786">
        <w:trPr>
          <w:trHeight w:val="300"/>
        </w:trPr>
        <w:tc>
          <w:tcPr>
            <w:tcW w:w="1980" w:type="dxa"/>
          </w:tcPr>
          <w:p w14:paraId="6EAD1B2B" w14:textId="4CC1B6E9"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b/>
                <w:bCs/>
                <w:color w:val="000000" w:themeColor="text1"/>
              </w:rPr>
              <w:t>Weaknesses-Opportunities (WO)</w:t>
            </w:r>
          </w:p>
        </w:tc>
        <w:tc>
          <w:tcPr>
            <w:tcW w:w="7380" w:type="dxa"/>
          </w:tcPr>
          <w:p w14:paraId="6E0442F7" w14:textId="69D695AD"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Invest in digital transformation by implementing a guest-centric app that offers personalized experiences, mobile check-in, and room customization. This strategy will modernize services and attract tech-savvy luxury travelers.</w:t>
            </w:r>
          </w:p>
        </w:tc>
      </w:tr>
      <w:tr w:rsidR="00AF3C60" w:rsidRPr="00AF3C60" w14:paraId="100D405F" w14:textId="77777777" w:rsidTr="00971786">
        <w:trPr>
          <w:trHeight w:val="300"/>
        </w:trPr>
        <w:tc>
          <w:tcPr>
            <w:tcW w:w="1980" w:type="dxa"/>
          </w:tcPr>
          <w:p w14:paraId="4BD85424" w14:textId="34D45171"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b/>
                <w:bCs/>
                <w:color w:val="000000" w:themeColor="text1"/>
              </w:rPr>
              <w:t>Weaknesses-Threats (WT)</w:t>
            </w:r>
          </w:p>
        </w:tc>
        <w:tc>
          <w:tcPr>
            <w:tcW w:w="7380" w:type="dxa"/>
          </w:tcPr>
          <w:p w14:paraId="728DB2C1" w14:textId="3BA3A0C3"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Reduce energy consumption and operational costs by upgrading to energy-efficient lighting, smart thermostats, and water conservation systems. This aligns with sustainability regulations and enhances the hotel’s eco-friendly appeal.</w:t>
            </w:r>
          </w:p>
        </w:tc>
      </w:tr>
    </w:tbl>
    <w:p w14:paraId="614264BC" w14:textId="7725BE5B" w:rsidR="43535B51" w:rsidRPr="00AF3C60" w:rsidRDefault="43535B51" w:rsidP="00AF3C60">
      <w:pPr>
        <w:spacing w:after="0" w:line="360" w:lineRule="auto"/>
        <w:jc w:val="both"/>
        <w:rPr>
          <w:rFonts w:ascii="Times New Roman" w:hAnsi="Times New Roman" w:cs="Times New Roman"/>
          <w:color w:val="000000" w:themeColor="text1"/>
        </w:rPr>
      </w:pPr>
    </w:p>
    <w:p w14:paraId="101D1947" w14:textId="1D344BFD" w:rsidR="43535B51" w:rsidRPr="00AF3C60" w:rsidRDefault="1E9A8ADF" w:rsidP="00AF3C60">
      <w:pPr>
        <w:pStyle w:val="Heading3"/>
        <w:spacing w:before="281" w:after="281" w:line="360" w:lineRule="auto"/>
        <w:jc w:val="both"/>
        <w:rPr>
          <w:rFonts w:ascii="Times New Roman" w:hAnsi="Times New Roman" w:cs="Times New Roman"/>
          <w:color w:val="000000" w:themeColor="text1"/>
          <w:sz w:val="24"/>
          <w:szCs w:val="24"/>
        </w:rPr>
      </w:pPr>
      <w:bookmarkStart w:id="2" w:name="_Toc182344125"/>
      <w:r w:rsidRPr="00AF3C60">
        <w:rPr>
          <w:rFonts w:ascii="Times New Roman" w:eastAsia="Aptos" w:hAnsi="Times New Roman" w:cs="Times New Roman"/>
          <w:b/>
          <w:bCs/>
          <w:color w:val="000000" w:themeColor="text1"/>
          <w:sz w:val="24"/>
          <w:szCs w:val="24"/>
        </w:rPr>
        <w:t>Concluding Strategic Insights</w:t>
      </w:r>
      <w:bookmarkEnd w:id="2"/>
    </w:p>
    <w:p w14:paraId="5204E17A" w14:textId="7D656515" w:rsidR="43535B51" w:rsidRPr="00AF3C60" w:rsidRDefault="1E9A8ADF"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color w:val="000000" w:themeColor="text1"/>
        </w:rPr>
        <w:t xml:space="preserve">The detailed PESTEL, SWOT, and TOWS analyses reveal that Burj Al Arab is well-positioned to enhance its market leadership by embracing sustainable and technologically advanced practices. </w:t>
      </w:r>
      <w:r w:rsidRPr="00AF3C60">
        <w:rPr>
          <w:rFonts w:ascii="Times New Roman" w:eastAsia="Aptos" w:hAnsi="Times New Roman" w:cs="Times New Roman"/>
          <w:color w:val="000000" w:themeColor="text1"/>
        </w:rPr>
        <w:lastRenderedPageBreak/>
        <w:t>By modernizing guest services with digital tools and emphasizing eco-friendly luxury, Burj Al Arab can cater to current and future trends in luxury hospitality. These strategies not only help address internal weaknesses and mitigate external threats but also align with market demands for more personalized and sustainable guest experiences, ensuring long-term competitiveness and brand prestige.</w:t>
      </w:r>
    </w:p>
    <w:p w14:paraId="4725D1A0" w14:textId="2E833E50" w:rsidR="43535B51" w:rsidRPr="00AF3C60" w:rsidRDefault="1E9A8ADF" w:rsidP="00AF3C60">
      <w:pPr>
        <w:pStyle w:val="Heading3"/>
        <w:spacing w:before="281" w:after="281" w:line="360" w:lineRule="auto"/>
        <w:jc w:val="both"/>
        <w:rPr>
          <w:rFonts w:ascii="Times New Roman" w:hAnsi="Times New Roman" w:cs="Times New Roman"/>
          <w:color w:val="000000" w:themeColor="text1"/>
          <w:sz w:val="24"/>
          <w:szCs w:val="24"/>
        </w:rPr>
      </w:pPr>
      <w:bookmarkStart w:id="3" w:name="_Toc182344126"/>
      <w:r w:rsidRPr="00AF3C60">
        <w:rPr>
          <w:rFonts w:ascii="Times New Roman" w:eastAsia="Aptos" w:hAnsi="Times New Roman" w:cs="Times New Roman"/>
          <w:b/>
          <w:bCs/>
          <w:color w:val="000000" w:themeColor="text1"/>
          <w:sz w:val="24"/>
          <w:szCs w:val="24"/>
        </w:rPr>
        <w:t>In-Depth Analysis for Burj Al Arab</w:t>
      </w:r>
      <w:bookmarkEnd w:id="3"/>
    </w:p>
    <w:p w14:paraId="5EF91057" w14:textId="664E36A6" w:rsidR="43535B51" w:rsidRPr="00AF3C60" w:rsidRDefault="1E9A8ADF" w:rsidP="00AF3C60">
      <w:pPr>
        <w:pStyle w:val="Heading4"/>
        <w:spacing w:before="319" w:after="319" w:line="360" w:lineRule="auto"/>
        <w:jc w:val="both"/>
        <w:rPr>
          <w:rFonts w:ascii="Times New Roman" w:hAnsi="Times New Roman" w:cs="Times New Roman"/>
          <w:color w:val="000000" w:themeColor="text1"/>
        </w:rPr>
      </w:pPr>
      <w:r w:rsidRPr="00AF3C60">
        <w:rPr>
          <w:rFonts w:ascii="Times New Roman" w:eastAsia="Aptos" w:hAnsi="Times New Roman" w:cs="Times New Roman"/>
          <w:b/>
          <w:bCs/>
          <w:color w:val="000000" w:themeColor="text1"/>
        </w:rPr>
        <w:t>PESTEL Analysis</w:t>
      </w:r>
    </w:p>
    <w:p w14:paraId="4049D787" w14:textId="1E0AD540" w:rsidR="43535B51" w:rsidRPr="00AF3C60" w:rsidRDefault="1E9A8ADF" w:rsidP="00AF3C60">
      <w:pPr>
        <w:pStyle w:val="ListParagraph"/>
        <w:numPr>
          <w:ilvl w:val="0"/>
          <w:numId w:val="3"/>
        </w:numPr>
        <w:spacing w:before="240" w:after="24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Political Factors</w:t>
      </w:r>
      <w:r w:rsidR="43535B51" w:rsidRPr="00AF3C60">
        <w:rPr>
          <w:rFonts w:ascii="Times New Roman" w:hAnsi="Times New Roman" w:cs="Times New Roman"/>
          <w:color w:val="000000" w:themeColor="text1"/>
        </w:rPr>
        <w:br/>
      </w:r>
      <w:r w:rsidRPr="00AF3C60">
        <w:rPr>
          <w:rFonts w:ascii="Times New Roman" w:eastAsia="Aptos" w:hAnsi="Times New Roman" w:cs="Times New Roman"/>
          <w:color w:val="000000" w:themeColor="text1"/>
        </w:rPr>
        <w:t xml:space="preserve">Dubai’s government strongly backs the tourism sector, providing a stable political environment and policies that encourage the growth of high-end hospitality. The </w:t>
      </w:r>
      <w:r w:rsidRPr="00AF3C60">
        <w:rPr>
          <w:rFonts w:ascii="Times New Roman" w:eastAsia="Aptos" w:hAnsi="Times New Roman" w:cs="Times New Roman"/>
          <w:b/>
          <w:bCs/>
          <w:color w:val="000000" w:themeColor="text1"/>
        </w:rPr>
        <w:t>Vision 2030</w:t>
      </w:r>
      <w:r w:rsidRPr="00AF3C60">
        <w:rPr>
          <w:rFonts w:ascii="Times New Roman" w:eastAsia="Aptos" w:hAnsi="Times New Roman" w:cs="Times New Roman"/>
          <w:color w:val="000000" w:themeColor="text1"/>
        </w:rPr>
        <w:t xml:space="preserve"> initiative underscores Dubai’s goal to be a premier global destination, directly benefiting luxury establishments like Burj Al Arab. However, increasing political focus on environmental sustainability and regulation means that hotels are expected to adopt stricter eco-friendly practices. The upcoming </w:t>
      </w:r>
      <w:r w:rsidRPr="00AF3C60">
        <w:rPr>
          <w:rFonts w:ascii="Times New Roman" w:eastAsia="Aptos" w:hAnsi="Times New Roman" w:cs="Times New Roman"/>
          <w:b/>
          <w:bCs/>
          <w:color w:val="000000" w:themeColor="text1"/>
        </w:rPr>
        <w:t>Dubai Clean Energy Strategy 2050</w:t>
      </w:r>
      <w:r w:rsidRPr="00AF3C60">
        <w:rPr>
          <w:rFonts w:ascii="Times New Roman" w:eastAsia="Aptos" w:hAnsi="Times New Roman" w:cs="Times New Roman"/>
          <w:color w:val="000000" w:themeColor="text1"/>
        </w:rPr>
        <w:t xml:space="preserve"> aims for 75% clean energy, impacting operational standards for high-energy properties.</w:t>
      </w:r>
    </w:p>
    <w:p w14:paraId="733B8BBF" w14:textId="008E9E40" w:rsidR="43535B51" w:rsidRPr="00AF3C60" w:rsidRDefault="1E9A8ADF"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b/>
          <w:bCs/>
          <w:color w:val="000000" w:themeColor="text1"/>
        </w:rPr>
        <w:t>Strategic Implication</w:t>
      </w:r>
      <w:r w:rsidRPr="00AF3C60">
        <w:rPr>
          <w:rFonts w:ascii="Times New Roman" w:eastAsia="Aptos" w:hAnsi="Times New Roman" w:cs="Times New Roman"/>
          <w:color w:val="000000" w:themeColor="text1"/>
        </w:rPr>
        <w:t>: Burj Al Arab should proactively partner with clean energy providers to align with regulatory requirements. Investing in solar energy and sustainable power sources can reduce long-term utility costs and enhance the hotel’s eco-credentials. This shift aligns the hotel with political aims and improves its appeal among environmentally conscious guests.</w:t>
      </w:r>
    </w:p>
    <w:p w14:paraId="032E7C44" w14:textId="7A2084B0" w:rsidR="43535B51" w:rsidRPr="00AF3C60" w:rsidRDefault="1E9A8ADF" w:rsidP="00AF3C60">
      <w:pPr>
        <w:pStyle w:val="ListParagraph"/>
        <w:numPr>
          <w:ilvl w:val="0"/>
          <w:numId w:val="3"/>
        </w:numPr>
        <w:spacing w:before="240" w:after="24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Economic Factors</w:t>
      </w:r>
      <w:r w:rsidR="43535B51" w:rsidRPr="00AF3C60">
        <w:rPr>
          <w:rFonts w:ascii="Times New Roman" w:hAnsi="Times New Roman" w:cs="Times New Roman"/>
          <w:color w:val="000000" w:themeColor="text1"/>
        </w:rPr>
        <w:br/>
      </w:r>
      <w:r w:rsidRPr="00AF3C60">
        <w:rPr>
          <w:rFonts w:ascii="Times New Roman" w:eastAsia="Aptos" w:hAnsi="Times New Roman" w:cs="Times New Roman"/>
          <w:color w:val="000000" w:themeColor="text1"/>
        </w:rPr>
        <w:t xml:space="preserve">Dubai’s economy, while robust, is subject to global economic pressures, which can influence luxury spending. High inflation rates, currency fluctuations, and potential economic recessions can impact international visitor numbers and discretionary travel budgets. The </w:t>
      </w:r>
      <w:r w:rsidRPr="00AF3C60">
        <w:rPr>
          <w:rFonts w:ascii="Times New Roman" w:eastAsia="Aptos" w:hAnsi="Times New Roman" w:cs="Times New Roman"/>
          <w:b/>
          <w:bCs/>
          <w:color w:val="000000" w:themeColor="text1"/>
        </w:rPr>
        <w:t>World Travel &amp; Tourism Council</w:t>
      </w:r>
      <w:r w:rsidRPr="00AF3C60">
        <w:rPr>
          <w:rFonts w:ascii="Times New Roman" w:eastAsia="Aptos" w:hAnsi="Times New Roman" w:cs="Times New Roman"/>
          <w:color w:val="000000" w:themeColor="text1"/>
        </w:rPr>
        <w:t xml:space="preserve"> highlighted that the recovery post-pandemic showed resilience in luxury travel but warned of potential vulnerabilities linked to global economic downturns.</w:t>
      </w:r>
    </w:p>
    <w:p w14:paraId="5CB61A22" w14:textId="6F1E12BE" w:rsidR="43535B51" w:rsidRPr="00AF3C60" w:rsidRDefault="1E9A8ADF"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b/>
          <w:bCs/>
          <w:color w:val="000000" w:themeColor="text1"/>
        </w:rPr>
        <w:lastRenderedPageBreak/>
        <w:t>Strategic Insight</w:t>
      </w:r>
      <w:r w:rsidRPr="00AF3C60">
        <w:rPr>
          <w:rFonts w:ascii="Times New Roman" w:eastAsia="Aptos" w:hAnsi="Times New Roman" w:cs="Times New Roman"/>
          <w:color w:val="000000" w:themeColor="text1"/>
        </w:rPr>
        <w:t>: Burj Al Arab can mitigate economic impacts by implementing value-added experiences that justify premium pricing. Exclusive partnerships for unique guest experiences, such as private yacht tours or curated local art exhibitions, can attract high-spending travelers who prioritize unique, once-in-a-lifetime experiences. Additionally, implementing a tiered loyalty program that provides benefits across economic cycles can secure repeat guests and maintain occupancy.</w:t>
      </w:r>
    </w:p>
    <w:p w14:paraId="10EDDD52" w14:textId="243520FD" w:rsidR="43535B51" w:rsidRPr="00AF3C60" w:rsidRDefault="1E9A8ADF" w:rsidP="00AF3C60">
      <w:pPr>
        <w:pStyle w:val="ListParagraph"/>
        <w:numPr>
          <w:ilvl w:val="0"/>
          <w:numId w:val="3"/>
        </w:numPr>
        <w:spacing w:before="240" w:after="24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Social Factors</w:t>
      </w:r>
      <w:r w:rsidR="43535B51" w:rsidRPr="00AF3C60">
        <w:rPr>
          <w:rFonts w:ascii="Times New Roman" w:hAnsi="Times New Roman" w:cs="Times New Roman"/>
          <w:color w:val="000000" w:themeColor="text1"/>
        </w:rPr>
        <w:br/>
      </w:r>
      <w:r w:rsidRPr="00AF3C60">
        <w:rPr>
          <w:rFonts w:ascii="Times New Roman" w:eastAsia="Aptos" w:hAnsi="Times New Roman" w:cs="Times New Roman"/>
          <w:color w:val="000000" w:themeColor="text1"/>
        </w:rPr>
        <w:t xml:space="preserve">The profile of luxury travelers is shifting, with more emphasis on personal wellness, sustainability, and immersive experiences. According to a </w:t>
      </w:r>
      <w:r w:rsidRPr="00AF3C60">
        <w:rPr>
          <w:rFonts w:ascii="Times New Roman" w:eastAsia="Aptos" w:hAnsi="Times New Roman" w:cs="Times New Roman"/>
          <w:b/>
          <w:bCs/>
          <w:color w:val="000000" w:themeColor="text1"/>
        </w:rPr>
        <w:t>2022 Skift report</w:t>
      </w:r>
      <w:r w:rsidRPr="00AF3C60">
        <w:rPr>
          <w:rFonts w:ascii="Times New Roman" w:eastAsia="Aptos" w:hAnsi="Times New Roman" w:cs="Times New Roman"/>
          <w:color w:val="000000" w:themeColor="text1"/>
        </w:rPr>
        <w:t>, a significant proportion of affluent travelers are looking for hotels that align with their values, prioritizing eco-friendly accommodations and wellness-centric offerings. This trend is especially pronounced among millennials and Gen Z, who represent a growing segment of the luxury travel market.</w:t>
      </w:r>
    </w:p>
    <w:p w14:paraId="78961142" w14:textId="50E9AB40" w:rsidR="43535B51" w:rsidRPr="00AF3C60" w:rsidRDefault="1E9A8ADF"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b/>
          <w:bCs/>
          <w:color w:val="000000" w:themeColor="text1"/>
        </w:rPr>
        <w:t>Strategic Insight</w:t>
      </w:r>
      <w:r w:rsidRPr="00AF3C60">
        <w:rPr>
          <w:rFonts w:ascii="Times New Roman" w:eastAsia="Aptos" w:hAnsi="Times New Roman" w:cs="Times New Roman"/>
          <w:color w:val="000000" w:themeColor="text1"/>
        </w:rPr>
        <w:t>: To cater to these social trends, Burj Al Arab can expand its offerings by introducing wellness packages that include spa treatments, yoga classes, and holistic health consultations. Promoting sustainable luxury through eco-friendly practices, such as offering organic meals and reusable products, can also enhance appeal. Collaborations with local wellness experts or sustainable brands can create an enriched guest experience that resonates with current market preferences.</w:t>
      </w:r>
    </w:p>
    <w:p w14:paraId="449F5D09" w14:textId="4526AFE0" w:rsidR="43535B51" w:rsidRPr="00AF3C60" w:rsidRDefault="1E9A8ADF" w:rsidP="00AF3C60">
      <w:pPr>
        <w:pStyle w:val="ListParagraph"/>
        <w:numPr>
          <w:ilvl w:val="0"/>
          <w:numId w:val="3"/>
        </w:numPr>
        <w:spacing w:before="240" w:after="24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Technological Factors</w:t>
      </w:r>
      <w:r w:rsidR="43535B51" w:rsidRPr="00AF3C60">
        <w:rPr>
          <w:rFonts w:ascii="Times New Roman" w:hAnsi="Times New Roman" w:cs="Times New Roman"/>
          <w:color w:val="000000" w:themeColor="text1"/>
        </w:rPr>
        <w:br/>
      </w:r>
      <w:r w:rsidRPr="00AF3C60">
        <w:rPr>
          <w:rFonts w:ascii="Times New Roman" w:eastAsia="Aptos" w:hAnsi="Times New Roman" w:cs="Times New Roman"/>
          <w:color w:val="000000" w:themeColor="text1"/>
        </w:rPr>
        <w:t xml:space="preserve">Technology is a key differentiator in the luxury hospitality market. High-end travelers now expect seamless digital experiences, from mobile check-ins to in-room automation and AI-based concierge services. </w:t>
      </w:r>
      <w:r w:rsidRPr="00AF3C60">
        <w:rPr>
          <w:rFonts w:ascii="Times New Roman" w:eastAsia="Aptos" w:hAnsi="Times New Roman" w:cs="Times New Roman"/>
          <w:b/>
          <w:bCs/>
          <w:color w:val="000000" w:themeColor="text1"/>
        </w:rPr>
        <w:t>Four Seasons</w:t>
      </w:r>
      <w:r w:rsidRPr="00AF3C60">
        <w:rPr>
          <w:rFonts w:ascii="Times New Roman" w:eastAsia="Aptos" w:hAnsi="Times New Roman" w:cs="Times New Roman"/>
          <w:color w:val="000000" w:themeColor="text1"/>
        </w:rPr>
        <w:t xml:space="preserve"> and </w:t>
      </w:r>
      <w:r w:rsidRPr="00AF3C60">
        <w:rPr>
          <w:rFonts w:ascii="Times New Roman" w:eastAsia="Aptos" w:hAnsi="Times New Roman" w:cs="Times New Roman"/>
          <w:b/>
          <w:bCs/>
          <w:color w:val="000000" w:themeColor="text1"/>
        </w:rPr>
        <w:t>Marriott</w:t>
      </w:r>
      <w:r w:rsidRPr="00AF3C60">
        <w:rPr>
          <w:rFonts w:ascii="Times New Roman" w:eastAsia="Aptos" w:hAnsi="Times New Roman" w:cs="Times New Roman"/>
          <w:color w:val="000000" w:themeColor="text1"/>
        </w:rPr>
        <w:t xml:space="preserve"> have set a high standard with their proprietary mobile apps that offer everything from room service to digital keys. Without these features, Burj Al Arab risks appearing outdated, particularly to younger, tech-savvy guests.</w:t>
      </w:r>
    </w:p>
    <w:p w14:paraId="1E98F6C1" w14:textId="5EA70A19" w:rsidR="43535B51" w:rsidRPr="00AF3C60" w:rsidRDefault="1E9A8ADF"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b/>
          <w:bCs/>
          <w:color w:val="000000" w:themeColor="text1"/>
        </w:rPr>
        <w:t>Strategic Implication</w:t>
      </w:r>
      <w:r w:rsidRPr="00AF3C60">
        <w:rPr>
          <w:rFonts w:ascii="Times New Roman" w:eastAsia="Aptos" w:hAnsi="Times New Roman" w:cs="Times New Roman"/>
          <w:color w:val="000000" w:themeColor="text1"/>
        </w:rPr>
        <w:t xml:space="preserve">: Developing a comprehensive guest app that includes mobile check-in, room control, and personalized recommendations is essential. This app can provide a digital concierge service that anticipates guest preferences based on previous stays. Integrating AI to </w:t>
      </w:r>
      <w:r w:rsidRPr="00AF3C60">
        <w:rPr>
          <w:rFonts w:ascii="Times New Roman" w:eastAsia="Aptos" w:hAnsi="Times New Roman" w:cs="Times New Roman"/>
          <w:color w:val="000000" w:themeColor="text1"/>
        </w:rPr>
        <w:lastRenderedPageBreak/>
        <w:t>automate these features can boost both the guest experience and operational efficiency. Staff training on how to use these technologies can help ensure smooth implementation and guest satisfaction.</w:t>
      </w:r>
    </w:p>
    <w:p w14:paraId="5A9D1B58" w14:textId="4F8A7808" w:rsidR="43535B51" w:rsidRPr="00AF3C60" w:rsidRDefault="1E9A8ADF" w:rsidP="00AF3C60">
      <w:pPr>
        <w:pStyle w:val="ListParagraph"/>
        <w:numPr>
          <w:ilvl w:val="0"/>
          <w:numId w:val="3"/>
        </w:numPr>
        <w:spacing w:before="240" w:after="24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Environmental Factors</w:t>
      </w:r>
      <w:r w:rsidR="43535B51" w:rsidRPr="00AF3C60">
        <w:rPr>
          <w:rFonts w:ascii="Times New Roman" w:hAnsi="Times New Roman" w:cs="Times New Roman"/>
          <w:color w:val="000000" w:themeColor="text1"/>
        </w:rPr>
        <w:br/>
      </w:r>
      <w:r w:rsidRPr="00AF3C60">
        <w:rPr>
          <w:rFonts w:ascii="Times New Roman" w:eastAsia="Aptos" w:hAnsi="Times New Roman" w:cs="Times New Roman"/>
          <w:color w:val="000000" w:themeColor="text1"/>
        </w:rPr>
        <w:t xml:space="preserve">Dubai’s arid climate means water and energy consumption are significant concerns, especially for luxury properties that offer extensive amenities. With global awareness around climate change increasing, guests are more likely to favor hotels that demonstrate a commitment to sustainability. The </w:t>
      </w:r>
      <w:r w:rsidRPr="00AF3C60">
        <w:rPr>
          <w:rFonts w:ascii="Times New Roman" w:eastAsia="Aptos" w:hAnsi="Times New Roman" w:cs="Times New Roman"/>
          <w:b/>
          <w:bCs/>
          <w:color w:val="000000" w:themeColor="text1"/>
        </w:rPr>
        <w:t>UNWTO</w:t>
      </w:r>
      <w:r w:rsidRPr="00AF3C60">
        <w:rPr>
          <w:rFonts w:ascii="Times New Roman" w:eastAsia="Aptos" w:hAnsi="Times New Roman" w:cs="Times New Roman"/>
          <w:color w:val="000000" w:themeColor="text1"/>
        </w:rPr>
        <w:t xml:space="preserve"> has highlighted that environmental consciousness now plays a major role in how travelers select accommodations.</w:t>
      </w:r>
    </w:p>
    <w:p w14:paraId="017BB154" w14:textId="699200B2" w:rsidR="43535B51" w:rsidRPr="00AF3C60" w:rsidRDefault="1E9A8ADF"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b/>
          <w:bCs/>
          <w:color w:val="000000" w:themeColor="text1"/>
        </w:rPr>
        <w:t>Strategic Implication</w:t>
      </w:r>
      <w:r w:rsidRPr="00AF3C60">
        <w:rPr>
          <w:rFonts w:ascii="Times New Roman" w:eastAsia="Aptos" w:hAnsi="Times New Roman" w:cs="Times New Roman"/>
          <w:color w:val="000000" w:themeColor="text1"/>
        </w:rPr>
        <w:t>: Burj Al Arab should invest in state-of-the-art sustainability measures. Initiatives such as implementing graywater recycling for landscaping, using eco-friendly bath products, and sourcing locally produced goods can reduce the hotel’s environmental footprint. Marketing these efforts through eco-certifications and green guest programs can strengthen its reputation as a leader in sustainable luxury.</w:t>
      </w:r>
    </w:p>
    <w:p w14:paraId="22FC9A78" w14:textId="523D4696" w:rsidR="43535B51" w:rsidRPr="00AF3C60" w:rsidRDefault="1E9A8ADF" w:rsidP="00AF3C60">
      <w:pPr>
        <w:pStyle w:val="ListParagraph"/>
        <w:numPr>
          <w:ilvl w:val="0"/>
          <w:numId w:val="3"/>
        </w:numPr>
        <w:spacing w:before="240" w:after="24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Legal Factors</w:t>
      </w:r>
      <w:r w:rsidR="43535B51" w:rsidRPr="00AF3C60">
        <w:rPr>
          <w:rFonts w:ascii="Times New Roman" w:hAnsi="Times New Roman" w:cs="Times New Roman"/>
          <w:color w:val="000000" w:themeColor="text1"/>
        </w:rPr>
        <w:br/>
      </w:r>
      <w:r w:rsidRPr="00AF3C60">
        <w:rPr>
          <w:rFonts w:ascii="Times New Roman" w:eastAsia="Aptos" w:hAnsi="Times New Roman" w:cs="Times New Roman"/>
          <w:color w:val="000000" w:themeColor="text1"/>
        </w:rPr>
        <w:t>Regulatory compliance in the UAE’s hospitality sector has become more stringent, particularly regarding waste management and environmental impact. Regulations aimed at reducing single-use plastics and promoting waste segregation have become mandatory. Failing to comply can result in penalties, damage to the hotel’s reputation, and loss of guest trust, especially among environmentally aware travelers.</w:t>
      </w:r>
    </w:p>
    <w:p w14:paraId="501E567A" w14:textId="09F42B80" w:rsidR="43535B51" w:rsidRPr="00AF3C60" w:rsidRDefault="1E9A8ADF"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b/>
          <w:bCs/>
          <w:color w:val="000000" w:themeColor="text1"/>
        </w:rPr>
        <w:t>Strategic Implication</w:t>
      </w:r>
      <w:r w:rsidRPr="00AF3C60">
        <w:rPr>
          <w:rFonts w:ascii="Times New Roman" w:eastAsia="Aptos" w:hAnsi="Times New Roman" w:cs="Times New Roman"/>
          <w:color w:val="000000" w:themeColor="text1"/>
        </w:rPr>
        <w:t>: To meet these legal requirements, Burj Al Arab must adopt comprehensive waste management systems and eliminate single-use plastics. Incorporating reusable or biodegradable products in guest rooms and training staff on waste separation are critical first steps. The hotel should also showcase these initiatives as part of its sustainability commitment, enhancing its public image and compliance.</w:t>
      </w:r>
    </w:p>
    <w:p w14:paraId="35E8D7FE" w14:textId="62546BBC" w:rsidR="43535B51" w:rsidRPr="00AF3C60" w:rsidRDefault="43535B51" w:rsidP="00AF3C60">
      <w:pPr>
        <w:spacing w:after="0" w:line="360" w:lineRule="auto"/>
        <w:jc w:val="both"/>
        <w:rPr>
          <w:rFonts w:ascii="Times New Roman" w:hAnsi="Times New Roman" w:cs="Times New Roman"/>
          <w:color w:val="000000" w:themeColor="text1"/>
        </w:rPr>
      </w:pPr>
    </w:p>
    <w:p w14:paraId="1E5D89BA" w14:textId="39108CD8" w:rsidR="43535B51" w:rsidRPr="00AF3C60" w:rsidRDefault="1E9A8ADF" w:rsidP="00AF3C60">
      <w:pPr>
        <w:pStyle w:val="Heading4"/>
        <w:spacing w:before="319" w:after="319" w:line="360" w:lineRule="auto"/>
        <w:jc w:val="both"/>
        <w:rPr>
          <w:rFonts w:ascii="Times New Roman" w:hAnsi="Times New Roman" w:cs="Times New Roman"/>
          <w:color w:val="000000" w:themeColor="text1"/>
        </w:rPr>
      </w:pPr>
      <w:r w:rsidRPr="00AF3C60">
        <w:rPr>
          <w:rFonts w:ascii="Times New Roman" w:eastAsia="Aptos" w:hAnsi="Times New Roman" w:cs="Times New Roman"/>
          <w:b/>
          <w:bCs/>
          <w:color w:val="000000" w:themeColor="text1"/>
        </w:rPr>
        <w:lastRenderedPageBreak/>
        <w:t>SWOT Analysis</w:t>
      </w:r>
    </w:p>
    <w:tbl>
      <w:tblPr>
        <w:tblStyle w:val="TableGridLight"/>
        <w:tblW w:w="9360" w:type="dxa"/>
        <w:tblLayout w:type="fixed"/>
        <w:tblLook w:val="06A0" w:firstRow="1" w:lastRow="0" w:firstColumn="1" w:lastColumn="0" w:noHBand="1" w:noVBand="1"/>
      </w:tblPr>
      <w:tblGrid>
        <w:gridCol w:w="4106"/>
        <w:gridCol w:w="5254"/>
      </w:tblGrid>
      <w:tr w:rsidR="00AF3C60" w:rsidRPr="00AF3C60" w14:paraId="76FD6FF2" w14:textId="77777777" w:rsidTr="00AF3C60">
        <w:trPr>
          <w:trHeight w:val="300"/>
        </w:trPr>
        <w:tc>
          <w:tcPr>
            <w:tcW w:w="4106" w:type="dxa"/>
          </w:tcPr>
          <w:p w14:paraId="7102BCB9" w14:textId="1C5A3FD8"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b/>
                <w:bCs/>
                <w:color w:val="000000" w:themeColor="text1"/>
              </w:rPr>
              <w:t>Strengths</w:t>
            </w:r>
          </w:p>
        </w:tc>
        <w:tc>
          <w:tcPr>
            <w:tcW w:w="5254" w:type="dxa"/>
          </w:tcPr>
          <w:p w14:paraId="39D25E25" w14:textId="49EF6FC9"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b/>
                <w:bCs/>
                <w:color w:val="000000" w:themeColor="text1"/>
              </w:rPr>
              <w:t>Weaknesses</w:t>
            </w:r>
          </w:p>
        </w:tc>
      </w:tr>
      <w:tr w:rsidR="00AF3C60" w:rsidRPr="00AF3C60" w14:paraId="651E6256" w14:textId="77777777" w:rsidTr="00AF3C60">
        <w:trPr>
          <w:trHeight w:val="300"/>
        </w:trPr>
        <w:tc>
          <w:tcPr>
            <w:tcW w:w="4106" w:type="dxa"/>
          </w:tcPr>
          <w:p w14:paraId="1C207D26" w14:textId="1FDF9F72"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Iconic global brand known for unparalleled luxury</w:t>
            </w:r>
          </w:p>
        </w:tc>
        <w:tc>
          <w:tcPr>
            <w:tcW w:w="5254" w:type="dxa"/>
          </w:tcPr>
          <w:p w14:paraId="5C150DB2" w14:textId="0A83B20C"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High operational costs due to lavish services</w:t>
            </w:r>
          </w:p>
        </w:tc>
      </w:tr>
      <w:tr w:rsidR="00AF3C60" w:rsidRPr="00AF3C60" w14:paraId="19071116" w14:textId="77777777" w:rsidTr="00AF3C60">
        <w:trPr>
          <w:trHeight w:val="300"/>
        </w:trPr>
        <w:tc>
          <w:tcPr>
            <w:tcW w:w="4106" w:type="dxa"/>
          </w:tcPr>
          <w:p w14:paraId="17496135" w14:textId="2C2B5B50"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Unique and stunning architectural design</w:t>
            </w:r>
          </w:p>
        </w:tc>
        <w:tc>
          <w:tcPr>
            <w:tcW w:w="5254" w:type="dxa"/>
          </w:tcPr>
          <w:p w14:paraId="166447CB" w14:textId="3C3E3BA9"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Limited adoption of advanced digital services</w:t>
            </w:r>
          </w:p>
        </w:tc>
      </w:tr>
      <w:tr w:rsidR="00AF3C60" w:rsidRPr="00AF3C60" w14:paraId="760ECE14" w14:textId="77777777" w:rsidTr="00AF3C60">
        <w:trPr>
          <w:trHeight w:val="300"/>
        </w:trPr>
        <w:tc>
          <w:tcPr>
            <w:tcW w:w="4106" w:type="dxa"/>
          </w:tcPr>
          <w:p w14:paraId="038E4C62" w14:textId="7E0324A5"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Renowned for exceptional, personalized service</w:t>
            </w:r>
          </w:p>
        </w:tc>
        <w:tc>
          <w:tcPr>
            <w:tcW w:w="5254" w:type="dxa"/>
          </w:tcPr>
          <w:p w14:paraId="253D2337" w14:textId="227A27D2"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High energy consumption leading to sustainability concerns</w:t>
            </w:r>
          </w:p>
        </w:tc>
      </w:tr>
      <w:tr w:rsidR="00AF3C60" w:rsidRPr="00AF3C60" w14:paraId="6320C956" w14:textId="77777777" w:rsidTr="00AF3C60">
        <w:trPr>
          <w:trHeight w:val="300"/>
        </w:trPr>
        <w:tc>
          <w:tcPr>
            <w:tcW w:w="4106" w:type="dxa"/>
          </w:tcPr>
          <w:p w14:paraId="7AE3078C" w14:textId="57ED6B63"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b/>
                <w:bCs/>
                <w:color w:val="000000" w:themeColor="text1"/>
              </w:rPr>
              <w:t>Opportunities</w:t>
            </w:r>
          </w:p>
        </w:tc>
        <w:tc>
          <w:tcPr>
            <w:tcW w:w="5254" w:type="dxa"/>
          </w:tcPr>
          <w:p w14:paraId="7B65FF7C" w14:textId="12D98314"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b/>
                <w:bCs/>
                <w:color w:val="000000" w:themeColor="text1"/>
              </w:rPr>
              <w:t>Threats</w:t>
            </w:r>
          </w:p>
        </w:tc>
      </w:tr>
      <w:tr w:rsidR="00AF3C60" w:rsidRPr="00AF3C60" w14:paraId="7652546E" w14:textId="77777777" w:rsidTr="00AF3C60">
        <w:trPr>
          <w:trHeight w:val="300"/>
        </w:trPr>
        <w:tc>
          <w:tcPr>
            <w:tcW w:w="4106" w:type="dxa"/>
          </w:tcPr>
          <w:p w14:paraId="3AF01179" w14:textId="4950421D"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Rising demand for wellness and eco-conscious luxury</w:t>
            </w:r>
          </w:p>
        </w:tc>
        <w:tc>
          <w:tcPr>
            <w:tcW w:w="5254" w:type="dxa"/>
          </w:tcPr>
          <w:p w14:paraId="54596C10" w14:textId="30836823"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Increased competition from digitally advanced luxury hotels</w:t>
            </w:r>
          </w:p>
        </w:tc>
      </w:tr>
      <w:tr w:rsidR="00AF3C60" w:rsidRPr="00AF3C60" w14:paraId="0B9BBD3E" w14:textId="77777777" w:rsidTr="00AF3C60">
        <w:trPr>
          <w:trHeight w:val="300"/>
        </w:trPr>
        <w:tc>
          <w:tcPr>
            <w:tcW w:w="4106" w:type="dxa"/>
          </w:tcPr>
          <w:p w14:paraId="444FF686" w14:textId="4C8EE8D3"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Technological advancements for service enhancement</w:t>
            </w:r>
          </w:p>
        </w:tc>
        <w:tc>
          <w:tcPr>
            <w:tcW w:w="5254" w:type="dxa"/>
          </w:tcPr>
          <w:p w14:paraId="7D79E7E4" w14:textId="20589CF6"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Economic downturns affecting luxury tourism</w:t>
            </w:r>
          </w:p>
        </w:tc>
      </w:tr>
    </w:tbl>
    <w:p w14:paraId="548F2C1E" w14:textId="11A55F78" w:rsidR="43535B51" w:rsidRPr="00AF3C60" w:rsidRDefault="1E9A8ADF"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b/>
          <w:bCs/>
          <w:color w:val="000000" w:themeColor="text1"/>
        </w:rPr>
        <w:t>Strategic Analysis from SWOT</w:t>
      </w:r>
      <w:r w:rsidRPr="00AF3C60">
        <w:rPr>
          <w:rFonts w:ascii="Times New Roman" w:eastAsia="Aptos" w:hAnsi="Times New Roman" w:cs="Times New Roman"/>
          <w:color w:val="000000" w:themeColor="text1"/>
        </w:rPr>
        <w:t>:</w:t>
      </w:r>
    </w:p>
    <w:p w14:paraId="1E17788F" w14:textId="2FE4B7E7" w:rsidR="43535B51" w:rsidRPr="00AF3C60" w:rsidRDefault="1E9A8ADF" w:rsidP="00AF3C60">
      <w:pPr>
        <w:pStyle w:val="ListParagraph"/>
        <w:numPr>
          <w:ilvl w:val="0"/>
          <w:numId w:val="2"/>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Leveraging Strengths</w:t>
      </w:r>
      <w:r w:rsidRPr="00AF3C60">
        <w:rPr>
          <w:rFonts w:ascii="Times New Roman" w:eastAsia="Aptos" w:hAnsi="Times New Roman" w:cs="Times New Roman"/>
          <w:color w:val="000000" w:themeColor="text1"/>
        </w:rPr>
        <w:t>: Burj Al Arab’s global brand and unique design can be used to introduce “Sustainable Luxury Experiences” that blend the hotel’s opulent features with eco-friendly innovations. These packages can be marketed as exclusive, high-value offerings.</w:t>
      </w:r>
    </w:p>
    <w:p w14:paraId="54661FD6" w14:textId="6746945A" w:rsidR="43535B51" w:rsidRPr="00AF3C60" w:rsidRDefault="1E9A8ADF" w:rsidP="00AF3C60">
      <w:pPr>
        <w:pStyle w:val="ListParagraph"/>
        <w:numPr>
          <w:ilvl w:val="0"/>
          <w:numId w:val="2"/>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Addressing Weaknesses</w:t>
      </w:r>
      <w:r w:rsidRPr="00AF3C60">
        <w:rPr>
          <w:rFonts w:ascii="Times New Roman" w:eastAsia="Aptos" w:hAnsi="Times New Roman" w:cs="Times New Roman"/>
          <w:color w:val="000000" w:themeColor="text1"/>
        </w:rPr>
        <w:t>: Integrating smart room technology can reduce energy consumption and modernize the guest experience. Energy-efficient systems can also lower operational costs, enhancing profitability.</w:t>
      </w:r>
    </w:p>
    <w:p w14:paraId="21C5FE90" w14:textId="391C317A" w:rsidR="43535B51" w:rsidRPr="00AF3C60" w:rsidRDefault="1E9A8ADF" w:rsidP="00AF3C60">
      <w:pPr>
        <w:pStyle w:val="ListParagraph"/>
        <w:numPr>
          <w:ilvl w:val="0"/>
          <w:numId w:val="2"/>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Capitalizing on Opportunities</w:t>
      </w:r>
      <w:r w:rsidRPr="00AF3C60">
        <w:rPr>
          <w:rFonts w:ascii="Times New Roman" w:eastAsia="Aptos" w:hAnsi="Times New Roman" w:cs="Times New Roman"/>
          <w:color w:val="000000" w:themeColor="text1"/>
        </w:rPr>
        <w:t>: Expanding wellness and eco-friendly options positions Burj Al Arab in line with current trends. Partnerships with local artisans for sustainable room amenities and promoting organic, local cuisine can further elevate the hotel’s appeal.</w:t>
      </w:r>
    </w:p>
    <w:p w14:paraId="77F64CC8" w14:textId="181A7A1C" w:rsidR="43535B51" w:rsidRPr="00AF3C60" w:rsidRDefault="1E9A8ADF" w:rsidP="00AF3C60">
      <w:pPr>
        <w:pStyle w:val="ListParagraph"/>
        <w:numPr>
          <w:ilvl w:val="0"/>
          <w:numId w:val="2"/>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Mitigating Threats</w:t>
      </w:r>
      <w:r w:rsidRPr="00AF3C60">
        <w:rPr>
          <w:rFonts w:ascii="Times New Roman" w:eastAsia="Aptos" w:hAnsi="Times New Roman" w:cs="Times New Roman"/>
          <w:color w:val="000000" w:themeColor="text1"/>
        </w:rPr>
        <w:t>: To counter competition, Burj Al Arab should emphasize personalized, high-end experiences such as private tours, bespoke events, and VIP access to local attractions. Flexible pricing models and exclusive loyalty programs can help weather economic uncertainties.</w:t>
      </w:r>
    </w:p>
    <w:p w14:paraId="4438E413" w14:textId="0F36597E" w:rsidR="6AA1261F" w:rsidRPr="00AF3C60" w:rsidRDefault="6AA1261F" w:rsidP="00AF3C60">
      <w:pPr>
        <w:pStyle w:val="Heading3"/>
        <w:spacing w:before="281" w:after="281" w:line="360" w:lineRule="auto"/>
        <w:jc w:val="both"/>
        <w:rPr>
          <w:rFonts w:ascii="Times New Roman" w:hAnsi="Times New Roman" w:cs="Times New Roman"/>
          <w:color w:val="000000" w:themeColor="text1"/>
          <w:sz w:val="24"/>
          <w:szCs w:val="24"/>
        </w:rPr>
      </w:pPr>
      <w:bookmarkStart w:id="4" w:name="_Toc182344127"/>
      <w:r w:rsidRPr="00AF3C60">
        <w:rPr>
          <w:rFonts w:ascii="Times New Roman" w:eastAsia="Aptos" w:hAnsi="Times New Roman" w:cs="Times New Roman"/>
          <w:b/>
          <w:bCs/>
          <w:color w:val="000000" w:themeColor="text1"/>
          <w:sz w:val="24"/>
          <w:szCs w:val="24"/>
        </w:rPr>
        <w:lastRenderedPageBreak/>
        <w:t>Recommendation 1</w:t>
      </w:r>
      <w:bookmarkEnd w:id="4"/>
      <w:r w:rsidRPr="00AF3C60">
        <w:rPr>
          <w:rFonts w:ascii="Times New Roman" w:eastAsia="Aptos" w:hAnsi="Times New Roman" w:cs="Times New Roman"/>
          <w:b/>
          <w:bCs/>
          <w:color w:val="000000" w:themeColor="text1"/>
          <w:sz w:val="24"/>
          <w:szCs w:val="24"/>
        </w:rPr>
        <w:t xml:space="preserve"> </w:t>
      </w:r>
    </w:p>
    <w:p w14:paraId="65F4036F" w14:textId="431A2886" w:rsidR="74AA1124" w:rsidRPr="00AF3C60" w:rsidRDefault="74AA1124"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b/>
          <w:bCs/>
          <w:color w:val="000000" w:themeColor="text1"/>
        </w:rPr>
        <w:t>Detailed Implementation Steps</w:t>
      </w:r>
    </w:p>
    <w:p w14:paraId="3F3B7240" w14:textId="0E6A455B" w:rsidR="74AA1124" w:rsidRPr="00AF3C60" w:rsidRDefault="74AA1124" w:rsidP="00AF3C60">
      <w:pPr>
        <w:pStyle w:val="ListParagraph"/>
        <w:numPr>
          <w:ilvl w:val="0"/>
          <w:numId w:val="11"/>
        </w:numPr>
        <w:spacing w:before="240" w:after="24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Partner with a Luxury Hospitality Tech Developer</w:t>
      </w:r>
      <w:r w:rsidRPr="00AF3C60">
        <w:rPr>
          <w:rFonts w:ascii="Times New Roman" w:eastAsia="Aptos" w:hAnsi="Times New Roman" w:cs="Times New Roman"/>
          <w:color w:val="000000" w:themeColor="text1"/>
        </w:rPr>
        <w:t>: Selecting a developer with proven experience in the high-end hospitality sector is crucial. Work with a tech partner who has developed similar guest engagement apps for brands like Ritz-Carlton or Four Seasons, ensuring that the interface design, features, and functionalities align with Burj Al Arab’s exclusive brand image. Early in the process, involve stakeholders from guest services, IT, and marketing to ensure that the app reflects brand values across all interactions.</w:t>
      </w:r>
    </w:p>
    <w:p w14:paraId="2AE6E0A4" w14:textId="75668E51" w:rsidR="74AA1124" w:rsidRPr="00AF3C60" w:rsidRDefault="74AA1124" w:rsidP="00AF3C60">
      <w:pPr>
        <w:pStyle w:val="ListParagraph"/>
        <w:numPr>
          <w:ilvl w:val="0"/>
          <w:numId w:val="11"/>
        </w:numPr>
        <w:spacing w:before="240" w:after="24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Define Core App Features and Customization Options</w:t>
      </w:r>
      <w:r w:rsidRPr="00AF3C60">
        <w:rPr>
          <w:rFonts w:ascii="Times New Roman" w:eastAsia="Aptos" w:hAnsi="Times New Roman" w:cs="Times New Roman"/>
          <w:color w:val="000000" w:themeColor="text1"/>
        </w:rPr>
        <w:t>:</w:t>
      </w:r>
    </w:p>
    <w:p w14:paraId="357CEF75" w14:textId="0FD3D7BC" w:rsidR="74AA1124" w:rsidRPr="00AF3C60" w:rsidRDefault="74AA1124" w:rsidP="00AF3C60">
      <w:pPr>
        <w:pStyle w:val="ListParagraph"/>
        <w:numPr>
          <w:ilvl w:val="1"/>
          <w:numId w:val="11"/>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Pre-Arrival Customization</w:t>
      </w:r>
      <w:r w:rsidRPr="00AF3C60">
        <w:rPr>
          <w:rFonts w:ascii="Times New Roman" w:eastAsia="Aptos" w:hAnsi="Times New Roman" w:cs="Times New Roman"/>
          <w:color w:val="000000" w:themeColor="text1"/>
        </w:rPr>
        <w:t>: Guests can customize room settings, select in-room amenities (like pillow types or hypoallergenic options), and even choose specific scents. This feature supports Burj Al Arab’s goal of providing an ultra-personalized experience before guests even arrive.</w:t>
      </w:r>
    </w:p>
    <w:p w14:paraId="5101398E" w14:textId="73DD7AFA" w:rsidR="74AA1124" w:rsidRPr="00AF3C60" w:rsidRDefault="74AA1124" w:rsidP="00AF3C60">
      <w:pPr>
        <w:pStyle w:val="ListParagraph"/>
        <w:numPr>
          <w:ilvl w:val="1"/>
          <w:numId w:val="11"/>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In-Room Controls</w:t>
      </w:r>
      <w:r w:rsidRPr="00AF3C60">
        <w:rPr>
          <w:rFonts w:ascii="Times New Roman" w:eastAsia="Aptos" w:hAnsi="Times New Roman" w:cs="Times New Roman"/>
          <w:color w:val="000000" w:themeColor="text1"/>
        </w:rPr>
        <w:t>: Include options for adjusting lighting, temperature, and entertainment, turning guest rooms into “smart rooms.” Allowing guests to personalize their stay elevates the luxury experience and meets the expectations of a tech-savvy audience.</w:t>
      </w:r>
    </w:p>
    <w:p w14:paraId="70FFE70F" w14:textId="2A387A00" w:rsidR="74AA1124" w:rsidRPr="00AF3C60" w:rsidRDefault="74AA1124" w:rsidP="00AF3C60">
      <w:pPr>
        <w:pStyle w:val="ListParagraph"/>
        <w:numPr>
          <w:ilvl w:val="1"/>
          <w:numId w:val="11"/>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Concierge Services and Local Recommendations</w:t>
      </w:r>
      <w:r w:rsidRPr="00AF3C60">
        <w:rPr>
          <w:rFonts w:ascii="Times New Roman" w:eastAsia="Aptos" w:hAnsi="Times New Roman" w:cs="Times New Roman"/>
          <w:color w:val="000000" w:themeColor="text1"/>
        </w:rPr>
        <w:t>: Through the app, guests can reach out to the concierge for requests and receive curated local recommendations, enhancing convenience and personalization.</w:t>
      </w:r>
    </w:p>
    <w:p w14:paraId="2F789A0D" w14:textId="36F76A6C" w:rsidR="74AA1124" w:rsidRPr="00AF3C60" w:rsidRDefault="74AA1124" w:rsidP="00AF3C60">
      <w:pPr>
        <w:pStyle w:val="ListParagraph"/>
        <w:numPr>
          <w:ilvl w:val="0"/>
          <w:numId w:val="11"/>
        </w:numPr>
        <w:spacing w:before="240" w:after="24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Develop Exclusive Offers and Loyalty Integration</w:t>
      </w:r>
      <w:r w:rsidRPr="00AF3C60">
        <w:rPr>
          <w:rFonts w:ascii="Times New Roman" w:eastAsia="Aptos" w:hAnsi="Times New Roman" w:cs="Times New Roman"/>
          <w:color w:val="000000" w:themeColor="text1"/>
        </w:rPr>
        <w:t>:</w:t>
      </w:r>
    </w:p>
    <w:p w14:paraId="3877012E" w14:textId="6D40F166" w:rsidR="74AA1124" w:rsidRPr="00AF3C60" w:rsidRDefault="74AA1124" w:rsidP="00AF3C60">
      <w:pPr>
        <w:pStyle w:val="ListParagraph"/>
        <w:numPr>
          <w:ilvl w:val="1"/>
          <w:numId w:val="11"/>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color w:val="000000" w:themeColor="text1"/>
        </w:rPr>
        <w:t>Incorporate the hotel’s loyalty program to reward frequent visitors, including exclusive perks and early access to in-app bookings for hotel events and experiences. Consider seasonal promotions that encourage app downloads and engagement, such as holiday events or limited-time spa packages that can be exclusively booked through the app.</w:t>
      </w:r>
    </w:p>
    <w:p w14:paraId="11A11F6A" w14:textId="5380F811" w:rsidR="74AA1124" w:rsidRPr="00AF3C60" w:rsidRDefault="74AA1124" w:rsidP="00AF3C60">
      <w:pPr>
        <w:pStyle w:val="ListParagraph"/>
        <w:numPr>
          <w:ilvl w:val="0"/>
          <w:numId w:val="11"/>
        </w:numPr>
        <w:spacing w:before="240" w:after="24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Beta Testing and Feedback Collection</w:t>
      </w:r>
      <w:r w:rsidRPr="00AF3C60">
        <w:rPr>
          <w:rFonts w:ascii="Times New Roman" w:eastAsia="Aptos" w:hAnsi="Times New Roman" w:cs="Times New Roman"/>
          <w:color w:val="000000" w:themeColor="text1"/>
        </w:rPr>
        <w:t>:</w:t>
      </w:r>
    </w:p>
    <w:p w14:paraId="62A40D1D" w14:textId="78F707F8" w:rsidR="74AA1124" w:rsidRPr="00AF3C60" w:rsidRDefault="74AA1124" w:rsidP="00AF3C60">
      <w:pPr>
        <w:pStyle w:val="ListParagraph"/>
        <w:numPr>
          <w:ilvl w:val="1"/>
          <w:numId w:val="11"/>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color w:val="000000" w:themeColor="text1"/>
        </w:rPr>
        <w:t>Conduct a pilot launch with select VIP guests to gather real-time feedback on the app’s functionality, ease of use, and overall guest satisfaction. Adjust features based on this feedback to ensure a smooth user experience before the full-scale launch.</w:t>
      </w:r>
    </w:p>
    <w:p w14:paraId="5245529D" w14:textId="1C086DDE" w:rsidR="74AA1124" w:rsidRPr="00AF3C60" w:rsidRDefault="74AA1124" w:rsidP="00AF3C60">
      <w:pPr>
        <w:pStyle w:val="ListParagraph"/>
        <w:numPr>
          <w:ilvl w:val="0"/>
          <w:numId w:val="11"/>
        </w:numPr>
        <w:spacing w:before="240" w:after="24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lastRenderedPageBreak/>
        <w:t>Staff Training and Guest Promotion Strategy</w:t>
      </w:r>
      <w:r w:rsidRPr="00AF3C60">
        <w:rPr>
          <w:rFonts w:ascii="Times New Roman" w:eastAsia="Aptos" w:hAnsi="Times New Roman" w:cs="Times New Roman"/>
          <w:color w:val="000000" w:themeColor="text1"/>
        </w:rPr>
        <w:t>:</w:t>
      </w:r>
    </w:p>
    <w:p w14:paraId="4E990F3D" w14:textId="0A293362" w:rsidR="74AA1124" w:rsidRPr="00AF3C60" w:rsidRDefault="74AA1124" w:rsidP="00AF3C60">
      <w:pPr>
        <w:pStyle w:val="ListParagraph"/>
        <w:numPr>
          <w:ilvl w:val="1"/>
          <w:numId w:val="11"/>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color w:val="000000" w:themeColor="text1"/>
        </w:rPr>
        <w:t>Train front-desk staff and concierges to promote the app effectively during check-in. Provide staff with talking points about the app’s benefits and encourage them to offer personal assistance to guests unfamiliar with digital interfaces. Additionally, incentivize app downloads by offering a complimentary service (like a welcome drink) for guests who install and use the app.</w:t>
      </w:r>
    </w:p>
    <w:p w14:paraId="0B2A140D" w14:textId="01216CD4" w:rsidR="74AA1124" w:rsidRPr="00AF3C60" w:rsidRDefault="74AA1124"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b/>
          <w:bCs/>
          <w:color w:val="000000" w:themeColor="text1"/>
        </w:rPr>
        <w:t>Challenges and Risk Mitigation</w:t>
      </w:r>
    </w:p>
    <w:p w14:paraId="0C979622" w14:textId="11263AD0" w:rsidR="74AA1124" w:rsidRPr="00AF3C60" w:rsidRDefault="74AA1124" w:rsidP="00AF3C60">
      <w:pPr>
        <w:pStyle w:val="ListParagraph"/>
        <w:numPr>
          <w:ilvl w:val="0"/>
          <w:numId w:val="10"/>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Resistance from Traditional Guests</w:t>
      </w:r>
      <w:r w:rsidRPr="00AF3C60">
        <w:rPr>
          <w:rFonts w:ascii="Times New Roman" w:eastAsia="Aptos" w:hAnsi="Times New Roman" w:cs="Times New Roman"/>
          <w:color w:val="000000" w:themeColor="text1"/>
        </w:rPr>
        <w:t>: Some guests may prefer face-to-face interactions over digital interfaces. To address this, ensure traditional services are still available. This approach respects the preferences of all guests, offering the app as an enhancement rather than a replacement.</w:t>
      </w:r>
    </w:p>
    <w:p w14:paraId="73B14C77" w14:textId="170C71FF" w:rsidR="74AA1124" w:rsidRPr="00AF3C60" w:rsidRDefault="74AA1124" w:rsidP="00AF3C60">
      <w:pPr>
        <w:pStyle w:val="ListParagraph"/>
        <w:numPr>
          <w:ilvl w:val="0"/>
          <w:numId w:val="10"/>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Technical Glitches and User Experience</w:t>
      </w:r>
      <w:r w:rsidRPr="00AF3C60">
        <w:rPr>
          <w:rFonts w:ascii="Times New Roman" w:eastAsia="Aptos" w:hAnsi="Times New Roman" w:cs="Times New Roman"/>
          <w:color w:val="000000" w:themeColor="text1"/>
        </w:rPr>
        <w:t>: In the event of technical issues, ensure IT support is readily available. Schedule routine maintenance and updates based on guest feedback to keep the app functioning smoothly.</w:t>
      </w:r>
    </w:p>
    <w:p w14:paraId="2D211A1C" w14:textId="0542D01C" w:rsidR="74AA1124" w:rsidRPr="00AF3C60" w:rsidRDefault="74AA1124"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b/>
          <w:bCs/>
          <w:color w:val="000000" w:themeColor="text1"/>
        </w:rPr>
        <w:t>Expected Long-Term Benefits and ROI</w:t>
      </w:r>
    </w:p>
    <w:p w14:paraId="0FB2ECC9" w14:textId="77640CB7" w:rsidR="74AA1124" w:rsidRPr="00AF3C60" w:rsidRDefault="74AA1124" w:rsidP="00AF3C60">
      <w:pPr>
        <w:pStyle w:val="ListParagraph"/>
        <w:numPr>
          <w:ilvl w:val="0"/>
          <w:numId w:val="9"/>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Increased Guest Satisfaction</w:t>
      </w:r>
      <w:r w:rsidRPr="00AF3C60">
        <w:rPr>
          <w:rFonts w:ascii="Times New Roman" w:eastAsia="Aptos" w:hAnsi="Times New Roman" w:cs="Times New Roman"/>
          <w:color w:val="000000" w:themeColor="text1"/>
        </w:rPr>
        <w:t>: Personalized room controls, pre-arrival options, and a direct concierge connection provide enhanced convenience, anticipated to boost guest satisfaction scores by 10%.</w:t>
      </w:r>
    </w:p>
    <w:p w14:paraId="15B8BC47" w14:textId="289DC220" w:rsidR="74AA1124" w:rsidRPr="00AF3C60" w:rsidRDefault="74AA1124" w:rsidP="00AF3C60">
      <w:pPr>
        <w:pStyle w:val="ListParagraph"/>
        <w:numPr>
          <w:ilvl w:val="0"/>
          <w:numId w:val="9"/>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Enhanced Operational Efficiency</w:t>
      </w:r>
      <w:r w:rsidRPr="00AF3C60">
        <w:rPr>
          <w:rFonts w:ascii="Times New Roman" w:eastAsia="Aptos" w:hAnsi="Times New Roman" w:cs="Times New Roman"/>
          <w:color w:val="000000" w:themeColor="text1"/>
        </w:rPr>
        <w:t>: The app automates routine requests, reducing front-desk demand and allowing staff to focus on higher-value guest interactions. This efficiency could translate into a 15-20% reduction in service times.</w:t>
      </w:r>
    </w:p>
    <w:p w14:paraId="30D7ADCB" w14:textId="7758B17C" w:rsidR="74AA1124" w:rsidRPr="00AF3C60" w:rsidRDefault="74AA1124" w:rsidP="00AF3C60">
      <w:pPr>
        <w:pStyle w:val="ListParagraph"/>
        <w:numPr>
          <w:ilvl w:val="0"/>
          <w:numId w:val="9"/>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Brand Differentiation</w:t>
      </w:r>
      <w:r w:rsidRPr="00AF3C60">
        <w:rPr>
          <w:rFonts w:ascii="Times New Roman" w:eastAsia="Aptos" w:hAnsi="Times New Roman" w:cs="Times New Roman"/>
          <w:color w:val="000000" w:themeColor="text1"/>
        </w:rPr>
        <w:t>: By launching a luxury-branded app, Burj Al Arab differentiates itself from competitors, appealing to tech-savvy guests and elevating its status in the luxury market.</w:t>
      </w:r>
    </w:p>
    <w:p w14:paraId="1F4F8805" w14:textId="2A603973" w:rsidR="5324B87E" w:rsidRPr="00AF3C60" w:rsidRDefault="5324B87E" w:rsidP="00AF3C60">
      <w:pPr>
        <w:pStyle w:val="ListParagraph"/>
        <w:spacing w:after="0" w:line="360" w:lineRule="auto"/>
        <w:jc w:val="both"/>
        <w:rPr>
          <w:rFonts w:ascii="Times New Roman" w:eastAsia="Aptos" w:hAnsi="Times New Roman" w:cs="Times New Roman"/>
          <w:color w:val="000000" w:themeColor="text1"/>
        </w:rPr>
      </w:pPr>
    </w:p>
    <w:tbl>
      <w:tblPr>
        <w:tblStyle w:val="TableGridLight"/>
        <w:tblW w:w="9360" w:type="dxa"/>
        <w:tblLayout w:type="fixed"/>
        <w:tblLook w:val="06A0" w:firstRow="1" w:lastRow="0" w:firstColumn="1" w:lastColumn="0" w:noHBand="1" w:noVBand="1"/>
      </w:tblPr>
      <w:tblGrid>
        <w:gridCol w:w="1980"/>
        <w:gridCol w:w="7380"/>
      </w:tblGrid>
      <w:tr w:rsidR="00AF3C60" w:rsidRPr="00AF3C60" w14:paraId="2C023A96" w14:textId="77777777" w:rsidTr="00AF3C60">
        <w:trPr>
          <w:trHeight w:val="300"/>
        </w:trPr>
        <w:tc>
          <w:tcPr>
            <w:tcW w:w="1980" w:type="dxa"/>
          </w:tcPr>
          <w:p w14:paraId="59285288" w14:textId="36731079"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b/>
                <w:bCs/>
                <w:color w:val="000000" w:themeColor="text1"/>
              </w:rPr>
              <w:t>TOWS Strategy</w:t>
            </w:r>
          </w:p>
        </w:tc>
        <w:tc>
          <w:tcPr>
            <w:tcW w:w="7380" w:type="dxa"/>
          </w:tcPr>
          <w:p w14:paraId="445A12AC" w14:textId="3D9F1ECC"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b/>
                <w:bCs/>
                <w:color w:val="000000" w:themeColor="text1"/>
              </w:rPr>
              <w:t>Actionable Recommendations</w:t>
            </w:r>
          </w:p>
        </w:tc>
      </w:tr>
      <w:tr w:rsidR="00AF3C60" w:rsidRPr="00AF3C60" w14:paraId="588681AA" w14:textId="77777777" w:rsidTr="00AF3C60">
        <w:trPr>
          <w:trHeight w:val="300"/>
        </w:trPr>
        <w:tc>
          <w:tcPr>
            <w:tcW w:w="1980" w:type="dxa"/>
          </w:tcPr>
          <w:p w14:paraId="5EC3D1DE" w14:textId="5DBB4129"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b/>
                <w:bCs/>
                <w:color w:val="000000" w:themeColor="text1"/>
              </w:rPr>
              <w:lastRenderedPageBreak/>
              <w:t>Strengths-Opportunities (SO)</w:t>
            </w:r>
          </w:p>
        </w:tc>
        <w:tc>
          <w:tcPr>
            <w:tcW w:w="7380" w:type="dxa"/>
          </w:tcPr>
          <w:p w14:paraId="35E2B051" w14:textId="30C75678"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 xml:space="preserve">1. </w:t>
            </w:r>
            <w:r w:rsidRPr="00AF3C60">
              <w:rPr>
                <w:rFonts w:ascii="Times New Roman" w:hAnsi="Times New Roman" w:cs="Times New Roman"/>
                <w:b/>
                <w:bCs/>
                <w:color w:val="000000" w:themeColor="text1"/>
              </w:rPr>
              <w:t>Eco-Luxury Marketing Campaign</w:t>
            </w:r>
            <w:r w:rsidRPr="00AF3C60">
              <w:rPr>
                <w:rFonts w:ascii="Times New Roman" w:hAnsi="Times New Roman" w:cs="Times New Roman"/>
                <w:color w:val="000000" w:themeColor="text1"/>
              </w:rPr>
              <w:t>: Utilize Burj Al Arab’s global reputation to launch eco-friendly luxury suites. These suites could feature biodegradable amenities, organic linens, and energy-efficient room controls. Market these suites as unique, eco-conscious options that appeal to high-spending travelers prioritizing sustainability.</w:t>
            </w:r>
          </w:p>
          <w:p w14:paraId="01296905" w14:textId="7F1C02C6"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 xml:space="preserve">2. </w:t>
            </w:r>
            <w:r w:rsidRPr="00AF3C60">
              <w:rPr>
                <w:rFonts w:ascii="Times New Roman" w:hAnsi="Times New Roman" w:cs="Times New Roman"/>
                <w:b/>
                <w:bCs/>
                <w:color w:val="000000" w:themeColor="text1"/>
              </w:rPr>
              <w:t>Partnerships with Green Initiatives</w:t>
            </w:r>
            <w:r w:rsidRPr="00AF3C60">
              <w:rPr>
                <w:rFonts w:ascii="Times New Roman" w:hAnsi="Times New Roman" w:cs="Times New Roman"/>
                <w:color w:val="000000" w:themeColor="text1"/>
              </w:rPr>
              <w:t>: Collaborate with well-known environmental organizations (e.g., Green Globe) to certify sustainable practices and market Burj Al Arab as an industry leader in green hospitality.</w:t>
            </w:r>
          </w:p>
          <w:p w14:paraId="4C9CA574" w14:textId="481DD2E9"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 xml:space="preserve">3. </w:t>
            </w:r>
            <w:r w:rsidRPr="00AF3C60">
              <w:rPr>
                <w:rFonts w:ascii="Times New Roman" w:hAnsi="Times New Roman" w:cs="Times New Roman"/>
                <w:b/>
                <w:bCs/>
                <w:color w:val="000000" w:themeColor="text1"/>
              </w:rPr>
              <w:t>Cultural and Experiential Luxury Packages</w:t>
            </w:r>
            <w:r w:rsidRPr="00AF3C60">
              <w:rPr>
                <w:rFonts w:ascii="Times New Roman" w:hAnsi="Times New Roman" w:cs="Times New Roman"/>
                <w:color w:val="000000" w:themeColor="text1"/>
              </w:rPr>
              <w:t>: Leverage the hotel's strong service and location to create bespoke, experience-oriented packages that incorporate eco-friendly activities like private eco-tours and local artisan workshops. This blends luxury with unique cultural exposure, reinforcing the hotel's image as both exclusive and progressive.</w:t>
            </w:r>
          </w:p>
        </w:tc>
      </w:tr>
      <w:tr w:rsidR="00AF3C60" w:rsidRPr="00AF3C60" w14:paraId="6B16D53F" w14:textId="77777777" w:rsidTr="00AF3C60">
        <w:trPr>
          <w:trHeight w:val="300"/>
        </w:trPr>
        <w:tc>
          <w:tcPr>
            <w:tcW w:w="1980" w:type="dxa"/>
          </w:tcPr>
          <w:p w14:paraId="20FBC347" w14:textId="62CFA93D"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b/>
                <w:bCs/>
                <w:color w:val="000000" w:themeColor="text1"/>
              </w:rPr>
              <w:t>Strengths-Threats (ST)</w:t>
            </w:r>
          </w:p>
        </w:tc>
        <w:tc>
          <w:tcPr>
            <w:tcW w:w="7380" w:type="dxa"/>
          </w:tcPr>
          <w:p w14:paraId="5E3337F0" w14:textId="43EE268D"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 xml:space="preserve">1. </w:t>
            </w:r>
            <w:r w:rsidRPr="00AF3C60">
              <w:rPr>
                <w:rFonts w:ascii="Times New Roman" w:hAnsi="Times New Roman" w:cs="Times New Roman"/>
                <w:b/>
                <w:bCs/>
                <w:color w:val="000000" w:themeColor="text1"/>
              </w:rPr>
              <w:t>Exclusive Wellness Programs</w:t>
            </w:r>
            <w:r w:rsidRPr="00AF3C60">
              <w:rPr>
                <w:rFonts w:ascii="Times New Roman" w:hAnsi="Times New Roman" w:cs="Times New Roman"/>
                <w:color w:val="000000" w:themeColor="text1"/>
              </w:rPr>
              <w:t>: Differentiate from new competitors by developing premium wellness retreats that use Burj Al Arab’s strong service reputation to offer meditation sessions, personalized fitness coaching, and holistic health services. Highlight partnerships with nutritionists and wellness experts.</w:t>
            </w:r>
          </w:p>
          <w:p w14:paraId="546A9518" w14:textId="5099C6B8"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 xml:space="preserve">2. </w:t>
            </w:r>
            <w:r w:rsidRPr="00AF3C60">
              <w:rPr>
                <w:rFonts w:ascii="Times New Roman" w:hAnsi="Times New Roman" w:cs="Times New Roman"/>
                <w:b/>
                <w:bCs/>
                <w:color w:val="000000" w:themeColor="text1"/>
              </w:rPr>
              <w:t>Customized VIP Experiences</w:t>
            </w:r>
            <w:r w:rsidRPr="00AF3C60">
              <w:rPr>
                <w:rFonts w:ascii="Times New Roman" w:hAnsi="Times New Roman" w:cs="Times New Roman"/>
                <w:color w:val="000000" w:themeColor="text1"/>
              </w:rPr>
              <w:t>: Reinforce Burj Al Arab’s brand by curating special VIP experiences, such as private yacht charters with sustainable options or exclusive desert safaris with eco-friendly practices. These services ensure the hotel remains competitive against tech-savvy rivals and showcases its service mastery.</w:t>
            </w:r>
          </w:p>
          <w:p w14:paraId="2D5BBC2E" w14:textId="4E980670"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 xml:space="preserve">3. </w:t>
            </w:r>
            <w:r w:rsidRPr="00AF3C60">
              <w:rPr>
                <w:rFonts w:ascii="Times New Roman" w:hAnsi="Times New Roman" w:cs="Times New Roman"/>
                <w:b/>
                <w:bCs/>
                <w:color w:val="000000" w:themeColor="text1"/>
              </w:rPr>
              <w:t>Loyalty Program Enhancements</w:t>
            </w:r>
            <w:r w:rsidRPr="00AF3C60">
              <w:rPr>
                <w:rFonts w:ascii="Times New Roman" w:hAnsi="Times New Roman" w:cs="Times New Roman"/>
                <w:color w:val="000000" w:themeColor="text1"/>
              </w:rPr>
              <w:t>: Develop an advanced loyalty program that prioritizes repeat guests with sustainable luxury perks, such as eco-friendly welcome gifts or discounted wellness services, to foster guest loyalty even amidst economic or competitive pressures.</w:t>
            </w:r>
          </w:p>
        </w:tc>
      </w:tr>
      <w:tr w:rsidR="00AF3C60" w:rsidRPr="00AF3C60" w14:paraId="3662630C" w14:textId="77777777" w:rsidTr="00AF3C60">
        <w:trPr>
          <w:trHeight w:val="300"/>
        </w:trPr>
        <w:tc>
          <w:tcPr>
            <w:tcW w:w="1980" w:type="dxa"/>
          </w:tcPr>
          <w:p w14:paraId="66E47FB2" w14:textId="7C62A44D"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b/>
                <w:bCs/>
                <w:color w:val="000000" w:themeColor="text1"/>
              </w:rPr>
              <w:t>Weaknesses-Opportunities (WO)</w:t>
            </w:r>
          </w:p>
        </w:tc>
        <w:tc>
          <w:tcPr>
            <w:tcW w:w="7380" w:type="dxa"/>
          </w:tcPr>
          <w:p w14:paraId="2D9CA9A4" w14:textId="4E0B10D7"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 xml:space="preserve">1. </w:t>
            </w:r>
            <w:r w:rsidRPr="00AF3C60">
              <w:rPr>
                <w:rFonts w:ascii="Times New Roman" w:hAnsi="Times New Roman" w:cs="Times New Roman"/>
                <w:b/>
                <w:bCs/>
                <w:color w:val="000000" w:themeColor="text1"/>
              </w:rPr>
              <w:t>Technological Upgrades for Guest Experience</w:t>
            </w:r>
            <w:r w:rsidRPr="00AF3C60">
              <w:rPr>
                <w:rFonts w:ascii="Times New Roman" w:hAnsi="Times New Roman" w:cs="Times New Roman"/>
                <w:color w:val="000000" w:themeColor="text1"/>
              </w:rPr>
              <w:t xml:space="preserve">: Invest in a guest-centric mobile app that offers mobile check-in, smart room customization, and 24/7 digital concierge services. Integrate AI-driven personalization </w:t>
            </w:r>
            <w:r w:rsidRPr="00AF3C60">
              <w:rPr>
                <w:rFonts w:ascii="Times New Roman" w:hAnsi="Times New Roman" w:cs="Times New Roman"/>
                <w:color w:val="000000" w:themeColor="text1"/>
              </w:rPr>
              <w:lastRenderedPageBreak/>
              <w:t>features that tailor guest experiences based on past preferences, making Burj Al Arab a leader in tech-integrated luxury.</w:t>
            </w:r>
          </w:p>
          <w:p w14:paraId="3BAA443E" w14:textId="2A9DEB5B"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 xml:space="preserve">2. </w:t>
            </w:r>
            <w:r w:rsidRPr="00AF3C60">
              <w:rPr>
                <w:rFonts w:ascii="Times New Roman" w:hAnsi="Times New Roman" w:cs="Times New Roman"/>
                <w:b/>
                <w:bCs/>
                <w:color w:val="000000" w:themeColor="text1"/>
              </w:rPr>
              <w:t>Energy-Efficient Infrastructure Overhaul</w:t>
            </w:r>
            <w:r w:rsidRPr="00AF3C60">
              <w:rPr>
                <w:rFonts w:ascii="Times New Roman" w:hAnsi="Times New Roman" w:cs="Times New Roman"/>
                <w:color w:val="000000" w:themeColor="text1"/>
              </w:rPr>
              <w:t>: Address the hotel's energy-heavy operations by installing smart thermostats, motion-sensor lighting, and solar panels for public areas. This not only reduces costs but aligns with global sustainability trends, appealing to modern travelers who value eco-conscious initiatives.</w:t>
            </w:r>
          </w:p>
          <w:p w14:paraId="369EBB2D" w14:textId="4ED93528"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 xml:space="preserve">3. </w:t>
            </w:r>
            <w:r w:rsidRPr="00AF3C60">
              <w:rPr>
                <w:rFonts w:ascii="Times New Roman" w:hAnsi="Times New Roman" w:cs="Times New Roman"/>
                <w:b/>
                <w:bCs/>
                <w:color w:val="000000" w:themeColor="text1"/>
              </w:rPr>
              <w:t>Employee Training on Digital Solutions</w:t>
            </w:r>
            <w:r w:rsidRPr="00AF3C60">
              <w:rPr>
                <w:rFonts w:ascii="Times New Roman" w:hAnsi="Times New Roman" w:cs="Times New Roman"/>
                <w:color w:val="000000" w:themeColor="text1"/>
              </w:rPr>
              <w:t>: Equip staff with training to effectively use new digital platforms and explain these technologies to guests, ensuring seamless service and positioning Burj Al Arab as a technologically savvy, guest-focused hotel.</w:t>
            </w:r>
          </w:p>
        </w:tc>
      </w:tr>
      <w:tr w:rsidR="00AF3C60" w:rsidRPr="00AF3C60" w14:paraId="43550E3C" w14:textId="77777777" w:rsidTr="00AF3C60">
        <w:trPr>
          <w:trHeight w:val="300"/>
        </w:trPr>
        <w:tc>
          <w:tcPr>
            <w:tcW w:w="1980" w:type="dxa"/>
          </w:tcPr>
          <w:p w14:paraId="3FFFCF7E" w14:textId="7B44279C"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b/>
                <w:bCs/>
                <w:color w:val="000000" w:themeColor="text1"/>
              </w:rPr>
              <w:lastRenderedPageBreak/>
              <w:t>Weaknesses-Threats (WT)</w:t>
            </w:r>
          </w:p>
        </w:tc>
        <w:tc>
          <w:tcPr>
            <w:tcW w:w="7380" w:type="dxa"/>
          </w:tcPr>
          <w:p w14:paraId="69A67614" w14:textId="2F541459"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 xml:space="preserve">1. </w:t>
            </w:r>
            <w:r w:rsidRPr="00AF3C60">
              <w:rPr>
                <w:rFonts w:ascii="Times New Roman" w:hAnsi="Times New Roman" w:cs="Times New Roman"/>
                <w:b/>
                <w:bCs/>
                <w:color w:val="000000" w:themeColor="text1"/>
              </w:rPr>
              <w:t>Operational Efficiency Improvements</w:t>
            </w:r>
            <w:r w:rsidRPr="00AF3C60">
              <w:rPr>
                <w:rFonts w:ascii="Times New Roman" w:hAnsi="Times New Roman" w:cs="Times New Roman"/>
                <w:color w:val="000000" w:themeColor="text1"/>
              </w:rPr>
              <w:t>: Implement eco-friendly practices such as water recycling systems and LED lighting to lower energy usage and comply with regulatory requirements. Regular sustainability audits and transparent reporting can ensure continuous compliance and improvement.</w:t>
            </w:r>
          </w:p>
          <w:p w14:paraId="2F63F06B" w14:textId="1C231683"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 xml:space="preserve">2. </w:t>
            </w:r>
            <w:r w:rsidRPr="00AF3C60">
              <w:rPr>
                <w:rFonts w:ascii="Times New Roman" w:hAnsi="Times New Roman" w:cs="Times New Roman"/>
                <w:b/>
                <w:bCs/>
                <w:color w:val="000000" w:themeColor="text1"/>
              </w:rPr>
              <w:t>Cost Management through Tech Investments</w:t>
            </w:r>
            <w:r w:rsidRPr="00AF3C60">
              <w:rPr>
                <w:rFonts w:ascii="Times New Roman" w:hAnsi="Times New Roman" w:cs="Times New Roman"/>
                <w:color w:val="000000" w:themeColor="text1"/>
              </w:rPr>
              <w:t>: Transition to digitalized processes that automate administrative tasks (e.g., reservations and billing) to reduce manual workload and operational expenses.</w:t>
            </w:r>
          </w:p>
          <w:p w14:paraId="4040CD51" w14:textId="1D3E8F03" w:rsidR="5324B87E" w:rsidRPr="00AF3C60" w:rsidRDefault="5324B87E"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 xml:space="preserve">3. </w:t>
            </w:r>
            <w:r w:rsidRPr="00AF3C60">
              <w:rPr>
                <w:rFonts w:ascii="Times New Roman" w:hAnsi="Times New Roman" w:cs="Times New Roman"/>
                <w:b/>
                <w:bCs/>
                <w:color w:val="000000" w:themeColor="text1"/>
              </w:rPr>
              <w:t>Crisis-Responsive Guest Policies</w:t>
            </w:r>
            <w:r w:rsidRPr="00AF3C60">
              <w:rPr>
                <w:rFonts w:ascii="Times New Roman" w:hAnsi="Times New Roman" w:cs="Times New Roman"/>
                <w:color w:val="000000" w:themeColor="text1"/>
              </w:rPr>
              <w:t>: Develop flexible booking and cancellation policies that cater to economic uncertainties, ensuring that high-value clients feel secure when making plans. Offer insurance-backed guarantees for stays that emphasize value without diminishing revenue during uncertain times.</w:t>
            </w:r>
          </w:p>
        </w:tc>
      </w:tr>
    </w:tbl>
    <w:p w14:paraId="7AA6A5D9" w14:textId="40DCFF63" w:rsidR="5324B87E" w:rsidRPr="00AF3C60" w:rsidRDefault="5324B87E" w:rsidP="00AF3C60">
      <w:pPr>
        <w:spacing w:line="360" w:lineRule="auto"/>
        <w:jc w:val="both"/>
        <w:rPr>
          <w:rFonts w:ascii="Times New Roman" w:hAnsi="Times New Roman" w:cs="Times New Roman"/>
          <w:color w:val="000000" w:themeColor="text1"/>
        </w:rPr>
      </w:pPr>
    </w:p>
    <w:p w14:paraId="0CC25A94" w14:textId="2F591B66" w:rsidR="72586D4C" w:rsidRPr="00AF3C60" w:rsidRDefault="72586D4C" w:rsidP="00AF3C60">
      <w:pPr>
        <w:pStyle w:val="Heading3"/>
        <w:spacing w:before="281" w:after="281" w:line="360" w:lineRule="auto"/>
        <w:jc w:val="both"/>
        <w:rPr>
          <w:rFonts w:ascii="Times New Roman" w:hAnsi="Times New Roman" w:cs="Times New Roman"/>
          <w:color w:val="000000" w:themeColor="text1"/>
          <w:sz w:val="24"/>
          <w:szCs w:val="24"/>
        </w:rPr>
      </w:pPr>
      <w:bookmarkStart w:id="5" w:name="_Toc182344128"/>
      <w:r w:rsidRPr="00AF3C60">
        <w:rPr>
          <w:rFonts w:ascii="Times New Roman" w:hAnsi="Times New Roman" w:cs="Times New Roman"/>
          <w:b/>
          <w:bCs/>
          <w:color w:val="000000" w:themeColor="text1"/>
          <w:sz w:val="24"/>
          <w:szCs w:val="24"/>
        </w:rPr>
        <w:t>Detailed Implementation Examples and Outcomes</w:t>
      </w:r>
      <w:bookmarkEnd w:id="5"/>
    </w:p>
    <w:p w14:paraId="4B1A35F2" w14:textId="25242F8D" w:rsidR="72586D4C" w:rsidRPr="00AF3C60" w:rsidRDefault="72586D4C" w:rsidP="00AF3C60">
      <w:pPr>
        <w:pStyle w:val="ListParagraph"/>
        <w:numPr>
          <w:ilvl w:val="0"/>
          <w:numId w:val="1"/>
        </w:numPr>
        <w:spacing w:before="240" w:after="240" w:line="360" w:lineRule="auto"/>
        <w:jc w:val="both"/>
        <w:rPr>
          <w:rFonts w:ascii="Times New Roman" w:hAnsi="Times New Roman" w:cs="Times New Roman"/>
          <w:b/>
          <w:bCs/>
          <w:color w:val="000000" w:themeColor="text1"/>
        </w:rPr>
      </w:pPr>
      <w:r w:rsidRPr="00AF3C60">
        <w:rPr>
          <w:rFonts w:ascii="Times New Roman" w:hAnsi="Times New Roman" w:cs="Times New Roman"/>
          <w:b/>
          <w:bCs/>
          <w:color w:val="000000" w:themeColor="text1"/>
        </w:rPr>
        <w:t>Eco-Luxury Marketing Campaigns</w:t>
      </w:r>
    </w:p>
    <w:p w14:paraId="2594A298" w14:textId="41486A19" w:rsidR="72586D4C" w:rsidRPr="00AF3C60" w:rsidRDefault="72586D4C" w:rsidP="00AF3C60">
      <w:pPr>
        <w:numPr>
          <w:ilvl w:val="0"/>
          <w:numId w:val="1"/>
        </w:numPr>
        <w:spacing w:before="240" w:after="240"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 xml:space="preserve">By branding specific suites as “eco-luxury” options, Burj Al Arab could appeal to a segment of affluent travelers prioritizing sustainability. These suites could be outfitted with </w:t>
      </w:r>
      <w:r w:rsidRPr="00AF3C60">
        <w:rPr>
          <w:rFonts w:ascii="Times New Roman" w:hAnsi="Times New Roman" w:cs="Times New Roman"/>
          <w:color w:val="000000" w:themeColor="text1"/>
        </w:rPr>
        <w:lastRenderedPageBreak/>
        <w:t xml:space="preserve">eco-friendly products, sourced materials, and energy-efficient systems. Partnering with eco-certification organizations can validate these efforts and serve as a powerful marketing tool. </w:t>
      </w:r>
      <w:r w:rsidRPr="00AF3C60">
        <w:rPr>
          <w:rFonts w:ascii="Times New Roman" w:hAnsi="Times New Roman" w:cs="Times New Roman"/>
          <w:b/>
          <w:bCs/>
          <w:color w:val="000000" w:themeColor="text1"/>
        </w:rPr>
        <w:t>Projected Outcome</w:t>
      </w:r>
      <w:r w:rsidRPr="00AF3C60">
        <w:rPr>
          <w:rFonts w:ascii="Times New Roman" w:hAnsi="Times New Roman" w:cs="Times New Roman"/>
          <w:color w:val="000000" w:themeColor="text1"/>
        </w:rPr>
        <w:t>: Increased bookings from eco-conscious travelers, potentially boosting occupancy by 10-15%.</w:t>
      </w:r>
    </w:p>
    <w:p w14:paraId="26436A73" w14:textId="0D1D6A2E" w:rsidR="72586D4C" w:rsidRPr="00AF3C60" w:rsidRDefault="72586D4C" w:rsidP="00AF3C60">
      <w:pPr>
        <w:pStyle w:val="ListParagraph"/>
        <w:numPr>
          <w:ilvl w:val="0"/>
          <w:numId w:val="1"/>
        </w:numPr>
        <w:spacing w:before="240" w:after="240" w:line="360" w:lineRule="auto"/>
        <w:jc w:val="both"/>
        <w:rPr>
          <w:rFonts w:ascii="Times New Roman" w:hAnsi="Times New Roman" w:cs="Times New Roman"/>
          <w:b/>
          <w:bCs/>
          <w:color w:val="000000" w:themeColor="text1"/>
        </w:rPr>
      </w:pPr>
      <w:r w:rsidRPr="00AF3C60">
        <w:rPr>
          <w:rFonts w:ascii="Times New Roman" w:hAnsi="Times New Roman" w:cs="Times New Roman"/>
          <w:b/>
          <w:bCs/>
          <w:color w:val="000000" w:themeColor="text1"/>
        </w:rPr>
        <w:t>Technological Upgrades</w:t>
      </w:r>
    </w:p>
    <w:p w14:paraId="7025F194" w14:textId="6B5D2111" w:rsidR="72586D4C" w:rsidRPr="00AF3C60" w:rsidRDefault="72586D4C" w:rsidP="00AF3C60">
      <w:pPr>
        <w:spacing w:before="240" w:after="240"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 xml:space="preserve">The development of a custom app with smart room integration offers not just a competitive edge but also operational efficiency. The app could feature room lighting, climate control, and digital service requests. </w:t>
      </w:r>
      <w:r w:rsidRPr="00AF3C60">
        <w:rPr>
          <w:rFonts w:ascii="Times New Roman" w:hAnsi="Times New Roman" w:cs="Times New Roman"/>
          <w:b/>
          <w:bCs/>
          <w:color w:val="000000" w:themeColor="text1"/>
        </w:rPr>
        <w:t>Industry Example</w:t>
      </w:r>
      <w:r w:rsidRPr="00AF3C60">
        <w:rPr>
          <w:rFonts w:ascii="Times New Roman" w:hAnsi="Times New Roman" w:cs="Times New Roman"/>
          <w:color w:val="000000" w:themeColor="text1"/>
        </w:rPr>
        <w:t xml:space="preserve">: Hotels using similar systems have reported a 25% increase in guest satisfaction. </w:t>
      </w:r>
      <w:r w:rsidRPr="00AF3C60">
        <w:rPr>
          <w:rFonts w:ascii="Times New Roman" w:hAnsi="Times New Roman" w:cs="Times New Roman"/>
          <w:b/>
          <w:bCs/>
          <w:color w:val="000000" w:themeColor="text1"/>
        </w:rPr>
        <w:t>Projected Outcome</w:t>
      </w:r>
      <w:r w:rsidRPr="00AF3C60">
        <w:rPr>
          <w:rFonts w:ascii="Times New Roman" w:hAnsi="Times New Roman" w:cs="Times New Roman"/>
          <w:color w:val="000000" w:themeColor="text1"/>
        </w:rPr>
        <w:t>: Enhanced guest convenience and improved staff productivity, leading to higher guest retention.</w:t>
      </w:r>
    </w:p>
    <w:p w14:paraId="315CFB8E" w14:textId="76F6176C" w:rsidR="72586D4C" w:rsidRPr="00AF3C60" w:rsidRDefault="72586D4C" w:rsidP="00AF3C60">
      <w:pPr>
        <w:pStyle w:val="ListParagraph"/>
        <w:numPr>
          <w:ilvl w:val="0"/>
          <w:numId w:val="1"/>
        </w:numPr>
        <w:spacing w:before="240" w:after="240" w:line="360" w:lineRule="auto"/>
        <w:jc w:val="both"/>
        <w:rPr>
          <w:rFonts w:ascii="Times New Roman" w:hAnsi="Times New Roman" w:cs="Times New Roman"/>
          <w:b/>
          <w:bCs/>
          <w:color w:val="000000" w:themeColor="text1"/>
        </w:rPr>
      </w:pPr>
      <w:r w:rsidRPr="00AF3C60">
        <w:rPr>
          <w:rFonts w:ascii="Times New Roman" w:hAnsi="Times New Roman" w:cs="Times New Roman"/>
          <w:b/>
          <w:bCs/>
          <w:color w:val="000000" w:themeColor="text1"/>
        </w:rPr>
        <w:t>Exclusive Wellness Programs and VIP Experiences</w:t>
      </w:r>
    </w:p>
    <w:p w14:paraId="4DECD212" w14:textId="4BD2AE46" w:rsidR="72586D4C" w:rsidRPr="00AF3C60" w:rsidRDefault="72586D4C" w:rsidP="00AF3C60">
      <w:pPr>
        <w:spacing w:before="240" w:after="240"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 xml:space="preserve">Differentiating through luxury wellness retreats and curated VIP events can help Burj Al Arab maintain its market position. By creating high-value experiences like guided meditation on private terraces or eco-conscious yacht outings, the hotel solidifies its brand as a unique and luxurious destination. </w:t>
      </w:r>
      <w:r w:rsidRPr="00AF3C60">
        <w:rPr>
          <w:rFonts w:ascii="Times New Roman" w:hAnsi="Times New Roman" w:cs="Times New Roman"/>
          <w:b/>
          <w:bCs/>
          <w:color w:val="000000" w:themeColor="text1"/>
        </w:rPr>
        <w:t>Projected Outcome</w:t>
      </w:r>
      <w:r w:rsidRPr="00AF3C60">
        <w:rPr>
          <w:rFonts w:ascii="Times New Roman" w:hAnsi="Times New Roman" w:cs="Times New Roman"/>
          <w:color w:val="000000" w:themeColor="text1"/>
        </w:rPr>
        <w:t>: Increased market share and positive differentiation in a competitive environment.</w:t>
      </w:r>
    </w:p>
    <w:p w14:paraId="7064BD5D" w14:textId="7A86D8DC" w:rsidR="72586D4C" w:rsidRPr="00AF3C60" w:rsidRDefault="72586D4C" w:rsidP="00AF3C60">
      <w:pPr>
        <w:pStyle w:val="ListParagraph"/>
        <w:numPr>
          <w:ilvl w:val="0"/>
          <w:numId w:val="1"/>
        </w:numPr>
        <w:spacing w:before="240" w:after="240" w:line="360" w:lineRule="auto"/>
        <w:jc w:val="both"/>
        <w:rPr>
          <w:rFonts w:ascii="Times New Roman" w:hAnsi="Times New Roman" w:cs="Times New Roman"/>
          <w:b/>
          <w:bCs/>
          <w:color w:val="000000" w:themeColor="text1"/>
        </w:rPr>
      </w:pPr>
      <w:r w:rsidRPr="00AF3C60">
        <w:rPr>
          <w:rFonts w:ascii="Times New Roman" w:hAnsi="Times New Roman" w:cs="Times New Roman"/>
          <w:b/>
          <w:bCs/>
          <w:color w:val="000000" w:themeColor="text1"/>
        </w:rPr>
        <w:t>Energy-Efficient Infrastructure and Compliance</w:t>
      </w:r>
    </w:p>
    <w:p w14:paraId="2B26C96C" w14:textId="67BDD074" w:rsidR="72586D4C" w:rsidRPr="00AF3C60" w:rsidRDefault="72586D4C" w:rsidP="00AF3C60">
      <w:pPr>
        <w:spacing w:before="240" w:after="240"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 xml:space="preserve">Investing in infrastructure such as solar panels and LED lighting reduces operational expenses and aligns with UAE’s sustainability regulations. </w:t>
      </w:r>
      <w:r w:rsidRPr="00AF3C60">
        <w:rPr>
          <w:rFonts w:ascii="Times New Roman" w:hAnsi="Times New Roman" w:cs="Times New Roman"/>
          <w:b/>
          <w:bCs/>
          <w:color w:val="000000" w:themeColor="text1"/>
        </w:rPr>
        <w:t>Projected Outcome</w:t>
      </w:r>
      <w:r w:rsidRPr="00AF3C60">
        <w:rPr>
          <w:rFonts w:ascii="Times New Roman" w:hAnsi="Times New Roman" w:cs="Times New Roman"/>
          <w:color w:val="000000" w:themeColor="text1"/>
        </w:rPr>
        <w:t>: Significant cost savings over time, with initial investments potentially recouped within 3-5 years due to reduced energy bills. This strategy also bolsters the hotel’s reputation for environmental stewardship.</w:t>
      </w:r>
    </w:p>
    <w:p w14:paraId="43FE3240" w14:textId="4EF5993D" w:rsidR="72586D4C" w:rsidRPr="00AF3C60" w:rsidRDefault="72586D4C" w:rsidP="00AF3C60">
      <w:pPr>
        <w:pStyle w:val="ListParagraph"/>
        <w:numPr>
          <w:ilvl w:val="0"/>
          <w:numId w:val="1"/>
        </w:numPr>
        <w:spacing w:before="240" w:after="240" w:line="360" w:lineRule="auto"/>
        <w:jc w:val="both"/>
        <w:rPr>
          <w:rFonts w:ascii="Times New Roman" w:hAnsi="Times New Roman" w:cs="Times New Roman"/>
          <w:b/>
          <w:bCs/>
          <w:color w:val="000000" w:themeColor="text1"/>
        </w:rPr>
      </w:pPr>
      <w:r w:rsidRPr="00AF3C60">
        <w:rPr>
          <w:rFonts w:ascii="Times New Roman" w:hAnsi="Times New Roman" w:cs="Times New Roman"/>
          <w:b/>
          <w:bCs/>
          <w:color w:val="000000" w:themeColor="text1"/>
        </w:rPr>
        <w:t>Crisis-Responsive Policies</w:t>
      </w:r>
    </w:p>
    <w:p w14:paraId="44DCEC05" w14:textId="5FC7EE92" w:rsidR="72586D4C" w:rsidRPr="00AF3C60" w:rsidRDefault="72586D4C" w:rsidP="00AF3C60">
      <w:pPr>
        <w:spacing w:before="240" w:after="240"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 xml:space="preserve">Economic uncertainties require adaptable policies. Flexible booking systems with tiered insurance options provide guests with peace of mind, especially during global economic fluctuations. </w:t>
      </w:r>
      <w:r w:rsidRPr="00AF3C60">
        <w:rPr>
          <w:rFonts w:ascii="Times New Roman" w:hAnsi="Times New Roman" w:cs="Times New Roman"/>
          <w:b/>
          <w:bCs/>
          <w:color w:val="000000" w:themeColor="text1"/>
        </w:rPr>
        <w:t>Projected Outcome</w:t>
      </w:r>
      <w:r w:rsidRPr="00AF3C60">
        <w:rPr>
          <w:rFonts w:ascii="Times New Roman" w:hAnsi="Times New Roman" w:cs="Times New Roman"/>
          <w:color w:val="000000" w:themeColor="text1"/>
        </w:rPr>
        <w:t>: Enhanced guest loyalty and sustained revenue flow during periods of economic downturn, ensuring stable financial performance.</w:t>
      </w:r>
    </w:p>
    <w:p w14:paraId="17A391C8" w14:textId="3CC0E9E9" w:rsidR="5324B87E" w:rsidRPr="00AF3C60" w:rsidRDefault="5324B87E" w:rsidP="00AF3C60">
      <w:pPr>
        <w:spacing w:line="360" w:lineRule="auto"/>
        <w:jc w:val="both"/>
        <w:rPr>
          <w:rFonts w:ascii="Times New Roman" w:hAnsi="Times New Roman" w:cs="Times New Roman"/>
          <w:color w:val="000000" w:themeColor="text1"/>
        </w:rPr>
      </w:pPr>
    </w:p>
    <w:p w14:paraId="2904DFF6" w14:textId="4B704071" w:rsidR="72586D4C" w:rsidRPr="00AF3C60" w:rsidRDefault="72586D4C" w:rsidP="00AF3C60">
      <w:pPr>
        <w:pStyle w:val="Heading3"/>
        <w:spacing w:before="281" w:after="281" w:line="360" w:lineRule="auto"/>
        <w:jc w:val="both"/>
        <w:rPr>
          <w:rFonts w:ascii="Times New Roman" w:hAnsi="Times New Roman" w:cs="Times New Roman"/>
          <w:color w:val="000000" w:themeColor="text1"/>
          <w:sz w:val="24"/>
          <w:szCs w:val="24"/>
        </w:rPr>
      </w:pPr>
      <w:bookmarkStart w:id="6" w:name="_Toc182344129"/>
      <w:r w:rsidRPr="00AF3C60">
        <w:rPr>
          <w:rFonts w:ascii="Times New Roman" w:hAnsi="Times New Roman" w:cs="Times New Roman"/>
          <w:b/>
          <w:bCs/>
          <w:color w:val="000000" w:themeColor="text1"/>
          <w:sz w:val="24"/>
          <w:szCs w:val="24"/>
        </w:rPr>
        <w:t>Conclusion and Strategic Positioning</w:t>
      </w:r>
      <w:bookmarkEnd w:id="6"/>
    </w:p>
    <w:p w14:paraId="59233129" w14:textId="3C57469A" w:rsidR="72586D4C" w:rsidRPr="00AF3C60" w:rsidRDefault="72586D4C" w:rsidP="00AF3C60">
      <w:pPr>
        <w:spacing w:before="240" w:after="240"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The expanded TOWS analysis for Burj Al Arab illustrates strategic pathways that leverage the hotel’s strengths and address its weaknesses. By adopting sustainability initiatives, technological advancements, and personalized luxury experiences, Burj Al Arab can solidify its status as a leader in the luxury hospitality market. Integrating these strategies ensures resilience against market threats, aligns the hotel with emerging trends, and attracts a broader, more loyal guest demographic.</w:t>
      </w:r>
    </w:p>
    <w:p w14:paraId="4125C1C1" w14:textId="3BB218FD" w:rsidR="5324B87E" w:rsidRPr="00AF3C60" w:rsidRDefault="5324B87E" w:rsidP="00AF3C60">
      <w:pPr>
        <w:pStyle w:val="ListParagraph"/>
        <w:spacing w:after="0" w:line="360" w:lineRule="auto"/>
        <w:jc w:val="both"/>
        <w:rPr>
          <w:rFonts w:ascii="Times New Roman" w:eastAsia="Aptos" w:hAnsi="Times New Roman" w:cs="Times New Roman"/>
          <w:color w:val="000000" w:themeColor="text1"/>
        </w:rPr>
      </w:pPr>
    </w:p>
    <w:p w14:paraId="0331D6DE" w14:textId="2B6AE23E" w:rsidR="43535B51" w:rsidRPr="00AF3C60" w:rsidRDefault="43535B51" w:rsidP="00AF3C60">
      <w:pPr>
        <w:spacing w:line="360" w:lineRule="auto"/>
        <w:jc w:val="both"/>
        <w:rPr>
          <w:rFonts w:ascii="Times New Roman" w:hAnsi="Times New Roman" w:cs="Times New Roman"/>
          <w:color w:val="000000" w:themeColor="text1"/>
        </w:rPr>
      </w:pPr>
    </w:p>
    <w:p w14:paraId="055AB4AD" w14:textId="31847219" w:rsidR="6AA1261F" w:rsidRPr="00AF3C60" w:rsidRDefault="6AA1261F" w:rsidP="00AF3C60">
      <w:pPr>
        <w:pStyle w:val="Heading3"/>
        <w:spacing w:before="281" w:after="281" w:line="360" w:lineRule="auto"/>
        <w:jc w:val="both"/>
        <w:rPr>
          <w:rFonts w:ascii="Times New Roman" w:hAnsi="Times New Roman" w:cs="Times New Roman"/>
          <w:color w:val="000000" w:themeColor="text1"/>
          <w:sz w:val="24"/>
          <w:szCs w:val="24"/>
        </w:rPr>
      </w:pPr>
      <w:bookmarkStart w:id="7" w:name="_Toc182344130"/>
      <w:r w:rsidRPr="00AF3C60">
        <w:rPr>
          <w:rFonts w:ascii="Times New Roman" w:eastAsia="Aptos" w:hAnsi="Times New Roman" w:cs="Times New Roman"/>
          <w:b/>
          <w:bCs/>
          <w:color w:val="000000" w:themeColor="text1"/>
          <w:sz w:val="24"/>
          <w:szCs w:val="24"/>
        </w:rPr>
        <w:t>Recommendation 2: Comprehensive Sustainability Initiatives</w:t>
      </w:r>
      <w:bookmarkEnd w:id="7"/>
      <w:r w:rsidRPr="00AF3C60">
        <w:rPr>
          <w:rFonts w:ascii="Times New Roman" w:eastAsia="Aptos" w:hAnsi="Times New Roman" w:cs="Times New Roman"/>
          <w:b/>
          <w:bCs/>
          <w:color w:val="000000" w:themeColor="text1"/>
          <w:sz w:val="24"/>
          <w:szCs w:val="24"/>
        </w:rPr>
        <w:t xml:space="preserve"> </w:t>
      </w:r>
    </w:p>
    <w:p w14:paraId="687437E1" w14:textId="4EE7C895" w:rsidR="52DDBF36" w:rsidRPr="00AF3C60" w:rsidRDefault="52DDBF36"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b/>
          <w:bCs/>
          <w:color w:val="000000" w:themeColor="text1"/>
        </w:rPr>
        <w:t>Detailed Implementation Steps</w:t>
      </w:r>
    </w:p>
    <w:p w14:paraId="009268C6" w14:textId="4D5E8189" w:rsidR="52DDBF36" w:rsidRPr="00AF3C60" w:rsidRDefault="52DDBF36" w:rsidP="00AF3C60">
      <w:pPr>
        <w:pStyle w:val="ListParagraph"/>
        <w:numPr>
          <w:ilvl w:val="0"/>
          <w:numId w:val="8"/>
        </w:numPr>
        <w:spacing w:before="240" w:after="240" w:line="360" w:lineRule="auto"/>
        <w:jc w:val="both"/>
        <w:rPr>
          <w:rFonts w:ascii="Times New Roman" w:eastAsia="Aptos" w:hAnsi="Times New Roman" w:cs="Times New Roman"/>
          <w:b/>
          <w:bCs/>
          <w:color w:val="000000" w:themeColor="text1"/>
        </w:rPr>
      </w:pPr>
      <w:r w:rsidRPr="00AF3C60">
        <w:rPr>
          <w:rFonts w:ascii="Times New Roman" w:eastAsia="Aptos" w:hAnsi="Times New Roman" w:cs="Times New Roman"/>
          <w:b/>
          <w:bCs/>
          <w:color w:val="000000" w:themeColor="text1"/>
        </w:rPr>
        <w:t>Phase 1: Energy Efficiency Measures</w:t>
      </w:r>
    </w:p>
    <w:p w14:paraId="00C02023" w14:textId="550182F4" w:rsidR="52DDBF36" w:rsidRPr="00AF3C60" w:rsidRDefault="52DDBF36" w:rsidP="00AF3C60">
      <w:pPr>
        <w:pStyle w:val="ListParagraph"/>
        <w:numPr>
          <w:ilvl w:val="1"/>
          <w:numId w:val="8"/>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LED Lighting Installation</w:t>
      </w:r>
      <w:r w:rsidRPr="00AF3C60">
        <w:rPr>
          <w:rFonts w:ascii="Times New Roman" w:eastAsia="Aptos" w:hAnsi="Times New Roman" w:cs="Times New Roman"/>
          <w:color w:val="000000" w:themeColor="text1"/>
        </w:rPr>
        <w:t>: Replace incandescent lights with LED alternatives in all guest rooms, dining areas, and back-of-house spaces. LED lights are known to reduce energy usage by 75% compared to traditional lighting, with a longer lifespan and lower maintenance needs.</w:t>
      </w:r>
    </w:p>
    <w:p w14:paraId="131D99ED" w14:textId="1BCF5A28" w:rsidR="52DDBF36" w:rsidRPr="00AF3C60" w:rsidRDefault="52DDBF36" w:rsidP="00AF3C60">
      <w:pPr>
        <w:pStyle w:val="ListParagraph"/>
        <w:numPr>
          <w:ilvl w:val="1"/>
          <w:numId w:val="8"/>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Smart HVAC Systems</w:t>
      </w:r>
      <w:r w:rsidRPr="00AF3C60">
        <w:rPr>
          <w:rFonts w:ascii="Times New Roman" w:eastAsia="Aptos" w:hAnsi="Times New Roman" w:cs="Times New Roman"/>
          <w:color w:val="000000" w:themeColor="text1"/>
        </w:rPr>
        <w:t>: Implement a smart HVAC system that adjusts temperature based on occupancy. For instance, the system can turn off or lower air conditioning in unoccupied rooms, significantly reducing electricity consumption. Similar energy-saving measures at luxury hotels like The Peninsula have demonstrated savings of up to 20% in annual energy costs.</w:t>
      </w:r>
    </w:p>
    <w:p w14:paraId="3C2033F5" w14:textId="4C9DDCA8" w:rsidR="52DDBF36" w:rsidRPr="00AF3C60" w:rsidRDefault="52DDBF36" w:rsidP="00AF3C60">
      <w:pPr>
        <w:pStyle w:val="ListParagraph"/>
        <w:numPr>
          <w:ilvl w:val="1"/>
          <w:numId w:val="8"/>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Renewable Energy Integration</w:t>
      </w:r>
      <w:r w:rsidRPr="00AF3C60">
        <w:rPr>
          <w:rFonts w:ascii="Times New Roman" w:eastAsia="Aptos" w:hAnsi="Times New Roman" w:cs="Times New Roman"/>
          <w:color w:val="000000" w:themeColor="text1"/>
        </w:rPr>
        <w:t>: Partner with Dubai’s renewable energy initiatives, such as DEWA’s Shams Dubai solar program, to source 20-30% of the hotel’s energy from clean sources. This aligns with Burj Al Arab’s sustainability goals and reduces its reliance on conventional energy sources.</w:t>
      </w:r>
    </w:p>
    <w:p w14:paraId="10BA3458" w14:textId="0F0343BD" w:rsidR="52DDBF36" w:rsidRPr="00AF3C60" w:rsidRDefault="52DDBF36" w:rsidP="00AF3C60">
      <w:pPr>
        <w:pStyle w:val="ListParagraph"/>
        <w:numPr>
          <w:ilvl w:val="0"/>
          <w:numId w:val="8"/>
        </w:numPr>
        <w:spacing w:before="240" w:after="240" w:line="360" w:lineRule="auto"/>
        <w:jc w:val="both"/>
        <w:rPr>
          <w:rFonts w:ascii="Times New Roman" w:eastAsia="Aptos" w:hAnsi="Times New Roman" w:cs="Times New Roman"/>
          <w:b/>
          <w:bCs/>
          <w:color w:val="000000" w:themeColor="text1"/>
        </w:rPr>
      </w:pPr>
      <w:r w:rsidRPr="00AF3C60">
        <w:rPr>
          <w:rFonts w:ascii="Times New Roman" w:eastAsia="Aptos" w:hAnsi="Times New Roman" w:cs="Times New Roman"/>
          <w:b/>
          <w:bCs/>
          <w:color w:val="000000" w:themeColor="text1"/>
        </w:rPr>
        <w:t>Phase 2: Water Conservation Program</w:t>
      </w:r>
    </w:p>
    <w:p w14:paraId="09574392" w14:textId="1B30FDEC" w:rsidR="52DDBF36" w:rsidRPr="00AF3C60" w:rsidRDefault="52DDBF36" w:rsidP="00AF3C60">
      <w:pPr>
        <w:pStyle w:val="ListParagraph"/>
        <w:numPr>
          <w:ilvl w:val="1"/>
          <w:numId w:val="8"/>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lastRenderedPageBreak/>
        <w:t>Install Low-Flow Fixtures</w:t>
      </w:r>
      <w:r w:rsidRPr="00AF3C60">
        <w:rPr>
          <w:rFonts w:ascii="Times New Roman" w:eastAsia="Aptos" w:hAnsi="Times New Roman" w:cs="Times New Roman"/>
          <w:color w:val="000000" w:themeColor="text1"/>
        </w:rPr>
        <w:t>: In guest bathrooms and public restrooms, replace faucets and showerheads with low-flow versions, saving an estimated 30% on water usage per room without compromising guest comfort.</w:t>
      </w:r>
    </w:p>
    <w:p w14:paraId="70BA6089" w14:textId="585C8F4C" w:rsidR="52DDBF36" w:rsidRPr="00AF3C60" w:rsidRDefault="52DDBF36" w:rsidP="00AF3C60">
      <w:pPr>
        <w:pStyle w:val="ListParagraph"/>
        <w:numPr>
          <w:ilvl w:val="1"/>
          <w:numId w:val="8"/>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Graywater Recycling</w:t>
      </w:r>
      <w:r w:rsidRPr="00AF3C60">
        <w:rPr>
          <w:rFonts w:ascii="Times New Roman" w:eastAsia="Aptos" w:hAnsi="Times New Roman" w:cs="Times New Roman"/>
          <w:color w:val="000000" w:themeColor="text1"/>
        </w:rPr>
        <w:t>: Use recycled graywater for landscaping. This initiative, which involves filtering wastewater from sinks and showers for reuse, can be applied to outdoor landscaping, reducing overall water demand.</w:t>
      </w:r>
    </w:p>
    <w:p w14:paraId="1E804EB7" w14:textId="12BA38E8" w:rsidR="52DDBF36" w:rsidRPr="00AF3C60" w:rsidRDefault="52DDBF36" w:rsidP="00AF3C60">
      <w:pPr>
        <w:pStyle w:val="ListParagraph"/>
        <w:numPr>
          <w:ilvl w:val="1"/>
          <w:numId w:val="8"/>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Towel and Linen Reuse Program</w:t>
      </w:r>
      <w:r w:rsidRPr="00AF3C60">
        <w:rPr>
          <w:rFonts w:ascii="Times New Roman" w:eastAsia="Aptos" w:hAnsi="Times New Roman" w:cs="Times New Roman"/>
          <w:color w:val="000000" w:themeColor="text1"/>
        </w:rPr>
        <w:t>: Encourage guests to participate in a towel and linen reuse program by offering incentives like loyalty points or a small donation to environmental causes. Informative signs explaining the environmental impact help engage guests and foster eco-consciousness.</w:t>
      </w:r>
    </w:p>
    <w:p w14:paraId="7BE29BE8" w14:textId="461C4D34" w:rsidR="52DDBF36" w:rsidRPr="00AF3C60" w:rsidRDefault="52DDBF36" w:rsidP="00AF3C60">
      <w:pPr>
        <w:pStyle w:val="ListParagraph"/>
        <w:numPr>
          <w:ilvl w:val="0"/>
          <w:numId w:val="8"/>
        </w:numPr>
        <w:spacing w:before="240" w:after="240" w:line="360" w:lineRule="auto"/>
        <w:jc w:val="both"/>
        <w:rPr>
          <w:rFonts w:ascii="Times New Roman" w:eastAsia="Aptos" w:hAnsi="Times New Roman" w:cs="Times New Roman"/>
          <w:b/>
          <w:bCs/>
          <w:color w:val="000000" w:themeColor="text1"/>
        </w:rPr>
      </w:pPr>
      <w:r w:rsidRPr="00AF3C60">
        <w:rPr>
          <w:rFonts w:ascii="Times New Roman" w:eastAsia="Aptos" w:hAnsi="Times New Roman" w:cs="Times New Roman"/>
          <w:b/>
          <w:bCs/>
          <w:color w:val="000000" w:themeColor="text1"/>
        </w:rPr>
        <w:t>Phase 3: Waste Reduction and Recycling Initiatives</w:t>
      </w:r>
    </w:p>
    <w:p w14:paraId="2C8AE69F" w14:textId="77E5791A" w:rsidR="52DDBF36" w:rsidRPr="00AF3C60" w:rsidRDefault="52DDBF36" w:rsidP="00AF3C60">
      <w:pPr>
        <w:pStyle w:val="ListParagraph"/>
        <w:numPr>
          <w:ilvl w:val="1"/>
          <w:numId w:val="8"/>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In-Room Recycling Stations</w:t>
      </w:r>
      <w:r w:rsidRPr="00AF3C60">
        <w:rPr>
          <w:rFonts w:ascii="Times New Roman" w:eastAsia="Aptos" w:hAnsi="Times New Roman" w:cs="Times New Roman"/>
          <w:color w:val="000000" w:themeColor="text1"/>
        </w:rPr>
        <w:t>: Install clearly labeled bins for recycling paper, plastic, and glass in each guest room. Educate guests on using these stations by providing in-room information about the recycling program.</w:t>
      </w:r>
    </w:p>
    <w:p w14:paraId="7D34D8B9" w14:textId="78553E6A" w:rsidR="52DDBF36" w:rsidRPr="00AF3C60" w:rsidRDefault="52DDBF36" w:rsidP="00AF3C60">
      <w:pPr>
        <w:pStyle w:val="ListParagraph"/>
        <w:numPr>
          <w:ilvl w:val="1"/>
          <w:numId w:val="8"/>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Biodegradable Amenities</w:t>
      </w:r>
      <w:r w:rsidRPr="00AF3C60">
        <w:rPr>
          <w:rFonts w:ascii="Times New Roman" w:eastAsia="Aptos" w:hAnsi="Times New Roman" w:cs="Times New Roman"/>
          <w:color w:val="000000" w:themeColor="text1"/>
        </w:rPr>
        <w:t>: Replace single-use plastic items in bathrooms with biodegradable or refillable alternatives, including shampoo, conditioner, and lotion bottles. Hotels such as Marriott have seen a 30% reduction in plastic waste by switching to sustainable products.</w:t>
      </w:r>
    </w:p>
    <w:p w14:paraId="48A9A743" w14:textId="11CA4685" w:rsidR="52DDBF36" w:rsidRPr="00AF3C60" w:rsidRDefault="52DDBF36" w:rsidP="00AF3C60">
      <w:pPr>
        <w:pStyle w:val="ListParagraph"/>
        <w:numPr>
          <w:ilvl w:val="1"/>
          <w:numId w:val="8"/>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Composting Food Waste</w:t>
      </w:r>
      <w:r w:rsidRPr="00AF3C60">
        <w:rPr>
          <w:rFonts w:ascii="Times New Roman" w:eastAsia="Aptos" w:hAnsi="Times New Roman" w:cs="Times New Roman"/>
          <w:color w:val="000000" w:themeColor="text1"/>
        </w:rPr>
        <w:t>: Begin composting food waste generated in kitchens, repurposing it as nutrient-rich compost for hotel landscaping. Implement waste segregation in food prep areas to facilitate the process and train kitchen staff on best practices.</w:t>
      </w:r>
    </w:p>
    <w:p w14:paraId="50AE8D62" w14:textId="15812617" w:rsidR="52DDBF36" w:rsidRPr="00AF3C60" w:rsidRDefault="52DDBF36"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b/>
          <w:bCs/>
          <w:color w:val="000000" w:themeColor="text1"/>
        </w:rPr>
        <w:t>Challenges and Risk Mitigation</w:t>
      </w:r>
    </w:p>
    <w:p w14:paraId="70C10D12" w14:textId="23B53ACD" w:rsidR="52DDBF36" w:rsidRPr="00AF3C60" w:rsidRDefault="52DDBF36" w:rsidP="00AF3C60">
      <w:pPr>
        <w:pStyle w:val="ListParagraph"/>
        <w:numPr>
          <w:ilvl w:val="0"/>
          <w:numId w:val="7"/>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Initial Investment Costs</w:t>
      </w:r>
      <w:r w:rsidRPr="00AF3C60">
        <w:rPr>
          <w:rFonts w:ascii="Times New Roman" w:eastAsia="Aptos" w:hAnsi="Times New Roman" w:cs="Times New Roman"/>
          <w:color w:val="000000" w:themeColor="text1"/>
        </w:rPr>
        <w:t>: Sustainability initiatives often require substantial upfront investments. To manage costs, implement each phase progressively and seek potential subsidies or partnerships with local sustainability programs.</w:t>
      </w:r>
    </w:p>
    <w:p w14:paraId="1B324EE4" w14:textId="4FFED072" w:rsidR="52DDBF36" w:rsidRPr="00AF3C60" w:rsidRDefault="52DDBF36" w:rsidP="00AF3C60">
      <w:pPr>
        <w:pStyle w:val="ListParagraph"/>
        <w:numPr>
          <w:ilvl w:val="0"/>
          <w:numId w:val="7"/>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Guest Participation in Conservation Programs</w:t>
      </w:r>
      <w:r w:rsidRPr="00AF3C60">
        <w:rPr>
          <w:rFonts w:ascii="Times New Roman" w:eastAsia="Aptos" w:hAnsi="Times New Roman" w:cs="Times New Roman"/>
          <w:color w:val="000000" w:themeColor="text1"/>
        </w:rPr>
        <w:t>: Not all guests may be willing to participate in programs like towel reuse. To overcome this, provide incentives or small rewards, such as loyalty points or eco-friendly gifts, to encourage participation.</w:t>
      </w:r>
    </w:p>
    <w:p w14:paraId="4C59678F" w14:textId="1E5D674E" w:rsidR="52DDBF36" w:rsidRPr="00AF3C60" w:rsidRDefault="52DDBF36"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b/>
          <w:bCs/>
          <w:color w:val="000000" w:themeColor="text1"/>
        </w:rPr>
        <w:lastRenderedPageBreak/>
        <w:t>Expected Long-Term Benefits and ROI</w:t>
      </w:r>
    </w:p>
    <w:p w14:paraId="60E4D34A" w14:textId="639F5F5F" w:rsidR="52DDBF36" w:rsidRPr="00AF3C60" w:rsidRDefault="52DDBF36" w:rsidP="00AF3C60">
      <w:pPr>
        <w:pStyle w:val="ListParagraph"/>
        <w:numPr>
          <w:ilvl w:val="0"/>
          <w:numId w:val="6"/>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Cost Savings</w:t>
      </w:r>
      <w:r w:rsidRPr="00AF3C60">
        <w:rPr>
          <w:rFonts w:ascii="Times New Roman" w:eastAsia="Aptos" w:hAnsi="Times New Roman" w:cs="Times New Roman"/>
          <w:color w:val="000000" w:themeColor="text1"/>
        </w:rPr>
        <w:t xml:space="preserve">: Energy and water conservation efforts are projected to save Burj Al Arab approximately £20,000 annually. Over a </w:t>
      </w:r>
      <w:proofErr w:type="gramStart"/>
      <w:r w:rsidRPr="00AF3C60">
        <w:rPr>
          <w:rFonts w:ascii="Times New Roman" w:eastAsia="Aptos" w:hAnsi="Times New Roman" w:cs="Times New Roman"/>
          <w:color w:val="000000" w:themeColor="text1"/>
        </w:rPr>
        <w:t>3-5 year</w:t>
      </w:r>
      <w:proofErr w:type="gramEnd"/>
      <w:r w:rsidRPr="00AF3C60">
        <w:rPr>
          <w:rFonts w:ascii="Times New Roman" w:eastAsia="Aptos" w:hAnsi="Times New Roman" w:cs="Times New Roman"/>
          <w:color w:val="000000" w:themeColor="text1"/>
        </w:rPr>
        <w:t xml:space="preserve"> period, the savings are expected to surpass the initial £22,500 investment.</w:t>
      </w:r>
    </w:p>
    <w:p w14:paraId="334668BA" w14:textId="3CFB5EAE" w:rsidR="52DDBF36" w:rsidRPr="00AF3C60" w:rsidRDefault="52DDBF36" w:rsidP="00AF3C60">
      <w:pPr>
        <w:pStyle w:val="ListParagraph"/>
        <w:numPr>
          <w:ilvl w:val="0"/>
          <w:numId w:val="6"/>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Brand Positioning</w:t>
      </w:r>
      <w:r w:rsidRPr="00AF3C60">
        <w:rPr>
          <w:rFonts w:ascii="Times New Roman" w:eastAsia="Aptos" w:hAnsi="Times New Roman" w:cs="Times New Roman"/>
          <w:color w:val="000000" w:themeColor="text1"/>
        </w:rPr>
        <w:t>: With more guests prioritizing eco-friendly accommodations, Burj Al Arab’s commitment to sustainability can improve brand reputation and appeal to high-income, eco-conscious travelers.</w:t>
      </w:r>
    </w:p>
    <w:p w14:paraId="584E7A31" w14:textId="492A34C5" w:rsidR="52DDBF36" w:rsidRPr="00AF3C60" w:rsidRDefault="52DDBF36" w:rsidP="00AF3C60">
      <w:pPr>
        <w:pStyle w:val="ListParagraph"/>
        <w:numPr>
          <w:ilvl w:val="0"/>
          <w:numId w:val="6"/>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Enhanced Guest Engagement</w:t>
      </w:r>
      <w:r w:rsidRPr="00AF3C60">
        <w:rPr>
          <w:rFonts w:ascii="Times New Roman" w:eastAsia="Aptos" w:hAnsi="Times New Roman" w:cs="Times New Roman"/>
          <w:color w:val="000000" w:themeColor="text1"/>
        </w:rPr>
        <w:t>: By involving guests in sustainable initiatives, the hotel promotes a sense of responsibility, fostering stronger guest loyalty and satisfaction.</w:t>
      </w:r>
    </w:p>
    <w:p w14:paraId="2616D28A" w14:textId="39E86430" w:rsidR="43535B51" w:rsidRPr="00AF3C60" w:rsidRDefault="43535B51" w:rsidP="00AF3C60">
      <w:pPr>
        <w:spacing w:line="360" w:lineRule="auto"/>
        <w:jc w:val="both"/>
        <w:rPr>
          <w:rFonts w:ascii="Times New Roman" w:hAnsi="Times New Roman" w:cs="Times New Roman"/>
          <w:color w:val="000000" w:themeColor="text1"/>
        </w:rPr>
      </w:pPr>
    </w:p>
    <w:p w14:paraId="6C8910AA" w14:textId="70C2F237" w:rsidR="6AA1261F" w:rsidRPr="00AF3C60" w:rsidRDefault="6AA1261F" w:rsidP="00AF3C60">
      <w:pPr>
        <w:pStyle w:val="Heading3"/>
        <w:spacing w:before="281" w:after="281" w:line="360" w:lineRule="auto"/>
        <w:jc w:val="both"/>
        <w:rPr>
          <w:rFonts w:ascii="Times New Roman" w:hAnsi="Times New Roman" w:cs="Times New Roman"/>
          <w:color w:val="000000" w:themeColor="text1"/>
          <w:sz w:val="24"/>
          <w:szCs w:val="24"/>
        </w:rPr>
      </w:pPr>
      <w:bookmarkStart w:id="8" w:name="_Toc182344131"/>
      <w:r w:rsidRPr="00AF3C60">
        <w:rPr>
          <w:rFonts w:ascii="Times New Roman" w:eastAsia="Aptos" w:hAnsi="Times New Roman" w:cs="Times New Roman"/>
          <w:b/>
          <w:bCs/>
          <w:color w:val="000000" w:themeColor="text1"/>
          <w:sz w:val="24"/>
          <w:szCs w:val="24"/>
        </w:rPr>
        <w:t>Recommendation 3: Strengthen Guest Experience through Enhanced Staff Training</w:t>
      </w:r>
      <w:bookmarkEnd w:id="8"/>
      <w:r w:rsidRPr="00AF3C60">
        <w:rPr>
          <w:rFonts w:ascii="Times New Roman" w:eastAsia="Aptos" w:hAnsi="Times New Roman" w:cs="Times New Roman"/>
          <w:b/>
          <w:bCs/>
          <w:color w:val="000000" w:themeColor="text1"/>
          <w:sz w:val="24"/>
          <w:szCs w:val="24"/>
        </w:rPr>
        <w:t xml:space="preserve"> </w:t>
      </w:r>
    </w:p>
    <w:p w14:paraId="10B9C57C" w14:textId="7408B98C" w:rsidR="6AA1261F" w:rsidRPr="00AF3C60" w:rsidRDefault="6AA1261F"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b/>
          <w:bCs/>
          <w:color w:val="000000" w:themeColor="text1"/>
        </w:rPr>
        <w:t>Detailed Implementation Strategy:</w:t>
      </w:r>
    </w:p>
    <w:p w14:paraId="6BC76429" w14:textId="70FA2280" w:rsidR="6AA1261F" w:rsidRPr="00AF3C60" w:rsidRDefault="6AA1261F" w:rsidP="00AF3C60">
      <w:pPr>
        <w:pStyle w:val="ListParagraph"/>
        <w:numPr>
          <w:ilvl w:val="0"/>
          <w:numId w:val="17"/>
        </w:numPr>
        <w:spacing w:before="240" w:after="240" w:line="360" w:lineRule="auto"/>
        <w:jc w:val="both"/>
        <w:rPr>
          <w:rFonts w:ascii="Times New Roman" w:eastAsia="Aptos" w:hAnsi="Times New Roman" w:cs="Times New Roman"/>
          <w:b/>
          <w:bCs/>
          <w:color w:val="000000" w:themeColor="text1"/>
        </w:rPr>
      </w:pPr>
      <w:r w:rsidRPr="00AF3C60">
        <w:rPr>
          <w:rFonts w:ascii="Times New Roman" w:eastAsia="Aptos" w:hAnsi="Times New Roman" w:cs="Times New Roman"/>
          <w:b/>
          <w:bCs/>
          <w:color w:val="000000" w:themeColor="text1"/>
        </w:rPr>
        <w:t>Curriculum Development and Expert Partnerships</w:t>
      </w:r>
    </w:p>
    <w:p w14:paraId="1566C3F4" w14:textId="7EA01938" w:rsidR="6AA1261F" w:rsidRPr="00AF3C60" w:rsidRDefault="6AA1261F"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color w:val="000000" w:themeColor="text1"/>
        </w:rPr>
        <w:t>Partner with a hospitality training consultancy to develop a curriculum tailored for luxury service standards. Modules should focus on cultural sensitivity, communication, personalized service delivery, and conflict resolution, with role-playing scenarios reflecting real guest situations.</w:t>
      </w:r>
    </w:p>
    <w:p w14:paraId="1E6453A5" w14:textId="771D464B" w:rsidR="6AA1261F" w:rsidRPr="00AF3C60" w:rsidRDefault="6AA1261F" w:rsidP="00AF3C60">
      <w:pPr>
        <w:pStyle w:val="ListParagraph"/>
        <w:numPr>
          <w:ilvl w:val="0"/>
          <w:numId w:val="17"/>
        </w:numPr>
        <w:spacing w:before="240" w:after="240" w:line="360" w:lineRule="auto"/>
        <w:jc w:val="both"/>
        <w:rPr>
          <w:rFonts w:ascii="Times New Roman" w:eastAsia="Aptos" w:hAnsi="Times New Roman" w:cs="Times New Roman"/>
          <w:b/>
          <w:bCs/>
          <w:color w:val="000000" w:themeColor="text1"/>
        </w:rPr>
      </w:pPr>
      <w:r w:rsidRPr="00AF3C60">
        <w:rPr>
          <w:rFonts w:ascii="Times New Roman" w:eastAsia="Aptos" w:hAnsi="Times New Roman" w:cs="Times New Roman"/>
          <w:b/>
          <w:bCs/>
          <w:color w:val="000000" w:themeColor="text1"/>
        </w:rPr>
        <w:t>Quarterly Training Workshops</w:t>
      </w:r>
    </w:p>
    <w:p w14:paraId="467F4A5D" w14:textId="27AA5E85" w:rsidR="6AA1261F" w:rsidRPr="00AF3C60" w:rsidRDefault="6AA1261F"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color w:val="000000" w:themeColor="text1"/>
        </w:rPr>
        <w:t>Conduct mandatory quarterly training workshops, including both in-person and virtual sessions. These workshops will cover essential skills, such as non-verbal communication techniques, conflict de-escalation, and advanced problem-solving to address guest needs efficiently.</w:t>
      </w:r>
    </w:p>
    <w:p w14:paraId="0EA05D8F" w14:textId="5EC5C353" w:rsidR="6AA1261F" w:rsidRPr="00AF3C60" w:rsidRDefault="6AA1261F" w:rsidP="00AF3C60">
      <w:pPr>
        <w:pStyle w:val="ListParagraph"/>
        <w:numPr>
          <w:ilvl w:val="0"/>
          <w:numId w:val="17"/>
        </w:numPr>
        <w:spacing w:before="240" w:after="240" w:line="360" w:lineRule="auto"/>
        <w:jc w:val="both"/>
        <w:rPr>
          <w:rFonts w:ascii="Times New Roman" w:eastAsia="Aptos" w:hAnsi="Times New Roman" w:cs="Times New Roman"/>
          <w:b/>
          <w:bCs/>
          <w:color w:val="000000" w:themeColor="text1"/>
        </w:rPr>
      </w:pPr>
      <w:r w:rsidRPr="00AF3C60">
        <w:rPr>
          <w:rFonts w:ascii="Times New Roman" w:eastAsia="Aptos" w:hAnsi="Times New Roman" w:cs="Times New Roman"/>
          <w:b/>
          <w:bCs/>
          <w:color w:val="000000" w:themeColor="text1"/>
        </w:rPr>
        <w:t>Incorporate Guest Feedback into Training</w:t>
      </w:r>
    </w:p>
    <w:p w14:paraId="68FFC228" w14:textId="22719D31" w:rsidR="6AA1261F" w:rsidRPr="00AF3C60" w:rsidRDefault="6AA1261F"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color w:val="000000" w:themeColor="text1"/>
        </w:rPr>
        <w:t>After each training session, analyze guest feedback related to service interactions. Use insights to adjust the curriculum, addressing specific service gaps and continuously improving staff performance.</w:t>
      </w:r>
    </w:p>
    <w:p w14:paraId="40014CFB" w14:textId="2686024F" w:rsidR="6AA1261F" w:rsidRPr="00AF3C60" w:rsidRDefault="6AA1261F" w:rsidP="00AF3C60">
      <w:pPr>
        <w:pStyle w:val="ListParagraph"/>
        <w:numPr>
          <w:ilvl w:val="0"/>
          <w:numId w:val="17"/>
        </w:numPr>
        <w:spacing w:before="240" w:after="240" w:line="360" w:lineRule="auto"/>
        <w:jc w:val="both"/>
        <w:rPr>
          <w:rFonts w:ascii="Times New Roman" w:eastAsia="Aptos" w:hAnsi="Times New Roman" w:cs="Times New Roman"/>
          <w:b/>
          <w:bCs/>
          <w:color w:val="000000" w:themeColor="text1"/>
        </w:rPr>
      </w:pPr>
      <w:r w:rsidRPr="00AF3C60">
        <w:rPr>
          <w:rFonts w:ascii="Times New Roman" w:eastAsia="Aptos" w:hAnsi="Times New Roman" w:cs="Times New Roman"/>
          <w:b/>
          <w:bCs/>
          <w:color w:val="000000" w:themeColor="text1"/>
        </w:rPr>
        <w:t>Recognition and Rewards Program</w:t>
      </w:r>
    </w:p>
    <w:p w14:paraId="139B5528" w14:textId="35EF7593" w:rsidR="6AA1261F" w:rsidRPr="00AF3C60" w:rsidRDefault="6AA1261F"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color w:val="000000" w:themeColor="text1"/>
        </w:rPr>
        <w:lastRenderedPageBreak/>
        <w:t>Recognize top-performing employees who consistently excel in guest satisfaction ratings. Incentivizing high service standards will motivate staff to uphold Burj Al Arab’s reputation for luxury service, reducing turnover and enhancing team morale.</w:t>
      </w:r>
    </w:p>
    <w:p w14:paraId="3D7E89BB" w14:textId="13F51201" w:rsidR="6AA1261F" w:rsidRPr="00AF3C60" w:rsidRDefault="6AA1261F"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b/>
          <w:bCs/>
          <w:color w:val="000000" w:themeColor="text1"/>
        </w:rPr>
        <w:t>Risk Mitigation</w:t>
      </w:r>
    </w:p>
    <w:p w14:paraId="1260A9C4" w14:textId="74A6C461" w:rsidR="6AA1261F" w:rsidRPr="00AF3C60" w:rsidRDefault="6AA1261F"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color w:val="000000" w:themeColor="text1"/>
        </w:rPr>
        <w:t>Some staff may feel resistant to continuous training if they perceive it as redundant. To counteract this, emphasize the value of each training by linking it to clear career progression paths within the hotel. Offering rewards for outstanding service improvements will also help sustain engagement.</w:t>
      </w:r>
    </w:p>
    <w:p w14:paraId="4E40A883" w14:textId="18041BBB" w:rsidR="6AA1261F" w:rsidRPr="00AF3C60" w:rsidRDefault="6AA1261F"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b/>
          <w:bCs/>
          <w:color w:val="000000" w:themeColor="text1"/>
        </w:rPr>
        <w:t>Expected Benefits and ROI</w:t>
      </w:r>
    </w:p>
    <w:p w14:paraId="64A08A28" w14:textId="03287883" w:rsidR="43535B51" w:rsidRPr="00AF3C60" w:rsidRDefault="6AA1261F"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color w:val="000000" w:themeColor="text1"/>
        </w:rPr>
        <w:t>Effective staff training improves guest satisfaction and retention, which can increase revenue by 5-7% over time. Additionally, the program’s focus on retention can lower turnover rates by 15-20%, reducing costs associated with recruitment and onboarding.</w:t>
      </w:r>
    </w:p>
    <w:p w14:paraId="1E7F1EB2" w14:textId="5665B4FC" w:rsidR="6AA1261F" w:rsidRPr="00AF3C60" w:rsidRDefault="6AA1261F" w:rsidP="00AF3C60">
      <w:pPr>
        <w:pStyle w:val="Heading3"/>
        <w:spacing w:before="281" w:after="281" w:line="360" w:lineRule="auto"/>
        <w:jc w:val="both"/>
        <w:rPr>
          <w:rFonts w:ascii="Times New Roman" w:hAnsi="Times New Roman" w:cs="Times New Roman"/>
          <w:color w:val="000000" w:themeColor="text1"/>
          <w:sz w:val="24"/>
          <w:szCs w:val="24"/>
        </w:rPr>
      </w:pPr>
      <w:bookmarkStart w:id="9" w:name="_Toc182344132"/>
      <w:r w:rsidRPr="00AF3C60">
        <w:rPr>
          <w:rFonts w:ascii="Times New Roman" w:eastAsia="Aptos" w:hAnsi="Times New Roman" w:cs="Times New Roman"/>
          <w:b/>
          <w:bCs/>
          <w:color w:val="000000" w:themeColor="text1"/>
          <w:sz w:val="24"/>
          <w:szCs w:val="24"/>
        </w:rPr>
        <w:t>Enhanced Monitoring and KPI Tracking</w:t>
      </w:r>
      <w:bookmarkEnd w:id="9"/>
    </w:p>
    <w:p w14:paraId="3D46EE6C" w14:textId="599ABA2B" w:rsidR="6AA1261F" w:rsidRPr="00AF3C60" w:rsidRDefault="6AA1261F"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color w:val="000000" w:themeColor="text1"/>
        </w:rPr>
        <w:t>Each recommendation includes KPIs and monitoring schedules to ensure effectiveness and timely progress toward Burj Al Arab’s strategic goals:</w:t>
      </w:r>
    </w:p>
    <w:p w14:paraId="49335EF9" w14:textId="0023D84E" w:rsidR="6AA1261F" w:rsidRPr="00AF3C60" w:rsidRDefault="6AA1261F" w:rsidP="00AF3C60">
      <w:pPr>
        <w:pStyle w:val="ListParagraph"/>
        <w:numPr>
          <w:ilvl w:val="0"/>
          <w:numId w:val="16"/>
        </w:numPr>
        <w:spacing w:before="240" w:after="240" w:line="360" w:lineRule="auto"/>
        <w:jc w:val="both"/>
        <w:rPr>
          <w:rFonts w:ascii="Times New Roman" w:eastAsia="Aptos" w:hAnsi="Times New Roman" w:cs="Times New Roman"/>
          <w:b/>
          <w:bCs/>
          <w:color w:val="000000" w:themeColor="text1"/>
        </w:rPr>
      </w:pPr>
      <w:r w:rsidRPr="00AF3C60">
        <w:rPr>
          <w:rFonts w:ascii="Times New Roman" w:eastAsia="Aptos" w:hAnsi="Times New Roman" w:cs="Times New Roman"/>
          <w:b/>
          <w:bCs/>
          <w:color w:val="000000" w:themeColor="text1"/>
        </w:rPr>
        <w:t>Guest App Implementation</w:t>
      </w:r>
    </w:p>
    <w:p w14:paraId="64C1F6CC" w14:textId="4A6B035D" w:rsidR="6AA1261F" w:rsidRPr="00AF3C60" w:rsidRDefault="6AA1261F" w:rsidP="00AF3C60">
      <w:pPr>
        <w:pStyle w:val="ListParagraph"/>
        <w:numPr>
          <w:ilvl w:val="1"/>
          <w:numId w:val="16"/>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KPIs</w:t>
      </w:r>
      <w:r w:rsidRPr="00AF3C60">
        <w:rPr>
          <w:rFonts w:ascii="Times New Roman" w:eastAsia="Aptos" w:hAnsi="Times New Roman" w:cs="Times New Roman"/>
          <w:color w:val="000000" w:themeColor="text1"/>
        </w:rPr>
        <w:t>: Monthly download rates, number of in-app service requests, and guest satisfaction scores related to app functionality.</w:t>
      </w:r>
    </w:p>
    <w:p w14:paraId="1A1B0CE6" w14:textId="715C7278" w:rsidR="6AA1261F" w:rsidRPr="00AF3C60" w:rsidRDefault="6AA1261F" w:rsidP="00AF3C60">
      <w:pPr>
        <w:pStyle w:val="ListParagraph"/>
        <w:numPr>
          <w:ilvl w:val="1"/>
          <w:numId w:val="16"/>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Monitoring Frequency</w:t>
      </w:r>
      <w:r w:rsidRPr="00AF3C60">
        <w:rPr>
          <w:rFonts w:ascii="Times New Roman" w:eastAsia="Aptos" w:hAnsi="Times New Roman" w:cs="Times New Roman"/>
          <w:color w:val="000000" w:themeColor="text1"/>
        </w:rPr>
        <w:t>: Weekly for initial app engagement metrics; bi-monthly feedback reviews for continuous improvement.</w:t>
      </w:r>
    </w:p>
    <w:p w14:paraId="7867E9D0" w14:textId="73384F2A" w:rsidR="6AA1261F" w:rsidRPr="00AF3C60" w:rsidRDefault="6AA1261F" w:rsidP="00AF3C60">
      <w:pPr>
        <w:pStyle w:val="ListParagraph"/>
        <w:numPr>
          <w:ilvl w:val="0"/>
          <w:numId w:val="16"/>
        </w:numPr>
        <w:spacing w:before="240" w:after="240" w:line="360" w:lineRule="auto"/>
        <w:jc w:val="both"/>
        <w:rPr>
          <w:rFonts w:ascii="Times New Roman" w:eastAsia="Aptos" w:hAnsi="Times New Roman" w:cs="Times New Roman"/>
          <w:b/>
          <w:bCs/>
          <w:color w:val="000000" w:themeColor="text1"/>
        </w:rPr>
      </w:pPr>
      <w:r w:rsidRPr="00AF3C60">
        <w:rPr>
          <w:rFonts w:ascii="Times New Roman" w:eastAsia="Aptos" w:hAnsi="Times New Roman" w:cs="Times New Roman"/>
          <w:b/>
          <w:bCs/>
          <w:color w:val="000000" w:themeColor="text1"/>
        </w:rPr>
        <w:t>Energy Efficiency Upgrades</w:t>
      </w:r>
    </w:p>
    <w:p w14:paraId="4635948C" w14:textId="74FD4AE4" w:rsidR="6AA1261F" w:rsidRPr="00AF3C60" w:rsidRDefault="6AA1261F" w:rsidP="00AF3C60">
      <w:pPr>
        <w:pStyle w:val="ListParagraph"/>
        <w:numPr>
          <w:ilvl w:val="1"/>
          <w:numId w:val="16"/>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KPIs</w:t>
      </w:r>
      <w:r w:rsidRPr="00AF3C60">
        <w:rPr>
          <w:rFonts w:ascii="Times New Roman" w:eastAsia="Aptos" w:hAnsi="Times New Roman" w:cs="Times New Roman"/>
          <w:color w:val="000000" w:themeColor="text1"/>
        </w:rPr>
        <w:t>: Monthly energy consumption reduction, annual cost savings.</w:t>
      </w:r>
    </w:p>
    <w:p w14:paraId="2AD7A8EB" w14:textId="4609F7B5" w:rsidR="6AA1261F" w:rsidRPr="00AF3C60" w:rsidRDefault="6AA1261F" w:rsidP="00AF3C60">
      <w:pPr>
        <w:pStyle w:val="ListParagraph"/>
        <w:numPr>
          <w:ilvl w:val="1"/>
          <w:numId w:val="16"/>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Monitoring Frequency</w:t>
      </w:r>
      <w:r w:rsidRPr="00AF3C60">
        <w:rPr>
          <w:rFonts w:ascii="Times New Roman" w:eastAsia="Aptos" w:hAnsi="Times New Roman" w:cs="Times New Roman"/>
          <w:color w:val="000000" w:themeColor="text1"/>
        </w:rPr>
        <w:t>: Monthly energy audit reports and yearly savings summaries to measure impact and ensure target goals are met.</w:t>
      </w:r>
    </w:p>
    <w:p w14:paraId="6A75F585" w14:textId="00C59DA2" w:rsidR="6AA1261F" w:rsidRPr="00AF3C60" w:rsidRDefault="6AA1261F" w:rsidP="00AF3C60">
      <w:pPr>
        <w:pStyle w:val="ListParagraph"/>
        <w:numPr>
          <w:ilvl w:val="0"/>
          <w:numId w:val="16"/>
        </w:numPr>
        <w:spacing w:before="240" w:after="240" w:line="360" w:lineRule="auto"/>
        <w:jc w:val="both"/>
        <w:rPr>
          <w:rFonts w:ascii="Times New Roman" w:eastAsia="Aptos" w:hAnsi="Times New Roman" w:cs="Times New Roman"/>
          <w:b/>
          <w:bCs/>
          <w:color w:val="000000" w:themeColor="text1"/>
        </w:rPr>
      </w:pPr>
      <w:r w:rsidRPr="00AF3C60">
        <w:rPr>
          <w:rFonts w:ascii="Times New Roman" w:eastAsia="Aptos" w:hAnsi="Times New Roman" w:cs="Times New Roman"/>
          <w:b/>
          <w:bCs/>
          <w:color w:val="000000" w:themeColor="text1"/>
        </w:rPr>
        <w:t>Staff Training Program</w:t>
      </w:r>
    </w:p>
    <w:p w14:paraId="57681B89" w14:textId="75E37D5A" w:rsidR="6AA1261F" w:rsidRPr="00AF3C60" w:rsidRDefault="6AA1261F" w:rsidP="00AF3C60">
      <w:pPr>
        <w:pStyle w:val="ListParagraph"/>
        <w:numPr>
          <w:ilvl w:val="1"/>
          <w:numId w:val="16"/>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KPIs</w:t>
      </w:r>
      <w:r w:rsidRPr="00AF3C60">
        <w:rPr>
          <w:rFonts w:ascii="Times New Roman" w:eastAsia="Aptos" w:hAnsi="Times New Roman" w:cs="Times New Roman"/>
          <w:color w:val="000000" w:themeColor="text1"/>
        </w:rPr>
        <w:t>: Improvement in service-related guest feedback, reduction in employee turnover, and training completion rates.</w:t>
      </w:r>
    </w:p>
    <w:p w14:paraId="3D94968C" w14:textId="73008DAA" w:rsidR="6AA1261F" w:rsidRPr="00AF3C60" w:rsidRDefault="6AA1261F" w:rsidP="00AF3C60">
      <w:pPr>
        <w:pStyle w:val="ListParagraph"/>
        <w:numPr>
          <w:ilvl w:val="1"/>
          <w:numId w:val="16"/>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lastRenderedPageBreak/>
        <w:t>Monitoring Frequency</w:t>
      </w:r>
      <w:r w:rsidRPr="00AF3C60">
        <w:rPr>
          <w:rFonts w:ascii="Times New Roman" w:eastAsia="Aptos" w:hAnsi="Times New Roman" w:cs="Times New Roman"/>
          <w:color w:val="000000" w:themeColor="text1"/>
        </w:rPr>
        <w:t>: Monthly feedback analysis, with quarterly training evaluations to adjust program content as needed.</w:t>
      </w:r>
    </w:p>
    <w:p w14:paraId="638EB219" w14:textId="09149EA3" w:rsidR="6AA1261F" w:rsidRPr="00AF3C60" w:rsidRDefault="6AA1261F" w:rsidP="00AF3C60">
      <w:pPr>
        <w:pStyle w:val="ListParagraph"/>
        <w:numPr>
          <w:ilvl w:val="0"/>
          <w:numId w:val="16"/>
        </w:numPr>
        <w:spacing w:before="240" w:after="240" w:line="360" w:lineRule="auto"/>
        <w:jc w:val="both"/>
        <w:rPr>
          <w:rFonts w:ascii="Times New Roman" w:eastAsia="Aptos" w:hAnsi="Times New Roman" w:cs="Times New Roman"/>
          <w:b/>
          <w:bCs/>
          <w:color w:val="000000" w:themeColor="text1"/>
        </w:rPr>
      </w:pPr>
      <w:r w:rsidRPr="00AF3C60">
        <w:rPr>
          <w:rFonts w:ascii="Times New Roman" w:eastAsia="Aptos" w:hAnsi="Times New Roman" w:cs="Times New Roman"/>
          <w:b/>
          <w:bCs/>
          <w:color w:val="000000" w:themeColor="text1"/>
        </w:rPr>
        <w:t>Water Conservation and Waste Reduction</w:t>
      </w:r>
    </w:p>
    <w:p w14:paraId="7A833B0D" w14:textId="7D44512D" w:rsidR="6AA1261F" w:rsidRPr="00AF3C60" w:rsidRDefault="6AA1261F" w:rsidP="00AF3C60">
      <w:pPr>
        <w:pStyle w:val="ListParagraph"/>
        <w:numPr>
          <w:ilvl w:val="1"/>
          <w:numId w:val="16"/>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KPIs</w:t>
      </w:r>
      <w:r w:rsidRPr="00AF3C60">
        <w:rPr>
          <w:rFonts w:ascii="Times New Roman" w:eastAsia="Aptos" w:hAnsi="Times New Roman" w:cs="Times New Roman"/>
          <w:color w:val="000000" w:themeColor="text1"/>
        </w:rPr>
        <w:t>: Monthly water savings, participation in the linen reuse program, and waste volume diverted from landfills.</w:t>
      </w:r>
    </w:p>
    <w:p w14:paraId="6FAAD4B1" w14:textId="0FA648DE" w:rsidR="6AA1261F" w:rsidRPr="00AF3C60" w:rsidRDefault="6AA1261F" w:rsidP="00AF3C60">
      <w:pPr>
        <w:pStyle w:val="ListParagraph"/>
        <w:numPr>
          <w:ilvl w:val="1"/>
          <w:numId w:val="16"/>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Monitoring Frequency</w:t>
      </w:r>
      <w:r w:rsidRPr="00AF3C60">
        <w:rPr>
          <w:rFonts w:ascii="Times New Roman" w:eastAsia="Aptos" w:hAnsi="Times New Roman" w:cs="Times New Roman"/>
          <w:color w:val="000000" w:themeColor="text1"/>
        </w:rPr>
        <w:t>: Quarterly audits on water and waste reduction initiatives, assessing compliance and making adjustments to recycling and water usage protocols.</w:t>
      </w:r>
    </w:p>
    <w:p w14:paraId="6615263B" w14:textId="10A320F2" w:rsidR="43535B51" w:rsidRPr="00AF3C60" w:rsidRDefault="43535B51" w:rsidP="00AF3C60">
      <w:pPr>
        <w:spacing w:line="360" w:lineRule="auto"/>
        <w:jc w:val="both"/>
        <w:rPr>
          <w:rFonts w:ascii="Times New Roman" w:hAnsi="Times New Roman" w:cs="Times New Roman"/>
          <w:color w:val="000000" w:themeColor="text1"/>
        </w:rPr>
      </w:pPr>
    </w:p>
    <w:p w14:paraId="542FE940" w14:textId="66048919" w:rsidR="6AA1261F" w:rsidRPr="00AF3C60" w:rsidRDefault="6AA1261F" w:rsidP="00AF3C60">
      <w:pPr>
        <w:pStyle w:val="Heading3"/>
        <w:spacing w:before="281" w:after="281" w:line="360" w:lineRule="auto"/>
        <w:jc w:val="both"/>
        <w:rPr>
          <w:rFonts w:ascii="Times New Roman" w:hAnsi="Times New Roman" w:cs="Times New Roman"/>
          <w:color w:val="000000" w:themeColor="text1"/>
          <w:sz w:val="24"/>
          <w:szCs w:val="24"/>
        </w:rPr>
      </w:pPr>
      <w:bookmarkStart w:id="10" w:name="_Toc182344133"/>
      <w:r w:rsidRPr="00AF3C60">
        <w:rPr>
          <w:rFonts w:ascii="Times New Roman" w:eastAsia="Aptos" w:hAnsi="Times New Roman" w:cs="Times New Roman"/>
          <w:b/>
          <w:bCs/>
          <w:color w:val="000000" w:themeColor="text1"/>
          <w:sz w:val="24"/>
          <w:szCs w:val="24"/>
        </w:rPr>
        <w:t>Expected Long-Term Impact and Projected Benefits</w:t>
      </w:r>
      <w:bookmarkEnd w:id="10"/>
    </w:p>
    <w:p w14:paraId="3FC00EE4" w14:textId="0C1A87C6" w:rsidR="6AA1261F" w:rsidRPr="00AF3C60" w:rsidRDefault="6AA1261F" w:rsidP="00AF3C60">
      <w:pPr>
        <w:pStyle w:val="ListParagraph"/>
        <w:numPr>
          <w:ilvl w:val="0"/>
          <w:numId w:val="15"/>
        </w:numPr>
        <w:spacing w:before="240" w:after="240" w:line="360" w:lineRule="auto"/>
        <w:jc w:val="both"/>
        <w:rPr>
          <w:rFonts w:ascii="Times New Roman" w:eastAsia="Aptos" w:hAnsi="Times New Roman" w:cs="Times New Roman"/>
          <w:b/>
          <w:bCs/>
          <w:color w:val="000000" w:themeColor="text1"/>
        </w:rPr>
      </w:pPr>
      <w:r w:rsidRPr="00AF3C60">
        <w:rPr>
          <w:rFonts w:ascii="Times New Roman" w:eastAsia="Aptos" w:hAnsi="Times New Roman" w:cs="Times New Roman"/>
          <w:b/>
          <w:bCs/>
          <w:color w:val="000000" w:themeColor="text1"/>
        </w:rPr>
        <w:t>Improved Guest Experience and Loyalty</w:t>
      </w:r>
    </w:p>
    <w:p w14:paraId="48F1513D" w14:textId="7AEE266C" w:rsidR="6AA1261F" w:rsidRPr="00AF3C60" w:rsidRDefault="6AA1261F"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color w:val="000000" w:themeColor="text1"/>
        </w:rPr>
        <w:t>The guest app and continuous service improvements directly enhance the guest experience, promoting brand loyalty and attracting repeat guests. With expected satisfaction improvements, Burj Al Arab can anticipate a 10-15% increase in returning guests, translating to steady revenue growth over time.</w:t>
      </w:r>
    </w:p>
    <w:p w14:paraId="6DCD5FDB" w14:textId="6A406C36" w:rsidR="6AA1261F" w:rsidRPr="00AF3C60" w:rsidRDefault="6AA1261F" w:rsidP="00AF3C60">
      <w:pPr>
        <w:pStyle w:val="ListParagraph"/>
        <w:numPr>
          <w:ilvl w:val="0"/>
          <w:numId w:val="15"/>
        </w:numPr>
        <w:spacing w:before="240" w:after="240" w:line="360" w:lineRule="auto"/>
        <w:jc w:val="both"/>
        <w:rPr>
          <w:rFonts w:ascii="Times New Roman" w:eastAsia="Aptos" w:hAnsi="Times New Roman" w:cs="Times New Roman"/>
          <w:b/>
          <w:bCs/>
          <w:color w:val="000000" w:themeColor="text1"/>
        </w:rPr>
      </w:pPr>
      <w:r w:rsidRPr="00AF3C60">
        <w:rPr>
          <w:rFonts w:ascii="Times New Roman" w:eastAsia="Aptos" w:hAnsi="Times New Roman" w:cs="Times New Roman"/>
          <w:b/>
          <w:bCs/>
          <w:color w:val="000000" w:themeColor="text1"/>
        </w:rPr>
        <w:t>Operational Cost Savings</w:t>
      </w:r>
    </w:p>
    <w:p w14:paraId="4E225B60" w14:textId="77801B48" w:rsidR="6AA1261F" w:rsidRPr="00AF3C60" w:rsidRDefault="6AA1261F"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color w:val="000000" w:themeColor="text1"/>
        </w:rPr>
        <w:t>Sustainability and energy efficiency measures are projected to save Burj Al Arab approximately £20,000 annually in utility costs. Coupled with water conservation and recycling, the environmental initiatives will provide financial and reputational benefits that appeal to a growing demographic of eco-conscious luxury travelers.</w:t>
      </w:r>
    </w:p>
    <w:p w14:paraId="27591B65" w14:textId="7C60862A" w:rsidR="6AA1261F" w:rsidRPr="00AF3C60" w:rsidRDefault="6AA1261F" w:rsidP="00AF3C60">
      <w:pPr>
        <w:pStyle w:val="ListParagraph"/>
        <w:numPr>
          <w:ilvl w:val="0"/>
          <w:numId w:val="15"/>
        </w:numPr>
        <w:spacing w:before="240" w:after="240" w:line="360" w:lineRule="auto"/>
        <w:jc w:val="both"/>
        <w:rPr>
          <w:rFonts w:ascii="Times New Roman" w:eastAsia="Aptos" w:hAnsi="Times New Roman" w:cs="Times New Roman"/>
          <w:b/>
          <w:bCs/>
          <w:color w:val="000000" w:themeColor="text1"/>
        </w:rPr>
      </w:pPr>
      <w:r w:rsidRPr="00AF3C60">
        <w:rPr>
          <w:rFonts w:ascii="Times New Roman" w:eastAsia="Aptos" w:hAnsi="Times New Roman" w:cs="Times New Roman"/>
          <w:b/>
          <w:bCs/>
          <w:color w:val="000000" w:themeColor="text1"/>
        </w:rPr>
        <w:t>Strengthened Brand Image as a Sustainable Luxury Leader</w:t>
      </w:r>
    </w:p>
    <w:p w14:paraId="2AB42E60" w14:textId="42A3FBE7" w:rsidR="43535B51" w:rsidRPr="00AF3C60" w:rsidRDefault="6AA1261F"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color w:val="000000" w:themeColor="text1"/>
        </w:rPr>
        <w:t>By visibly committing to sustainability and innovation, Burj Al Arab positions itself as a leader in sustainable luxury. This proactive approach aligns with global trends in responsible tourism, attracting high-spending travelers who prioritize eco-friendly and socially responsible accommodations.</w:t>
      </w:r>
    </w:p>
    <w:p w14:paraId="17F1B387" w14:textId="048A44F0" w:rsidR="062D9DC6" w:rsidRPr="00AF3C60" w:rsidRDefault="062D9DC6" w:rsidP="00AF3C60">
      <w:pPr>
        <w:pStyle w:val="Heading3"/>
        <w:spacing w:before="281" w:after="281" w:line="360" w:lineRule="auto"/>
        <w:jc w:val="both"/>
        <w:rPr>
          <w:rFonts w:ascii="Times New Roman" w:hAnsi="Times New Roman" w:cs="Times New Roman"/>
          <w:color w:val="000000" w:themeColor="text1"/>
          <w:sz w:val="24"/>
          <w:szCs w:val="24"/>
        </w:rPr>
      </w:pPr>
      <w:bookmarkStart w:id="11" w:name="_Toc182344134"/>
      <w:r w:rsidRPr="00AF3C60">
        <w:rPr>
          <w:rFonts w:ascii="Times New Roman" w:eastAsia="Aptos" w:hAnsi="Times New Roman" w:cs="Times New Roman"/>
          <w:b/>
          <w:bCs/>
          <w:color w:val="000000" w:themeColor="text1"/>
          <w:sz w:val="24"/>
          <w:szCs w:val="24"/>
        </w:rPr>
        <w:lastRenderedPageBreak/>
        <w:t>Action Plan</w:t>
      </w:r>
      <w:bookmarkEnd w:id="11"/>
    </w:p>
    <w:tbl>
      <w:tblPr>
        <w:tblStyle w:val="TableGridLight"/>
        <w:tblW w:w="10060" w:type="dxa"/>
        <w:tblLayout w:type="fixed"/>
        <w:tblLook w:val="06A0" w:firstRow="1" w:lastRow="0" w:firstColumn="1" w:lastColumn="0" w:noHBand="1" w:noVBand="1"/>
      </w:tblPr>
      <w:tblGrid>
        <w:gridCol w:w="1271"/>
        <w:gridCol w:w="1134"/>
        <w:gridCol w:w="3686"/>
        <w:gridCol w:w="1559"/>
        <w:gridCol w:w="1173"/>
        <w:gridCol w:w="1237"/>
      </w:tblGrid>
      <w:tr w:rsidR="00AF3C60" w:rsidRPr="00AF3C60" w14:paraId="3E6A64D0" w14:textId="77777777" w:rsidTr="00AF3C60">
        <w:trPr>
          <w:trHeight w:val="300"/>
        </w:trPr>
        <w:tc>
          <w:tcPr>
            <w:tcW w:w="1271" w:type="dxa"/>
          </w:tcPr>
          <w:p w14:paraId="0407B207" w14:textId="64F2F023"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b/>
                <w:bCs/>
                <w:color w:val="000000" w:themeColor="text1"/>
              </w:rPr>
              <w:t>Problem</w:t>
            </w:r>
          </w:p>
        </w:tc>
        <w:tc>
          <w:tcPr>
            <w:tcW w:w="1134" w:type="dxa"/>
          </w:tcPr>
          <w:p w14:paraId="1EB33B18" w14:textId="28CE3837"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b/>
                <w:bCs/>
                <w:color w:val="000000" w:themeColor="text1"/>
              </w:rPr>
              <w:t>Solution</w:t>
            </w:r>
          </w:p>
        </w:tc>
        <w:tc>
          <w:tcPr>
            <w:tcW w:w="3686" w:type="dxa"/>
          </w:tcPr>
          <w:p w14:paraId="3610F287" w14:textId="336094BA"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b/>
                <w:bCs/>
                <w:color w:val="000000" w:themeColor="text1"/>
              </w:rPr>
              <w:t>Steps</w:t>
            </w:r>
          </w:p>
        </w:tc>
        <w:tc>
          <w:tcPr>
            <w:tcW w:w="1559" w:type="dxa"/>
          </w:tcPr>
          <w:p w14:paraId="0773E570" w14:textId="484CDDFA"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b/>
                <w:bCs/>
                <w:color w:val="000000" w:themeColor="text1"/>
              </w:rPr>
              <w:t>Outcome</w:t>
            </w:r>
          </w:p>
        </w:tc>
        <w:tc>
          <w:tcPr>
            <w:tcW w:w="1173" w:type="dxa"/>
          </w:tcPr>
          <w:p w14:paraId="29ADFA27" w14:textId="30CEA466"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b/>
                <w:bCs/>
                <w:color w:val="000000" w:themeColor="text1"/>
              </w:rPr>
              <w:t>Timeline</w:t>
            </w:r>
          </w:p>
        </w:tc>
        <w:tc>
          <w:tcPr>
            <w:tcW w:w="1237" w:type="dxa"/>
          </w:tcPr>
          <w:p w14:paraId="4C66AEDA" w14:textId="2A295B20"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b/>
                <w:bCs/>
                <w:color w:val="000000" w:themeColor="text1"/>
              </w:rPr>
              <w:t>Budget</w:t>
            </w:r>
          </w:p>
        </w:tc>
      </w:tr>
      <w:tr w:rsidR="00AF3C60" w:rsidRPr="00AF3C60" w14:paraId="30921D15" w14:textId="77777777" w:rsidTr="00AF3C60">
        <w:trPr>
          <w:trHeight w:val="300"/>
        </w:trPr>
        <w:tc>
          <w:tcPr>
            <w:tcW w:w="1271" w:type="dxa"/>
          </w:tcPr>
          <w:p w14:paraId="26FA512A" w14:textId="1F693A02"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b/>
                <w:bCs/>
                <w:color w:val="000000" w:themeColor="text1"/>
              </w:rPr>
              <w:t>Limited digital engagement</w:t>
            </w:r>
          </w:p>
        </w:tc>
        <w:tc>
          <w:tcPr>
            <w:tcW w:w="1134" w:type="dxa"/>
          </w:tcPr>
          <w:p w14:paraId="558CD900" w14:textId="69B87261"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b/>
                <w:bCs/>
                <w:color w:val="000000" w:themeColor="text1"/>
              </w:rPr>
              <w:t>Develop a guest app</w:t>
            </w:r>
          </w:p>
        </w:tc>
        <w:tc>
          <w:tcPr>
            <w:tcW w:w="3686" w:type="dxa"/>
          </w:tcPr>
          <w:p w14:paraId="2DA27FDE" w14:textId="6EF5C449"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 xml:space="preserve">1. </w:t>
            </w:r>
            <w:r w:rsidRPr="00AF3C60">
              <w:rPr>
                <w:rFonts w:ascii="Times New Roman" w:hAnsi="Times New Roman" w:cs="Times New Roman"/>
                <w:b/>
                <w:bCs/>
                <w:color w:val="000000" w:themeColor="text1"/>
              </w:rPr>
              <w:t>App Development:</w:t>
            </w:r>
            <w:r w:rsidRPr="00AF3C60">
              <w:rPr>
                <w:rFonts w:ascii="Times New Roman" w:hAnsi="Times New Roman" w:cs="Times New Roman"/>
                <w:color w:val="000000" w:themeColor="text1"/>
              </w:rPr>
              <w:t xml:space="preserve"> Collaborate with a tech partner to design the app’s features, including mobile check-in, in-room controls, and concierge access.</w:t>
            </w:r>
          </w:p>
          <w:p w14:paraId="64160BB1" w14:textId="29CAAF52"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 xml:space="preserve"> 2. </w:t>
            </w:r>
            <w:r w:rsidRPr="00AF3C60">
              <w:rPr>
                <w:rFonts w:ascii="Times New Roman" w:hAnsi="Times New Roman" w:cs="Times New Roman"/>
                <w:b/>
                <w:bCs/>
                <w:color w:val="000000" w:themeColor="text1"/>
              </w:rPr>
              <w:t>Beta Testing:</w:t>
            </w:r>
            <w:r w:rsidRPr="00AF3C60">
              <w:rPr>
                <w:rFonts w:ascii="Times New Roman" w:hAnsi="Times New Roman" w:cs="Times New Roman"/>
                <w:color w:val="000000" w:themeColor="text1"/>
              </w:rPr>
              <w:t xml:space="preserve"> Roll out the app to select frequent guests for feedback.</w:t>
            </w:r>
          </w:p>
          <w:p w14:paraId="1BAE8A01" w14:textId="3736D899"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 xml:space="preserve"> 3. </w:t>
            </w:r>
            <w:r w:rsidRPr="00AF3C60">
              <w:rPr>
                <w:rFonts w:ascii="Times New Roman" w:hAnsi="Times New Roman" w:cs="Times New Roman"/>
                <w:b/>
                <w:bCs/>
                <w:color w:val="000000" w:themeColor="text1"/>
              </w:rPr>
              <w:t>Training:</w:t>
            </w:r>
            <w:r w:rsidRPr="00AF3C60">
              <w:rPr>
                <w:rFonts w:ascii="Times New Roman" w:hAnsi="Times New Roman" w:cs="Times New Roman"/>
                <w:color w:val="000000" w:themeColor="text1"/>
              </w:rPr>
              <w:t xml:space="preserve"> Train front-desk staff on app functions to support guest usage.</w:t>
            </w:r>
          </w:p>
          <w:p w14:paraId="55AE5431" w14:textId="294DB696"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 xml:space="preserve">4. </w:t>
            </w:r>
            <w:r w:rsidRPr="00AF3C60">
              <w:rPr>
                <w:rFonts w:ascii="Times New Roman" w:hAnsi="Times New Roman" w:cs="Times New Roman"/>
                <w:b/>
                <w:bCs/>
                <w:color w:val="000000" w:themeColor="text1"/>
              </w:rPr>
              <w:t>Promotional Campaign:</w:t>
            </w:r>
            <w:r w:rsidRPr="00AF3C60">
              <w:rPr>
                <w:rFonts w:ascii="Times New Roman" w:hAnsi="Times New Roman" w:cs="Times New Roman"/>
                <w:color w:val="000000" w:themeColor="text1"/>
              </w:rPr>
              <w:t xml:space="preserve"> Market the app’s features during check-in to increase adoption.</w:t>
            </w:r>
          </w:p>
        </w:tc>
        <w:tc>
          <w:tcPr>
            <w:tcW w:w="1559" w:type="dxa"/>
          </w:tcPr>
          <w:p w14:paraId="383E0375" w14:textId="6FA2FFAA"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b/>
                <w:bCs/>
                <w:color w:val="000000" w:themeColor="text1"/>
              </w:rPr>
              <w:t>Increased guest satisfaction</w:t>
            </w:r>
            <w:r w:rsidRPr="00AF3C60">
              <w:rPr>
                <w:rFonts w:ascii="Times New Roman" w:hAnsi="Times New Roman" w:cs="Times New Roman"/>
                <w:color w:val="000000" w:themeColor="text1"/>
              </w:rPr>
              <w:t xml:space="preserve"> through digital convenience</w:t>
            </w:r>
          </w:p>
        </w:tc>
        <w:tc>
          <w:tcPr>
            <w:tcW w:w="1173" w:type="dxa"/>
          </w:tcPr>
          <w:p w14:paraId="7A9BFF2E" w14:textId="6A82242A"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6 months</w:t>
            </w:r>
          </w:p>
        </w:tc>
        <w:tc>
          <w:tcPr>
            <w:tcW w:w="1237" w:type="dxa"/>
          </w:tcPr>
          <w:p w14:paraId="5F3D6B5D" w14:textId="144C7980"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£15,000</w:t>
            </w:r>
          </w:p>
        </w:tc>
      </w:tr>
      <w:tr w:rsidR="00AF3C60" w:rsidRPr="00AF3C60" w14:paraId="5142C9BF" w14:textId="77777777" w:rsidTr="00AF3C60">
        <w:trPr>
          <w:trHeight w:val="300"/>
        </w:trPr>
        <w:tc>
          <w:tcPr>
            <w:tcW w:w="1271" w:type="dxa"/>
          </w:tcPr>
          <w:p w14:paraId="36C86B37" w14:textId="6BCC7AB4"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b/>
                <w:bCs/>
                <w:color w:val="000000" w:themeColor="text1"/>
              </w:rPr>
              <w:t>High operational costs</w:t>
            </w:r>
          </w:p>
        </w:tc>
        <w:tc>
          <w:tcPr>
            <w:tcW w:w="1134" w:type="dxa"/>
          </w:tcPr>
          <w:p w14:paraId="6900BD9E" w14:textId="35387280"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b/>
                <w:bCs/>
                <w:color w:val="000000" w:themeColor="text1"/>
              </w:rPr>
              <w:t>Energy-efficient systems</w:t>
            </w:r>
          </w:p>
        </w:tc>
        <w:tc>
          <w:tcPr>
            <w:tcW w:w="3686" w:type="dxa"/>
          </w:tcPr>
          <w:p w14:paraId="10E88106" w14:textId="3BAD68F1"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 xml:space="preserve">1. </w:t>
            </w:r>
            <w:r w:rsidRPr="00AF3C60">
              <w:rPr>
                <w:rFonts w:ascii="Times New Roman" w:hAnsi="Times New Roman" w:cs="Times New Roman"/>
                <w:b/>
                <w:bCs/>
                <w:color w:val="000000" w:themeColor="text1"/>
              </w:rPr>
              <w:t>LED Lighting Installation:</w:t>
            </w:r>
            <w:r w:rsidRPr="00AF3C60">
              <w:rPr>
                <w:rFonts w:ascii="Times New Roman" w:hAnsi="Times New Roman" w:cs="Times New Roman"/>
                <w:color w:val="000000" w:themeColor="text1"/>
              </w:rPr>
              <w:t xml:space="preserve"> Install LED lights across all rooms and public spaces to lower energy consumption.</w:t>
            </w:r>
          </w:p>
          <w:p w14:paraId="2FB61B5E" w14:textId="50A2175C"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 xml:space="preserve">2. </w:t>
            </w:r>
            <w:r w:rsidRPr="00AF3C60">
              <w:rPr>
                <w:rFonts w:ascii="Times New Roman" w:hAnsi="Times New Roman" w:cs="Times New Roman"/>
                <w:b/>
                <w:bCs/>
                <w:color w:val="000000" w:themeColor="text1"/>
              </w:rPr>
              <w:t>Smart Thermostat Implementation:</w:t>
            </w:r>
            <w:r w:rsidRPr="00AF3C60">
              <w:rPr>
                <w:rFonts w:ascii="Times New Roman" w:hAnsi="Times New Roman" w:cs="Times New Roman"/>
                <w:color w:val="000000" w:themeColor="text1"/>
              </w:rPr>
              <w:t xml:space="preserve"> Deploy in guest rooms to regulate temperature based on occupancy.</w:t>
            </w:r>
          </w:p>
          <w:p w14:paraId="64508509" w14:textId="7590893F"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 xml:space="preserve">3. </w:t>
            </w:r>
            <w:r w:rsidRPr="00AF3C60">
              <w:rPr>
                <w:rFonts w:ascii="Times New Roman" w:hAnsi="Times New Roman" w:cs="Times New Roman"/>
                <w:b/>
                <w:bCs/>
                <w:color w:val="000000" w:themeColor="text1"/>
              </w:rPr>
              <w:t>Energy Monitoring:</w:t>
            </w:r>
            <w:r w:rsidRPr="00AF3C60">
              <w:rPr>
                <w:rFonts w:ascii="Times New Roman" w:hAnsi="Times New Roman" w:cs="Times New Roman"/>
                <w:color w:val="000000" w:themeColor="text1"/>
              </w:rPr>
              <w:t xml:space="preserve"> Track consumption monthly to gauge savings and identify additional areas for improvement.</w:t>
            </w:r>
          </w:p>
        </w:tc>
        <w:tc>
          <w:tcPr>
            <w:tcW w:w="1559" w:type="dxa"/>
          </w:tcPr>
          <w:p w14:paraId="7279BF02" w14:textId="52038458"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b/>
                <w:bCs/>
                <w:color w:val="000000" w:themeColor="text1"/>
              </w:rPr>
              <w:t>Reduced energy usage</w:t>
            </w:r>
            <w:r w:rsidRPr="00AF3C60">
              <w:rPr>
                <w:rFonts w:ascii="Times New Roman" w:hAnsi="Times New Roman" w:cs="Times New Roman"/>
                <w:color w:val="000000" w:themeColor="text1"/>
              </w:rPr>
              <w:t xml:space="preserve"> leading to lower operational costs</w:t>
            </w:r>
          </w:p>
        </w:tc>
        <w:tc>
          <w:tcPr>
            <w:tcW w:w="1173" w:type="dxa"/>
          </w:tcPr>
          <w:p w14:paraId="193F4503" w14:textId="0393902A"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4 months</w:t>
            </w:r>
          </w:p>
        </w:tc>
        <w:tc>
          <w:tcPr>
            <w:tcW w:w="1237" w:type="dxa"/>
          </w:tcPr>
          <w:p w14:paraId="3C881D0B" w14:textId="7FBB0E5D"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£10,000</w:t>
            </w:r>
          </w:p>
        </w:tc>
      </w:tr>
      <w:tr w:rsidR="00AF3C60" w:rsidRPr="00AF3C60" w14:paraId="08461FD4" w14:textId="77777777" w:rsidTr="00AF3C60">
        <w:trPr>
          <w:trHeight w:val="300"/>
        </w:trPr>
        <w:tc>
          <w:tcPr>
            <w:tcW w:w="1271" w:type="dxa"/>
          </w:tcPr>
          <w:p w14:paraId="16E4102D" w14:textId="3A87C4EB"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b/>
                <w:bCs/>
                <w:color w:val="000000" w:themeColor="text1"/>
              </w:rPr>
              <w:t>Service consistency</w:t>
            </w:r>
          </w:p>
        </w:tc>
        <w:tc>
          <w:tcPr>
            <w:tcW w:w="1134" w:type="dxa"/>
          </w:tcPr>
          <w:p w14:paraId="3A90B3B8" w14:textId="7895E181"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b/>
                <w:bCs/>
                <w:color w:val="000000" w:themeColor="text1"/>
              </w:rPr>
              <w:t xml:space="preserve">Enhanced staff </w:t>
            </w:r>
            <w:r w:rsidRPr="00AF3C60">
              <w:rPr>
                <w:rFonts w:ascii="Times New Roman" w:hAnsi="Times New Roman" w:cs="Times New Roman"/>
                <w:b/>
                <w:bCs/>
                <w:color w:val="000000" w:themeColor="text1"/>
              </w:rPr>
              <w:lastRenderedPageBreak/>
              <w:t>training program</w:t>
            </w:r>
          </w:p>
        </w:tc>
        <w:tc>
          <w:tcPr>
            <w:tcW w:w="3686" w:type="dxa"/>
          </w:tcPr>
          <w:p w14:paraId="6F158967" w14:textId="30E1DA80"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lastRenderedPageBreak/>
              <w:t xml:space="preserve">1. </w:t>
            </w:r>
            <w:r w:rsidRPr="00AF3C60">
              <w:rPr>
                <w:rFonts w:ascii="Times New Roman" w:hAnsi="Times New Roman" w:cs="Times New Roman"/>
                <w:b/>
                <w:bCs/>
                <w:color w:val="000000" w:themeColor="text1"/>
              </w:rPr>
              <w:t>Curriculum Development:</w:t>
            </w:r>
            <w:r w:rsidRPr="00AF3C60">
              <w:rPr>
                <w:rFonts w:ascii="Times New Roman" w:hAnsi="Times New Roman" w:cs="Times New Roman"/>
                <w:color w:val="000000" w:themeColor="text1"/>
              </w:rPr>
              <w:t xml:space="preserve"> Work with hospitality experts to </w:t>
            </w:r>
            <w:r w:rsidRPr="00AF3C60">
              <w:rPr>
                <w:rFonts w:ascii="Times New Roman" w:hAnsi="Times New Roman" w:cs="Times New Roman"/>
                <w:color w:val="000000" w:themeColor="text1"/>
              </w:rPr>
              <w:lastRenderedPageBreak/>
              <w:t>create training focused on luxury service and cultural awareness.</w:t>
            </w:r>
          </w:p>
          <w:p w14:paraId="5A64A5A1" w14:textId="628CD180"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 xml:space="preserve">2. </w:t>
            </w:r>
            <w:r w:rsidRPr="00AF3C60">
              <w:rPr>
                <w:rFonts w:ascii="Times New Roman" w:hAnsi="Times New Roman" w:cs="Times New Roman"/>
                <w:b/>
                <w:bCs/>
                <w:color w:val="000000" w:themeColor="text1"/>
              </w:rPr>
              <w:t>Quarterly Training Sessions:</w:t>
            </w:r>
            <w:r w:rsidRPr="00AF3C60">
              <w:rPr>
                <w:rFonts w:ascii="Times New Roman" w:hAnsi="Times New Roman" w:cs="Times New Roman"/>
                <w:color w:val="000000" w:themeColor="text1"/>
              </w:rPr>
              <w:t xml:space="preserve"> Hold quarterly training sessions for all guest-facing staff.</w:t>
            </w:r>
          </w:p>
          <w:p w14:paraId="5E72953E" w14:textId="56FEBC01"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 xml:space="preserve">3. </w:t>
            </w:r>
            <w:r w:rsidRPr="00AF3C60">
              <w:rPr>
                <w:rFonts w:ascii="Times New Roman" w:hAnsi="Times New Roman" w:cs="Times New Roman"/>
                <w:b/>
                <w:bCs/>
                <w:color w:val="000000" w:themeColor="text1"/>
              </w:rPr>
              <w:t>Feedback Loops:</w:t>
            </w:r>
            <w:r w:rsidRPr="00AF3C60">
              <w:rPr>
                <w:rFonts w:ascii="Times New Roman" w:hAnsi="Times New Roman" w:cs="Times New Roman"/>
                <w:color w:val="000000" w:themeColor="text1"/>
              </w:rPr>
              <w:t xml:space="preserve"> Use guest feedback surveys to tailor future training sessions.</w:t>
            </w:r>
          </w:p>
          <w:p w14:paraId="5F7667CD" w14:textId="73AAEB4E"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 xml:space="preserve">4. </w:t>
            </w:r>
            <w:r w:rsidRPr="00AF3C60">
              <w:rPr>
                <w:rFonts w:ascii="Times New Roman" w:hAnsi="Times New Roman" w:cs="Times New Roman"/>
                <w:b/>
                <w:bCs/>
                <w:color w:val="000000" w:themeColor="text1"/>
              </w:rPr>
              <w:t>Progress Reviews:</w:t>
            </w:r>
            <w:r w:rsidRPr="00AF3C60">
              <w:rPr>
                <w:rFonts w:ascii="Times New Roman" w:hAnsi="Times New Roman" w:cs="Times New Roman"/>
                <w:color w:val="000000" w:themeColor="text1"/>
              </w:rPr>
              <w:t xml:space="preserve"> Conduct quarterly reviews to assess training impact and make adjustments.</w:t>
            </w:r>
          </w:p>
        </w:tc>
        <w:tc>
          <w:tcPr>
            <w:tcW w:w="1559" w:type="dxa"/>
          </w:tcPr>
          <w:p w14:paraId="76FBCB53" w14:textId="0F07F6A8"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b/>
                <w:bCs/>
                <w:color w:val="000000" w:themeColor="text1"/>
              </w:rPr>
              <w:lastRenderedPageBreak/>
              <w:t>Consistent luxury service</w:t>
            </w:r>
            <w:r w:rsidRPr="00AF3C60">
              <w:rPr>
                <w:rFonts w:ascii="Times New Roman" w:hAnsi="Times New Roman" w:cs="Times New Roman"/>
                <w:color w:val="000000" w:themeColor="text1"/>
              </w:rPr>
              <w:t xml:space="preserve"> </w:t>
            </w:r>
            <w:r w:rsidRPr="00AF3C60">
              <w:rPr>
                <w:rFonts w:ascii="Times New Roman" w:hAnsi="Times New Roman" w:cs="Times New Roman"/>
                <w:color w:val="000000" w:themeColor="text1"/>
              </w:rPr>
              <w:lastRenderedPageBreak/>
              <w:t>across guest interactions</w:t>
            </w:r>
          </w:p>
        </w:tc>
        <w:tc>
          <w:tcPr>
            <w:tcW w:w="1173" w:type="dxa"/>
          </w:tcPr>
          <w:p w14:paraId="3A23321A" w14:textId="69427E85"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lastRenderedPageBreak/>
              <w:t>Ongoing</w:t>
            </w:r>
          </w:p>
        </w:tc>
        <w:tc>
          <w:tcPr>
            <w:tcW w:w="1237" w:type="dxa"/>
          </w:tcPr>
          <w:p w14:paraId="621AA9C6" w14:textId="664A0813"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£10,000/year</w:t>
            </w:r>
          </w:p>
        </w:tc>
      </w:tr>
      <w:tr w:rsidR="00AF3C60" w:rsidRPr="00AF3C60" w14:paraId="132B8E95" w14:textId="77777777" w:rsidTr="00AF3C60">
        <w:trPr>
          <w:trHeight w:val="300"/>
        </w:trPr>
        <w:tc>
          <w:tcPr>
            <w:tcW w:w="1271" w:type="dxa"/>
          </w:tcPr>
          <w:p w14:paraId="6C5347AE" w14:textId="78DD404C"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b/>
                <w:bCs/>
                <w:color w:val="000000" w:themeColor="text1"/>
              </w:rPr>
              <w:t>Environmental impact</w:t>
            </w:r>
          </w:p>
        </w:tc>
        <w:tc>
          <w:tcPr>
            <w:tcW w:w="1134" w:type="dxa"/>
          </w:tcPr>
          <w:p w14:paraId="5EA49589" w14:textId="7EC391A7"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b/>
                <w:bCs/>
                <w:color w:val="000000" w:themeColor="text1"/>
              </w:rPr>
              <w:t>Water conservation measures</w:t>
            </w:r>
          </w:p>
        </w:tc>
        <w:tc>
          <w:tcPr>
            <w:tcW w:w="3686" w:type="dxa"/>
          </w:tcPr>
          <w:p w14:paraId="7F092947" w14:textId="367A64E9"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 xml:space="preserve">1. </w:t>
            </w:r>
            <w:r w:rsidRPr="00AF3C60">
              <w:rPr>
                <w:rFonts w:ascii="Times New Roman" w:hAnsi="Times New Roman" w:cs="Times New Roman"/>
                <w:b/>
                <w:bCs/>
                <w:color w:val="000000" w:themeColor="text1"/>
              </w:rPr>
              <w:t>Install Water-Saving Fixtures:</w:t>
            </w:r>
            <w:r w:rsidRPr="00AF3C60">
              <w:rPr>
                <w:rFonts w:ascii="Times New Roman" w:hAnsi="Times New Roman" w:cs="Times New Roman"/>
                <w:color w:val="000000" w:themeColor="text1"/>
              </w:rPr>
              <w:t xml:space="preserve"> Place low-flow faucets and showerheads in all rooms and restrooms.</w:t>
            </w:r>
          </w:p>
          <w:p w14:paraId="5FB8DA4F" w14:textId="65D047CB"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 xml:space="preserve">2. </w:t>
            </w:r>
            <w:r w:rsidRPr="00AF3C60">
              <w:rPr>
                <w:rFonts w:ascii="Times New Roman" w:hAnsi="Times New Roman" w:cs="Times New Roman"/>
                <w:b/>
                <w:bCs/>
                <w:color w:val="000000" w:themeColor="text1"/>
              </w:rPr>
              <w:t>Towel &amp; Linen Reuse Program:</w:t>
            </w:r>
            <w:r w:rsidRPr="00AF3C60">
              <w:rPr>
                <w:rFonts w:ascii="Times New Roman" w:hAnsi="Times New Roman" w:cs="Times New Roman"/>
                <w:color w:val="000000" w:themeColor="text1"/>
              </w:rPr>
              <w:t xml:space="preserve"> Encourage guests to participate in reuse programs to reduce laundry demand.</w:t>
            </w:r>
          </w:p>
          <w:p w14:paraId="2F9E2978" w14:textId="77333B74"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 xml:space="preserve">3. </w:t>
            </w:r>
            <w:r w:rsidRPr="00AF3C60">
              <w:rPr>
                <w:rFonts w:ascii="Times New Roman" w:hAnsi="Times New Roman" w:cs="Times New Roman"/>
                <w:b/>
                <w:bCs/>
                <w:color w:val="000000" w:themeColor="text1"/>
              </w:rPr>
              <w:t>Staff Training:</w:t>
            </w:r>
            <w:r w:rsidRPr="00AF3C60">
              <w:rPr>
                <w:rFonts w:ascii="Times New Roman" w:hAnsi="Times New Roman" w:cs="Times New Roman"/>
                <w:color w:val="000000" w:themeColor="text1"/>
              </w:rPr>
              <w:t xml:space="preserve"> Educate housekeeping on water-saving practices.</w:t>
            </w:r>
          </w:p>
          <w:p w14:paraId="4AF2DA86" w14:textId="26F6E145"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 xml:space="preserve">4. </w:t>
            </w:r>
            <w:r w:rsidRPr="00AF3C60">
              <w:rPr>
                <w:rFonts w:ascii="Times New Roman" w:hAnsi="Times New Roman" w:cs="Times New Roman"/>
                <w:b/>
                <w:bCs/>
                <w:color w:val="000000" w:themeColor="text1"/>
              </w:rPr>
              <w:t>Regular Monitoring:</w:t>
            </w:r>
            <w:r w:rsidRPr="00AF3C60">
              <w:rPr>
                <w:rFonts w:ascii="Times New Roman" w:hAnsi="Times New Roman" w:cs="Times New Roman"/>
                <w:color w:val="000000" w:themeColor="text1"/>
              </w:rPr>
              <w:t xml:space="preserve"> Track monthly water usage to assess impact.</w:t>
            </w:r>
          </w:p>
        </w:tc>
        <w:tc>
          <w:tcPr>
            <w:tcW w:w="1559" w:type="dxa"/>
          </w:tcPr>
          <w:p w14:paraId="6C687756" w14:textId="5C1891D9"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b/>
                <w:bCs/>
                <w:color w:val="000000" w:themeColor="text1"/>
              </w:rPr>
              <w:t>Reduced water usage</w:t>
            </w:r>
            <w:r w:rsidRPr="00AF3C60">
              <w:rPr>
                <w:rFonts w:ascii="Times New Roman" w:hAnsi="Times New Roman" w:cs="Times New Roman"/>
                <w:color w:val="000000" w:themeColor="text1"/>
              </w:rPr>
              <w:t xml:space="preserve"> in line with sustainability goals</w:t>
            </w:r>
          </w:p>
        </w:tc>
        <w:tc>
          <w:tcPr>
            <w:tcW w:w="1173" w:type="dxa"/>
          </w:tcPr>
          <w:p w14:paraId="62229854" w14:textId="2426B9D7"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4 months</w:t>
            </w:r>
          </w:p>
        </w:tc>
        <w:tc>
          <w:tcPr>
            <w:tcW w:w="1237" w:type="dxa"/>
          </w:tcPr>
          <w:p w14:paraId="62CFFAD1" w14:textId="34B590F4"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£7,500</w:t>
            </w:r>
          </w:p>
        </w:tc>
      </w:tr>
      <w:tr w:rsidR="00AF3C60" w:rsidRPr="00AF3C60" w14:paraId="58191F87" w14:textId="77777777" w:rsidTr="00AF3C60">
        <w:trPr>
          <w:trHeight w:val="300"/>
        </w:trPr>
        <w:tc>
          <w:tcPr>
            <w:tcW w:w="1271" w:type="dxa"/>
          </w:tcPr>
          <w:p w14:paraId="6B9E8481" w14:textId="3F67B8F6"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b/>
                <w:bCs/>
                <w:color w:val="000000" w:themeColor="text1"/>
              </w:rPr>
              <w:t>High resource waste</w:t>
            </w:r>
          </w:p>
        </w:tc>
        <w:tc>
          <w:tcPr>
            <w:tcW w:w="1134" w:type="dxa"/>
          </w:tcPr>
          <w:p w14:paraId="3058CAAD" w14:textId="2DEB34AC"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b/>
                <w:bCs/>
                <w:color w:val="000000" w:themeColor="text1"/>
              </w:rPr>
              <w:t>Waste reduction and recycling program</w:t>
            </w:r>
          </w:p>
        </w:tc>
        <w:tc>
          <w:tcPr>
            <w:tcW w:w="3686" w:type="dxa"/>
          </w:tcPr>
          <w:p w14:paraId="7BAD7D9A" w14:textId="5AD34437"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 xml:space="preserve">1. </w:t>
            </w:r>
            <w:r w:rsidRPr="00AF3C60">
              <w:rPr>
                <w:rFonts w:ascii="Times New Roman" w:hAnsi="Times New Roman" w:cs="Times New Roman"/>
                <w:b/>
                <w:bCs/>
                <w:color w:val="000000" w:themeColor="text1"/>
              </w:rPr>
              <w:t>Introduce In-Room Recycling Bins:</w:t>
            </w:r>
            <w:r w:rsidRPr="00AF3C60">
              <w:rPr>
                <w:rFonts w:ascii="Times New Roman" w:hAnsi="Times New Roman" w:cs="Times New Roman"/>
                <w:color w:val="000000" w:themeColor="text1"/>
              </w:rPr>
              <w:t xml:space="preserve"> Provide bins for paper, plastic, and glass.</w:t>
            </w:r>
          </w:p>
          <w:p w14:paraId="386A0E97" w14:textId="37387DFE"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 xml:space="preserve">2. </w:t>
            </w:r>
            <w:r w:rsidRPr="00AF3C60">
              <w:rPr>
                <w:rFonts w:ascii="Times New Roman" w:hAnsi="Times New Roman" w:cs="Times New Roman"/>
                <w:b/>
                <w:bCs/>
                <w:color w:val="000000" w:themeColor="text1"/>
              </w:rPr>
              <w:t>Switch to Biodegradable Amenities:</w:t>
            </w:r>
            <w:r w:rsidRPr="00AF3C60">
              <w:rPr>
                <w:rFonts w:ascii="Times New Roman" w:hAnsi="Times New Roman" w:cs="Times New Roman"/>
                <w:color w:val="000000" w:themeColor="text1"/>
              </w:rPr>
              <w:t xml:space="preserve"> Replace single-use </w:t>
            </w:r>
            <w:r w:rsidRPr="00AF3C60">
              <w:rPr>
                <w:rFonts w:ascii="Times New Roman" w:hAnsi="Times New Roman" w:cs="Times New Roman"/>
                <w:color w:val="000000" w:themeColor="text1"/>
              </w:rPr>
              <w:lastRenderedPageBreak/>
              <w:t>plastics with eco-friendly alternatives.</w:t>
            </w:r>
          </w:p>
          <w:p w14:paraId="55F4C823" w14:textId="1C95A70A"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 xml:space="preserve">3. </w:t>
            </w:r>
            <w:r w:rsidRPr="00AF3C60">
              <w:rPr>
                <w:rFonts w:ascii="Times New Roman" w:hAnsi="Times New Roman" w:cs="Times New Roman"/>
                <w:b/>
                <w:bCs/>
                <w:color w:val="000000" w:themeColor="text1"/>
              </w:rPr>
              <w:t>Train Staff:</w:t>
            </w:r>
            <w:r w:rsidRPr="00AF3C60">
              <w:rPr>
                <w:rFonts w:ascii="Times New Roman" w:hAnsi="Times New Roman" w:cs="Times New Roman"/>
                <w:color w:val="000000" w:themeColor="text1"/>
              </w:rPr>
              <w:t xml:space="preserve"> Educate housekeeping and kitchen staff on new recycling protocols.</w:t>
            </w:r>
          </w:p>
          <w:p w14:paraId="4EC2BBD0" w14:textId="78746E75"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 xml:space="preserve">4. </w:t>
            </w:r>
            <w:r w:rsidRPr="00AF3C60">
              <w:rPr>
                <w:rFonts w:ascii="Times New Roman" w:hAnsi="Times New Roman" w:cs="Times New Roman"/>
                <w:b/>
                <w:bCs/>
                <w:color w:val="000000" w:themeColor="text1"/>
              </w:rPr>
              <w:t>Monitor Compliance:</w:t>
            </w:r>
            <w:r w:rsidRPr="00AF3C60">
              <w:rPr>
                <w:rFonts w:ascii="Times New Roman" w:hAnsi="Times New Roman" w:cs="Times New Roman"/>
                <w:color w:val="000000" w:themeColor="text1"/>
              </w:rPr>
              <w:t xml:space="preserve"> Set up monthly audits to ensure recycling and waste reduction goals are met.</w:t>
            </w:r>
          </w:p>
        </w:tc>
        <w:tc>
          <w:tcPr>
            <w:tcW w:w="1559" w:type="dxa"/>
          </w:tcPr>
          <w:p w14:paraId="56C4A69B" w14:textId="4A7ACF97"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b/>
                <w:bCs/>
                <w:color w:val="000000" w:themeColor="text1"/>
              </w:rPr>
              <w:lastRenderedPageBreak/>
              <w:t>Increased recycling rates</w:t>
            </w:r>
            <w:r w:rsidRPr="00AF3C60">
              <w:rPr>
                <w:rFonts w:ascii="Times New Roman" w:hAnsi="Times New Roman" w:cs="Times New Roman"/>
                <w:color w:val="000000" w:themeColor="text1"/>
              </w:rPr>
              <w:t xml:space="preserve"> and reduced landfill waste</w:t>
            </w:r>
          </w:p>
        </w:tc>
        <w:tc>
          <w:tcPr>
            <w:tcW w:w="1173" w:type="dxa"/>
          </w:tcPr>
          <w:p w14:paraId="241AD944" w14:textId="415E49D2"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5 months</w:t>
            </w:r>
          </w:p>
        </w:tc>
        <w:tc>
          <w:tcPr>
            <w:tcW w:w="1237" w:type="dxa"/>
          </w:tcPr>
          <w:p w14:paraId="066DDF85" w14:textId="60BE13FF" w:rsidR="43535B51" w:rsidRPr="00AF3C60" w:rsidRDefault="43535B51" w:rsidP="00AF3C60">
            <w:pPr>
              <w:spacing w:line="360" w:lineRule="auto"/>
              <w:jc w:val="both"/>
              <w:rPr>
                <w:rFonts w:ascii="Times New Roman" w:hAnsi="Times New Roman" w:cs="Times New Roman"/>
                <w:color w:val="000000" w:themeColor="text1"/>
              </w:rPr>
            </w:pPr>
            <w:r w:rsidRPr="00AF3C60">
              <w:rPr>
                <w:rFonts w:ascii="Times New Roman" w:hAnsi="Times New Roman" w:cs="Times New Roman"/>
                <w:color w:val="000000" w:themeColor="text1"/>
              </w:rPr>
              <w:t>£5,000</w:t>
            </w:r>
          </w:p>
        </w:tc>
      </w:tr>
    </w:tbl>
    <w:p w14:paraId="59F90914" w14:textId="694E3007" w:rsidR="43535B51" w:rsidRPr="00AF3C60" w:rsidRDefault="43535B51" w:rsidP="00AF3C60">
      <w:pPr>
        <w:spacing w:line="360" w:lineRule="auto"/>
        <w:jc w:val="both"/>
        <w:rPr>
          <w:rFonts w:ascii="Times New Roman" w:hAnsi="Times New Roman" w:cs="Times New Roman"/>
          <w:color w:val="000000" w:themeColor="text1"/>
        </w:rPr>
      </w:pPr>
    </w:p>
    <w:p w14:paraId="7625ABC4" w14:textId="0C6326BB" w:rsidR="062D9DC6" w:rsidRPr="00AF3C60" w:rsidRDefault="062D9DC6" w:rsidP="00AF3C60">
      <w:pPr>
        <w:pStyle w:val="Heading3"/>
        <w:spacing w:before="281" w:after="281" w:line="360" w:lineRule="auto"/>
        <w:jc w:val="both"/>
        <w:rPr>
          <w:rFonts w:ascii="Times New Roman" w:hAnsi="Times New Roman" w:cs="Times New Roman"/>
          <w:color w:val="000000" w:themeColor="text1"/>
          <w:sz w:val="24"/>
          <w:szCs w:val="24"/>
        </w:rPr>
      </w:pPr>
      <w:bookmarkStart w:id="12" w:name="_Toc182344135"/>
      <w:r w:rsidRPr="00AF3C60">
        <w:rPr>
          <w:rFonts w:ascii="Times New Roman" w:eastAsia="Aptos" w:hAnsi="Times New Roman" w:cs="Times New Roman"/>
          <w:b/>
          <w:bCs/>
          <w:color w:val="000000" w:themeColor="text1"/>
          <w:sz w:val="24"/>
          <w:szCs w:val="24"/>
        </w:rPr>
        <w:t>Action Plan Monitoring and KPIs</w:t>
      </w:r>
      <w:bookmarkEnd w:id="12"/>
    </w:p>
    <w:p w14:paraId="17D2525F" w14:textId="3A418954" w:rsidR="062D9DC6" w:rsidRPr="00AF3C60" w:rsidRDefault="062D9DC6"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color w:val="000000" w:themeColor="text1"/>
        </w:rPr>
        <w:t>To ensure each initiative is on track, specific Key Performance Indicators (KPIs) and monitoring methods will be employed:</w:t>
      </w:r>
    </w:p>
    <w:p w14:paraId="1D69E32D" w14:textId="325F6B49" w:rsidR="062D9DC6" w:rsidRPr="00AF3C60" w:rsidRDefault="062D9DC6" w:rsidP="00AF3C60">
      <w:pPr>
        <w:pStyle w:val="ListParagraph"/>
        <w:numPr>
          <w:ilvl w:val="0"/>
          <w:numId w:val="20"/>
        </w:numPr>
        <w:spacing w:before="240" w:after="240" w:line="360" w:lineRule="auto"/>
        <w:jc w:val="both"/>
        <w:rPr>
          <w:rFonts w:ascii="Times New Roman" w:eastAsia="Aptos" w:hAnsi="Times New Roman" w:cs="Times New Roman"/>
          <w:b/>
          <w:bCs/>
          <w:color w:val="000000" w:themeColor="text1"/>
        </w:rPr>
      </w:pPr>
      <w:r w:rsidRPr="00AF3C60">
        <w:rPr>
          <w:rFonts w:ascii="Times New Roman" w:eastAsia="Aptos" w:hAnsi="Times New Roman" w:cs="Times New Roman"/>
          <w:b/>
          <w:bCs/>
          <w:color w:val="000000" w:themeColor="text1"/>
        </w:rPr>
        <w:t>Guest App Launch</w:t>
      </w:r>
    </w:p>
    <w:p w14:paraId="45D74774" w14:textId="09F1C591" w:rsidR="062D9DC6" w:rsidRPr="00AF3C60" w:rsidRDefault="062D9DC6" w:rsidP="00AF3C60">
      <w:pPr>
        <w:pStyle w:val="ListParagraph"/>
        <w:numPr>
          <w:ilvl w:val="1"/>
          <w:numId w:val="20"/>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KPIs</w:t>
      </w:r>
      <w:r w:rsidRPr="00AF3C60">
        <w:rPr>
          <w:rFonts w:ascii="Times New Roman" w:eastAsia="Aptos" w:hAnsi="Times New Roman" w:cs="Times New Roman"/>
          <w:color w:val="000000" w:themeColor="text1"/>
        </w:rPr>
        <w:t>: App adoption rate (number of downloads vs. guest count), guest satisfaction scores related to app usage, reduction in front-desk workload.</w:t>
      </w:r>
    </w:p>
    <w:p w14:paraId="3D51DEDA" w14:textId="37128E95" w:rsidR="062D9DC6" w:rsidRPr="00AF3C60" w:rsidRDefault="062D9DC6" w:rsidP="00AF3C60">
      <w:pPr>
        <w:pStyle w:val="ListParagraph"/>
        <w:numPr>
          <w:ilvl w:val="1"/>
          <w:numId w:val="20"/>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Monitoring</w:t>
      </w:r>
      <w:r w:rsidRPr="00AF3C60">
        <w:rPr>
          <w:rFonts w:ascii="Times New Roman" w:eastAsia="Aptos" w:hAnsi="Times New Roman" w:cs="Times New Roman"/>
          <w:color w:val="000000" w:themeColor="text1"/>
        </w:rPr>
        <w:t>: Monthly reports on app engagement metrics; guest feedback surveys focusing on app features.</w:t>
      </w:r>
    </w:p>
    <w:p w14:paraId="04BD35F0" w14:textId="73C6CC8C" w:rsidR="062D9DC6" w:rsidRPr="00AF3C60" w:rsidRDefault="062D9DC6" w:rsidP="00AF3C60">
      <w:pPr>
        <w:pStyle w:val="ListParagraph"/>
        <w:numPr>
          <w:ilvl w:val="0"/>
          <w:numId w:val="20"/>
        </w:numPr>
        <w:spacing w:before="240" w:after="240" w:line="360" w:lineRule="auto"/>
        <w:jc w:val="both"/>
        <w:rPr>
          <w:rFonts w:ascii="Times New Roman" w:eastAsia="Aptos" w:hAnsi="Times New Roman" w:cs="Times New Roman"/>
          <w:b/>
          <w:bCs/>
          <w:color w:val="000000" w:themeColor="text1"/>
        </w:rPr>
      </w:pPr>
      <w:r w:rsidRPr="00AF3C60">
        <w:rPr>
          <w:rFonts w:ascii="Times New Roman" w:eastAsia="Aptos" w:hAnsi="Times New Roman" w:cs="Times New Roman"/>
          <w:b/>
          <w:bCs/>
          <w:color w:val="000000" w:themeColor="text1"/>
        </w:rPr>
        <w:t>Energy Efficiency Upgrades</w:t>
      </w:r>
    </w:p>
    <w:p w14:paraId="536AFFC2" w14:textId="0F725059" w:rsidR="062D9DC6" w:rsidRPr="00AF3C60" w:rsidRDefault="062D9DC6" w:rsidP="00AF3C60">
      <w:pPr>
        <w:pStyle w:val="ListParagraph"/>
        <w:numPr>
          <w:ilvl w:val="1"/>
          <w:numId w:val="20"/>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KPIs</w:t>
      </w:r>
      <w:r w:rsidRPr="00AF3C60">
        <w:rPr>
          <w:rFonts w:ascii="Times New Roman" w:eastAsia="Aptos" w:hAnsi="Times New Roman" w:cs="Times New Roman"/>
          <w:color w:val="000000" w:themeColor="text1"/>
        </w:rPr>
        <w:t>: Monthly energy consumption reduction, operational cost savings.</w:t>
      </w:r>
    </w:p>
    <w:p w14:paraId="7643B2E4" w14:textId="1640C21E" w:rsidR="062D9DC6" w:rsidRPr="00AF3C60" w:rsidRDefault="062D9DC6" w:rsidP="00AF3C60">
      <w:pPr>
        <w:pStyle w:val="ListParagraph"/>
        <w:numPr>
          <w:ilvl w:val="1"/>
          <w:numId w:val="20"/>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Monitoring</w:t>
      </w:r>
      <w:r w:rsidRPr="00AF3C60">
        <w:rPr>
          <w:rFonts w:ascii="Times New Roman" w:eastAsia="Aptos" w:hAnsi="Times New Roman" w:cs="Times New Roman"/>
          <w:color w:val="000000" w:themeColor="text1"/>
        </w:rPr>
        <w:t>: Energy bills and consumption reports reviewed monthly; annual comparison to assess cumulative savings.</w:t>
      </w:r>
    </w:p>
    <w:p w14:paraId="4194B472" w14:textId="39AA480D" w:rsidR="062D9DC6" w:rsidRPr="00AF3C60" w:rsidRDefault="062D9DC6" w:rsidP="00AF3C60">
      <w:pPr>
        <w:pStyle w:val="ListParagraph"/>
        <w:numPr>
          <w:ilvl w:val="0"/>
          <w:numId w:val="20"/>
        </w:numPr>
        <w:spacing w:before="240" w:after="240" w:line="360" w:lineRule="auto"/>
        <w:jc w:val="both"/>
        <w:rPr>
          <w:rFonts w:ascii="Times New Roman" w:eastAsia="Aptos" w:hAnsi="Times New Roman" w:cs="Times New Roman"/>
          <w:b/>
          <w:bCs/>
          <w:color w:val="000000" w:themeColor="text1"/>
        </w:rPr>
      </w:pPr>
      <w:r w:rsidRPr="00AF3C60">
        <w:rPr>
          <w:rFonts w:ascii="Times New Roman" w:eastAsia="Aptos" w:hAnsi="Times New Roman" w:cs="Times New Roman"/>
          <w:b/>
          <w:bCs/>
          <w:color w:val="000000" w:themeColor="text1"/>
        </w:rPr>
        <w:t>Staff Training Program</w:t>
      </w:r>
    </w:p>
    <w:p w14:paraId="0791DFF1" w14:textId="0CAC17E3" w:rsidR="062D9DC6" w:rsidRPr="00AF3C60" w:rsidRDefault="062D9DC6" w:rsidP="00AF3C60">
      <w:pPr>
        <w:pStyle w:val="ListParagraph"/>
        <w:numPr>
          <w:ilvl w:val="1"/>
          <w:numId w:val="20"/>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KPIs</w:t>
      </w:r>
      <w:r w:rsidRPr="00AF3C60">
        <w:rPr>
          <w:rFonts w:ascii="Times New Roman" w:eastAsia="Aptos" w:hAnsi="Times New Roman" w:cs="Times New Roman"/>
          <w:color w:val="000000" w:themeColor="text1"/>
        </w:rPr>
        <w:t>: Improvements in guest satisfaction scores related to service, employee engagement rates.</w:t>
      </w:r>
    </w:p>
    <w:p w14:paraId="0573201F" w14:textId="44E5E49B" w:rsidR="062D9DC6" w:rsidRPr="00AF3C60" w:rsidRDefault="062D9DC6" w:rsidP="00AF3C60">
      <w:pPr>
        <w:pStyle w:val="ListParagraph"/>
        <w:numPr>
          <w:ilvl w:val="1"/>
          <w:numId w:val="20"/>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Monitoring</w:t>
      </w:r>
      <w:r w:rsidRPr="00AF3C60">
        <w:rPr>
          <w:rFonts w:ascii="Times New Roman" w:eastAsia="Aptos" w:hAnsi="Times New Roman" w:cs="Times New Roman"/>
          <w:color w:val="000000" w:themeColor="text1"/>
        </w:rPr>
        <w:t>: Quarterly reviews of guest feedback related to service; employee feedback on training content.</w:t>
      </w:r>
    </w:p>
    <w:p w14:paraId="5E16533D" w14:textId="11996201" w:rsidR="062D9DC6" w:rsidRPr="00AF3C60" w:rsidRDefault="062D9DC6" w:rsidP="00AF3C60">
      <w:pPr>
        <w:pStyle w:val="ListParagraph"/>
        <w:numPr>
          <w:ilvl w:val="0"/>
          <w:numId w:val="20"/>
        </w:numPr>
        <w:spacing w:before="240" w:after="240" w:line="360" w:lineRule="auto"/>
        <w:jc w:val="both"/>
        <w:rPr>
          <w:rFonts w:ascii="Times New Roman" w:eastAsia="Aptos" w:hAnsi="Times New Roman" w:cs="Times New Roman"/>
          <w:b/>
          <w:bCs/>
          <w:color w:val="000000" w:themeColor="text1"/>
        </w:rPr>
      </w:pPr>
      <w:r w:rsidRPr="00AF3C60">
        <w:rPr>
          <w:rFonts w:ascii="Times New Roman" w:eastAsia="Aptos" w:hAnsi="Times New Roman" w:cs="Times New Roman"/>
          <w:b/>
          <w:bCs/>
          <w:color w:val="000000" w:themeColor="text1"/>
        </w:rPr>
        <w:t>Water Conservation</w:t>
      </w:r>
    </w:p>
    <w:p w14:paraId="4AF70BDF" w14:textId="38EE17BC" w:rsidR="062D9DC6" w:rsidRPr="00AF3C60" w:rsidRDefault="062D9DC6" w:rsidP="00AF3C60">
      <w:pPr>
        <w:pStyle w:val="ListParagraph"/>
        <w:numPr>
          <w:ilvl w:val="1"/>
          <w:numId w:val="20"/>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KPIs</w:t>
      </w:r>
      <w:r w:rsidRPr="00AF3C60">
        <w:rPr>
          <w:rFonts w:ascii="Times New Roman" w:eastAsia="Aptos" w:hAnsi="Times New Roman" w:cs="Times New Roman"/>
          <w:color w:val="000000" w:themeColor="text1"/>
        </w:rPr>
        <w:t>: Reduction in water usage, guest participation in towel/linen reuse programs.</w:t>
      </w:r>
    </w:p>
    <w:p w14:paraId="7A9D072F" w14:textId="11C190D2" w:rsidR="062D9DC6" w:rsidRPr="00AF3C60" w:rsidRDefault="062D9DC6" w:rsidP="00AF3C60">
      <w:pPr>
        <w:pStyle w:val="ListParagraph"/>
        <w:numPr>
          <w:ilvl w:val="1"/>
          <w:numId w:val="20"/>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lastRenderedPageBreak/>
        <w:t>Monitoring</w:t>
      </w:r>
      <w:r w:rsidRPr="00AF3C60">
        <w:rPr>
          <w:rFonts w:ascii="Times New Roman" w:eastAsia="Aptos" w:hAnsi="Times New Roman" w:cs="Times New Roman"/>
          <w:color w:val="000000" w:themeColor="text1"/>
        </w:rPr>
        <w:t>: Monthly water bills and usage metrics; guest feedback on water-saving initiatives.</w:t>
      </w:r>
    </w:p>
    <w:p w14:paraId="44DA6D22" w14:textId="7E034659" w:rsidR="062D9DC6" w:rsidRPr="00AF3C60" w:rsidRDefault="062D9DC6" w:rsidP="00AF3C60">
      <w:pPr>
        <w:pStyle w:val="ListParagraph"/>
        <w:numPr>
          <w:ilvl w:val="0"/>
          <w:numId w:val="20"/>
        </w:numPr>
        <w:spacing w:before="240" w:after="240" w:line="360" w:lineRule="auto"/>
        <w:jc w:val="both"/>
        <w:rPr>
          <w:rFonts w:ascii="Times New Roman" w:eastAsia="Aptos" w:hAnsi="Times New Roman" w:cs="Times New Roman"/>
          <w:b/>
          <w:bCs/>
          <w:color w:val="000000" w:themeColor="text1"/>
        </w:rPr>
      </w:pPr>
      <w:r w:rsidRPr="00AF3C60">
        <w:rPr>
          <w:rFonts w:ascii="Times New Roman" w:eastAsia="Aptos" w:hAnsi="Times New Roman" w:cs="Times New Roman"/>
          <w:b/>
          <w:bCs/>
          <w:color w:val="000000" w:themeColor="text1"/>
        </w:rPr>
        <w:t>Waste Reduction and Recycling</w:t>
      </w:r>
    </w:p>
    <w:p w14:paraId="26CD2C5F" w14:textId="0A670D38" w:rsidR="062D9DC6" w:rsidRPr="00AF3C60" w:rsidRDefault="062D9DC6" w:rsidP="00AF3C60">
      <w:pPr>
        <w:pStyle w:val="ListParagraph"/>
        <w:numPr>
          <w:ilvl w:val="1"/>
          <w:numId w:val="20"/>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KPIs</w:t>
      </w:r>
      <w:r w:rsidRPr="00AF3C60">
        <w:rPr>
          <w:rFonts w:ascii="Times New Roman" w:eastAsia="Aptos" w:hAnsi="Times New Roman" w:cs="Times New Roman"/>
          <w:color w:val="000000" w:themeColor="text1"/>
        </w:rPr>
        <w:t>: Reduction in non-recyclable waste volume, increase in recycling rates.</w:t>
      </w:r>
    </w:p>
    <w:p w14:paraId="708B293F" w14:textId="0000F5F0" w:rsidR="062D9DC6" w:rsidRPr="00AF3C60" w:rsidRDefault="062D9DC6" w:rsidP="00AF3C60">
      <w:pPr>
        <w:pStyle w:val="ListParagraph"/>
        <w:numPr>
          <w:ilvl w:val="1"/>
          <w:numId w:val="20"/>
        </w:numPr>
        <w:spacing w:after="0"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b/>
          <w:bCs/>
          <w:color w:val="000000" w:themeColor="text1"/>
        </w:rPr>
        <w:t>Monitoring</w:t>
      </w:r>
      <w:r w:rsidRPr="00AF3C60">
        <w:rPr>
          <w:rFonts w:ascii="Times New Roman" w:eastAsia="Aptos" w:hAnsi="Times New Roman" w:cs="Times New Roman"/>
          <w:color w:val="000000" w:themeColor="text1"/>
        </w:rPr>
        <w:t>: Monthly waste audits, regular checks on staff compliance with recycling protocols.</w:t>
      </w:r>
    </w:p>
    <w:p w14:paraId="51BF44EC" w14:textId="2484D37A" w:rsidR="43535B51" w:rsidRPr="00AF3C60" w:rsidRDefault="4D24E4DE" w:rsidP="00AF3C60">
      <w:pPr>
        <w:pStyle w:val="Heading3"/>
        <w:spacing w:before="281" w:after="281" w:line="360" w:lineRule="auto"/>
        <w:jc w:val="both"/>
        <w:rPr>
          <w:rFonts w:ascii="Times New Roman" w:hAnsi="Times New Roman" w:cs="Times New Roman"/>
          <w:color w:val="000000" w:themeColor="text1"/>
          <w:sz w:val="24"/>
          <w:szCs w:val="24"/>
        </w:rPr>
      </w:pPr>
      <w:bookmarkStart w:id="13" w:name="_Toc182344136"/>
      <w:r w:rsidRPr="00AF3C60">
        <w:rPr>
          <w:rFonts w:ascii="Times New Roman" w:eastAsia="Aptos" w:hAnsi="Times New Roman" w:cs="Times New Roman"/>
          <w:b/>
          <w:bCs/>
          <w:color w:val="000000" w:themeColor="text1"/>
          <w:sz w:val="24"/>
          <w:szCs w:val="24"/>
        </w:rPr>
        <w:t>Conclusion</w:t>
      </w:r>
      <w:bookmarkEnd w:id="13"/>
    </w:p>
    <w:p w14:paraId="4F4CF374" w14:textId="3898C84B" w:rsidR="43535B51" w:rsidRPr="00AF3C60" w:rsidRDefault="4D24E4DE" w:rsidP="00AF3C60">
      <w:pPr>
        <w:spacing w:before="240" w:after="240" w:line="360" w:lineRule="auto"/>
        <w:jc w:val="both"/>
        <w:rPr>
          <w:rFonts w:ascii="Times New Roman" w:hAnsi="Times New Roman" w:cs="Times New Roman"/>
          <w:color w:val="000000" w:themeColor="text1"/>
        </w:rPr>
      </w:pPr>
      <w:r w:rsidRPr="00AF3C60">
        <w:rPr>
          <w:rFonts w:ascii="Times New Roman" w:eastAsia="Aptos" w:hAnsi="Times New Roman" w:cs="Times New Roman"/>
          <w:color w:val="000000" w:themeColor="text1"/>
        </w:rPr>
        <w:t>The analysis of Burj Al Arab's operational landscape reveals key areas where strategic improvements can secure its leadership in the luxury hospitality sector. Through enhanced digital engagement, sustainability initiatives, and continuous staff training, the hotel can align itself with modern guest expectations and industry trends. By learning from successful practices at industry leaders like Marriott, Hilton, and Six Senses, Burj Al Arab can confidently adopt proven solutions. Implementing these strategies promises greater guest satisfaction, operational efficiency, and long-term sustainability, ensuring its competitive edge in Dubai’s high-end market.</w:t>
      </w:r>
    </w:p>
    <w:p w14:paraId="4068E5BB" w14:textId="69666050" w:rsidR="43535B51" w:rsidRPr="00AF3C60" w:rsidRDefault="43535B51" w:rsidP="00AF3C60">
      <w:pPr>
        <w:spacing w:line="360" w:lineRule="auto"/>
        <w:jc w:val="both"/>
        <w:rPr>
          <w:rFonts w:ascii="Times New Roman" w:eastAsia="Aptos" w:hAnsi="Times New Roman" w:cs="Times New Roman"/>
          <w:color w:val="000000" w:themeColor="text1"/>
        </w:rPr>
      </w:pPr>
    </w:p>
    <w:p w14:paraId="300DF8C8" w14:textId="77777777" w:rsidR="00AF3C60" w:rsidRPr="00AF3C60" w:rsidRDefault="00AF3C60" w:rsidP="00AF3C60">
      <w:pPr>
        <w:spacing w:line="360" w:lineRule="auto"/>
        <w:jc w:val="both"/>
        <w:rPr>
          <w:rFonts w:ascii="Times New Roman" w:eastAsia="Aptos" w:hAnsi="Times New Roman" w:cs="Times New Roman"/>
          <w:color w:val="000000" w:themeColor="text1"/>
        </w:rPr>
      </w:pPr>
    </w:p>
    <w:p w14:paraId="65D053FE" w14:textId="77777777" w:rsidR="00AF3C60" w:rsidRPr="00AF3C60" w:rsidRDefault="00AF3C60" w:rsidP="00AF3C60">
      <w:pPr>
        <w:spacing w:line="360" w:lineRule="auto"/>
        <w:jc w:val="both"/>
        <w:rPr>
          <w:rFonts w:ascii="Times New Roman" w:eastAsia="Aptos" w:hAnsi="Times New Roman" w:cs="Times New Roman"/>
          <w:color w:val="000000" w:themeColor="text1"/>
        </w:rPr>
      </w:pPr>
    </w:p>
    <w:p w14:paraId="6157AFE3" w14:textId="77777777" w:rsidR="004F46CE" w:rsidRDefault="004F46CE" w:rsidP="004F46CE">
      <w:pPr>
        <w:spacing w:line="360" w:lineRule="auto"/>
        <w:jc w:val="both"/>
        <w:rPr>
          <w:rFonts w:ascii="Times New Roman" w:eastAsia="Aptos" w:hAnsi="Times New Roman" w:cs="Times New Roman"/>
          <w:color w:val="000000" w:themeColor="text1"/>
        </w:rPr>
      </w:pPr>
    </w:p>
    <w:p w14:paraId="2F6E5D59" w14:textId="77777777" w:rsidR="004F46CE" w:rsidRDefault="004F46CE" w:rsidP="004F46CE">
      <w:pPr>
        <w:spacing w:line="360" w:lineRule="auto"/>
        <w:jc w:val="both"/>
        <w:rPr>
          <w:rFonts w:ascii="Times New Roman" w:eastAsia="Aptos" w:hAnsi="Times New Roman" w:cs="Times New Roman"/>
          <w:color w:val="000000" w:themeColor="text1"/>
        </w:rPr>
      </w:pPr>
    </w:p>
    <w:p w14:paraId="708B6FB9" w14:textId="77777777" w:rsidR="004F46CE" w:rsidRDefault="004F46CE" w:rsidP="004F46CE">
      <w:pPr>
        <w:spacing w:line="360" w:lineRule="auto"/>
        <w:jc w:val="both"/>
        <w:rPr>
          <w:rFonts w:ascii="Times New Roman" w:eastAsia="Aptos" w:hAnsi="Times New Roman" w:cs="Times New Roman"/>
          <w:color w:val="000000" w:themeColor="text1"/>
        </w:rPr>
      </w:pPr>
    </w:p>
    <w:p w14:paraId="24C21EC5" w14:textId="77777777" w:rsidR="004F46CE" w:rsidRDefault="004F46CE" w:rsidP="004F46CE">
      <w:pPr>
        <w:spacing w:line="360" w:lineRule="auto"/>
        <w:jc w:val="both"/>
        <w:rPr>
          <w:rFonts w:ascii="Times New Roman" w:eastAsia="Aptos" w:hAnsi="Times New Roman" w:cs="Times New Roman"/>
          <w:color w:val="000000" w:themeColor="text1"/>
        </w:rPr>
      </w:pPr>
    </w:p>
    <w:p w14:paraId="51C5DCFB" w14:textId="77777777" w:rsidR="004F46CE" w:rsidRDefault="004F46CE" w:rsidP="004F46CE">
      <w:pPr>
        <w:spacing w:line="360" w:lineRule="auto"/>
        <w:jc w:val="both"/>
        <w:rPr>
          <w:rFonts w:ascii="Times New Roman" w:eastAsia="Aptos" w:hAnsi="Times New Roman" w:cs="Times New Roman"/>
          <w:color w:val="000000" w:themeColor="text1"/>
        </w:rPr>
      </w:pPr>
    </w:p>
    <w:p w14:paraId="367A9568" w14:textId="77777777" w:rsidR="009C0531" w:rsidRDefault="009C0531" w:rsidP="004F46CE">
      <w:pPr>
        <w:spacing w:line="360" w:lineRule="auto"/>
        <w:jc w:val="both"/>
        <w:rPr>
          <w:rFonts w:ascii="Times New Roman" w:eastAsia="Aptos" w:hAnsi="Times New Roman" w:cs="Times New Roman"/>
          <w:color w:val="000000" w:themeColor="text1"/>
        </w:rPr>
      </w:pPr>
    </w:p>
    <w:p w14:paraId="1F0A8BBD" w14:textId="77777777" w:rsidR="009C0531" w:rsidRDefault="009C0531" w:rsidP="004F46CE">
      <w:pPr>
        <w:spacing w:line="360" w:lineRule="auto"/>
        <w:jc w:val="both"/>
        <w:rPr>
          <w:rFonts w:ascii="Times New Roman" w:eastAsia="Aptos" w:hAnsi="Times New Roman" w:cs="Times New Roman"/>
          <w:color w:val="000000" w:themeColor="text1"/>
        </w:rPr>
      </w:pPr>
    </w:p>
    <w:p w14:paraId="6C5EC5E9" w14:textId="77777777" w:rsidR="009C0531" w:rsidRDefault="009C0531" w:rsidP="004F46CE">
      <w:pPr>
        <w:spacing w:line="360" w:lineRule="auto"/>
        <w:jc w:val="both"/>
        <w:rPr>
          <w:rFonts w:ascii="Times New Roman" w:eastAsia="Aptos" w:hAnsi="Times New Roman" w:cs="Times New Roman"/>
          <w:color w:val="000000" w:themeColor="text1"/>
        </w:rPr>
      </w:pPr>
    </w:p>
    <w:p w14:paraId="4F423B74" w14:textId="729F8283" w:rsidR="004F46CE" w:rsidRPr="004F46CE" w:rsidRDefault="4D24E4DE" w:rsidP="004F46CE">
      <w:pPr>
        <w:spacing w:line="360" w:lineRule="auto"/>
        <w:jc w:val="both"/>
        <w:rPr>
          <w:rFonts w:ascii="Times New Roman" w:eastAsia="Aptos" w:hAnsi="Times New Roman" w:cs="Times New Roman"/>
          <w:color w:val="000000" w:themeColor="text1"/>
        </w:rPr>
      </w:pPr>
      <w:r w:rsidRPr="00AF3C60">
        <w:rPr>
          <w:rFonts w:ascii="Times New Roman" w:eastAsia="Aptos" w:hAnsi="Times New Roman" w:cs="Times New Roman"/>
          <w:color w:val="000000" w:themeColor="text1"/>
        </w:rPr>
        <w:lastRenderedPageBreak/>
        <w:t xml:space="preserve">References </w:t>
      </w:r>
    </w:p>
    <w:p w14:paraId="3AEFB4B9" w14:textId="159DD9CA" w:rsidR="004F46CE" w:rsidRPr="00AF3C60" w:rsidRDefault="004F46CE" w:rsidP="00AF3C60">
      <w:pPr>
        <w:spacing w:before="240" w:after="240" w:line="360" w:lineRule="auto"/>
        <w:jc w:val="both"/>
        <w:rPr>
          <w:rFonts w:ascii="Times New Roman" w:hAnsi="Times New Roman" w:cs="Times New Roman"/>
          <w:color w:val="000000" w:themeColor="text1"/>
        </w:rPr>
      </w:pPr>
      <w:r w:rsidRPr="00AF3C60">
        <w:rPr>
          <w:rFonts w:ascii="Times New Roman" w:eastAsia="Calibri" w:hAnsi="Times New Roman" w:cs="Times New Roman"/>
          <w:color w:val="000000" w:themeColor="text1"/>
        </w:rPr>
        <w:t xml:space="preserve">‌Cao, A., Shi, F., and Bai, B. (2022) International Journal of Contemporary Hospitality Management, 34(8). Available at: </w:t>
      </w:r>
      <w:hyperlink r:id="rId7">
        <w:r w:rsidRPr="00AF3C60">
          <w:rPr>
            <w:rStyle w:val="Hyperlink"/>
            <w:rFonts w:ascii="Times New Roman" w:eastAsia="Calibri" w:hAnsi="Times New Roman" w:cs="Times New Roman"/>
            <w:color w:val="000000" w:themeColor="text1"/>
          </w:rPr>
          <w:t>https://www.emerald.com/insight/content/doi/10.1108/IJCHM-11-2021-1443/full/html</w:t>
        </w:r>
      </w:hyperlink>
      <w:r w:rsidRPr="00AF3C60">
        <w:rPr>
          <w:rFonts w:ascii="Times New Roman" w:eastAsia="Calibri" w:hAnsi="Times New Roman" w:cs="Times New Roman"/>
          <w:color w:val="000000" w:themeColor="text1"/>
        </w:rPr>
        <w:t xml:space="preserve"> (Accessed: 31 October 2024).</w:t>
      </w:r>
    </w:p>
    <w:p w14:paraId="18F4E00C" w14:textId="77777777" w:rsidR="004F46CE" w:rsidRPr="00AF3C60" w:rsidRDefault="004F46CE" w:rsidP="00AF3C60">
      <w:pPr>
        <w:spacing w:after="0" w:line="360" w:lineRule="auto"/>
        <w:jc w:val="both"/>
        <w:rPr>
          <w:rFonts w:ascii="Times New Roman" w:hAnsi="Times New Roman" w:cs="Times New Roman"/>
          <w:color w:val="000000" w:themeColor="text1"/>
        </w:rPr>
      </w:pPr>
      <w:r w:rsidRPr="00AF3C60">
        <w:rPr>
          <w:rFonts w:ascii="Times New Roman" w:eastAsia="Calibri" w:hAnsi="Times New Roman" w:cs="Times New Roman"/>
          <w:color w:val="000000" w:themeColor="text1"/>
        </w:rPr>
        <w:t xml:space="preserve">‌ CBI (2018). </w:t>
      </w:r>
      <w:r w:rsidRPr="00AF3C60">
        <w:rPr>
          <w:rFonts w:ascii="Times New Roman" w:eastAsia="Calibri" w:hAnsi="Times New Roman" w:cs="Times New Roman"/>
          <w:i/>
          <w:iCs/>
          <w:color w:val="000000" w:themeColor="text1"/>
        </w:rPr>
        <w:t>CBI Homepage | CBI</w:t>
      </w:r>
      <w:r w:rsidRPr="00AF3C60">
        <w:rPr>
          <w:rFonts w:ascii="Times New Roman" w:eastAsia="Calibri" w:hAnsi="Times New Roman" w:cs="Times New Roman"/>
          <w:color w:val="000000" w:themeColor="text1"/>
        </w:rPr>
        <w:t xml:space="preserve">. [online] CBI. Available at: </w:t>
      </w:r>
      <w:hyperlink r:id="rId8">
        <w:r w:rsidRPr="00AF3C60">
          <w:rPr>
            <w:rStyle w:val="Hyperlink"/>
            <w:rFonts w:ascii="Times New Roman" w:eastAsia="Calibri" w:hAnsi="Times New Roman" w:cs="Times New Roman"/>
            <w:color w:val="000000" w:themeColor="text1"/>
          </w:rPr>
          <w:t>https://www.cbi.org.uk/</w:t>
        </w:r>
      </w:hyperlink>
      <w:r w:rsidRPr="00AF3C60">
        <w:rPr>
          <w:rFonts w:ascii="Times New Roman" w:eastAsia="Calibri" w:hAnsi="Times New Roman" w:cs="Times New Roman"/>
          <w:color w:val="000000" w:themeColor="text1"/>
        </w:rPr>
        <w:t>. [Accessed 31 Oct. 2024].</w:t>
      </w:r>
    </w:p>
    <w:p w14:paraId="0543E0BD" w14:textId="77777777" w:rsidR="004F46CE" w:rsidRPr="00AF3C60" w:rsidRDefault="004F46CE" w:rsidP="00AF3C60">
      <w:pPr>
        <w:spacing w:after="0" w:line="360" w:lineRule="auto"/>
        <w:jc w:val="both"/>
        <w:rPr>
          <w:rFonts w:ascii="Times New Roman" w:hAnsi="Times New Roman" w:cs="Times New Roman"/>
          <w:color w:val="000000" w:themeColor="text1"/>
        </w:rPr>
      </w:pPr>
      <w:r w:rsidRPr="00AF3C60">
        <w:rPr>
          <w:rFonts w:ascii="Times New Roman" w:eastAsia="Calibri" w:hAnsi="Times New Roman" w:cs="Times New Roman"/>
          <w:color w:val="000000" w:themeColor="text1"/>
        </w:rPr>
        <w:t xml:space="preserve">‌ Google Books. (2024). </w:t>
      </w:r>
      <w:r w:rsidRPr="00AF3C60">
        <w:rPr>
          <w:rFonts w:ascii="Times New Roman" w:eastAsia="Calibri" w:hAnsi="Times New Roman" w:cs="Times New Roman"/>
          <w:i/>
          <w:iCs/>
          <w:color w:val="000000" w:themeColor="text1"/>
        </w:rPr>
        <w:t>The Project Workout</w:t>
      </w:r>
      <w:r w:rsidRPr="00AF3C60">
        <w:rPr>
          <w:rFonts w:ascii="Times New Roman" w:eastAsia="Calibri" w:hAnsi="Times New Roman" w:cs="Times New Roman"/>
          <w:color w:val="000000" w:themeColor="text1"/>
        </w:rPr>
        <w:t xml:space="preserve">. [online] Available at: </w:t>
      </w:r>
      <w:hyperlink r:id="rId9">
        <w:r w:rsidRPr="00AF3C60">
          <w:rPr>
            <w:rStyle w:val="Hyperlink"/>
            <w:rFonts w:ascii="Times New Roman" w:eastAsia="Calibri" w:hAnsi="Times New Roman" w:cs="Times New Roman"/>
            <w:color w:val="000000" w:themeColor="text1"/>
          </w:rPr>
          <w:t>https://books.google.co.uk/books/about/The_Project_Workout.html?id=gaVcAgAAQBAJ&amp;redir_esc=y</w:t>
        </w:r>
      </w:hyperlink>
      <w:r w:rsidRPr="00AF3C60">
        <w:rPr>
          <w:rFonts w:ascii="Times New Roman" w:eastAsia="Calibri" w:hAnsi="Times New Roman" w:cs="Times New Roman"/>
          <w:color w:val="000000" w:themeColor="text1"/>
        </w:rPr>
        <w:t xml:space="preserve"> [Accessed 31 Oct. 2024].</w:t>
      </w:r>
    </w:p>
    <w:p w14:paraId="181164DD" w14:textId="77777777" w:rsidR="004F46CE" w:rsidRPr="00AF3C60" w:rsidRDefault="004F46CE" w:rsidP="00AF3C60">
      <w:pPr>
        <w:spacing w:before="240" w:after="240" w:line="360" w:lineRule="auto"/>
        <w:jc w:val="both"/>
        <w:rPr>
          <w:rFonts w:ascii="Times New Roman" w:hAnsi="Times New Roman" w:cs="Times New Roman"/>
          <w:color w:val="000000" w:themeColor="text1"/>
        </w:rPr>
      </w:pPr>
      <w:r w:rsidRPr="00AF3C60">
        <w:rPr>
          <w:rFonts w:ascii="Times New Roman" w:eastAsia="Calibri" w:hAnsi="Times New Roman" w:cs="Times New Roman"/>
          <w:color w:val="000000" w:themeColor="text1"/>
        </w:rPr>
        <w:t xml:space="preserve">‌ Hyatt (n.d.) Climate change and water conservation. Available at: </w:t>
      </w:r>
      <w:hyperlink r:id="rId10">
        <w:r w:rsidRPr="00AF3C60">
          <w:rPr>
            <w:rStyle w:val="Hyperlink"/>
            <w:rFonts w:ascii="Times New Roman" w:eastAsia="Calibri" w:hAnsi="Times New Roman" w:cs="Times New Roman"/>
            <w:color w:val="000000" w:themeColor="text1"/>
          </w:rPr>
          <w:t>https://world.hyatt.com/content/hyatt-about/en/world-of-care/caring-for-the-planet/climate-change-and-water-conservation.html</w:t>
        </w:r>
      </w:hyperlink>
      <w:r w:rsidRPr="00AF3C60">
        <w:rPr>
          <w:rFonts w:ascii="Times New Roman" w:eastAsia="Calibri" w:hAnsi="Times New Roman" w:cs="Times New Roman"/>
          <w:color w:val="000000" w:themeColor="text1"/>
        </w:rPr>
        <w:t xml:space="preserve"> (Accessed: 31 October 2024).</w:t>
      </w:r>
    </w:p>
    <w:p w14:paraId="6E574095" w14:textId="77777777" w:rsidR="004F46CE" w:rsidRPr="00AF3C60" w:rsidRDefault="004F46CE" w:rsidP="00AF3C60">
      <w:pPr>
        <w:spacing w:after="0" w:line="360" w:lineRule="auto"/>
        <w:jc w:val="both"/>
        <w:rPr>
          <w:rFonts w:ascii="Times New Roman" w:hAnsi="Times New Roman" w:cs="Times New Roman"/>
          <w:color w:val="000000" w:themeColor="text1"/>
        </w:rPr>
      </w:pPr>
      <w:r w:rsidRPr="00AF3C60">
        <w:rPr>
          <w:rFonts w:ascii="Times New Roman" w:eastAsia="Calibri" w:hAnsi="Times New Roman" w:cs="Times New Roman"/>
          <w:color w:val="000000" w:themeColor="text1"/>
        </w:rPr>
        <w:t xml:space="preserve">‌ MARRIOTT INTERNATIONAL Responsible Sourcing Guide. (n.d.). Available at: </w:t>
      </w:r>
      <w:hyperlink r:id="rId11">
        <w:r w:rsidRPr="00AF3C60">
          <w:rPr>
            <w:rStyle w:val="Hyperlink"/>
            <w:rFonts w:ascii="Times New Roman" w:eastAsia="Calibri" w:hAnsi="Times New Roman" w:cs="Times New Roman"/>
            <w:color w:val="000000" w:themeColor="text1"/>
          </w:rPr>
          <w:t>https://serve360.marriott.com/wp-content/uploads/2022/10/Marriott-Responsible_Sourcing_Guide_August-2021.pdf</w:t>
        </w:r>
      </w:hyperlink>
      <w:r w:rsidRPr="00AF3C60">
        <w:rPr>
          <w:rFonts w:ascii="Times New Roman" w:eastAsia="Calibri" w:hAnsi="Times New Roman" w:cs="Times New Roman"/>
          <w:color w:val="000000" w:themeColor="text1"/>
        </w:rPr>
        <w:t>.</w:t>
      </w:r>
    </w:p>
    <w:p w14:paraId="4D0F5EB0" w14:textId="77777777" w:rsidR="004F46CE" w:rsidRDefault="004F46CE" w:rsidP="00AF3C60">
      <w:pPr>
        <w:spacing w:after="0" w:line="360" w:lineRule="auto"/>
        <w:jc w:val="both"/>
        <w:rPr>
          <w:rFonts w:ascii="Times New Roman" w:eastAsia="Calibri" w:hAnsi="Times New Roman" w:cs="Times New Roman"/>
          <w:color w:val="000000" w:themeColor="text1"/>
        </w:rPr>
      </w:pPr>
      <w:r w:rsidRPr="00AF3C60">
        <w:rPr>
          <w:rFonts w:ascii="Times New Roman" w:eastAsia="Calibri" w:hAnsi="Times New Roman" w:cs="Times New Roman"/>
          <w:color w:val="000000" w:themeColor="text1"/>
        </w:rPr>
        <w:t>‌</w:t>
      </w:r>
    </w:p>
    <w:p w14:paraId="24558D37" w14:textId="645FDF88" w:rsidR="004F46CE" w:rsidRPr="00AF3C60" w:rsidRDefault="004F46CE" w:rsidP="00AF3C60">
      <w:pPr>
        <w:spacing w:after="0" w:line="360" w:lineRule="auto"/>
        <w:jc w:val="both"/>
        <w:rPr>
          <w:rFonts w:ascii="Times New Roman" w:hAnsi="Times New Roman" w:cs="Times New Roman"/>
          <w:color w:val="000000" w:themeColor="text1"/>
        </w:rPr>
      </w:pPr>
      <w:r w:rsidRPr="00AF3C60">
        <w:rPr>
          <w:rFonts w:ascii="Times New Roman" w:eastAsia="Calibri" w:hAnsi="Times New Roman" w:cs="Times New Roman"/>
          <w:color w:val="000000" w:themeColor="text1"/>
        </w:rPr>
        <w:t xml:space="preserve">Martin, A. (2020). </w:t>
      </w:r>
      <w:r w:rsidRPr="00AF3C60">
        <w:rPr>
          <w:rFonts w:ascii="Times New Roman" w:eastAsia="Calibri" w:hAnsi="Times New Roman" w:cs="Times New Roman"/>
          <w:i/>
          <w:iCs/>
          <w:color w:val="000000" w:themeColor="text1"/>
        </w:rPr>
        <w:t>Is the Four Seasons Chat App the Future of Luxury Hotel Service?</w:t>
      </w:r>
      <w:r w:rsidRPr="00AF3C60">
        <w:rPr>
          <w:rFonts w:ascii="Times New Roman" w:eastAsia="Calibri" w:hAnsi="Times New Roman" w:cs="Times New Roman"/>
          <w:color w:val="000000" w:themeColor="text1"/>
        </w:rPr>
        <w:t xml:space="preserve"> [online] Elite Traveler. Available at: </w:t>
      </w:r>
      <w:hyperlink r:id="rId12">
        <w:r w:rsidRPr="00AF3C60">
          <w:rPr>
            <w:rStyle w:val="Hyperlink"/>
            <w:rFonts w:ascii="Times New Roman" w:eastAsia="Calibri" w:hAnsi="Times New Roman" w:cs="Times New Roman"/>
            <w:color w:val="000000" w:themeColor="text1"/>
          </w:rPr>
          <w:t>https://elitetraveler.com/travel/hotel-news/four-seasons-chat-app-luxury-hotel-service</w:t>
        </w:r>
      </w:hyperlink>
      <w:r w:rsidRPr="00AF3C60">
        <w:rPr>
          <w:rFonts w:ascii="Times New Roman" w:eastAsia="Calibri" w:hAnsi="Times New Roman" w:cs="Times New Roman"/>
          <w:color w:val="000000" w:themeColor="text1"/>
        </w:rPr>
        <w:t>.</w:t>
      </w:r>
    </w:p>
    <w:p w14:paraId="161B52A2" w14:textId="77777777" w:rsidR="004F46CE" w:rsidRDefault="004F46CE" w:rsidP="00AF3C60">
      <w:pPr>
        <w:spacing w:after="0" w:line="360" w:lineRule="auto"/>
        <w:jc w:val="both"/>
        <w:rPr>
          <w:rFonts w:ascii="Times New Roman" w:eastAsia="Calibri" w:hAnsi="Times New Roman" w:cs="Times New Roman"/>
          <w:color w:val="000000" w:themeColor="text1"/>
        </w:rPr>
      </w:pPr>
      <w:r w:rsidRPr="00AF3C60">
        <w:rPr>
          <w:rFonts w:ascii="Times New Roman" w:eastAsia="Calibri" w:hAnsi="Times New Roman" w:cs="Times New Roman"/>
          <w:color w:val="000000" w:themeColor="text1"/>
        </w:rPr>
        <w:t>‌</w:t>
      </w:r>
    </w:p>
    <w:p w14:paraId="01173ED7" w14:textId="48DB09FF" w:rsidR="004F46CE" w:rsidRPr="00AF3C60" w:rsidRDefault="004F46CE" w:rsidP="00AF3C60">
      <w:pPr>
        <w:spacing w:after="0" w:line="360" w:lineRule="auto"/>
        <w:jc w:val="both"/>
        <w:rPr>
          <w:rFonts w:ascii="Times New Roman" w:hAnsi="Times New Roman" w:cs="Times New Roman"/>
          <w:color w:val="000000" w:themeColor="text1"/>
        </w:rPr>
      </w:pPr>
      <w:r w:rsidRPr="00AF3C60">
        <w:rPr>
          <w:rFonts w:ascii="Times New Roman" w:eastAsia="Calibri" w:hAnsi="Times New Roman" w:cs="Times New Roman"/>
          <w:color w:val="000000" w:themeColor="text1"/>
        </w:rPr>
        <w:t xml:space="preserve">Maxwideman.com. (2015). </w:t>
      </w:r>
      <w:r w:rsidRPr="00AF3C60">
        <w:rPr>
          <w:rFonts w:ascii="Times New Roman" w:eastAsia="Calibri" w:hAnsi="Times New Roman" w:cs="Times New Roman"/>
          <w:i/>
          <w:iCs/>
          <w:color w:val="000000" w:themeColor="text1"/>
        </w:rPr>
        <w:t>Expert Project Management - Project Management of Hotel Opening Processes (Book Review)</w:t>
      </w:r>
      <w:r w:rsidRPr="00AF3C60">
        <w:rPr>
          <w:rFonts w:ascii="Times New Roman" w:eastAsia="Calibri" w:hAnsi="Times New Roman" w:cs="Times New Roman"/>
          <w:color w:val="000000" w:themeColor="text1"/>
        </w:rPr>
        <w:t xml:space="preserve">. [online] Available at: </w:t>
      </w:r>
      <w:hyperlink r:id="rId13">
        <w:r w:rsidRPr="00AF3C60">
          <w:rPr>
            <w:rStyle w:val="Hyperlink"/>
            <w:rFonts w:ascii="Times New Roman" w:eastAsia="Calibri" w:hAnsi="Times New Roman" w:cs="Times New Roman"/>
            <w:color w:val="000000" w:themeColor="text1"/>
          </w:rPr>
          <w:t>http://www.maxwideman.com/papers/hotel/intro.htm</w:t>
        </w:r>
      </w:hyperlink>
      <w:r w:rsidRPr="00AF3C60">
        <w:rPr>
          <w:rFonts w:ascii="Times New Roman" w:eastAsia="Calibri" w:hAnsi="Times New Roman" w:cs="Times New Roman"/>
          <w:color w:val="000000" w:themeColor="text1"/>
        </w:rPr>
        <w:t xml:space="preserve"> [Accessed 31 Oct. 2024].</w:t>
      </w:r>
    </w:p>
    <w:p w14:paraId="73D278FF" w14:textId="77777777" w:rsidR="004F46CE" w:rsidRPr="00AF3C60" w:rsidRDefault="004F46CE" w:rsidP="00AF3C60">
      <w:pPr>
        <w:spacing w:before="240" w:after="240" w:line="360" w:lineRule="auto"/>
        <w:jc w:val="both"/>
        <w:rPr>
          <w:rFonts w:ascii="Times New Roman" w:hAnsi="Times New Roman" w:cs="Times New Roman"/>
          <w:color w:val="000000" w:themeColor="text1"/>
        </w:rPr>
      </w:pPr>
      <w:r w:rsidRPr="00AF3C60">
        <w:rPr>
          <w:rFonts w:ascii="Times New Roman" w:eastAsia="Calibri" w:hAnsi="Times New Roman" w:cs="Times New Roman"/>
          <w:color w:val="000000" w:themeColor="text1"/>
        </w:rPr>
        <w:t xml:space="preserve">‌ O’Mahoney, J. (2021). How Small Consultancies Grow: Challenging Problem-Based </w:t>
      </w:r>
      <w:proofErr w:type="spellStart"/>
      <w:r w:rsidRPr="00AF3C60">
        <w:rPr>
          <w:rFonts w:ascii="Times New Roman" w:eastAsia="Calibri" w:hAnsi="Times New Roman" w:cs="Times New Roman"/>
          <w:color w:val="000000" w:themeColor="text1"/>
        </w:rPr>
        <w:t>Theorising</w:t>
      </w:r>
      <w:proofErr w:type="spellEnd"/>
      <w:r w:rsidRPr="00AF3C60">
        <w:rPr>
          <w:rFonts w:ascii="Times New Roman" w:eastAsia="Calibri" w:hAnsi="Times New Roman" w:cs="Times New Roman"/>
          <w:color w:val="000000" w:themeColor="text1"/>
        </w:rPr>
        <w:t>. Management Consulting Journal, 4(1), 5–204</w:t>
      </w:r>
    </w:p>
    <w:p w14:paraId="6C78C5FF" w14:textId="313DBFE8" w:rsidR="004F46CE" w:rsidRPr="00AF3C60" w:rsidRDefault="004F46CE" w:rsidP="00AF3C60">
      <w:pPr>
        <w:spacing w:before="240" w:after="240" w:line="360" w:lineRule="auto"/>
        <w:jc w:val="both"/>
        <w:rPr>
          <w:rFonts w:ascii="Times New Roman" w:hAnsi="Times New Roman" w:cs="Times New Roman"/>
          <w:color w:val="000000" w:themeColor="text1"/>
        </w:rPr>
      </w:pPr>
      <w:r w:rsidRPr="00AF3C60">
        <w:rPr>
          <w:rFonts w:ascii="Times New Roman" w:eastAsia="Calibri" w:hAnsi="Times New Roman" w:cs="Times New Roman"/>
          <w:color w:val="000000" w:themeColor="text1"/>
        </w:rPr>
        <w:t xml:space="preserve">‌Subramaniam, Collier, P., </w:t>
      </w:r>
      <w:proofErr w:type="spellStart"/>
      <w:r w:rsidRPr="00AF3C60">
        <w:rPr>
          <w:rFonts w:ascii="Times New Roman" w:eastAsia="Calibri" w:hAnsi="Times New Roman" w:cs="Times New Roman"/>
          <w:color w:val="000000" w:themeColor="text1"/>
        </w:rPr>
        <w:t>Phang</w:t>
      </w:r>
      <w:proofErr w:type="spellEnd"/>
      <w:r w:rsidRPr="00AF3C60">
        <w:rPr>
          <w:rFonts w:ascii="Times New Roman" w:eastAsia="Calibri" w:hAnsi="Times New Roman" w:cs="Times New Roman"/>
          <w:color w:val="000000" w:themeColor="text1"/>
        </w:rPr>
        <w:t xml:space="preserve">, M., &amp; Burke, G. (2011). The effects of perceived business uncertainty, external consultants and risk management on </w:t>
      </w:r>
      <w:proofErr w:type="spellStart"/>
      <w:r w:rsidRPr="00AF3C60">
        <w:rPr>
          <w:rFonts w:ascii="Times New Roman" w:eastAsia="Calibri" w:hAnsi="Times New Roman" w:cs="Times New Roman"/>
          <w:color w:val="000000" w:themeColor="text1"/>
        </w:rPr>
        <w:t>organisational</w:t>
      </w:r>
      <w:proofErr w:type="spellEnd"/>
      <w:r w:rsidRPr="00AF3C60">
        <w:rPr>
          <w:rFonts w:ascii="Times New Roman" w:eastAsia="Calibri" w:hAnsi="Times New Roman" w:cs="Times New Roman"/>
          <w:color w:val="000000" w:themeColor="text1"/>
        </w:rPr>
        <w:t xml:space="preserve"> outcomes. Journal of Accounting &amp; Organizational Change, 7(2), 132–157.</w:t>
      </w:r>
    </w:p>
    <w:p w14:paraId="7050BAA6" w14:textId="653EFB4A" w:rsidR="004F46CE" w:rsidRPr="004F46CE" w:rsidRDefault="004F46CE" w:rsidP="00AF3C60">
      <w:pPr>
        <w:spacing w:after="0" w:line="360" w:lineRule="auto"/>
        <w:jc w:val="both"/>
        <w:rPr>
          <w:rFonts w:ascii="Times New Roman" w:eastAsia="Calibri" w:hAnsi="Times New Roman" w:cs="Times New Roman"/>
          <w:i/>
          <w:iCs/>
          <w:color w:val="000000" w:themeColor="text1"/>
        </w:rPr>
      </w:pPr>
      <w:proofErr w:type="spellStart"/>
      <w:r w:rsidRPr="00AF3C60">
        <w:rPr>
          <w:rFonts w:ascii="Times New Roman" w:eastAsia="Calibri" w:hAnsi="Times New Roman" w:cs="Times New Roman"/>
          <w:color w:val="000000" w:themeColor="text1"/>
        </w:rPr>
        <w:lastRenderedPageBreak/>
        <w:t>Acampora</w:t>
      </w:r>
      <w:proofErr w:type="spellEnd"/>
      <w:r w:rsidRPr="00AF3C60">
        <w:rPr>
          <w:rFonts w:ascii="Times New Roman" w:eastAsia="Calibri" w:hAnsi="Times New Roman" w:cs="Times New Roman"/>
          <w:color w:val="000000" w:themeColor="text1"/>
        </w:rPr>
        <w:t xml:space="preserve">, A., </w:t>
      </w:r>
      <w:proofErr w:type="spellStart"/>
      <w:r w:rsidRPr="00AF3C60">
        <w:rPr>
          <w:rFonts w:ascii="Times New Roman" w:eastAsia="Calibri" w:hAnsi="Times New Roman" w:cs="Times New Roman"/>
          <w:color w:val="000000" w:themeColor="text1"/>
        </w:rPr>
        <w:t>Lucchetti</w:t>
      </w:r>
      <w:proofErr w:type="spellEnd"/>
      <w:r w:rsidRPr="00AF3C60">
        <w:rPr>
          <w:rFonts w:ascii="Times New Roman" w:eastAsia="Calibri" w:hAnsi="Times New Roman" w:cs="Times New Roman"/>
          <w:color w:val="000000" w:themeColor="text1"/>
        </w:rPr>
        <w:t xml:space="preserve">, M.C., </w:t>
      </w:r>
      <w:proofErr w:type="spellStart"/>
      <w:r w:rsidRPr="00AF3C60">
        <w:rPr>
          <w:rFonts w:ascii="Times New Roman" w:eastAsia="Calibri" w:hAnsi="Times New Roman" w:cs="Times New Roman"/>
          <w:color w:val="000000" w:themeColor="text1"/>
        </w:rPr>
        <w:t>Merli</w:t>
      </w:r>
      <w:proofErr w:type="spellEnd"/>
      <w:r w:rsidRPr="00AF3C60">
        <w:rPr>
          <w:rFonts w:ascii="Times New Roman" w:eastAsia="Calibri" w:hAnsi="Times New Roman" w:cs="Times New Roman"/>
          <w:color w:val="000000" w:themeColor="text1"/>
        </w:rPr>
        <w:t xml:space="preserve">, R. and Ali, F. (2022). The theoretical development and research methodology in green hotels research: A systematic literature review. </w:t>
      </w:r>
      <w:r w:rsidRPr="00AF3C60">
        <w:rPr>
          <w:rFonts w:ascii="Times New Roman" w:eastAsia="Calibri" w:hAnsi="Times New Roman" w:cs="Times New Roman"/>
          <w:i/>
          <w:iCs/>
          <w:color w:val="000000" w:themeColor="text1"/>
        </w:rPr>
        <w:t>Journal of Hospitality and Tourism Management</w:t>
      </w:r>
      <w:r w:rsidRPr="00AF3C60">
        <w:rPr>
          <w:rFonts w:ascii="Times New Roman" w:eastAsia="Calibri" w:hAnsi="Times New Roman" w:cs="Times New Roman"/>
          <w:color w:val="000000" w:themeColor="text1"/>
        </w:rPr>
        <w:t xml:space="preserve">, 51, pp.512–528. </w:t>
      </w:r>
      <w:proofErr w:type="spellStart"/>
      <w:proofErr w:type="gramStart"/>
      <w:r w:rsidRPr="00AF3C60">
        <w:rPr>
          <w:rFonts w:ascii="Times New Roman" w:eastAsia="Calibri" w:hAnsi="Times New Roman" w:cs="Times New Roman"/>
          <w:color w:val="000000" w:themeColor="text1"/>
        </w:rPr>
        <w:t>doi:https</w:t>
      </w:r>
      <w:proofErr w:type="spellEnd"/>
      <w:r w:rsidRPr="00AF3C60">
        <w:rPr>
          <w:rFonts w:ascii="Times New Roman" w:eastAsia="Calibri" w:hAnsi="Times New Roman" w:cs="Times New Roman"/>
          <w:color w:val="000000" w:themeColor="text1"/>
        </w:rPr>
        <w:t>://doi.org/10.1016/j.jhtm.2022.05.007</w:t>
      </w:r>
      <w:proofErr w:type="gramEnd"/>
      <w:r w:rsidRPr="00AF3C60">
        <w:rPr>
          <w:rFonts w:ascii="Times New Roman" w:eastAsia="Calibri" w:hAnsi="Times New Roman" w:cs="Times New Roman"/>
          <w:color w:val="000000" w:themeColor="text1"/>
        </w:rPr>
        <w:t>.</w:t>
      </w:r>
    </w:p>
    <w:p w14:paraId="4DB74F47" w14:textId="77777777" w:rsidR="004F46CE" w:rsidRDefault="004F46CE" w:rsidP="00AF3C60">
      <w:pPr>
        <w:spacing w:after="0" w:line="360" w:lineRule="auto"/>
        <w:jc w:val="both"/>
        <w:rPr>
          <w:rFonts w:ascii="Times New Roman" w:eastAsia="Calibri" w:hAnsi="Times New Roman" w:cs="Times New Roman"/>
          <w:color w:val="000000" w:themeColor="text1"/>
        </w:rPr>
      </w:pPr>
    </w:p>
    <w:p w14:paraId="64156B9D" w14:textId="28F803D2" w:rsidR="004F46CE" w:rsidRPr="00AF3C60" w:rsidRDefault="004F46CE" w:rsidP="00AF3C60">
      <w:pPr>
        <w:spacing w:after="0" w:line="360" w:lineRule="auto"/>
        <w:jc w:val="both"/>
        <w:rPr>
          <w:rFonts w:ascii="Times New Roman" w:hAnsi="Times New Roman" w:cs="Times New Roman"/>
          <w:color w:val="000000" w:themeColor="text1"/>
        </w:rPr>
      </w:pPr>
      <w:r w:rsidRPr="00AF3C60">
        <w:rPr>
          <w:rFonts w:ascii="Times New Roman" w:eastAsia="Calibri" w:hAnsi="Times New Roman" w:cs="Times New Roman"/>
          <w:color w:val="000000" w:themeColor="text1"/>
        </w:rPr>
        <w:t xml:space="preserve">ACAS (2023). </w:t>
      </w:r>
      <w:proofErr w:type="spellStart"/>
      <w:r w:rsidRPr="00AF3C60">
        <w:rPr>
          <w:rFonts w:ascii="Times New Roman" w:eastAsia="Calibri" w:hAnsi="Times New Roman" w:cs="Times New Roman"/>
          <w:i/>
          <w:iCs/>
          <w:color w:val="000000" w:themeColor="text1"/>
        </w:rPr>
        <w:t>Acas</w:t>
      </w:r>
      <w:proofErr w:type="spellEnd"/>
      <w:r w:rsidRPr="00AF3C60">
        <w:rPr>
          <w:rFonts w:ascii="Times New Roman" w:eastAsia="Calibri" w:hAnsi="Times New Roman" w:cs="Times New Roman"/>
          <w:i/>
          <w:iCs/>
          <w:color w:val="000000" w:themeColor="text1"/>
        </w:rPr>
        <w:t xml:space="preserve"> | Making working life better for everyone in Britain</w:t>
      </w:r>
      <w:r w:rsidRPr="00AF3C60">
        <w:rPr>
          <w:rFonts w:ascii="Times New Roman" w:eastAsia="Calibri" w:hAnsi="Times New Roman" w:cs="Times New Roman"/>
          <w:color w:val="000000" w:themeColor="text1"/>
        </w:rPr>
        <w:t xml:space="preserve">. [online] Acas.org.uk. Available at: </w:t>
      </w:r>
      <w:hyperlink r:id="rId14">
        <w:r w:rsidRPr="00AF3C60">
          <w:rPr>
            <w:rStyle w:val="Hyperlink"/>
            <w:rFonts w:ascii="Times New Roman" w:eastAsia="Calibri" w:hAnsi="Times New Roman" w:cs="Times New Roman"/>
            <w:color w:val="000000" w:themeColor="text1"/>
          </w:rPr>
          <w:t>https://www.acas.org.uk/</w:t>
        </w:r>
      </w:hyperlink>
      <w:r w:rsidRPr="00AF3C60">
        <w:rPr>
          <w:rFonts w:ascii="Times New Roman" w:eastAsia="Calibri" w:hAnsi="Times New Roman" w:cs="Times New Roman"/>
          <w:color w:val="000000" w:themeColor="text1"/>
        </w:rPr>
        <w:t>. [Accessed 31 Oct. 2024].</w:t>
      </w:r>
    </w:p>
    <w:p w14:paraId="44FA59D5" w14:textId="77777777" w:rsidR="004F46CE" w:rsidRDefault="004F46CE" w:rsidP="00AF3C60">
      <w:pPr>
        <w:spacing w:after="0" w:line="360" w:lineRule="auto"/>
        <w:jc w:val="both"/>
        <w:rPr>
          <w:rFonts w:ascii="Times New Roman" w:eastAsia="Calibri" w:hAnsi="Times New Roman" w:cs="Times New Roman"/>
          <w:color w:val="000000" w:themeColor="text1"/>
        </w:rPr>
      </w:pPr>
    </w:p>
    <w:p w14:paraId="24CE42E0" w14:textId="3C3B2B56" w:rsidR="004F46CE" w:rsidRPr="00AF3C60" w:rsidRDefault="004F46CE" w:rsidP="00AF3C60">
      <w:pPr>
        <w:spacing w:after="0" w:line="360" w:lineRule="auto"/>
        <w:jc w:val="both"/>
        <w:rPr>
          <w:rFonts w:ascii="Times New Roman" w:hAnsi="Times New Roman" w:cs="Times New Roman"/>
          <w:color w:val="000000" w:themeColor="text1"/>
        </w:rPr>
      </w:pPr>
      <w:proofErr w:type="spellStart"/>
      <w:r w:rsidRPr="00AF3C60">
        <w:rPr>
          <w:rFonts w:ascii="Times New Roman" w:eastAsia="Calibri" w:hAnsi="Times New Roman" w:cs="Times New Roman"/>
          <w:color w:val="000000" w:themeColor="text1"/>
        </w:rPr>
        <w:t>Alila</w:t>
      </w:r>
      <w:proofErr w:type="spellEnd"/>
      <w:r w:rsidRPr="00AF3C60">
        <w:rPr>
          <w:rFonts w:ascii="Times New Roman" w:eastAsia="Calibri" w:hAnsi="Times New Roman" w:cs="Times New Roman"/>
          <w:color w:val="000000" w:themeColor="text1"/>
        </w:rPr>
        <w:t xml:space="preserve"> Hotels. (n.d.). </w:t>
      </w:r>
      <w:r w:rsidRPr="00AF3C60">
        <w:rPr>
          <w:rFonts w:ascii="Times New Roman" w:eastAsia="Calibri" w:hAnsi="Times New Roman" w:cs="Times New Roman"/>
          <w:i/>
          <w:iCs/>
          <w:color w:val="000000" w:themeColor="text1"/>
        </w:rPr>
        <w:t xml:space="preserve">Philosophy &amp; Sustainable Tourism | </w:t>
      </w:r>
      <w:proofErr w:type="spellStart"/>
      <w:r w:rsidRPr="00AF3C60">
        <w:rPr>
          <w:rFonts w:ascii="Times New Roman" w:eastAsia="Calibri" w:hAnsi="Times New Roman" w:cs="Times New Roman"/>
          <w:i/>
          <w:iCs/>
          <w:color w:val="000000" w:themeColor="text1"/>
        </w:rPr>
        <w:t>Alila</w:t>
      </w:r>
      <w:proofErr w:type="spellEnd"/>
      <w:r w:rsidRPr="00AF3C60">
        <w:rPr>
          <w:rFonts w:ascii="Times New Roman" w:eastAsia="Calibri" w:hAnsi="Times New Roman" w:cs="Times New Roman"/>
          <w:i/>
          <w:iCs/>
          <w:color w:val="000000" w:themeColor="text1"/>
        </w:rPr>
        <w:t xml:space="preserve"> Hotels &amp; Resorts</w:t>
      </w:r>
      <w:r w:rsidRPr="00AF3C60">
        <w:rPr>
          <w:rFonts w:ascii="Times New Roman" w:eastAsia="Calibri" w:hAnsi="Times New Roman" w:cs="Times New Roman"/>
          <w:color w:val="000000" w:themeColor="text1"/>
        </w:rPr>
        <w:t xml:space="preserve">. [online] Available at: </w:t>
      </w:r>
      <w:hyperlink r:id="rId15">
        <w:r w:rsidRPr="00AF3C60">
          <w:rPr>
            <w:rStyle w:val="Hyperlink"/>
            <w:rFonts w:ascii="Times New Roman" w:eastAsia="Calibri" w:hAnsi="Times New Roman" w:cs="Times New Roman"/>
            <w:color w:val="000000" w:themeColor="text1"/>
          </w:rPr>
          <w:t>https://www.alilahotels.com/philosophy/</w:t>
        </w:r>
      </w:hyperlink>
      <w:r w:rsidRPr="00AF3C60">
        <w:rPr>
          <w:rFonts w:ascii="Times New Roman" w:eastAsia="Calibri" w:hAnsi="Times New Roman" w:cs="Times New Roman"/>
          <w:color w:val="000000" w:themeColor="text1"/>
        </w:rPr>
        <w:t>. [Accessed 31 Oct. 2024].</w:t>
      </w:r>
    </w:p>
    <w:p w14:paraId="17E840E0" w14:textId="77777777" w:rsidR="004F46CE" w:rsidRPr="00AF3C60" w:rsidRDefault="004F46CE" w:rsidP="00AF3C60">
      <w:pPr>
        <w:spacing w:before="240" w:after="240" w:line="360" w:lineRule="auto"/>
        <w:jc w:val="both"/>
        <w:rPr>
          <w:rFonts w:ascii="Times New Roman" w:hAnsi="Times New Roman" w:cs="Times New Roman"/>
          <w:color w:val="000000" w:themeColor="text1"/>
        </w:rPr>
      </w:pPr>
      <w:r w:rsidRPr="00AF3C60">
        <w:rPr>
          <w:rFonts w:ascii="Times New Roman" w:eastAsia="Calibri" w:hAnsi="Times New Roman" w:cs="Times New Roman"/>
          <w:color w:val="000000" w:themeColor="text1"/>
        </w:rPr>
        <w:t xml:space="preserve">‌Burnes, B. (2004). </w:t>
      </w:r>
      <w:r w:rsidRPr="00AF3C60">
        <w:rPr>
          <w:rFonts w:ascii="Times New Roman" w:eastAsia="Calibri" w:hAnsi="Times New Roman" w:cs="Times New Roman"/>
          <w:i/>
          <w:iCs/>
          <w:color w:val="000000" w:themeColor="text1"/>
        </w:rPr>
        <w:t xml:space="preserve">Managing Change: A Strategic Approach to </w:t>
      </w:r>
      <w:proofErr w:type="spellStart"/>
      <w:r w:rsidRPr="00AF3C60">
        <w:rPr>
          <w:rFonts w:ascii="Times New Roman" w:eastAsia="Calibri" w:hAnsi="Times New Roman" w:cs="Times New Roman"/>
          <w:i/>
          <w:iCs/>
          <w:color w:val="000000" w:themeColor="text1"/>
        </w:rPr>
        <w:t>Organisational</w:t>
      </w:r>
      <w:proofErr w:type="spellEnd"/>
      <w:r w:rsidRPr="00AF3C60">
        <w:rPr>
          <w:rFonts w:ascii="Times New Roman" w:eastAsia="Calibri" w:hAnsi="Times New Roman" w:cs="Times New Roman"/>
          <w:i/>
          <w:iCs/>
          <w:color w:val="000000" w:themeColor="text1"/>
        </w:rPr>
        <w:t xml:space="preserve"> Dynamics</w:t>
      </w:r>
      <w:r w:rsidRPr="00AF3C60">
        <w:rPr>
          <w:rFonts w:ascii="Times New Roman" w:eastAsia="Calibri" w:hAnsi="Times New Roman" w:cs="Times New Roman"/>
          <w:color w:val="000000" w:themeColor="text1"/>
        </w:rPr>
        <w:t xml:space="preserve">. [online] </w:t>
      </w:r>
      <w:r w:rsidRPr="00AF3C60">
        <w:rPr>
          <w:rFonts w:ascii="Times New Roman" w:eastAsia="Calibri" w:hAnsi="Times New Roman" w:cs="Times New Roman"/>
          <w:i/>
          <w:iCs/>
          <w:color w:val="000000" w:themeColor="text1"/>
        </w:rPr>
        <w:t>Google Books</w:t>
      </w:r>
      <w:r w:rsidRPr="00AF3C60">
        <w:rPr>
          <w:rFonts w:ascii="Times New Roman" w:eastAsia="Calibri" w:hAnsi="Times New Roman" w:cs="Times New Roman"/>
          <w:color w:val="000000" w:themeColor="text1"/>
        </w:rPr>
        <w:t xml:space="preserve">. Financial Times Prentice Hall. Available at: </w:t>
      </w:r>
      <w:hyperlink r:id="rId16">
        <w:r w:rsidRPr="00AF3C60">
          <w:rPr>
            <w:rStyle w:val="Hyperlink"/>
            <w:rFonts w:ascii="Times New Roman" w:eastAsia="Calibri" w:hAnsi="Times New Roman" w:cs="Times New Roman"/>
            <w:color w:val="000000" w:themeColor="text1"/>
          </w:rPr>
          <w:t>https://books.google.co.uk/books/about/Managing_Change.html?id=9J5Ri4xatEMC&amp;redir_esc=y</w:t>
        </w:r>
      </w:hyperlink>
      <w:r w:rsidRPr="00AF3C60">
        <w:rPr>
          <w:rFonts w:ascii="Times New Roman" w:eastAsia="Calibri" w:hAnsi="Times New Roman" w:cs="Times New Roman"/>
          <w:color w:val="000000" w:themeColor="text1"/>
        </w:rPr>
        <w:t>. [Accessed 31 Oct. 2024].</w:t>
      </w:r>
    </w:p>
    <w:p w14:paraId="440D9F60" w14:textId="77777777" w:rsidR="004F46CE" w:rsidRPr="00AF3C60" w:rsidRDefault="004F46CE" w:rsidP="00AF3C60">
      <w:pPr>
        <w:spacing w:after="0" w:line="360" w:lineRule="auto"/>
        <w:jc w:val="both"/>
        <w:rPr>
          <w:rFonts w:ascii="Times New Roman" w:hAnsi="Times New Roman" w:cs="Times New Roman"/>
          <w:color w:val="000000" w:themeColor="text1"/>
        </w:rPr>
      </w:pPr>
      <w:r w:rsidRPr="00AF3C60">
        <w:rPr>
          <w:rFonts w:ascii="Times New Roman" w:eastAsia="Calibri" w:hAnsi="Times New Roman" w:cs="Times New Roman"/>
          <w:color w:val="000000" w:themeColor="text1"/>
        </w:rPr>
        <w:t xml:space="preserve">Caring for the Planet Caring for People Caring for Responsible Business. (n.d.). Available at: </w:t>
      </w:r>
      <w:hyperlink r:id="rId17">
        <w:r w:rsidRPr="00AF3C60">
          <w:rPr>
            <w:rStyle w:val="Hyperlink"/>
            <w:rFonts w:ascii="Times New Roman" w:eastAsia="Calibri" w:hAnsi="Times New Roman" w:cs="Times New Roman"/>
            <w:color w:val="000000" w:themeColor="text1"/>
          </w:rPr>
          <w:t>https://about.hyatt.com/content/dam/hyatt/woc/2022WOCHighlights.pdf</w:t>
        </w:r>
      </w:hyperlink>
      <w:r w:rsidRPr="00AF3C60">
        <w:rPr>
          <w:rFonts w:ascii="Times New Roman" w:eastAsia="Calibri" w:hAnsi="Times New Roman" w:cs="Times New Roman"/>
          <w:color w:val="000000" w:themeColor="text1"/>
        </w:rPr>
        <w:t>.</w:t>
      </w:r>
    </w:p>
    <w:p w14:paraId="04CCF1A5" w14:textId="77777777" w:rsidR="004F46CE" w:rsidRDefault="004F46CE" w:rsidP="00AF3C60">
      <w:pPr>
        <w:spacing w:after="0" w:line="360" w:lineRule="auto"/>
        <w:jc w:val="both"/>
        <w:rPr>
          <w:rFonts w:ascii="Times New Roman" w:eastAsia="Calibri" w:hAnsi="Times New Roman" w:cs="Times New Roman"/>
          <w:color w:val="000000" w:themeColor="text1"/>
        </w:rPr>
      </w:pPr>
    </w:p>
    <w:p w14:paraId="59A80316" w14:textId="5355272E" w:rsidR="004F46CE" w:rsidRPr="00AF3C60" w:rsidRDefault="004F46CE" w:rsidP="00AF3C60">
      <w:pPr>
        <w:spacing w:after="0" w:line="360" w:lineRule="auto"/>
        <w:jc w:val="both"/>
        <w:rPr>
          <w:rFonts w:ascii="Times New Roman" w:hAnsi="Times New Roman" w:cs="Times New Roman"/>
          <w:color w:val="000000" w:themeColor="text1"/>
        </w:rPr>
      </w:pPr>
      <w:r w:rsidRPr="00AF3C60">
        <w:rPr>
          <w:rFonts w:ascii="Times New Roman" w:eastAsia="Calibri" w:hAnsi="Times New Roman" w:cs="Times New Roman"/>
          <w:color w:val="000000" w:themeColor="text1"/>
        </w:rPr>
        <w:t xml:space="preserve">CIPD (2023). </w:t>
      </w:r>
      <w:r w:rsidRPr="00AF3C60">
        <w:rPr>
          <w:rFonts w:ascii="Times New Roman" w:eastAsia="Calibri" w:hAnsi="Times New Roman" w:cs="Times New Roman"/>
          <w:i/>
          <w:iCs/>
          <w:color w:val="000000" w:themeColor="text1"/>
        </w:rPr>
        <w:t>CIPD | Build your impact and career in the people profession</w:t>
      </w:r>
      <w:r w:rsidRPr="00AF3C60">
        <w:rPr>
          <w:rFonts w:ascii="Times New Roman" w:eastAsia="Calibri" w:hAnsi="Times New Roman" w:cs="Times New Roman"/>
          <w:color w:val="000000" w:themeColor="text1"/>
        </w:rPr>
        <w:t xml:space="preserve">. [online] CIPD. Available at: </w:t>
      </w:r>
      <w:hyperlink r:id="rId18">
        <w:r w:rsidRPr="00AF3C60">
          <w:rPr>
            <w:rStyle w:val="Hyperlink"/>
            <w:rFonts w:ascii="Times New Roman" w:eastAsia="Calibri" w:hAnsi="Times New Roman" w:cs="Times New Roman"/>
            <w:color w:val="000000" w:themeColor="text1"/>
          </w:rPr>
          <w:t>https://www.cipd.org/uk</w:t>
        </w:r>
      </w:hyperlink>
      <w:r w:rsidRPr="00AF3C60">
        <w:rPr>
          <w:rFonts w:ascii="Times New Roman" w:eastAsia="Calibri" w:hAnsi="Times New Roman" w:cs="Times New Roman"/>
          <w:color w:val="000000" w:themeColor="text1"/>
        </w:rPr>
        <w:t>.</w:t>
      </w:r>
    </w:p>
    <w:p w14:paraId="1D8B3B56" w14:textId="77777777" w:rsidR="004F46CE" w:rsidRPr="00AF3C60" w:rsidRDefault="004F46CE" w:rsidP="00AF3C60">
      <w:pPr>
        <w:spacing w:before="240" w:after="240" w:line="360" w:lineRule="auto"/>
        <w:jc w:val="both"/>
        <w:rPr>
          <w:rFonts w:ascii="Times New Roman" w:eastAsia="Calibri" w:hAnsi="Times New Roman" w:cs="Times New Roman"/>
          <w:color w:val="000000" w:themeColor="text1"/>
        </w:rPr>
      </w:pPr>
      <w:r w:rsidRPr="00AF3C60">
        <w:rPr>
          <w:rFonts w:ascii="Times New Roman" w:eastAsia="Calibri" w:hAnsi="Times New Roman" w:cs="Times New Roman"/>
          <w:color w:val="000000" w:themeColor="text1"/>
        </w:rPr>
        <w:t xml:space="preserve">Construction Week Online. (2014, January 26). </w:t>
      </w:r>
      <w:r w:rsidRPr="00AF3C60">
        <w:rPr>
          <w:rFonts w:ascii="Times New Roman" w:eastAsia="Calibri" w:hAnsi="Times New Roman" w:cs="Times New Roman"/>
          <w:i/>
          <w:iCs/>
          <w:color w:val="000000" w:themeColor="text1"/>
        </w:rPr>
        <w:t xml:space="preserve">Burj Al Arab </w:t>
      </w:r>
      <w:proofErr w:type="spellStart"/>
      <w:r w:rsidRPr="00AF3C60">
        <w:rPr>
          <w:rFonts w:ascii="Times New Roman" w:eastAsia="Calibri" w:hAnsi="Times New Roman" w:cs="Times New Roman"/>
          <w:i/>
          <w:iCs/>
          <w:color w:val="000000" w:themeColor="text1"/>
        </w:rPr>
        <w:t>recognised</w:t>
      </w:r>
      <w:proofErr w:type="spellEnd"/>
      <w:r w:rsidRPr="00AF3C60">
        <w:rPr>
          <w:rFonts w:ascii="Times New Roman" w:eastAsia="Calibri" w:hAnsi="Times New Roman" w:cs="Times New Roman"/>
          <w:i/>
          <w:iCs/>
          <w:color w:val="000000" w:themeColor="text1"/>
        </w:rPr>
        <w:t xml:space="preserve"> for its sustainability</w:t>
      </w:r>
      <w:r w:rsidRPr="00AF3C60">
        <w:rPr>
          <w:rFonts w:ascii="Times New Roman" w:eastAsia="Calibri" w:hAnsi="Times New Roman" w:cs="Times New Roman"/>
          <w:color w:val="000000" w:themeColor="text1"/>
        </w:rPr>
        <w:t xml:space="preserve">. Retrieved from </w:t>
      </w:r>
      <w:hyperlink r:id="rId19">
        <w:r w:rsidRPr="00AF3C60">
          <w:rPr>
            <w:rStyle w:val="Hyperlink"/>
            <w:rFonts w:ascii="Times New Roman" w:eastAsia="Calibri" w:hAnsi="Times New Roman" w:cs="Times New Roman"/>
            <w:color w:val="000000" w:themeColor="text1"/>
          </w:rPr>
          <w:t>https://www.constructionweekonline.com/business/article-26145-burj-al-arab-recognised-for-its-sustainability</w:t>
        </w:r>
      </w:hyperlink>
    </w:p>
    <w:p w14:paraId="01700BA4" w14:textId="77777777" w:rsidR="004F46CE" w:rsidRPr="00AF3C60" w:rsidRDefault="004F46CE" w:rsidP="00AF3C60">
      <w:pPr>
        <w:spacing w:after="0" w:line="360" w:lineRule="auto"/>
        <w:jc w:val="both"/>
        <w:rPr>
          <w:rFonts w:ascii="Times New Roman" w:hAnsi="Times New Roman" w:cs="Times New Roman"/>
          <w:color w:val="000000" w:themeColor="text1"/>
        </w:rPr>
      </w:pPr>
      <w:proofErr w:type="spellStart"/>
      <w:r w:rsidRPr="00AF3C60">
        <w:rPr>
          <w:rFonts w:ascii="Times New Roman" w:eastAsia="Calibri" w:hAnsi="Times New Roman" w:cs="Times New Roman"/>
          <w:color w:val="000000" w:themeColor="text1"/>
        </w:rPr>
        <w:t>Delery</w:t>
      </w:r>
      <w:proofErr w:type="spellEnd"/>
      <w:r w:rsidRPr="00AF3C60">
        <w:rPr>
          <w:rFonts w:ascii="Times New Roman" w:eastAsia="Calibri" w:hAnsi="Times New Roman" w:cs="Times New Roman"/>
          <w:color w:val="000000" w:themeColor="text1"/>
        </w:rPr>
        <w:t xml:space="preserve">, J. (2019). </w:t>
      </w:r>
      <w:r w:rsidRPr="00AF3C60">
        <w:rPr>
          <w:rFonts w:ascii="Times New Roman" w:eastAsia="Calibri" w:hAnsi="Times New Roman" w:cs="Times New Roman"/>
          <w:i/>
          <w:iCs/>
          <w:color w:val="000000" w:themeColor="text1"/>
        </w:rPr>
        <w:t>Human Resource Management Review | Journal | ScienceDirect.com</w:t>
      </w:r>
      <w:r w:rsidRPr="00AF3C60">
        <w:rPr>
          <w:rFonts w:ascii="Times New Roman" w:eastAsia="Calibri" w:hAnsi="Times New Roman" w:cs="Times New Roman"/>
          <w:color w:val="000000" w:themeColor="text1"/>
        </w:rPr>
        <w:t xml:space="preserve">. [online] Sciencedirect.com. Available at: </w:t>
      </w:r>
      <w:hyperlink r:id="rId20">
        <w:r w:rsidRPr="00AF3C60">
          <w:rPr>
            <w:rStyle w:val="Hyperlink"/>
            <w:rFonts w:ascii="Times New Roman" w:eastAsia="Calibri" w:hAnsi="Times New Roman" w:cs="Times New Roman"/>
            <w:color w:val="000000" w:themeColor="text1"/>
          </w:rPr>
          <w:t>https://www.sciencedirect.com/journal/human-resource-management-review</w:t>
        </w:r>
      </w:hyperlink>
      <w:r w:rsidRPr="00AF3C60">
        <w:rPr>
          <w:rFonts w:ascii="Times New Roman" w:eastAsia="Calibri" w:hAnsi="Times New Roman" w:cs="Times New Roman"/>
          <w:color w:val="000000" w:themeColor="text1"/>
        </w:rPr>
        <w:t>. [Accessed 31 Oct. 2024].</w:t>
      </w:r>
    </w:p>
    <w:p w14:paraId="6A0CB1C5" w14:textId="77777777" w:rsidR="004F46CE" w:rsidRDefault="004F46CE" w:rsidP="00AF3C60">
      <w:pPr>
        <w:spacing w:after="0" w:line="360" w:lineRule="auto"/>
        <w:jc w:val="both"/>
        <w:rPr>
          <w:rFonts w:ascii="Times New Roman" w:eastAsia="Calibri" w:hAnsi="Times New Roman" w:cs="Times New Roman"/>
          <w:color w:val="000000" w:themeColor="text1"/>
        </w:rPr>
      </w:pPr>
    </w:p>
    <w:p w14:paraId="427B4B4D" w14:textId="455F09ED" w:rsidR="004F46CE" w:rsidRPr="00AF3C60" w:rsidRDefault="004F46CE" w:rsidP="00AF3C60">
      <w:pPr>
        <w:spacing w:after="0" w:line="360" w:lineRule="auto"/>
        <w:jc w:val="both"/>
        <w:rPr>
          <w:rFonts w:ascii="Times New Roman" w:hAnsi="Times New Roman" w:cs="Times New Roman"/>
          <w:color w:val="000000" w:themeColor="text1"/>
        </w:rPr>
      </w:pPr>
      <w:r w:rsidRPr="00AF3C60">
        <w:rPr>
          <w:rFonts w:ascii="Times New Roman" w:eastAsia="Calibri" w:hAnsi="Times New Roman" w:cs="Times New Roman"/>
          <w:color w:val="000000" w:themeColor="text1"/>
        </w:rPr>
        <w:t xml:space="preserve">Google Books. (2014). </w:t>
      </w:r>
      <w:r w:rsidRPr="00AF3C60">
        <w:rPr>
          <w:rFonts w:ascii="Times New Roman" w:eastAsia="Calibri" w:hAnsi="Times New Roman" w:cs="Times New Roman"/>
          <w:i/>
          <w:iCs/>
          <w:color w:val="000000" w:themeColor="text1"/>
        </w:rPr>
        <w:t>The Org</w:t>
      </w:r>
      <w:r w:rsidRPr="00AF3C60">
        <w:rPr>
          <w:rFonts w:ascii="Times New Roman" w:eastAsia="Calibri" w:hAnsi="Times New Roman" w:cs="Times New Roman"/>
          <w:color w:val="000000" w:themeColor="text1"/>
        </w:rPr>
        <w:t xml:space="preserve">. [online] Available at: </w:t>
      </w:r>
      <w:hyperlink r:id="rId21">
        <w:r w:rsidRPr="00AF3C60">
          <w:rPr>
            <w:rStyle w:val="Hyperlink"/>
            <w:rFonts w:ascii="Times New Roman" w:eastAsia="Calibri" w:hAnsi="Times New Roman" w:cs="Times New Roman"/>
            <w:color w:val="000000" w:themeColor="text1"/>
          </w:rPr>
          <w:t>https://books.google.co.uk/books/about/The_Org.html?id=a9ZSAgAAQBAJ&amp;redir_esc=y</w:t>
        </w:r>
      </w:hyperlink>
      <w:r w:rsidRPr="00AF3C60">
        <w:rPr>
          <w:rFonts w:ascii="Times New Roman" w:eastAsia="Calibri" w:hAnsi="Times New Roman" w:cs="Times New Roman"/>
          <w:color w:val="000000" w:themeColor="text1"/>
        </w:rPr>
        <w:t xml:space="preserve"> [Accessed 31 Oct. 2024].</w:t>
      </w:r>
    </w:p>
    <w:p w14:paraId="0F048FB6" w14:textId="77777777" w:rsidR="004F46CE" w:rsidRPr="00AF3C60" w:rsidRDefault="004F46CE" w:rsidP="00AF3C60">
      <w:pPr>
        <w:spacing w:before="240" w:after="240" w:line="360" w:lineRule="auto"/>
        <w:jc w:val="both"/>
        <w:rPr>
          <w:rFonts w:ascii="Times New Roman" w:hAnsi="Times New Roman" w:cs="Times New Roman"/>
          <w:color w:val="000000" w:themeColor="text1"/>
        </w:rPr>
      </w:pPr>
      <w:r w:rsidRPr="00AF3C60">
        <w:rPr>
          <w:rFonts w:ascii="Times New Roman" w:eastAsia="Calibri" w:hAnsi="Times New Roman" w:cs="Times New Roman"/>
          <w:color w:val="000000" w:themeColor="text1"/>
        </w:rPr>
        <w:lastRenderedPageBreak/>
        <w:t xml:space="preserve">‌Google Books. (2024). </w:t>
      </w:r>
      <w:r w:rsidRPr="00AF3C60">
        <w:rPr>
          <w:rFonts w:ascii="Times New Roman" w:eastAsia="Calibri" w:hAnsi="Times New Roman" w:cs="Times New Roman"/>
          <w:i/>
          <w:iCs/>
          <w:color w:val="000000" w:themeColor="text1"/>
        </w:rPr>
        <w:t>Human Capital Management</w:t>
      </w:r>
      <w:r w:rsidRPr="00AF3C60">
        <w:rPr>
          <w:rFonts w:ascii="Times New Roman" w:eastAsia="Calibri" w:hAnsi="Times New Roman" w:cs="Times New Roman"/>
          <w:color w:val="000000" w:themeColor="text1"/>
        </w:rPr>
        <w:t xml:space="preserve">. [online] Available at: </w:t>
      </w:r>
      <w:hyperlink r:id="rId22">
        <w:r w:rsidRPr="00AF3C60">
          <w:rPr>
            <w:rStyle w:val="Hyperlink"/>
            <w:rFonts w:ascii="Times New Roman" w:eastAsia="Calibri" w:hAnsi="Times New Roman" w:cs="Times New Roman"/>
            <w:color w:val="000000" w:themeColor="text1"/>
          </w:rPr>
          <w:t>https://books.google.co.uk/books/about/Human_Capital_Management.html?id=9LhqfbzC_vYC&amp;redir_esc=y</w:t>
        </w:r>
      </w:hyperlink>
      <w:r w:rsidRPr="00AF3C60">
        <w:rPr>
          <w:rFonts w:ascii="Times New Roman" w:eastAsia="Calibri" w:hAnsi="Times New Roman" w:cs="Times New Roman"/>
          <w:color w:val="000000" w:themeColor="text1"/>
        </w:rPr>
        <w:t xml:space="preserve"> [Accessed 31 Oct. 2024].</w:t>
      </w:r>
    </w:p>
    <w:p w14:paraId="3D09E3AD" w14:textId="77777777" w:rsidR="004F46CE" w:rsidRPr="00AF3C60" w:rsidRDefault="004F46CE" w:rsidP="00AF3C60">
      <w:pPr>
        <w:spacing w:before="240" w:after="240" w:line="360" w:lineRule="auto"/>
        <w:jc w:val="both"/>
        <w:rPr>
          <w:rFonts w:ascii="Times New Roman" w:hAnsi="Times New Roman" w:cs="Times New Roman"/>
          <w:color w:val="000000" w:themeColor="text1"/>
        </w:rPr>
      </w:pPr>
      <w:r w:rsidRPr="00AF3C60">
        <w:rPr>
          <w:rFonts w:ascii="Times New Roman" w:eastAsia="Calibri" w:hAnsi="Times New Roman" w:cs="Times New Roman"/>
          <w:color w:val="000000" w:themeColor="text1"/>
        </w:rPr>
        <w:t xml:space="preserve">‌Google Books. (2024). </w:t>
      </w:r>
      <w:r w:rsidRPr="00AF3C60">
        <w:rPr>
          <w:rFonts w:ascii="Times New Roman" w:eastAsia="Calibri" w:hAnsi="Times New Roman" w:cs="Times New Roman"/>
          <w:i/>
          <w:iCs/>
          <w:color w:val="000000" w:themeColor="text1"/>
        </w:rPr>
        <w:t>The Independent Consultant’s Survival Guide</w:t>
      </w:r>
      <w:r w:rsidRPr="00AF3C60">
        <w:rPr>
          <w:rFonts w:ascii="Times New Roman" w:eastAsia="Calibri" w:hAnsi="Times New Roman" w:cs="Times New Roman"/>
          <w:color w:val="000000" w:themeColor="text1"/>
        </w:rPr>
        <w:t xml:space="preserve">. [online] Available at: </w:t>
      </w:r>
      <w:hyperlink r:id="rId23">
        <w:r w:rsidRPr="00AF3C60">
          <w:rPr>
            <w:rStyle w:val="Hyperlink"/>
            <w:rFonts w:ascii="Times New Roman" w:eastAsia="Calibri" w:hAnsi="Times New Roman" w:cs="Times New Roman"/>
            <w:color w:val="000000" w:themeColor="text1"/>
          </w:rPr>
          <w:t>https://books.google.co.uk/books/about/The_Independent_Consultant_s_Survival_Gu.html?id=3lr0NwAACAAJ&amp;redir_esc=y</w:t>
        </w:r>
      </w:hyperlink>
      <w:r w:rsidRPr="00AF3C60">
        <w:rPr>
          <w:rFonts w:ascii="Times New Roman" w:eastAsia="Calibri" w:hAnsi="Times New Roman" w:cs="Times New Roman"/>
          <w:color w:val="000000" w:themeColor="text1"/>
        </w:rPr>
        <w:t xml:space="preserve"> [Accessed 31 Oct. 2024].</w:t>
      </w:r>
    </w:p>
    <w:p w14:paraId="3F704448" w14:textId="77777777" w:rsidR="004F46CE" w:rsidRPr="00AF3C60" w:rsidRDefault="004F46CE" w:rsidP="00AF3C60">
      <w:pPr>
        <w:spacing w:after="0" w:line="360" w:lineRule="auto"/>
        <w:jc w:val="both"/>
        <w:rPr>
          <w:rFonts w:ascii="Times New Roman" w:hAnsi="Times New Roman" w:cs="Times New Roman"/>
          <w:color w:val="000000" w:themeColor="text1"/>
        </w:rPr>
      </w:pPr>
      <w:r w:rsidRPr="00AF3C60">
        <w:rPr>
          <w:rFonts w:ascii="Times New Roman" w:eastAsia="Calibri" w:hAnsi="Times New Roman" w:cs="Times New Roman"/>
          <w:color w:val="000000" w:themeColor="text1"/>
        </w:rPr>
        <w:t xml:space="preserve">Google Books. (2024). </w:t>
      </w:r>
      <w:r w:rsidRPr="00AF3C60">
        <w:rPr>
          <w:rFonts w:ascii="Times New Roman" w:eastAsia="Calibri" w:hAnsi="Times New Roman" w:cs="Times New Roman"/>
          <w:i/>
          <w:iCs/>
          <w:color w:val="000000" w:themeColor="text1"/>
        </w:rPr>
        <w:t>The Management Consultant</w:t>
      </w:r>
      <w:r w:rsidRPr="00AF3C60">
        <w:rPr>
          <w:rFonts w:ascii="Times New Roman" w:eastAsia="Calibri" w:hAnsi="Times New Roman" w:cs="Times New Roman"/>
          <w:color w:val="000000" w:themeColor="text1"/>
        </w:rPr>
        <w:t xml:space="preserve">. [online] Available at: </w:t>
      </w:r>
      <w:hyperlink r:id="rId24">
        <w:r w:rsidRPr="00AF3C60">
          <w:rPr>
            <w:rStyle w:val="Hyperlink"/>
            <w:rFonts w:ascii="Times New Roman" w:eastAsia="Calibri" w:hAnsi="Times New Roman" w:cs="Times New Roman"/>
            <w:color w:val="000000" w:themeColor="text1"/>
          </w:rPr>
          <w:t>https://books.google.co.uk/books/about/The_Management_Consultant.html?id=q6jljakzJvUC&amp;redir_esc=y</w:t>
        </w:r>
      </w:hyperlink>
      <w:r w:rsidRPr="00AF3C60">
        <w:rPr>
          <w:rFonts w:ascii="Times New Roman" w:eastAsia="Calibri" w:hAnsi="Times New Roman" w:cs="Times New Roman"/>
          <w:color w:val="000000" w:themeColor="text1"/>
        </w:rPr>
        <w:t xml:space="preserve"> [Accessed 31 Oct. 2024].</w:t>
      </w:r>
    </w:p>
    <w:p w14:paraId="50F84F3A" w14:textId="77777777" w:rsidR="004F46CE" w:rsidRPr="004F46CE" w:rsidRDefault="004F46CE" w:rsidP="004F46CE">
      <w:pPr>
        <w:spacing w:before="240" w:after="240" w:line="360" w:lineRule="auto"/>
        <w:jc w:val="both"/>
        <w:rPr>
          <w:rFonts w:ascii="Times New Roman" w:eastAsia="Calibri" w:hAnsi="Times New Roman" w:cs="Times New Roman"/>
          <w:color w:val="000000" w:themeColor="text1"/>
        </w:rPr>
      </w:pPr>
      <w:r w:rsidRPr="00AF3C60">
        <w:rPr>
          <w:rFonts w:ascii="Times New Roman" w:eastAsia="Calibri" w:hAnsi="Times New Roman" w:cs="Times New Roman"/>
          <w:color w:val="000000" w:themeColor="text1"/>
        </w:rPr>
        <w:t xml:space="preserve">Green Prophet. (2014, February 2). </w:t>
      </w:r>
      <w:r w:rsidRPr="00AF3C60">
        <w:rPr>
          <w:rFonts w:ascii="Times New Roman" w:eastAsia="Calibri" w:hAnsi="Times New Roman" w:cs="Times New Roman"/>
          <w:i/>
          <w:iCs/>
          <w:color w:val="000000" w:themeColor="text1"/>
        </w:rPr>
        <w:t>Dubai’s Burj Al Arab earns green globe certification</w:t>
      </w:r>
      <w:r w:rsidRPr="00AF3C60">
        <w:rPr>
          <w:rFonts w:ascii="Times New Roman" w:eastAsia="Calibri" w:hAnsi="Times New Roman" w:cs="Times New Roman"/>
          <w:color w:val="000000" w:themeColor="text1"/>
        </w:rPr>
        <w:t xml:space="preserve">. Retrieved from </w:t>
      </w:r>
      <w:hyperlink r:id="rId25">
        <w:r w:rsidRPr="00AF3C60">
          <w:rPr>
            <w:rStyle w:val="Hyperlink"/>
            <w:rFonts w:ascii="Times New Roman" w:eastAsia="Calibri" w:hAnsi="Times New Roman" w:cs="Times New Roman"/>
            <w:color w:val="000000" w:themeColor="text1"/>
          </w:rPr>
          <w:t>https://www.greenprophet.com/2014/02/dubais-burj-al-arab-green-globe-certification/</w:t>
        </w:r>
      </w:hyperlink>
    </w:p>
    <w:p w14:paraId="61045270" w14:textId="77777777" w:rsidR="004F46CE" w:rsidRPr="00AF3C60" w:rsidRDefault="004F46CE" w:rsidP="00AF3C60">
      <w:pPr>
        <w:spacing w:before="240" w:after="240" w:line="360" w:lineRule="auto"/>
        <w:jc w:val="both"/>
        <w:rPr>
          <w:rFonts w:ascii="Times New Roman" w:hAnsi="Times New Roman" w:cs="Times New Roman"/>
          <w:color w:val="000000" w:themeColor="text1"/>
        </w:rPr>
      </w:pPr>
      <w:r w:rsidRPr="00AF3C60">
        <w:rPr>
          <w:rFonts w:ascii="Times New Roman" w:eastAsia="Calibri" w:hAnsi="Times New Roman" w:cs="Times New Roman"/>
          <w:color w:val="000000" w:themeColor="text1"/>
        </w:rPr>
        <w:t xml:space="preserve">‌Gupta, A.D. (2020). </w:t>
      </w:r>
      <w:r w:rsidRPr="00AF3C60">
        <w:rPr>
          <w:rFonts w:ascii="Times New Roman" w:eastAsia="Calibri" w:hAnsi="Times New Roman" w:cs="Times New Roman"/>
          <w:i/>
          <w:iCs/>
          <w:color w:val="000000" w:themeColor="text1"/>
        </w:rPr>
        <w:t>Strategic Human Resource Management: Formulating and Implementing HR Strategies for a Competitive Advantage</w:t>
      </w:r>
      <w:r w:rsidRPr="00AF3C60">
        <w:rPr>
          <w:rFonts w:ascii="Times New Roman" w:eastAsia="Calibri" w:hAnsi="Times New Roman" w:cs="Times New Roman"/>
          <w:color w:val="000000" w:themeColor="text1"/>
        </w:rPr>
        <w:t xml:space="preserve">. 1st ed. [online] </w:t>
      </w:r>
      <w:proofErr w:type="spellStart"/>
      <w:r w:rsidRPr="00AF3C60">
        <w:rPr>
          <w:rFonts w:ascii="Times New Roman" w:eastAsia="Calibri" w:hAnsi="Times New Roman" w:cs="Times New Roman"/>
          <w:i/>
          <w:iCs/>
          <w:color w:val="000000" w:themeColor="text1"/>
        </w:rPr>
        <w:t>Perlego</w:t>
      </w:r>
      <w:proofErr w:type="spellEnd"/>
      <w:r w:rsidRPr="00AF3C60">
        <w:rPr>
          <w:rFonts w:ascii="Times New Roman" w:eastAsia="Calibri" w:hAnsi="Times New Roman" w:cs="Times New Roman"/>
          <w:color w:val="000000" w:themeColor="text1"/>
        </w:rPr>
        <w:t xml:space="preserve">. Productivity Press. Available at: </w:t>
      </w:r>
      <w:hyperlink r:id="rId26">
        <w:r w:rsidRPr="00AF3C60">
          <w:rPr>
            <w:rStyle w:val="Hyperlink"/>
            <w:rFonts w:ascii="Times New Roman" w:eastAsia="Calibri" w:hAnsi="Times New Roman" w:cs="Times New Roman"/>
            <w:color w:val="000000" w:themeColor="text1"/>
          </w:rPr>
          <w:t>https://www.perlego.com/book/1524334/strategic-human-resource-management-formulating-and-implementing-hr-strategies-for-a-competitive-advantage-pdf?utm_source=bing&amp;utm_medium=cpc&amp;utm_campaign=2.2.1.1%20DSAG</w:t>
        </w:r>
      </w:hyperlink>
      <w:r w:rsidRPr="00AF3C60">
        <w:rPr>
          <w:rFonts w:ascii="Times New Roman" w:eastAsia="Calibri" w:hAnsi="Times New Roman" w:cs="Times New Roman"/>
          <w:color w:val="000000" w:themeColor="text1"/>
        </w:rPr>
        <w:t>. [Accessed 31 Oct. 2024].</w:t>
      </w:r>
    </w:p>
    <w:p w14:paraId="7DDB81E1" w14:textId="77777777" w:rsidR="004F46CE" w:rsidRPr="00AF3C60" w:rsidRDefault="004F46CE" w:rsidP="00AF3C60">
      <w:pPr>
        <w:spacing w:after="0" w:line="360" w:lineRule="auto"/>
        <w:jc w:val="both"/>
        <w:rPr>
          <w:rFonts w:ascii="Times New Roman" w:hAnsi="Times New Roman" w:cs="Times New Roman"/>
          <w:color w:val="000000" w:themeColor="text1"/>
        </w:rPr>
      </w:pPr>
      <w:r w:rsidRPr="00AF3C60">
        <w:rPr>
          <w:rFonts w:ascii="Times New Roman" w:eastAsia="Calibri" w:hAnsi="Times New Roman" w:cs="Times New Roman"/>
          <w:color w:val="000000" w:themeColor="text1"/>
        </w:rPr>
        <w:t xml:space="preserve">Harvard Business School. (2024). </w:t>
      </w:r>
      <w:r w:rsidRPr="00AF3C60">
        <w:rPr>
          <w:rFonts w:ascii="Times New Roman" w:eastAsia="Calibri" w:hAnsi="Times New Roman" w:cs="Times New Roman"/>
          <w:i/>
          <w:iCs/>
          <w:color w:val="000000" w:themeColor="text1"/>
        </w:rPr>
        <w:t>Executive Education - Harvard Business School</w:t>
      </w:r>
      <w:r w:rsidRPr="00AF3C60">
        <w:rPr>
          <w:rFonts w:ascii="Times New Roman" w:eastAsia="Calibri" w:hAnsi="Times New Roman" w:cs="Times New Roman"/>
          <w:color w:val="000000" w:themeColor="text1"/>
        </w:rPr>
        <w:t xml:space="preserve">. [online] Available at: </w:t>
      </w:r>
      <w:hyperlink r:id="rId27">
        <w:r w:rsidRPr="00AF3C60">
          <w:rPr>
            <w:rStyle w:val="Hyperlink"/>
            <w:rFonts w:ascii="Times New Roman" w:eastAsia="Calibri" w:hAnsi="Times New Roman" w:cs="Times New Roman"/>
            <w:color w:val="000000" w:themeColor="text1"/>
          </w:rPr>
          <w:t>https://www.exed.hbs.edu/?utm_source=bing&amp;utm_medium=paid-search&amp;utm_campaign=brand-general-info-global-none-phrase-cross-device-all&amp;utm_id=core&amp;gclid=3a5994edf4ac156187b6f3c9ffcca51d&amp;gclsrc=3p.ds&amp;msclkid=3a5994edf4ac156187b6f3c9ffcca51d</w:t>
        </w:r>
      </w:hyperlink>
      <w:r w:rsidRPr="00AF3C60">
        <w:rPr>
          <w:rFonts w:ascii="Times New Roman" w:eastAsia="Calibri" w:hAnsi="Times New Roman" w:cs="Times New Roman"/>
          <w:color w:val="000000" w:themeColor="text1"/>
        </w:rPr>
        <w:t xml:space="preserve"> [Accessed 31 Oct. 2024].</w:t>
      </w:r>
    </w:p>
    <w:p w14:paraId="799191A9" w14:textId="77777777" w:rsidR="004F46CE" w:rsidRDefault="004F46CE" w:rsidP="00AF3C60">
      <w:pPr>
        <w:spacing w:after="0" w:line="360" w:lineRule="auto"/>
        <w:jc w:val="both"/>
        <w:rPr>
          <w:rFonts w:ascii="Times New Roman" w:eastAsia="Calibri" w:hAnsi="Times New Roman" w:cs="Times New Roman"/>
          <w:color w:val="000000" w:themeColor="text1"/>
        </w:rPr>
      </w:pPr>
      <w:r w:rsidRPr="00AF3C60">
        <w:rPr>
          <w:rFonts w:ascii="Times New Roman" w:eastAsia="Calibri" w:hAnsi="Times New Roman" w:cs="Times New Roman"/>
          <w:color w:val="000000" w:themeColor="text1"/>
        </w:rPr>
        <w:t>‌</w:t>
      </w:r>
    </w:p>
    <w:p w14:paraId="691283DB" w14:textId="040CC942" w:rsidR="004F46CE" w:rsidRPr="00AF3C60" w:rsidRDefault="004F46CE" w:rsidP="00AF3C60">
      <w:pPr>
        <w:spacing w:after="0" w:line="360" w:lineRule="auto"/>
        <w:jc w:val="both"/>
        <w:rPr>
          <w:rFonts w:ascii="Times New Roman" w:hAnsi="Times New Roman" w:cs="Times New Roman"/>
          <w:color w:val="000000" w:themeColor="text1"/>
        </w:rPr>
      </w:pPr>
      <w:r w:rsidRPr="00AF3C60">
        <w:rPr>
          <w:rFonts w:ascii="Times New Roman" w:eastAsia="Calibri" w:hAnsi="Times New Roman" w:cs="Times New Roman"/>
          <w:color w:val="000000" w:themeColor="text1"/>
        </w:rPr>
        <w:t xml:space="preserve">Hbr.org. (2019). </w:t>
      </w:r>
      <w:r w:rsidRPr="00AF3C60">
        <w:rPr>
          <w:rFonts w:ascii="Times New Roman" w:eastAsia="Calibri" w:hAnsi="Times New Roman" w:cs="Times New Roman"/>
          <w:i/>
          <w:iCs/>
          <w:color w:val="000000" w:themeColor="text1"/>
        </w:rPr>
        <w:t>The Magazine</w:t>
      </w:r>
      <w:r w:rsidRPr="00AF3C60">
        <w:rPr>
          <w:rFonts w:ascii="Times New Roman" w:eastAsia="Calibri" w:hAnsi="Times New Roman" w:cs="Times New Roman"/>
          <w:color w:val="000000" w:themeColor="text1"/>
        </w:rPr>
        <w:t xml:space="preserve">. [online] Available at: </w:t>
      </w:r>
      <w:hyperlink r:id="rId28">
        <w:r w:rsidRPr="00AF3C60">
          <w:rPr>
            <w:rStyle w:val="Hyperlink"/>
            <w:rFonts w:ascii="Times New Roman" w:eastAsia="Calibri" w:hAnsi="Times New Roman" w:cs="Times New Roman"/>
            <w:color w:val="000000" w:themeColor="text1"/>
          </w:rPr>
          <w:t>https://hbr.org/magazine</w:t>
        </w:r>
      </w:hyperlink>
      <w:r w:rsidRPr="00AF3C60">
        <w:rPr>
          <w:rFonts w:ascii="Times New Roman" w:eastAsia="Calibri" w:hAnsi="Times New Roman" w:cs="Times New Roman"/>
          <w:color w:val="000000" w:themeColor="text1"/>
        </w:rPr>
        <w:t>. [Accessed 31 Oct. 2024].</w:t>
      </w:r>
    </w:p>
    <w:p w14:paraId="065950CA" w14:textId="77777777" w:rsidR="004F46CE" w:rsidRPr="00AF3C60" w:rsidRDefault="004F46CE" w:rsidP="00AF3C60">
      <w:pPr>
        <w:spacing w:after="0" w:line="360" w:lineRule="auto"/>
        <w:jc w:val="both"/>
        <w:rPr>
          <w:rFonts w:ascii="Times New Roman" w:hAnsi="Times New Roman" w:cs="Times New Roman"/>
          <w:color w:val="000000" w:themeColor="text1"/>
        </w:rPr>
      </w:pPr>
      <w:r w:rsidRPr="00AF3C60">
        <w:rPr>
          <w:rFonts w:ascii="Times New Roman" w:eastAsia="Calibri" w:hAnsi="Times New Roman" w:cs="Times New Roman"/>
          <w:color w:val="000000" w:themeColor="text1"/>
        </w:rPr>
        <w:t xml:space="preserve">Hilton (2021). </w:t>
      </w:r>
      <w:r w:rsidRPr="00AF3C60">
        <w:rPr>
          <w:rFonts w:ascii="Times New Roman" w:eastAsia="Calibri" w:hAnsi="Times New Roman" w:cs="Times New Roman"/>
          <w:i/>
          <w:iCs/>
          <w:color w:val="000000" w:themeColor="text1"/>
        </w:rPr>
        <w:t>Customer Support</w:t>
      </w:r>
      <w:r w:rsidRPr="00AF3C60">
        <w:rPr>
          <w:rFonts w:ascii="Times New Roman" w:eastAsia="Calibri" w:hAnsi="Times New Roman" w:cs="Times New Roman"/>
          <w:color w:val="000000" w:themeColor="text1"/>
        </w:rPr>
        <w:t xml:space="preserve">. [online] Hilton.com. Available at: </w:t>
      </w:r>
      <w:hyperlink r:id="rId29">
        <w:r w:rsidRPr="00AF3C60">
          <w:rPr>
            <w:rStyle w:val="Hyperlink"/>
            <w:rFonts w:ascii="Times New Roman" w:eastAsia="Calibri" w:hAnsi="Times New Roman" w:cs="Times New Roman"/>
            <w:color w:val="000000" w:themeColor="text1"/>
          </w:rPr>
          <w:t>https://help.hilton.com/s/article/How-does-Digital-Key-work</w:t>
        </w:r>
      </w:hyperlink>
      <w:r w:rsidRPr="00AF3C60">
        <w:rPr>
          <w:rFonts w:ascii="Times New Roman" w:eastAsia="Calibri" w:hAnsi="Times New Roman" w:cs="Times New Roman"/>
          <w:color w:val="000000" w:themeColor="text1"/>
        </w:rPr>
        <w:t>. [Accessed 31 Oct. 2024].</w:t>
      </w:r>
    </w:p>
    <w:p w14:paraId="2E4927E2" w14:textId="77777777" w:rsidR="0020052E" w:rsidRDefault="004F46CE" w:rsidP="00AF3C60">
      <w:pPr>
        <w:spacing w:after="0" w:line="360" w:lineRule="auto"/>
        <w:jc w:val="both"/>
        <w:rPr>
          <w:rFonts w:ascii="Times New Roman" w:eastAsia="Calibri" w:hAnsi="Times New Roman" w:cs="Times New Roman"/>
          <w:color w:val="000000" w:themeColor="text1"/>
        </w:rPr>
      </w:pPr>
      <w:r w:rsidRPr="00AF3C60">
        <w:rPr>
          <w:rFonts w:ascii="Times New Roman" w:eastAsia="Calibri" w:hAnsi="Times New Roman" w:cs="Times New Roman"/>
          <w:color w:val="000000" w:themeColor="text1"/>
        </w:rPr>
        <w:lastRenderedPageBreak/>
        <w:t xml:space="preserve">Human Resource Planning Society and HR People + Strategy (Association) eds., (n.d.). </w:t>
      </w:r>
      <w:r w:rsidRPr="00AF3C60">
        <w:rPr>
          <w:rFonts w:ascii="Times New Roman" w:eastAsia="Calibri" w:hAnsi="Times New Roman" w:cs="Times New Roman"/>
          <w:i/>
          <w:iCs/>
          <w:color w:val="000000" w:themeColor="text1"/>
        </w:rPr>
        <w:t>People &amp; strategy: journal of the Human Resource Planning Society</w:t>
      </w:r>
      <w:r w:rsidRPr="00AF3C60">
        <w:rPr>
          <w:rFonts w:ascii="Times New Roman" w:eastAsia="Calibri" w:hAnsi="Times New Roman" w:cs="Times New Roman"/>
          <w:color w:val="000000" w:themeColor="text1"/>
        </w:rPr>
        <w:t xml:space="preserve">. [online] </w:t>
      </w:r>
      <w:r w:rsidRPr="00AF3C60">
        <w:rPr>
          <w:rFonts w:ascii="Times New Roman" w:eastAsia="Calibri" w:hAnsi="Times New Roman" w:cs="Times New Roman"/>
          <w:i/>
          <w:iCs/>
          <w:color w:val="000000" w:themeColor="text1"/>
        </w:rPr>
        <w:t>Library Catalog (Blacklight)</w:t>
      </w:r>
      <w:r w:rsidRPr="00AF3C60">
        <w:rPr>
          <w:rFonts w:ascii="Times New Roman" w:eastAsia="Calibri" w:hAnsi="Times New Roman" w:cs="Times New Roman"/>
          <w:color w:val="000000" w:themeColor="text1"/>
        </w:rPr>
        <w:t xml:space="preserve">. </w:t>
      </w:r>
    </w:p>
    <w:p w14:paraId="5B4C17B5" w14:textId="77777777" w:rsidR="0020052E" w:rsidRDefault="0020052E" w:rsidP="00AF3C60">
      <w:pPr>
        <w:spacing w:after="0" w:line="360" w:lineRule="auto"/>
        <w:jc w:val="both"/>
        <w:rPr>
          <w:rFonts w:ascii="Times New Roman" w:eastAsia="Calibri" w:hAnsi="Times New Roman" w:cs="Times New Roman"/>
          <w:color w:val="000000" w:themeColor="text1"/>
        </w:rPr>
      </w:pPr>
    </w:p>
    <w:p w14:paraId="2B7CFBE6" w14:textId="478BDA8C" w:rsidR="004F46CE" w:rsidRPr="00AF3C60" w:rsidRDefault="004F46CE" w:rsidP="00AF3C60">
      <w:pPr>
        <w:spacing w:after="0" w:line="360" w:lineRule="auto"/>
        <w:jc w:val="both"/>
        <w:rPr>
          <w:rFonts w:ascii="Times New Roman" w:hAnsi="Times New Roman" w:cs="Times New Roman"/>
          <w:color w:val="000000" w:themeColor="text1"/>
        </w:rPr>
      </w:pPr>
      <w:r w:rsidRPr="00AF3C60">
        <w:rPr>
          <w:rFonts w:ascii="Times New Roman" w:eastAsia="Calibri" w:hAnsi="Times New Roman" w:cs="Times New Roman"/>
          <w:color w:val="000000" w:themeColor="text1"/>
        </w:rPr>
        <w:t xml:space="preserve">New York: Human Resource Planning Society. Available at: </w:t>
      </w:r>
      <w:hyperlink r:id="rId30">
        <w:r w:rsidRPr="00AF3C60">
          <w:rPr>
            <w:rStyle w:val="Hyperlink"/>
            <w:rFonts w:ascii="Times New Roman" w:eastAsia="Calibri" w:hAnsi="Times New Roman" w:cs="Times New Roman"/>
            <w:color w:val="000000" w:themeColor="text1"/>
          </w:rPr>
          <w:t>https://searchworks.stanford.edu/view/8206508</w:t>
        </w:r>
      </w:hyperlink>
      <w:r w:rsidRPr="00AF3C60">
        <w:rPr>
          <w:rFonts w:ascii="Times New Roman" w:eastAsia="Calibri" w:hAnsi="Times New Roman" w:cs="Times New Roman"/>
          <w:color w:val="000000" w:themeColor="text1"/>
        </w:rPr>
        <w:t>. [Accessed 31 Oct. 2024].</w:t>
      </w:r>
    </w:p>
    <w:p w14:paraId="74D867F7" w14:textId="77777777" w:rsidR="004F46CE" w:rsidRPr="00AF3C60" w:rsidRDefault="004F46CE" w:rsidP="00AF3C60">
      <w:pPr>
        <w:spacing w:before="240" w:after="240" w:line="360" w:lineRule="auto"/>
        <w:jc w:val="both"/>
        <w:rPr>
          <w:rFonts w:ascii="Times New Roman" w:hAnsi="Times New Roman" w:cs="Times New Roman"/>
          <w:color w:val="000000" w:themeColor="text1"/>
        </w:rPr>
      </w:pPr>
      <w:r w:rsidRPr="00AF3C60">
        <w:rPr>
          <w:rFonts w:ascii="Times New Roman" w:eastAsia="Calibri" w:hAnsi="Times New Roman" w:cs="Times New Roman"/>
          <w:color w:val="000000" w:themeColor="text1"/>
        </w:rPr>
        <w:t xml:space="preserve">Hyatt (n.d.) Caring for the planet. Available at: </w:t>
      </w:r>
      <w:hyperlink r:id="rId31">
        <w:r w:rsidRPr="00AF3C60">
          <w:rPr>
            <w:rStyle w:val="Hyperlink"/>
            <w:rFonts w:ascii="Times New Roman" w:eastAsia="Calibri" w:hAnsi="Times New Roman" w:cs="Times New Roman"/>
            <w:color w:val="000000" w:themeColor="text1"/>
          </w:rPr>
          <w:t>https://www.hyatt.com/world-of-care/en-US/caring-for-the-planet</w:t>
        </w:r>
      </w:hyperlink>
      <w:r w:rsidRPr="00AF3C60">
        <w:rPr>
          <w:rFonts w:ascii="Times New Roman" w:eastAsia="Calibri" w:hAnsi="Times New Roman" w:cs="Times New Roman"/>
          <w:color w:val="000000" w:themeColor="text1"/>
        </w:rPr>
        <w:t xml:space="preserve"> (Accessed: 31 October 2024). </w:t>
      </w:r>
    </w:p>
    <w:p w14:paraId="2D195E86" w14:textId="77777777" w:rsidR="004F46CE" w:rsidRPr="00AF3C60" w:rsidRDefault="004F46CE" w:rsidP="00AF3C60">
      <w:pPr>
        <w:spacing w:after="0" w:line="360" w:lineRule="auto"/>
        <w:jc w:val="both"/>
        <w:rPr>
          <w:rFonts w:ascii="Times New Roman" w:hAnsi="Times New Roman" w:cs="Times New Roman"/>
          <w:color w:val="000000" w:themeColor="text1"/>
        </w:rPr>
      </w:pPr>
      <w:proofErr w:type="spellStart"/>
      <w:r w:rsidRPr="00AF3C60">
        <w:rPr>
          <w:rFonts w:ascii="Times New Roman" w:eastAsia="Calibri" w:hAnsi="Times New Roman" w:cs="Times New Roman"/>
          <w:color w:val="000000" w:themeColor="text1"/>
        </w:rPr>
        <w:t>Informit</w:t>
      </w:r>
      <w:proofErr w:type="spellEnd"/>
      <w:r w:rsidRPr="00AF3C60">
        <w:rPr>
          <w:rFonts w:ascii="Times New Roman" w:eastAsia="Calibri" w:hAnsi="Times New Roman" w:cs="Times New Roman"/>
          <w:color w:val="000000" w:themeColor="text1"/>
        </w:rPr>
        <w:t xml:space="preserve"> (2024) International Journal of Educational Studies. Available at: </w:t>
      </w:r>
      <w:hyperlink r:id="rId32">
        <w:r w:rsidRPr="00AF3C60">
          <w:rPr>
            <w:rStyle w:val="Hyperlink"/>
            <w:rFonts w:ascii="Times New Roman" w:eastAsia="Calibri" w:hAnsi="Times New Roman" w:cs="Times New Roman"/>
            <w:color w:val="000000" w:themeColor="text1"/>
          </w:rPr>
          <w:t>https://search.informit.org/loi/ijes/group/d2020.y2024.m3</w:t>
        </w:r>
      </w:hyperlink>
      <w:r w:rsidRPr="00AF3C60">
        <w:rPr>
          <w:rFonts w:ascii="Times New Roman" w:eastAsia="Calibri" w:hAnsi="Times New Roman" w:cs="Times New Roman"/>
          <w:color w:val="000000" w:themeColor="text1"/>
        </w:rPr>
        <w:t xml:space="preserve"> (Accessed: 31 October 2024).</w:t>
      </w:r>
    </w:p>
    <w:p w14:paraId="414C14D2" w14:textId="77777777" w:rsidR="004F46CE" w:rsidRPr="00AF3C60" w:rsidRDefault="004F46CE" w:rsidP="00AF3C60">
      <w:pPr>
        <w:spacing w:before="240" w:after="240" w:line="360" w:lineRule="auto"/>
        <w:jc w:val="both"/>
        <w:rPr>
          <w:rFonts w:ascii="Times New Roman" w:hAnsi="Times New Roman" w:cs="Times New Roman"/>
          <w:color w:val="000000" w:themeColor="text1"/>
        </w:rPr>
      </w:pPr>
      <w:r w:rsidRPr="00AF3C60">
        <w:rPr>
          <w:rFonts w:ascii="Times New Roman" w:eastAsia="Calibri" w:hAnsi="Times New Roman" w:cs="Times New Roman"/>
          <w:color w:val="000000" w:themeColor="text1"/>
        </w:rPr>
        <w:t xml:space="preserve">‌Institute for Employment Studies (IES). (n.d.). </w:t>
      </w:r>
      <w:r w:rsidRPr="00AF3C60">
        <w:rPr>
          <w:rFonts w:ascii="Times New Roman" w:eastAsia="Calibri" w:hAnsi="Times New Roman" w:cs="Times New Roman"/>
          <w:i/>
          <w:iCs/>
          <w:color w:val="000000" w:themeColor="text1"/>
        </w:rPr>
        <w:t>Institute for Employment Studies (IES)</w:t>
      </w:r>
      <w:r w:rsidRPr="00AF3C60">
        <w:rPr>
          <w:rFonts w:ascii="Times New Roman" w:eastAsia="Calibri" w:hAnsi="Times New Roman" w:cs="Times New Roman"/>
          <w:color w:val="000000" w:themeColor="text1"/>
        </w:rPr>
        <w:t xml:space="preserve">. [online] Available at: </w:t>
      </w:r>
      <w:hyperlink r:id="rId33">
        <w:r w:rsidRPr="00AF3C60">
          <w:rPr>
            <w:rStyle w:val="Hyperlink"/>
            <w:rFonts w:ascii="Times New Roman" w:eastAsia="Calibri" w:hAnsi="Times New Roman" w:cs="Times New Roman"/>
            <w:color w:val="000000" w:themeColor="text1"/>
          </w:rPr>
          <w:t>https://www.employment-studies.co.uk/</w:t>
        </w:r>
      </w:hyperlink>
      <w:r w:rsidRPr="00AF3C60">
        <w:rPr>
          <w:rFonts w:ascii="Times New Roman" w:eastAsia="Calibri" w:hAnsi="Times New Roman" w:cs="Times New Roman"/>
          <w:color w:val="000000" w:themeColor="text1"/>
        </w:rPr>
        <w:t>. [Accessed 31 Oct. 2024].             14</w:t>
      </w:r>
    </w:p>
    <w:p w14:paraId="1EC78379" w14:textId="77777777" w:rsidR="004F46CE" w:rsidRPr="00AF3C60" w:rsidRDefault="004F46CE" w:rsidP="00AF3C60">
      <w:pPr>
        <w:spacing w:after="0" w:line="360" w:lineRule="auto"/>
        <w:jc w:val="both"/>
        <w:rPr>
          <w:rFonts w:ascii="Times New Roman" w:hAnsi="Times New Roman" w:cs="Times New Roman"/>
          <w:color w:val="000000" w:themeColor="text1"/>
        </w:rPr>
      </w:pPr>
      <w:r w:rsidRPr="00AF3C60">
        <w:rPr>
          <w:rFonts w:ascii="Times New Roman" w:eastAsia="Calibri" w:hAnsi="Times New Roman" w:cs="Times New Roman"/>
          <w:color w:val="000000" w:themeColor="text1"/>
        </w:rPr>
        <w:t xml:space="preserve">Johnson, G., Whittington, R., </w:t>
      </w:r>
      <w:proofErr w:type="spellStart"/>
      <w:r w:rsidRPr="00AF3C60">
        <w:rPr>
          <w:rFonts w:ascii="Times New Roman" w:eastAsia="Calibri" w:hAnsi="Times New Roman" w:cs="Times New Roman"/>
          <w:color w:val="000000" w:themeColor="text1"/>
        </w:rPr>
        <w:t>Regnér</w:t>
      </w:r>
      <w:proofErr w:type="spellEnd"/>
      <w:r w:rsidRPr="00AF3C60">
        <w:rPr>
          <w:rFonts w:ascii="Times New Roman" w:eastAsia="Calibri" w:hAnsi="Times New Roman" w:cs="Times New Roman"/>
          <w:color w:val="000000" w:themeColor="text1"/>
        </w:rPr>
        <w:t xml:space="preserve">, P., Angwin, D. and Scholes, K. (2020). </w:t>
      </w:r>
      <w:r w:rsidRPr="00AF3C60">
        <w:rPr>
          <w:rFonts w:ascii="Times New Roman" w:eastAsia="Calibri" w:hAnsi="Times New Roman" w:cs="Times New Roman"/>
          <w:i/>
          <w:iCs/>
          <w:color w:val="000000" w:themeColor="text1"/>
        </w:rPr>
        <w:t>Exploring Strategy</w:t>
      </w:r>
      <w:r w:rsidRPr="00AF3C60">
        <w:rPr>
          <w:rFonts w:ascii="Times New Roman" w:eastAsia="Calibri" w:hAnsi="Times New Roman" w:cs="Times New Roman"/>
          <w:color w:val="000000" w:themeColor="text1"/>
        </w:rPr>
        <w:t xml:space="preserve">. [online] </w:t>
      </w:r>
      <w:r w:rsidRPr="00AF3C60">
        <w:rPr>
          <w:rFonts w:ascii="Times New Roman" w:eastAsia="Calibri" w:hAnsi="Times New Roman" w:cs="Times New Roman"/>
          <w:i/>
          <w:iCs/>
          <w:color w:val="000000" w:themeColor="text1"/>
        </w:rPr>
        <w:t>Google Books</w:t>
      </w:r>
      <w:r w:rsidRPr="00AF3C60">
        <w:rPr>
          <w:rFonts w:ascii="Times New Roman" w:eastAsia="Calibri" w:hAnsi="Times New Roman" w:cs="Times New Roman"/>
          <w:color w:val="000000" w:themeColor="text1"/>
        </w:rPr>
        <w:t xml:space="preserve">. Pearson UK. Available at: </w:t>
      </w:r>
      <w:hyperlink r:id="rId34">
        <w:r w:rsidRPr="00AF3C60">
          <w:rPr>
            <w:rStyle w:val="Hyperlink"/>
            <w:rFonts w:ascii="Times New Roman" w:eastAsia="Calibri" w:hAnsi="Times New Roman" w:cs="Times New Roman"/>
            <w:color w:val="000000" w:themeColor="text1"/>
          </w:rPr>
          <w:t>https://books.google.co.uk/books/about/Exploring_Strategy.html?id=ieksEAAAQBAJ&amp;redir_esc=y</w:t>
        </w:r>
      </w:hyperlink>
      <w:r w:rsidRPr="00AF3C60">
        <w:rPr>
          <w:rFonts w:ascii="Times New Roman" w:eastAsia="Calibri" w:hAnsi="Times New Roman" w:cs="Times New Roman"/>
          <w:color w:val="000000" w:themeColor="text1"/>
        </w:rPr>
        <w:t>.</w:t>
      </w:r>
    </w:p>
    <w:p w14:paraId="6C74DB98" w14:textId="77777777" w:rsidR="0020052E" w:rsidRDefault="0020052E" w:rsidP="00AF3C60">
      <w:pPr>
        <w:spacing w:after="0" w:line="360" w:lineRule="auto"/>
        <w:jc w:val="both"/>
        <w:rPr>
          <w:rFonts w:ascii="Times New Roman" w:eastAsia="Calibri" w:hAnsi="Times New Roman" w:cs="Times New Roman"/>
          <w:color w:val="000000" w:themeColor="text1"/>
        </w:rPr>
      </w:pPr>
    </w:p>
    <w:p w14:paraId="670B81DC" w14:textId="11365558" w:rsidR="004F46CE" w:rsidRPr="00AF3C60" w:rsidRDefault="004F46CE" w:rsidP="00AF3C60">
      <w:pPr>
        <w:spacing w:after="0" w:line="360" w:lineRule="auto"/>
        <w:jc w:val="both"/>
        <w:rPr>
          <w:rFonts w:ascii="Times New Roman" w:hAnsi="Times New Roman" w:cs="Times New Roman"/>
          <w:color w:val="000000" w:themeColor="text1"/>
        </w:rPr>
      </w:pPr>
      <w:r w:rsidRPr="00AF3C60">
        <w:rPr>
          <w:rFonts w:ascii="Times New Roman" w:eastAsia="Calibri" w:hAnsi="Times New Roman" w:cs="Times New Roman"/>
          <w:color w:val="000000" w:themeColor="text1"/>
        </w:rPr>
        <w:t xml:space="preserve">Jumeirah (2024). </w:t>
      </w:r>
      <w:r w:rsidRPr="00AF3C60">
        <w:rPr>
          <w:rFonts w:ascii="Times New Roman" w:eastAsia="Calibri" w:hAnsi="Times New Roman" w:cs="Times New Roman"/>
          <w:i/>
          <w:iCs/>
          <w:color w:val="000000" w:themeColor="text1"/>
        </w:rPr>
        <w:t>Burj Al Arab</w:t>
      </w:r>
      <w:r w:rsidRPr="00AF3C60">
        <w:rPr>
          <w:rFonts w:ascii="Times New Roman" w:eastAsia="Calibri" w:hAnsi="Times New Roman" w:cs="Times New Roman"/>
          <w:color w:val="000000" w:themeColor="text1"/>
        </w:rPr>
        <w:t xml:space="preserve">. [online] </w:t>
      </w:r>
      <w:hyperlink>
        <w:r w:rsidRPr="00AF3C60">
          <w:rPr>
            <w:rStyle w:val="Hyperlink"/>
            <w:rFonts w:ascii="Times New Roman" w:eastAsia="Calibri" w:hAnsi="Times New Roman" w:cs="Times New Roman"/>
            <w:color w:val="000000" w:themeColor="text1"/>
          </w:rPr>
          <w:t>www.jumeirah.com</w:t>
        </w:r>
      </w:hyperlink>
      <w:r w:rsidRPr="00AF3C60">
        <w:rPr>
          <w:rFonts w:ascii="Times New Roman" w:eastAsia="Calibri" w:hAnsi="Times New Roman" w:cs="Times New Roman"/>
          <w:color w:val="000000" w:themeColor="text1"/>
        </w:rPr>
        <w:t xml:space="preserve">. Available at: </w:t>
      </w:r>
      <w:hyperlink r:id="rId35">
        <w:r w:rsidRPr="00AF3C60">
          <w:rPr>
            <w:rStyle w:val="Hyperlink"/>
            <w:rFonts w:ascii="Times New Roman" w:eastAsia="Calibri" w:hAnsi="Times New Roman" w:cs="Times New Roman"/>
            <w:color w:val="000000" w:themeColor="text1"/>
          </w:rPr>
          <w:t>https://www.jumeirah.com/en/stay/dubai/burj-al-arab-jumeirah</w:t>
        </w:r>
      </w:hyperlink>
      <w:r w:rsidRPr="00AF3C60">
        <w:rPr>
          <w:rFonts w:ascii="Times New Roman" w:eastAsia="Calibri" w:hAnsi="Times New Roman" w:cs="Times New Roman"/>
          <w:color w:val="000000" w:themeColor="text1"/>
        </w:rPr>
        <w:t>.</w:t>
      </w:r>
    </w:p>
    <w:p w14:paraId="3F81CB02" w14:textId="77777777" w:rsidR="004F46CE" w:rsidRPr="00AF3C60" w:rsidRDefault="004F46CE" w:rsidP="00AF3C60">
      <w:pPr>
        <w:spacing w:before="240" w:after="240" w:line="360" w:lineRule="auto"/>
        <w:jc w:val="both"/>
        <w:rPr>
          <w:rFonts w:ascii="Times New Roman" w:eastAsia="Calibri" w:hAnsi="Times New Roman" w:cs="Times New Roman"/>
          <w:color w:val="000000" w:themeColor="text1"/>
        </w:rPr>
      </w:pPr>
      <w:r w:rsidRPr="00AF3C60">
        <w:rPr>
          <w:rFonts w:ascii="Times New Roman" w:eastAsia="Calibri" w:hAnsi="Times New Roman" w:cs="Times New Roman"/>
          <w:color w:val="000000" w:themeColor="text1"/>
        </w:rPr>
        <w:t xml:space="preserve">Jumeirah Group. (2023). </w:t>
      </w:r>
      <w:r w:rsidRPr="00AF3C60">
        <w:rPr>
          <w:rFonts w:ascii="Times New Roman" w:eastAsia="Calibri" w:hAnsi="Times New Roman" w:cs="Times New Roman"/>
          <w:i/>
          <w:iCs/>
          <w:color w:val="000000" w:themeColor="text1"/>
        </w:rPr>
        <w:t>Jumeirah Group Sustainability Report 2023</w:t>
      </w:r>
      <w:r w:rsidRPr="00AF3C60">
        <w:rPr>
          <w:rFonts w:ascii="Times New Roman" w:eastAsia="Calibri" w:hAnsi="Times New Roman" w:cs="Times New Roman"/>
          <w:color w:val="000000" w:themeColor="text1"/>
        </w:rPr>
        <w:t xml:space="preserve">. Retrieved from </w:t>
      </w:r>
      <w:hyperlink r:id="rId36">
        <w:r w:rsidRPr="00AF3C60">
          <w:rPr>
            <w:rStyle w:val="Hyperlink"/>
            <w:rFonts w:ascii="Times New Roman" w:eastAsia="Calibri" w:hAnsi="Times New Roman" w:cs="Times New Roman"/>
            <w:color w:val="000000" w:themeColor="text1"/>
          </w:rPr>
          <w:t>https://cd-hospitality.jumeirah.com/-/mediadh/dh/hospitality/jumeirah/jumeirah-group/sustainability/jumeirah-sustainabilty_report-2023.pdf?modified=20231201053006</w:t>
        </w:r>
      </w:hyperlink>
    </w:p>
    <w:p w14:paraId="7155EFC1" w14:textId="77777777" w:rsidR="004F46CE" w:rsidRPr="00AF3C60" w:rsidRDefault="004F46CE" w:rsidP="00AF3C60">
      <w:pPr>
        <w:spacing w:before="240" w:after="240" w:line="360" w:lineRule="auto"/>
        <w:jc w:val="both"/>
        <w:rPr>
          <w:rFonts w:ascii="Times New Roman" w:eastAsia="Calibri" w:hAnsi="Times New Roman" w:cs="Times New Roman"/>
          <w:color w:val="000000" w:themeColor="text1"/>
        </w:rPr>
      </w:pPr>
      <w:r w:rsidRPr="00AF3C60">
        <w:rPr>
          <w:rFonts w:ascii="Times New Roman" w:eastAsia="Calibri" w:hAnsi="Times New Roman" w:cs="Times New Roman"/>
          <w:color w:val="000000" w:themeColor="text1"/>
        </w:rPr>
        <w:t xml:space="preserve">Jumeirah Group. (n.d.). </w:t>
      </w:r>
      <w:r w:rsidRPr="00AF3C60">
        <w:rPr>
          <w:rFonts w:ascii="Times New Roman" w:eastAsia="Calibri" w:hAnsi="Times New Roman" w:cs="Times New Roman"/>
          <w:i/>
          <w:iCs/>
          <w:color w:val="000000" w:themeColor="text1"/>
        </w:rPr>
        <w:t>What sustainability means for Jumeirah</w:t>
      </w:r>
      <w:r w:rsidRPr="00AF3C60">
        <w:rPr>
          <w:rFonts w:ascii="Times New Roman" w:eastAsia="Calibri" w:hAnsi="Times New Roman" w:cs="Times New Roman"/>
          <w:color w:val="000000" w:themeColor="text1"/>
        </w:rPr>
        <w:t xml:space="preserve">. Retrieved from </w:t>
      </w:r>
      <w:hyperlink r:id="rId37">
        <w:r w:rsidRPr="00AF3C60">
          <w:rPr>
            <w:rStyle w:val="Hyperlink"/>
            <w:rFonts w:ascii="Times New Roman" w:eastAsia="Calibri" w:hAnsi="Times New Roman" w:cs="Times New Roman"/>
            <w:color w:val="000000" w:themeColor="text1"/>
          </w:rPr>
          <w:t>https://www.jumeirah.com/en/article/campaigns/stay-home-with-jumeirah/what-sustainability-means-for-jumeirah</w:t>
        </w:r>
      </w:hyperlink>
    </w:p>
    <w:p w14:paraId="08DBABC3" w14:textId="77777777" w:rsidR="004F46CE" w:rsidRPr="00AF3C60" w:rsidRDefault="004F46CE" w:rsidP="00AF3C60">
      <w:pPr>
        <w:spacing w:after="0" w:line="360" w:lineRule="auto"/>
        <w:jc w:val="both"/>
        <w:rPr>
          <w:rFonts w:ascii="Times New Roman" w:hAnsi="Times New Roman" w:cs="Times New Roman"/>
          <w:color w:val="000000" w:themeColor="text1"/>
        </w:rPr>
      </w:pPr>
      <w:r w:rsidRPr="00AF3C60">
        <w:rPr>
          <w:rFonts w:ascii="Times New Roman" w:eastAsia="Calibri" w:hAnsi="Times New Roman" w:cs="Times New Roman"/>
          <w:color w:val="000000" w:themeColor="text1"/>
        </w:rPr>
        <w:t xml:space="preserve">Kotter, J. (2007). </w:t>
      </w:r>
      <w:r w:rsidRPr="00AF3C60">
        <w:rPr>
          <w:rFonts w:ascii="Times New Roman" w:eastAsia="Calibri" w:hAnsi="Times New Roman" w:cs="Times New Roman"/>
          <w:i/>
          <w:iCs/>
          <w:color w:val="000000" w:themeColor="text1"/>
        </w:rPr>
        <w:t>Leading Change: Why Transformation Efforts Fail</w:t>
      </w:r>
      <w:r w:rsidRPr="00AF3C60">
        <w:rPr>
          <w:rFonts w:ascii="Times New Roman" w:eastAsia="Calibri" w:hAnsi="Times New Roman" w:cs="Times New Roman"/>
          <w:color w:val="000000" w:themeColor="text1"/>
        </w:rPr>
        <w:t xml:space="preserve">. [online] Harvard Business Review. Available at: </w:t>
      </w:r>
      <w:hyperlink r:id="rId38">
        <w:r w:rsidRPr="00AF3C60">
          <w:rPr>
            <w:rStyle w:val="Hyperlink"/>
            <w:rFonts w:ascii="Times New Roman" w:eastAsia="Calibri" w:hAnsi="Times New Roman" w:cs="Times New Roman"/>
            <w:color w:val="000000" w:themeColor="text1"/>
          </w:rPr>
          <w:t>https://hbr.org/2007/01/leading-change-why-transformation-efforts-fail</w:t>
        </w:r>
      </w:hyperlink>
      <w:r w:rsidRPr="00AF3C60">
        <w:rPr>
          <w:rFonts w:ascii="Times New Roman" w:eastAsia="Calibri" w:hAnsi="Times New Roman" w:cs="Times New Roman"/>
          <w:color w:val="000000" w:themeColor="text1"/>
        </w:rPr>
        <w:t>. [Accessed 31 Oct. 2024]</w:t>
      </w:r>
    </w:p>
    <w:p w14:paraId="6E591A00" w14:textId="77777777" w:rsidR="004F46CE" w:rsidRPr="00AF3C60" w:rsidRDefault="004F46CE" w:rsidP="00AF3C60">
      <w:pPr>
        <w:spacing w:after="0" w:line="360" w:lineRule="auto"/>
        <w:jc w:val="both"/>
        <w:rPr>
          <w:rFonts w:ascii="Times New Roman" w:eastAsia="Calibri" w:hAnsi="Times New Roman" w:cs="Times New Roman"/>
          <w:color w:val="000000" w:themeColor="text1"/>
        </w:rPr>
      </w:pPr>
      <w:r w:rsidRPr="00AF3C60">
        <w:rPr>
          <w:rFonts w:ascii="Times New Roman" w:eastAsia="Calibri" w:hAnsi="Times New Roman" w:cs="Times New Roman"/>
          <w:color w:val="000000" w:themeColor="text1"/>
        </w:rPr>
        <w:lastRenderedPageBreak/>
        <w:t xml:space="preserve">Marriott.com. (2016). </w:t>
      </w:r>
      <w:r w:rsidRPr="00AF3C60">
        <w:rPr>
          <w:rFonts w:ascii="Times New Roman" w:eastAsia="Calibri" w:hAnsi="Times New Roman" w:cs="Times New Roman"/>
          <w:i/>
          <w:iCs/>
          <w:color w:val="000000" w:themeColor="text1"/>
        </w:rPr>
        <w:t>Mobile App</w:t>
      </w:r>
      <w:r w:rsidRPr="00AF3C60">
        <w:rPr>
          <w:rFonts w:ascii="Times New Roman" w:eastAsia="Calibri" w:hAnsi="Times New Roman" w:cs="Times New Roman"/>
          <w:color w:val="000000" w:themeColor="text1"/>
        </w:rPr>
        <w:t xml:space="preserve">. [online] Available at: </w:t>
      </w:r>
      <w:hyperlink r:id="rId39">
        <w:r w:rsidRPr="00AF3C60">
          <w:rPr>
            <w:rStyle w:val="Hyperlink"/>
            <w:rFonts w:ascii="Times New Roman" w:eastAsia="Calibri" w:hAnsi="Times New Roman" w:cs="Times New Roman"/>
            <w:color w:val="000000" w:themeColor="text1"/>
          </w:rPr>
          <w:t>https://www.marriott.com/marriott-brands/mobile-app.mi</w:t>
        </w:r>
      </w:hyperlink>
      <w:r w:rsidRPr="00AF3C60">
        <w:rPr>
          <w:rFonts w:ascii="Times New Roman" w:eastAsia="Calibri" w:hAnsi="Times New Roman" w:cs="Times New Roman"/>
          <w:color w:val="000000" w:themeColor="text1"/>
        </w:rPr>
        <w:t>. [Accessed 31 Oct. 2024].</w:t>
      </w:r>
    </w:p>
    <w:p w14:paraId="6B475ABF" w14:textId="77777777" w:rsidR="004F46CE" w:rsidRPr="00AF3C60" w:rsidRDefault="004F46CE" w:rsidP="00AF3C60">
      <w:pPr>
        <w:spacing w:before="240" w:after="240" w:line="360" w:lineRule="auto"/>
        <w:jc w:val="both"/>
        <w:rPr>
          <w:rFonts w:ascii="Times New Roman" w:eastAsia="Calibri" w:hAnsi="Times New Roman" w:cs="Times New Roman"/>
          <w:color w:val="000000" w:themeColor="text1"/>
        </w:rPr>
      </w:pPr>
      <w:proofErr w:type="spellStart"/>
      <w:r w:rsidRPr="00AF3C60">
        <w:rPr>
          <w:rFonts w:ascii="Times New Roman" w:eastAsia="Calibri" w:hAnsi="Times New Roman" w:cs="Times New Roman"/>
          <w:color w:val="000000" w:themeColor="text1"/>
        </w:rPr>
        <w:t>Mavridopoulou</w:t>
      </w:r>
      <w:proofErr w:type="spellEnd"/>
      <w:r w:rsidRPr="00AF3C60">
        <w:rPr>
          <w:rFonts w:ascii="Times New Roman" w:eastAsia="Calibri" w:hAnsi="Times New Roman" w:cs="Times New Roman"/>
          <w:color w:val="000000" w:themeColor="text1"/>
        </w:rPr>
        <w:t>, &amp; O’Mahoney, J. (2020). Elitism in Strategy Consulting: How Institutional Prestige Influences Recruitment. Management Consulting Journal, 3(1), 12–22</w:t>
      </w:r>
    </w:p>
    <w:p w14:paraId="2B714F31" w14:textId="77777777" w:rsidR="004F46CE" w:rsidRPr="00AF3C60" w:rsidRDefault="004F46CE" w:rsidP="00AF3C60">
      <w:pPr>
        <w:spacing w:after="0" w:line="360" w:lineRule="auto"/>
        <w:jc w:val="both"/>
        <w:rPr>
          <w:rFonts w:ascii="Times New Roman" w:hAnsi="Times New Roman" w:cs="Times New Roman"/>
          <w:color w:val="000000" w:themeColor="text1"/>
        </w:rPr>
      </w:pPr>
      <w:r w:rsidRPr="00AF3C60">
        <w:rPr>
          <w:rFonts w:ascii="Times New Roman" w:eastAsia="Calibri" w:hAnsi="Times New Roman" w:cs="Times New Roman"/>
          <w:color w:val="000000" w:themeColor="text1"/>
        </w:rPr>
        <w:t xml:space="preserve">MHR. (2024). </w:t>
      </w:r>
      <w:r w:rsidRPr="00AF3C60">
        <w:rPr>
          <w:rFonts w:ascii="Times New Roman" w:eastAsia="Calibri" w:hAnsi="Times New Roman" w:cs="Times New Roman"/>
          <w:i/>
          <w:iCs/>
          <w:color w:val="000000" w:themeColor="text1"/>
        </w:rPr>
        <w:t>Smarter HR, payroll &amp; finance | MHR</w:t>
      </w:r>
      <w:r w:rsidRPr="00AF3C60">
        <w:rPr>
          <w:rFonts w:ascii="Times New Roman" w:eastAsia="Calibri" w:hAnsi="Times New Roman" w:cs="Times New Roman"/>
          <w:color w:val="000000" w:themeColor="text1"/>
        </w:rPr>
        <w:t xml:space="preserve">. [online] Available at: </w:t>
      </w:r>
      <w:hyperlink r:id="rId40">
        <w:r w:rsidRPr="00AF3C60">
          <w:rPr>
            <w:rStyle w:val="Hyperlink"/>
            <w:rFonts w:ascii="Times New Roman" w:eastAsia="Calibri" w:hAnsi="Times New Roman" w:cs="Times New Roman"/>
            <w:color w:val="000000" w:themeColor="text1"/>
          </w:rPr>
          <w:t>https://mhrglobal.com/uk/en?_e</w:t>
        </w:r>
      </w:hyperlink>
      <w:r w:rsidRPr="00AF3C60">
        <w:rPr>
          <w:rFonts w:ascii="Times New Roman" w:eastAsia="Calibri" w:hAnsi="Times New Roman" w:cs="Times New Roman"/>
          <w:color w:val="000000" w:themeColor="text1"/>
        </w:rPr>
        <w:t xml:space="preserve"> [Accessed 31 Oct. 2024].</w:t>
      </w:r>
    </w:p>
    <w:p w14:paraId="1896C4AD" w14:textId="77777777" w:rsidR="0020052E" w:rsidRDefault="0020052E" w:rsidP="00AF3C60">
      <w:pPr>
        <w:spacing w:after="0" w:line="360" w:lineRule="auto"/>
        <w:jc w:val="both"/>
        <w:rPr>
          <w:rFonts w:ascii="Times New Roman" w:eastAsia="Calibri" w:hAnsi="Times New Roman" w:cs="Times New Roman"/>
          <w:color w:val="000000" w:themeColor="text1"/>
        </w:rPr>
      </w:pPr>
    </w:p>
    <w:p w14:paraId="34F7E3BE" w14:textId="5A19531F" w:rsidR="004F46CE" w:rsidRPr="00AF3C60" w:rsidRDefault="004F46CE" w:rsidP="00AF3C60">
      <w:pPr>
        <w:spacing w:after="0" w:line="360" w:lineRule="auto"/>
        <w:jc w:val="both"/>
        <w:rPr>
          <w:rFonts w:ascii="Times New Roman" w:hAnsi="Times New Roman" w:cs="Times New Roman"/>
          <w:color w:val="000000" w:themeColor="text1"/>
        </w:rPr>
      </w:pPr>
      <w:r w:rsidRPr="00AF3C60">
        <w:rPr>
          <w:rFonts w:ascii="Times New Roman" w:eastAsia="Calibri" w:hAnsi="Times New Roman" w:cs="Times New Roman"/>
          <w:color w:val="000000" w:themeColor="text1"/>
        </w:rPr>
        <w:t xml:space="preserve">monday.com (n.d.) General management. Available at: </w:t>
      </w:r>
      <w:hyperlink r:id="rId41">
        <w:r w:rsidRPr="00AF3C60">
          <w:rPr>
            <w:rStyle w:val="Hyperlink"/>
            <w:rFonts w:ascii="Times New Roman" w:eastAsia="Calibri" w:hAnsi="Times New Roman" w:cs="Times New Roman"/>
            <w:color w:val="000000" w:themeColor="text1"/>
          </w:rPr>
          <w:t>https://monday.com/ap/general</w:t>
        </w:r>
      </w:hyperlink>
      <w:r w:rsidRPr="00AF3C60">
        <w:rPr>
          <w:rFonts w:ascii="Times New Roman" w:eastAsia="Calibri" w:hAnsi="Times New Roman" w:cs="Times New Roman"/>
          <w:color w:val="000000" w:themeColor="text1"/>
        </w:rPr>
        <w:t xml:space="preserve"> (Accessed: 31 October 2024).</w:t>
      </w:r>
    </w:p>
    <w:p w14:paraId="0C5CECAF" w14:textId="77777777" w:rsidR="0020052E" w:rsidRDefault="0020052E" w:rsidP="00AF3C60">
      <w:pPr>
        <w:spacing w:after="0" w:line="360" w:lineRule="auto"/>
        <w:jc w:val="both"/>
        <w:rPr>
          <w:rFonts w:ascii="Times New Roman" w:eastAsia="Calibri" w:hAnsi="Times New Roman" w:cs="Times New Roman"/>
          <w:color w:val="000000" w:themeColor="text1"/>
        </w:rPr>
      </w:pPr>
    </w:p>
    <w:p w14:paraId="24E8BACE" w14:textId="6B03D05A" w:rsidR="004F46CE" w:rsidRPr="00AF3C60" w:rsidRDefault="004F46CE" w:rsidP="00AF3C60">
      <w:pPr>
        <w:spacing w:after="0" w:line="360" w:lineRule="auto"/>
        <w:jc w:val="both"/>
        <w:rPr>
          <w:rFonts w:ascii="Times New Roman" w:hAnsi="Times New Roman" w:cs="Times New Roman"/>
          <w:color w:val="000000" w:themeColor="text1"/>
        </w:rPr>
      </w:pPr>
      <w:r w:rsidRPr="00AF3C60">
        <w:rPr>
          <w:rFonts w:ascii="Times New Roman" w:eastAsia="Calibri" w:hAnsi="Times New Roman" w:cs="Times New Roman"/>
          <w:color w:val="000000" w:themeColor="text1"/>
        </w:rPr>
        <w:t xml:space="preserve">Nieves, J. and Quintana, A. (2018). Human resource practices and innovation in the hotel industry: The mediating role of human capital. </w:t>
      </w:r>
      <w:r w:rsidRPr="00AF3C60">
        <w:rPr>
          <w:rFonts w:ascii="Times New Roman" w:eastAsia="Calibri" w:hAnsi="Times New Roman" w:cs="Times New Roman"/>
          <w:i/>
          <w:iCs/>
          <w:color w:val="000000" w:themeColor="text1"/>
        </w:rPr>
        <w:t>Tourism and Hospitality Research</w:t>
      </w:r>
      <w:r w:rsidRPr="00AF3C60">
        <w:rPr>
          <w:rFonts w:ascii="Times New Roman" w:eastAsia="Calibri" w:hAnsi="Times New Roman" w:cs="Times New Roman"/>
          <w:color w:val="000000" w:themeColor="text1"/>
        </w:rPr>
        <w:t xml:space="preserve">, [online] 18(1), pp.72–83. Available at: </w:t>
      </w:r>
      <w:hyperlink r:id="rId42">
        <w:r w:rsidRPr="00AF3C60">
          <w:rPr>
            <w:rStyle w:val="Hyperlink"/>
            <w:rFonts w:ascii="Times New Roman" w:eastAsia="Calibri" w:hAnsi="Times New Roman" w:cs="Times New Roman"/>
            <w:color w:val="000000" w:themeColor="text1"/>
          </w:rPr>
          <w:t>https://www.jstor.org/stable/26366557</w:t>
        </w:r>
      </w:hyperlink>
      <w:r w:rsidRPr="00AF3C60">
        <w:rPr>
          <w:rFonts w:ascii="Times New Roman" w:eastAsia="Calibri" w:hAnsi="Times New Roman" w:cs="Times New Roman"/>
          <w:color w:val="000000" w:themeColor="text1"/>
        </w:rPr>
        <w:t>.</w:t>
      </w:r>
    </w:p>
    <w:p w14:paraId="0F532EF4" w14:textId="77777777" w:rsidR="004F46CE" w:rsidRPr="00AF3C60" w:rsidRDefault="004F46CE" w:rsidP="00AF3C60">
      <w:pPr>
        <w:spacing w:before="240" w:after="240" w:line="360" w:lineRule="auto"/>
        <w:jc w:val="both"/>
        <w:rPr>
          <w:rFonts w:ascii="Times New Roman" w:hAnsi="Times New Roman" w:cs="Times New Roman"/>
          <w:color w:val="000000" w:themeColor="text1"/>
        </w:rPr>
      </w:pPr>
      <w:r w:rsidRPr="00AF3C60">
        <w:rPr>
          <w:rFonts w:ascii="Times New Roman" w:eastAsia="Calibri" w:hAnsi="Times New Roman" w:cs="Times New Roman"/>
          <w:color w:val="000000" w:themeColor="text1"/>
        </w:rPr>
        <w:t xml:space="preserve">‌Office for National Statistics (2021). </w:t>
      </w:r>
      <w:r w:rsidRPr="00AF3C60">
        <w:rPr>
          <w:rFonts w:ascii="Times New Roman" w:eastAsia="Calibri" w:hAnsi="Times New Roman" w:cs="Times New Roman"/>
          <w:i/>
          <w:iCs/>
          <w:color w:val="000000" w:themeColor="text1"/>
        </w:rPr>
        <w:t>Office for National Statistics</w:t>
      </w:r>
      <w:r w:rsidRPr="00AF3C60">
        <w:rPr>
          <w:rFonts w:ascii="Times New Roman" w:eastAsia="Calibri" w:hAnsi="Times New Roman" w:cs="Times New Roman"/>
          <w:color w:val="000000" w:themeColor="text1"/>
        </w:rPr>
        <w:t xml:space="preserve">. [online] Ons.gov.uk. Available at: </w:t>
      </w:r>
      <w:hyperlink r:id="rId43">
        <w:r w:rsidRPr="00AF3C60">
          <w:rPr>
            <w:rStyle w:val="Hyperlink"/>
            <w:rFonts w:ascii="Times New Roman" w:eastAsia="Calibri" w:hAnsi="Times New Roman" w:cs="Times New Roman"/>
            <w:color w:val="000000" w:themeColor="text1"/>
          </w:rPr>
          <w:t>https://www.ons.gov.uk/</w:t>
        </w:r>
      </w:hyperlink>
      <w:r w:rsidRPr="00AF3C60">
        <w:rPr>
          <w:rFonts w:ascii="Times New Roman" w:eastAsia="Calibri" w:hAnsi="Times New Roman" w:cs="Times New Roman"/>
          <w:color w:val="000000" w:themeColor="text1"/>
        </w:rPr>
        <w:t>. [Accessed 31 Oct. 2024].</w:t>
      </w:r>
    </w:p>
    <w:p w14:paraId="053D1060" w14:textId="77777777" w:rsidR="004F46CE" w:rsidRPr="00AF3C60" w:rsidRDefault="004F46CE" w:rsidP="00AF3C60">
      <w:pPr>
        <w:spacing w:after="0" w:line="360" w:lineRule="auto"/>
        <w:jc w:val="both"/>
        <w:rPr>
          <w:rFonts w:ascii="Times New Roman" w:hAnsi="Times New Roman" w:cs="Times New Roman"/>
          <w:color w:val="000000" w:themeColor="text1"/>
        </w:rPr>
      </w:pPr>
      <w:r w:rsidRPr="00AF3C60">
        <w:rPr>
          <w:rFonts w:ascii="Times New Roman" w:eastAsia="Calibri" w:hAnsi="Times New Roman" w:cs="Times New Roman"/>
          <w:color w:val="000000" w:themeColor="text1"/>
        </w:rPr>
        <w:t xml:space="preserve">Oup.com. (2023). Available at: </w:t>
      </w:r>
      <w:hyperlink r:id="rId44">
        <w:r w:rsidRPr="00AF3C60">
          <w:rPr>
            <w:rStyle w:val="Hyperlink"/>
            <w:rFonts w:ascii="Times New Roman" w:eastAsia="Calibri" w:hAnsi="Times New Roman" w:cs="Times New Roman"/>
            <w:color w:val="000000" w:themeColor="text1"/>
          </w:rPr>
          <w:t>https://academic.oup.com/edited-volume/38572</w:t>
        </w:r>
      </w:hyperlink>
      <w:r w:rsidRPr="00AF3C60">
        <w:rPr>
          <w:rFonts w:ascii="Times New Roman" w:eastAsia="Calibri" w:hAnsi="Times New Roman" w:cs="Times New Roman"/>
          <w:color w:val="000000" w:themeColor="text1"/>
        </w:rPr>
        <w:t>.</w:t>
      </w:r>
    </w:p>
    <w:p w14:paraId="12A9DC2A" w14:textId="77777777" w:rsidR="004F46CE" w:rsidRPr="00AF3C60" w:rsidRDefault="004F46CE" w:rsidP="00AF3C60">
      <w:pPr>
        <w:spacing w:before="240" w:after="240" w:line="360" w:lineRule="auto"/>
        <w:jc w:val="both"/>
        <w:rPr>
          <w:rFonts w:ascii="Times New Roman" w:hAnsi="Times New Roman" w:cs="Times New Roman"/>
          <w:color w:val="000000" w:themeColor="text1"/>
        </w:rPr>
      </w:pPr>
      <w:r w:rsidRPr="00AF3C60">
        <w:rPr>
          <w:rFonts w:ascii="Times New Roman" w:eastAsia="Calibri" w:hAnsi="Times New Roman" w:cs="Times New Roman"/>
          <w:color w:val="000000" w:themeColor="text1"/>
        </w:rPr>
        <w:t xml:space="preserve">‌People Management (n.d.) People Management. Available at: </w:t>
      </w:r>
      <w:hyperlink r:id="rId45">
        <w:r w:rsidRPr="00AF3C60">
          <w:rPr>
            <w:rStyle w:val="Hyperlink"/>
            <w:rFonts w:ascii="Times New Roman" w:eastAsia="Calibri" w:hAnsi="Times New Roman" w:cs="Times New Roman"/>
            <w:color w:val="000000" w:themeColor="text1"/>
          </w:rPr>
          <w:t>https://www.peoplemanagement.co.uk/pm/</w:t>
        </w:r>
      </w:hyperlink>
      <w:r w:rsidRPr="00AF3C60">
        <w:rPr>
          <w:rFonts w:ascii="Times New Roman" w:eastAsia="Calibri" w:hAnsi="Times New Roman" w:cs="Times New Roman"/>
          <w:color w:val="000000" w:themeColor="text1"/>
        </w:rPr>
        <w:t xml:space="preserve"> (Accessed: 31 October 2024).</w:t>
      </w:r>
    </w:p>
    <w:p w14:paraId="196FEDF5" w14:textId="77777777" w:rsidR="004F46CE" w:rsidRPr="00AF3C60" w:rsidRDefault="004F46CE" w:rsidP="00AF3C60">
      <w:pPr>
        <w:spacing w:after="0" w:line="360" w:lineRule="auto"/>
        <w:jc w:val="both"/>
        <w:rPr>
          <w:rFonts w:ascii="Times New Roman" w:hAnsi="Times New Roman" w:cs="Times New Roman"/>
          <w:color w:val="000000" w:themeColor="text1"/>
        </w:rPr>
      </w:pPr>
      <w:r w:rsidRPr="00AF3C60">
        <w:rPr>
          <w:rFonts w:ascii="Times New Roman" w:eastAsia="Calibri" w:hAnsi="Times New Roman" w:cs="Times New Roman"/>
          <w:color w:val="000000" w:themeColor="text1"/>
        </w:rPr>
        <w:t xml:space="preserve">Project Workout (2020). </w:t>
      </w:r>
      <w:r w:rsidRPr="00AF3C60">
        <w:rPr>
          <w:rFonts w:ascii="Times New Roman" w:eastAsia="Calibri" w:hAnsi="Times New Roman" w:cs="Times New Roman"/>
          <w:i/>
          <w:iCs/>
          <w:color w:val="000000" w:themeColor="text1"/>
        </w:rPr>
        <w:t xml:space="preserve">The </w:t>
      </w:r>
      <w:proofErr w:type="spellStart"/>
      <w:r w:rsidRPr="00AF3C60">
        <w:rPr>
          <w:rFonts w:ascii="Times New Roman" w:eastAsia="Calibri" w:hAnsi="Times New Roman" w:cs="Times New Roman"/>
          <w:i/>
          <w:iCs/>
          <w:color w:val="000000" w:themeColor="text1"/>
        </w:rPr>
        <w:t>Programme</w:t>
      </w:r>
      <w:proofErr w:type="spellEnd"/>
      <w:r w:rsidRPr="00AF3C60">
        <w:rPr>
          <w:rFonts w:ascii="Times New Roman" w:eastAsia="Calibri" w:hAnsi="Times New Roman" w:cs="Times New Roman"/>
          <w:i/>
          <w:iCs/>
          <w:color w:val="000000" w:themeColor="text1"/>
        </w:rPr>
        <w:t xml:space="preserve"> and Portfolio Workout</w:t>
      </w:r>
      <w:r w:rsidRPr="00AF3C60">
        <w:rPr>
          <w:rFonts w:ascii="Times New Roman" w:eastAsia="Calibri" w:hAnsi="Times New Roman" w:cs="Times New Roman"/>
          <w:color w:val="000000" w:themeColor="text1"/>
        </w:rPr>
        <w:t xml:space="preserve">. [online] YouTube. Available at: </w:t>
      </w:r>
      <w:hyperlink r:id="rId46">
        <w:r w:rsidRPr="00AF3C60">
          <w:rPr>
            <w:rStyle w:val="Hyperlink"/>
            <w:rFonts w:ascii="Times New Roman" w:eastAsia="Calibri" w:hAnsi="Times New Roman" w:cs="Times New Roman"/>
            <w:color w:val="000000" w:themeColor="text1"/>
          </w:rPr>
          <w:t>https://www.youtube.com/watch?v=4_2C3S_4e8A</w:t>
        </w:r>
      </w:hyperlink>
      <w:r w:rsidRPr="00AF3C60">
        <w:rPr>
          <w:rFonts w:ascii="Times New Roman" w:eastAsia="Calibri" w:hAnsi="Times New Roman" w:cs="Times New Roman"/>
          <w:color w:val="000000" w:themeColor="text1"/>
        </w:rPr>
        <w:t xml:space="preserve"> [Accessed 31 Oct. 2024].</w:t>
      </w:r>
    </w:p>
    <w:p w14:paraId="20C07E59" w14:textId="77777777" w:rsidR="0020052E" w:rsidRDefault="0020052E" w:rsidP="00AF3C60">
      <w:pPr>
        <w:spacing w:after="0" w:line="360" w:lineRule="auto"/>
        <w:jc w:val="both"/>
        <w:rPr>
          <w:rFonts w:ascii="Times New Roman" w:eastAsia="Calibri" w:hAnsi="Times New Roman" w:cs="Times New Roman"/>
          <w:color w:val="000000" w:themeColor="text1"/>
        </w:rPr>
      </w:pPr>
    </w:p>
    <w:p w14:paraId="76089A68" w14:textId="63F09CE9" w:rsidR="004F46CE" w:rsidRPr="00AF3C60" w:rsidRDefault="004F46CE" w:rsidP="00AF3C60">
      <w:pPr>
        <w:spacing w:after="0" w:line="360" w:lineRule="auto"/>
        <w:jc w:val="both"/>
        <w:rPr>
          <w:rFonts w:ascii="Times New Roman" w:hAnsi="Times New Roman" w:cs="Times New Roman"/>
          <w:color w:val="000000" w:themeColor="text1"/>
        </w:rPr>
      </w:pPr>
      <w:r w:rsidRPr="00AF3C60">
        <w:rPr>
          <w:rFonts w:ascii="Times New Roman" w:eastAsia="Calibri" w:hAnsi="Times New Roman" w:cs="Times New Roman"/>
          <w:color w:val="000000" w:themeColor="text1"/>
        </w:rPr>
        <w:t xml:space="preserve">Quizlet. (2024). Available at: </w:t>
      </w:r>
      <w:hyperlink r:id="rId47">
        <w:r w:rsidRPr="00AF3C60">
          <w:rPr>
            <w:rStyle w:val="Hyperlink"/>
            <w:rFonts w:ascii="Times New Roman" w:eastAsia="Calibri" w:hAnsi="Times New Roman" w:cs="Times New Roman"/>
            <w:color w:val="000000" w:themeColor="text1"/>
          </w:rPr>
          <w:t>https://quizlet.com/study-guides/ritz-carlton-s-service-excellence-063160db-1dac-4af6-ae06-a7ec3f7acab5</w:t>
        </w:r>
      </w:hyperlink>
      <w:r w:rsidRPr="00AF3C60">
        <w:rPr>
          <w:rFonts w:ascii="Times New Roman" w:eastAsia="Calibri" w:hAnsi="Times New Roman" w:cs="Times New Roman"/>
          <w:color w:val="000000" w:themeColor="text1"/>
        </w:rPr>
        <w:t xml:space="preserve"> [Accessed 31 Oct. 2024].</w:t>
      </w:r>
    </w:p>
    <w:p w14:paraId="295EF002" w14:textId="77777777" w:rsidR="0020052E" w:rsidRDefault="0020052E" w:rsidP="00AF3C60">
      <w:pPr>
        <w:spacing w:after="0" w:line="360" w:lineRule="auto"/>
        <w:jc w:val="both"/>
        <w:rPr>
          <w:rFonts w:ascii="Times New Roman" w:eastAsia="Calibri" w:hAnsi="Times New Roman" w:cs="Times New Roman"/>
          <w:color w:val="000000" w:themeColor="text1"/>
        </w:rPr>
      </w:pPr>
    </w:p>
    <w:p w14:paraId="43186FC8" w14:textId="13BBDECC" w:rsidR="004F46CE" w:rsidRPr="00AF3C60" w:rsidRDefault="004F46CE" w:rsidP="00AF3C60">
      <w:pPr>
        <w:spacing w:after="0" w:line="360" w:lineRule="auto"/>
        <w:jc w:val="both"/>
        <w:rPr>
          <w:rFonts w:ascii="Times New Roman" w:hAnsi="Times New Roman" w:cs="Times New Roman"/>
          <w:color w:val="000000" w:themeColor="text1"/>
        </w:rPr>
      </w:pPr>
      <w:r w:rsidRPr="00AF3C60">
        <w:rPr>
          <w:rFonts w:ascii="Times New Roman" w:eastAsia="Calibri" w:hAnsi="Times New Roman" w:cs="Times New Roman"/>
          <w:color w:val="000000" w:themeColor="text1"/>
        </w:rPr>
        <w:t xml:space="preserve">SAGE Journals. (2019). </w:t>
      </w:r>
      <w:r w:rsidRPr="00AF3C60">
        <w:rPr>
          <w:rFonts w:ascii="Times New Roman" w:eastAsia="Calibri" w:hAnsi="Times New Roman" w:cs="Times New Roman"/>
          <w:i/>
          <w:iCs/>
          <w:color w:val="000000" w:themeColor="text1"/>
        </w:rPr>
        <w:t>Cornell Hospitality Quarterly: SAGE Journals</w:t>
      </w:r>
      <w:r w:rsidRPr="00AF3C60">
        <w:rPr>
          <w:rFonts w:ascii="Times New Roman" w:eastAsia="Calibri" w:hAnsi="Times New Roman" w:cs="Times New Roman"/>
          <w:color w:val="000000" w:themeColor="text1"/>
        </w:rPr>
        <w:t xml:space="preserve">. [online] Available at: </w:t>
      </w:r>
      <w:hyperlink r:id="rId48">
        <w:r w:rsidRPr="00AF3C60">
          <w:rPr>
            <w:rStyle w:val="Hyperlink"/>
            <w:rFonts w:ascii="Times New Roman" w:eastAsia="Calibri" w:hAnsi="Times New Roman" w:cs="Times New Roman"/>
            <w:color w:val="000000" w:themeColor="text1"/>
          </w:rPr>
          <w:t>https://journals.sagepub.com/home/cqx</w:t>
        </w:r>
      </w:hyperlink>
      <w:r w:rsidRPr="00AF3C60">
        <w:rPr>
          <w:rFonts w:ascii="Times New Roman" w:eastAsia="Calibri" w:hAnsi="Times New Roman" w:cs="Times New Roman"/>
          <w:color w:val="000000" w:themeColor="text1"/>
        </w:rPr>
        <w:t>.</w:t>
      </w:r>
    </w:p>
    <w:p w14:paraId="026DAB33" w14:textId="77777777" w:rsidR="0020052E" w:rsidRDefault="0020052E" w:rsidP="00AF3C60">
      <w:pPr>
        <w:spacing w:after="0" w:line="360" w:lineRule="auto"/>
        <w:jc w:val="both"/>
        <w:rPr>
          <w:rFonts w:ascii="Times New Roman" w:eastAsia="Calibri" w:hAnsi="Times New Roman" w:cs="Times New Roman"/>
          <w:color w:val="000000" w:themeColor="text1"/>
        </w:rPr>
      </w:pPr>
    </w:p>
    <w:p w14:paraId="1B8529FE" w14:textId="3A2A4389" w:rsidR="004F46CE" w:rsidRPr="00AF3C60" w:rsidRDefault="004F46CE" w:rsidP="00AF3C60">
      <w:pPr>
        <w:spacing w:after="0" w:line="360" w:lineRule="auto"/>
        <w:jc w:val="both"/>
        <w:rPr>
          <w:rFonts w:ascii="Times New Roman" w:hAnsi="Times New Roman" w:cs="Times New Roman"/>
          <w:color w:val="000000" w:themeColor="text1"/>
        </w:rPr>
      </w:pPr>
      <w:r w:rsidRPr="00AF3C60">
        <w:rPr>
          <w:rFonts w:ascii="Times New Roman" w:eastAsia="Calibri" w:hAnsi="Times New Roman" w:cs="Times New Roman"/>
          <w:color w:val="000000" w:themeColor="text1"/>
        </w:rPr>
        <w:lastRenderedPageBreak/>
        <w:t xml:space="preserve">SAGE Journals. (2019). </w:t>
      </w:r>
      <w:r w:rsidRPr="00AF3C60">
        <w:rPr>
          <w:rFonts w:ascii="Times New Roman" w:eastAsia="Calibri" w:hAnsi="Times New Roman" w:cs="Times New Roman"/>
          <w:i/>
          <w:iCs/>
          <w:color w:val="000000" w:themeColor="text1"/>
        </w:rPr>
        <w:t>Public Personnel Management: SAGE Journals</w:t>
      </w:r>
      <w:r w:rsidRPr="00AF3C60">
        <w:rPr>
          <w:rFonts w:ascii="Times New Roman" w:eastAsia="Calibri" w:hAnsi="Times New Roman" w:cs="Times New Roman"/>
          <w:color w:val="000000" w:themeColor="text1"/>
        </w:rPr>
        <w:t xml:space="preserve">. [online] Available at: </w:t>
      </w:r>
      <w:hyperlink r:id="rId49">
        <w:r w:rsidRPr="00AF3C60">
          <w:rPr>
            <w:rStyle w:val="Hyperlink"/>
            <w:rFonts w:ascii="Times New Roman" w:eastAsia="Calibri" w:hAnsi="Times New Roman" w:cs="Times New Roman"/>
            <w:color w:val="000000" w:themeColor="text1"/>
          </w:rPr>
          <w:t>https://journals.sagepub.com/home/ppm</w:t>
        </w:r>
      </w:hyperlink>
      <w:r w:rsidRPr="00AF3C60">
        <w:rPr>
          <w:rFonts w:ascii="Times New Roman" w:eastAsia="Calibri" w:hAnsi="Times New Roman" w:cs="Times New Roman"/>
          <w:color w:val="000000" w:themeColor="text1"/>
        </w:rPr>
        <w:t>. [Accessed 31 Oct. 2024].</w:t>
      </w:r>
    </w:p>
    <w:p w14:paraId="5EA8C30C" w14:textId="77777777" w:rsidR="004F46CE" w:rsidRPr="00AF3C60" w:rsidRDefault="004F46CE" w:rsidP="00AF3C60">
      <w:pPr>
        <w:spacing w:before="240" w:after="240" w:line="360" w:lineRule="auto"/>
        <w:jc w:val="both"/>
        <w:rPr>
          <w:rFonts w:ascii="Times New Roman" w:hAnsi="Times New Roman" w:cs="Times New Roman"/>
          <w:color w:val="000000" w:themeColor="text1"/>
        </w:rPr>
      </w:pPr>
      <w:r w:rsidRPr="00AF3C60">
        <w:rPr>
          <w:rFonts w:ascii="Times New Roman" w:eastAsia="Calibri" w:hAnsi="Times New Roman" w:cs="Times New Roman"/>
          <w:color w:val="000000" w:themeColor="text1"/>
        </w:rPr>
        <w:t xml:space="preserve">‌SAGE Journals. (2019). </w:t>
      </w:r>
      <w:r w:rsidRPr="00AF3C60">
        <w:rPr>
          <w:rFonts w:ascii="Times New Roman" w:eastAsia="Calibri" w:hAnsi="Times New Roman" w:cs="Times New Roman"/>
          <w:i/>
          <w:iCs/>
          <w:color w:val="000000" w:themeColor="text1"/>
        </w:rPr>
        <w:t>Work, Employment and Society: SAGE Journals</w:t>
      </w:r>
      <w:r w:rsidRPr="00AF3C60">
        <w:rPr>
          <w:rFonts w:ascii="Times New Roman" w:eastAsia="Calibri" w:hAnsi="Times New Roman" w:cs="Times New Roman"/>
          <w:color w:val="000000" w:themeColor="text1"/>
        </w:rPr>
        <w:t xml:space="preserve">. [online] Available at: </w:t>
      </w:r>
      <w:hyperlink r:id="rId50">
        <w:r w:rsidRPr="00AF3C60">
          <w:rPr>
            <w:rStyle w:val="Hyperlink"/>
            <w:rFonts w:ascii="Times New Roman" w:eastAsia="Calibri" w:hAnsi="Times New Roman" w:cs="Times New Roman"/>
            <w:color w:val="000000" w:themeColor="text1"/>
          </w:rPr>
          <w:t>https://journals.sagepub.com/home/wes</w:t>
        </w:r>
      </w:hyperlink>
      <w:r w:rsidRPr="00AF3C60">
        <w:rPr>
          <w:rFonts w:ascii="Times New Roman" w:eastAsia="Calibri" w:hAnsi="Times New Roman" w:cs="Times New Roman"/>
          <w:color w:val="000000" w:themeColor="text1"/>
        </w:rPr>
        <w:t>. [Accessed 31 Oct. 2024].</w:t>
      </w:r>
    </w:p>
    <w:p w14:paraId="0B4F9208" w14:textId="77777777" w:rsidR="004F46CE" w:rsidRPr="00AF3C60" w:rsidRDefault="004F46CE" w:rsidP="00AF3C60">
      <w:pPr>
        <w:spacing w:before="240" w:after="240" w:line="360" w:lineRule="auto"/>
        <w:jc w:val="both"/>
        <w:rPr>
          <w:rFonts w:ascii="Times New Roman" w:hAnsi="Times New Roman" w:cs="Times New Roman"/>
          <w:color w:val="000000" w:themeColor="text1"/>
        </w:rPr>
      </w:pPr>
      <w:r w:rsidRPr="00AF3C60">
        <w:rPr>
          <w:rFonts w:ascii="Times New Roman" w:eastAsia="Calibri" w:hAnsi="Times New Roman" w:cs="Times New Roman"/>
          <w:color w:val="000000" w:themeColor="text1"/>
        </w:rPr>
        <w:t xml:space="preserve">‌Servicenow.com. (2024). </w:t>
      </w:r>
      <w:r w:rsidRPr="00AF3C60">
        <w:rPr>
          <w:rFonts w:ascii="Times New Roman" w:eastAsia="Calibri" w:hAnsi="Times New Roman" w:cs="Times New Roman"/>
          <w:i/>
          <w:iCs/>
          <w:color w:val="000000" w:themeColor="text1"/>
        </w:rPr>
        <w:t>7 steps to digital transformation – ServiceNow</w:t>
      </w:r>
      <w:r w:rsidRPr="00AF3C60">
        <w:rPr>
          <w:rFonts w:ascii="Times New Roman" w:eastAsia="Calibri" w:hAnsi="Times New Roman" w:cs="Times New Roman"/>
          <w:color w:val="000000" w:themeColor="text1"/>
        </w:rPr>
        <w:t xml:space="preserve">. [online] Available at: </w:t>
      </w:r>
      <w:hyperlink r:id="rId51">
        <w:r w:rsidRPr="00AF3C60">
          <w:rPr>
            <w:rStyle w:val="Hyperlink"/>
            <w:rFonts w:ascii="Times New Roman" w:eastAsia="Calibri" w:hAnsi="Times New Roman" w:cs="Times New Roman"/>
            <w:color w:val="000000" w:themeColor="text1"/>
          </w:rPr>
          <w:t>https://www.servicenow.com/lpebk/digital-transformation-customer-zero.html?campid=112763&amp;cid=p:platform:dg:nb:prsp:phr:Bing_Other_Restructure:emea:all&amp;s_kwcid=AL</w:t>
        </w:r>
      </w:hyperlink>
      <w:r w:rsidRPr="00AF3C60">
        <w:rPr>
          <w:rFonts w:ascii="Times New Roman" w:eastAsia="Calibri" w:hAnsi="Times New Roman" w:cs="Times New Roman"/>
          <w:color w:val="000000" w:themeColor="text1"/>
        </w:rPr>
        <w:t xml:space="preserve"> [Accessed 31 Oct. 2024].</w:t>
      </w:r>
    </w:p>
    <w:p w14:paraId="06A1FB40" w14:textId="77777777" w:rsidR="004F46CE" w:rsidRPr="00AF3C60" w:rsidRDefault="004F46CE" w:rsidP="00AF3C60">
      <w:pPr>
        <w:spacing w:before="240" w:after="240" w:line="360" w:lineRule="auto"/>
        <w:jc w:val="both"/>
        <w:rPr>
          <w:rFonts w:ascii="Times New Roman" w:eastAsia="Calibri" w:hAnsi="Times New Roman" w:cs="Times New Roman"/>
          <w:color w:val="000000" w:themeColor="text1"/>
        </w:rPr>
      </w:pPr>
      <w:r w:rsidRPr="00AF3C60">
        <w:rPr>
          <w:rFonts w:ascii="Times New Roman" w:eastAsia="Calibri" w:hAnsi="Times New Roman" w:cs="Times New Roman"/>
          <w:color w:val="000000" w:themeColor="text1"/>
        </w:rPr>
        <w:t xml:space="preserve">Six Senses (2024). </w:t>
      </w:r>
      <w:r w:rsidRPr="00AF3C60">
        <w:rPr>
          <w:rFonts w:ascii="Times New Roman" w:eastAsia="Calibri" w:hAnsi="Times New Roman" w:cs="Times New Roman"/>
          <w:i/>
          <w:iCs/>
          <w:color w:val="000000" w:themeColor="text1"/>
        </w:rPr>
        <w:t>Sustainable Resorts and Responsible Travel | Six Senses</w:t>
      </w:r>
      <w:r w:rsidRPr="00AF3C60">
        <w:rPr>
          <w:rFonts w:ascii="Times New Roman" w:eastAsia="Calibri" w:hAnsi="Times New Roman" w:cs="Times New Roman"/>
          <w:color w:val="000000" w:themeColor="text1"/>
        </w:rPr>
        <w:t xml:space="preserve">. [online] </w:t>
      </w:r>
      <w:hyperlink>
        <w:r w:rsidRPr="00AF3C60">
          <w:rPr>
            <w:rStyle w:val="Hyperlink"/>
            <w:rFonts w:ascii="Times New Roman" w:eastAsia="Calibri" w:hAnsi="Times New Roman" w:cs="Times New Roman"/>
            <w:color w:val="000000" w:themeColor="text1"/>
          </w:rPr>
          <w:t>www.sixsenses.com</w:t>
        </w:r>
      </w:hyperlink>
      <w:r w:rsidRPr="00AF3C60">
        <w:rPr>
          <w:rFonts w:ascii="Times New Roman" w:eastAsia="Calibri" w:hAnsi="Times New Roman" w:cs="Times New Roman"/>
          <w:color w:val="000000" w:themeColor="text1"/>
        </w:rPr>
        <w:t xml:space="preserve">. Available at: </w:t>
      </w:r>
      <w:hyperlink r:id="rId52">
        <w:r w:rsidRPr="00AF3C60">
          <w:rPr>
            <w:rStyle w:val="Hyperlink"/>
            <w:rFonts w:ascii="Times New Roman" w:eastAsia="Calibri" w:hAnsi="Times New Roman" w:cs="Times New Roman"/>
            <w:color w:val="000000" w:themeColor="text1"/>
          </w:rPr>
          <w:t>https://www.sixsenses.com/en/sustainability/</w:t>
        </w:r>
      </w:hyperlink>
      <w:r w:rsidRPr="00AF3C60">
        <w:rPr>
          <w:rFonts w:ascii="Times New Roman" w:eastAsia="Calibri" w:hAnsi="Times New Roman" w:cs="Times New Roman"/>
          <w:color w:val="000000" w:themeColor="text1"/>
        </w:rPr>
        <w:t>. [Accessed 31 Oct. 2024].</w:t>
      </w:r>
    </w:p>
    <w:p w14:paraId="0F307E86" w14:textId="77777777" w:rsidR="004F46CE" w:rsidRPr="00AF3C60" w:rsidRDefault="004F46CE" w:rsidP="00AF3C60">
      <w:pPr>
        <w:spacing w:after="0" w:line="360" w:lineRule="auto"/>
        <w:jc w:val="both"/>
        <w:rPr>
          <w:rFonts w:ascii="Times New Roman" w:hAnsi="Times New Roman" w:cs="Times New Roman"/>
          <w:color w:val="000000" w:themeColor="text1"/>
        </w:rPr>
      </w:pPr>
      <w:r w:rsidRPr="00AF3C60">
        <w:rPr>
          <w:rFonts w:ascii="Times New Roman" w:eastAsia="Calibri" w:hAnsi="Times New Roman" w:cs="Times New Roman"/>
          <w:color w:val="000000" w:themeColor="text1"/>
        </w:rPr>
        <w:t xml:space="preserve">Sustainable Hospitality Alliance. (n.d.). </w:t>
      </w:r>
      <w:r w:rsidRPr="00AF3C60">
        <w:rPr>
          <w:rFonts w:ascii="Times New Roman" w:eastAsia="Calibri" w:hAnsi="Times New Roman" w:cs="Times New Roman"/>
          <w:i/>
          <w:iCs/>
          <w:color w:val="000000" w:themeColor="text1"/>
        </w:rPr>
        <w:t xml:space="preserve">Global Hotel </w:t>
      </w:r>
      <w:proofErr w:type="spellStart"/>
      <w:r w:rsidRPr="00AF3C60">
        <w:rPr>
          <w:rFonts w:ascii="Times New Roman" w:eastAsia="Calibri" w:hAnsi="Times New Roman" w:cs="Times New Roman"/>
          <w:i/>
          <w:iCs/>
          <w:color w:val="000000" w:themeColor="text1"/>
        </w:rPr>
        <w:t>Decarbonisation</w:t>
      </w:r>
      <w:proofErr w:type="spellEnd"/>
      <w:r w:rsidRPr="00AF3C60">
        <w:rPr>
          <w:rFonts w:ascii="Times New Roman" w:eastAsia="Calibri" w:hAnsi="Times New Roman" w:cs="Times New Roman"/>
          <w:i/>
          <w:iCs/>
          <w:color w:val="000000" w:themeColor="text1"/>
        </w:rPr>
        <w:t xml:space="preserve"> Report</w:t>
      </w:r>
      <w:r w:rsidRPr="00AF3C60">
        <w:rPr>
          <w:rFonts w:ascii="Times New Roman" w:eastAsia="Calibri" w:hAnsi="Times New Roman" w:cs="Times New Roman"/>
          <w:color w:val="000000" w:themeColor="text1"/>
        </w:rPr>
        <w:t xml:space="preserve">. [online] Available at: </w:t>
      </w:r>
      <w:hyperlink r:id="rId53">
        <w:r w:rsidRPr="00AF3C60">
          <w:rPr>
            <w:rStyle w:val="Hyperlink"/>
            <w:rFonts w:ascii="Times New Roman" w:eastAsia="Calibri" w:hAnsi="Times New Roman" w:cs="Times New Roman"/>
            <w:color w:val="000000" w:themeColor="text1"/>
          </w:rPr>
          <w:t>https://sustainablehospitalityalliance.org/resource/global-hotel-decarbonisation-report/</w:t>
        </w:r>
      </w:hyperlink>
      <w:r w:rsidRPr="00AF3C60">
        <w:rPr>
          <w:rFonts w:ascii="Times New Roman" w:eastAsia="Calibri" w:hAnsi="Times New Roman" w:cs="Times New Roman"/>
          <w:color w:val="000000" w:themeColor="text1"/>
        </w:rPr>
        <w:t>.</w:t>
      </w:r>
    </w:p>
    <w:p w14:paraId="52729DF7" w14:textId="77777777" w:rsidR="004F46CE" w:rsidRPr="00AF3C60" w:rsidRDefault="004F46CE" w:rsidP="00AF3C60">
      <w:pPr>
        <w:spacing w:before="240" w:after="240" w:line="360" w:lineRule="auto"/>
        <w:jc w:val="both"/>
        <w:rPr>
          <w:rFonts w:ascii="Times New Roman" w:eastAsia="Calibri" w:hAnsi="Times New Roman" w:cs="Times New Roman"/>
          <w:color w:val="000000" w:themeColor="text1"/>
        </w:rPr>
      </w:pPr>
      <w:r w:rsidRPr="00AF3C60">
        <w:rPr>
          <w:rFonts w:ascii="Times New Roman" w:eastAsia="Calibri" w:hAnsi="Times New Roman" w:cs="Times New Roman"/>
          <w:color w:val="000000" w:themeColor="text1"/>
        </w:rPr>
        <w:t xml:space="preserve">Travel Daily News. (2024, May 15). </w:t>
      </w:r>
      <w:r w:rsidRPr="00AF3C60">
        <w:rPr>
          <w:rFonts w:ascii="Times New Roman" w:eastAsia="Calibri" w:hAnsi="Times New Roman" w:cs="Times New Roman"/>
          <w:i/>
          <w:iCs/>
          <w:color w:val="000000" w:themeColor="text1"/>
        </w:rPr>
        <w:t xml:space="preserve">Burj Al Arab </w:t>
      </w:r>
      <w:proofErr w:type="spellStart"/>
      <w:r w:rsidRPr="00AF3C60">
        <w:rPr>
          <w:rFonts w:ascii="Times New Roman" w:eastAsia="Calibri" w:hAnsi="Times New Roman" w:cs="Times New Roman"/>
          <w:i/>
          <w:iCs/>
          <w:color w:val="000000" w:themeColor="text1"/>
        </w:rPr>
        <w:t>recognised</w:t>
      </w:r>
      <w:proofErr w:type="spellEnd"/>
      <w:r w:rsidRPr="00AF3C60">
        <w:rPr>
          <w:rFonts w:ascii="Times New Roman" w:eastAsia="Calibri" w:hAnsi="Times New Roman" w:cs="Times New Roman"/>
          <w:i/>
          <w:iCs/>
          <w:color w:val="000000" w:themeColor="text1"/>
        </w:rPr>
        <w:t xml:space="preserve"> for seven-star sustainability</w:t>
      </w:r>
      <w:r w:rsidRPr="00AF3C60">
        <w:rPr>
          <w:rFonts w:ascii="Times New Roman" w:eastAsia="Calibri" w:hAnsi="Times New Roman" w:cs="Times New Roman"/>
          <w:color w:val="000000" w:themeColor="text1"/>
        </w:rPr>
        <w:t xml:space="preserve">. Retrieved from </w:t>
      </w:r>
      <w:hyperlink r:id="rId54">
        <w:r w:rsidRPr="00AF3C60">
          <w:rPr>
            <w:rStyle w:val="Hyperlink"/>
            <w:rFonts w:ascii="Times New Roman" w:eastAsia="Calibri" w:hAnsi="Times New Roman" w:cs="Times New Roman"/>
            <w:color w:val="000000" w:themeColor="text1"/>
          </w:rPr>
          <w:t>https://www.traveldailynews.com/hotels-lodging/burj-al-arab-recognised-for-seven-star-sustainability/</w:t>
        </w:r>
      </w:hyperlink>
    </w:p>
    <w:p w14:paraId="1222EAEB" w14:textId="77777777" w:rsidR="004F46CE" w:rsidRPr="00AF3C60" w:rsidRDefault="004F46CE" w:rsidP="004F46CE">
      <w:pPr>
        <w:spacing w:after="0" w:line="360" w:lineRule="auto"/>
        <w:jc w:val="both"/>
        <w:rPr>
          <w:rFonts w:ascii="Times New Roman" w:hAnsi="Times New Roman" w:cs="Times New Roman"/>
          <w:color w:val="000000" w:themeColor="text1"/>
        </w:rPr>
      </w:pPr>
      <w:r w:rsidRPr="00AF3C60">
        <w:rPr>
          <w:rFonts w:ascii="Times New Roman" w:eastAsia="Calibri" w:hAnsi="Times New Roman" w:cs="Times New Roman"/>
          <w:color w:val="000000" w:themeColor="text1"/>
        </w:rPr>
        <w:t xml:space="preserve">UKEssays.com. (n.d.). </w:t>
      </w:r>
      <w:r w:rsidRPr="00AF3C60">
        <w:rPr>
          <w:rFonts w:ascii="Times New Roman" w:eastAsia="Calibri" w:hAnsi="Times New Roman" w:cs="Times New Roman"/>
          <w:i/>
          <w:iCs/>
          <w:color w:val="000000" w:themeColor="text1"/>
        </w:rPr>
        <w:t>Project Management of the Burj Al- Arab Construction</w:t>
      </w:r>
      <w:r w:rsidRPr="00AF3C60">
        <w:rPr>
          <w:rFonts w:ascii="Times New Roman" w:eastAsia="Calibri" w:hAnsi="Times New Roman" w:cs="Times New Roman"/>
          <w:color w:val="000000" w:themeColor="text1"/>
        </w:rPr>
        <w:t xml:space="preserve">. [online] Available at: </w:t>
      </w:r>
      <w:hyperlink r:id="rId55">
        <w:r w:rsidRPr="00AF3C60">
          <w:rPr>
            <w:rStyle w:val="Hyperlink"/>
            <w:rFonts w:ascii="Times New Roman" w:eastAsia="Calibri" w:hAnsi="Times New Roman" w:cs="Times New Roman"/>
            <w:color w:val="000000" w:themeColor="text1"/>
          </w:rPr>
          <w:t>https://www.ukessays.com/essays/construction/project-management-of-the-burj-al-arab-construction.php</w:t>
        </w:r>
      </w:hyperlink>
      <w:r w:rsidRPr="00AF3C60">
        <w:rPr>
          <w:rFonts w:ascii="Times New Roman" w:eastAsia="Calibri" w:hAnsi="Times New Roman" w:cs="Times New Roman"/>
          <w:color w:val="000000" w:themeColor="text1"/>
        </w:rPr>
        <w:t>.</w:t>
      </w:r>
    </w:p>
    <w:p w14:paraId="6C6DA0EE" w14:textId="77777777" w:rsidR="0020052E" w:rsidRDefault="0020052E" w:rsidP="00AF3C60">
      <w:pPr>
        <w:spacing w:after="0" w:line="360" w:lineRule="auto"/>
        <w:jc w:val="both"/>
        <w:rPr>
          <w:rFonts w:ascii="Times New Roman" w:eastAsia="Calibri" w:hAnsi="Times New Roman" w:cs="Times New Roman"/>
          <w:color w:val="000000" w:themeColor="text1"/>
        </w:rPr>
      </w:pPr>
    </w:p>
    <w:p w14:paraId="609AF935" w14:textId="444D817E" w:rsidR="004F46CE" w:rsidRPr="00AF3C60" w:rsidRDefault="004F46CE" w:rsidP="00AF3C60">
      <w:pPr>
        <w:spacing w:after="0" w:line="360" w:lineRule="auto"/>
        <w:jc w:val="both"/>
        <w:rPr>
          <w:rFonts w:ascii="Times New Roman" w:hAnsi="Times New Roman" w:cs="Times New Roman"/>
          <w:color w:val="000000" w:themeColor="text1"/>
        </w:rPr>
      </w:pPr>
      <w:r w:rsidRPr="00AF3C60">
        <w:rPr>
          <w:rFonts w:ascii="Times New Roman" w:eastAsia="Calibri" w:hAnsi="Times New Roman" w:cs="Times New Roman"/>
          <w:color w:val="000000" w:themeColor="text1"/>
        </w:rPr>
        <w:t xml:space="preserve">Whittington, R., Molloy, E. and Development, C.I. of P. and (2005). </w:t>
      </w:r>
      <w:r w:rsidRPr="00AF3C60">
        <w:rPr>
          <w:rFonts w:ascii="Times New Roman" w:eastAsia="Calibri" w:hAnsi="Times New Roman" w:cs="Times New Roman"/>
          <w:i/>
          <w:iCs/>
          <w:color w:val="000000" w:themeColor="text1"/>
        </w:rPr>
        <w:t xml:space="preserve">HR’s role in </w:t>
      </w:r>
      <w:proofErr w:type="spellStart"/>
      <w:r w:rsidRPr="00AF3C60">
        <w:rPr>
          <w:rFonts w:ascii="Times New Roman" w:eastAsia="Calibri" w:hAnsi="Times New Roman" w:cs="Times New Roman"/>
          <w:i/>
          <w:iCs/>
          <w:color w:val="000000" w:themeColor="text1"/>
        </w:rPr>
        <w:t>organising</w:t>
      </w:r>
      <w:proofErr w:type="spellEnd"/>
      <w:r w:rsidRPr="00AF3C60">
        <w:rPr>
          <w:rFonts w:ascii="Times New Roman" w:eastAsia="Calibri" w:hAnsi="Times New Roman" w:cs="Times New Roman"/>
          <w:i/>
          <w:iCs/>
          <w:color w:val="000000" w:themeColor="text1"/>
        </w:rPr>
        <w:t>: shaping change</w:t>
      </w:r>
      <w:r w:rsidRPr="00AF3C60">
        <w:rPr>
          <w:rFonts w:ascii="Times New Roman" w:eastAsia="Calibri" w:hAnsi="Times New Roman" w:cs="Times New Roman"/>
          <w:color w:val="000000" w:themeColor="text1"/>
        </w:rPr>
        <w:t xml:space="preserve">. [online] </w:t>
      </w:r>
      <w:r w:rsidRPr="00AF3C60">
        <w:rPr>
          <w:rFonts w:ascii="Times New Roman" w:eastAsia="Calibri" w:hAnsi="Times New Roman" w:cs="Times New Roman"/>
          <w:i/>
          <w:iCs/>
          <w:color w:val="000000" w:themeColor="text1"/>
        </w:rPr>
        <w:t>Library Catalog (Capita Prism)</w:t>
      </w:r>
      <w:r w:rsidRPr="00AF3C60">
        <w:rPr>
          <w:rFonts w:ascii="Times New Roman" w:eastAsia="Calibri" w:hAnsi="Times New Roman" w:cs="Times New Roman"/>
          <w:color w:val="000000" w:themeColor="text1"/>
        </w:rPr>
        <w:t xml:space="preserve">. </w:t>
      </w:r>
      <w:proofErr w:type="gramStart"/>
      <w:r w:rsidRPr="00AF3C60">
        <w:rPr>
          <w:rFonts w:ascii="Times New Roman" w:eastAsia="Calibri" w:hAnsi="Times New Roman" w:cs="Times New Roman"/>
          <w:color w:val="000000" w:themeColor="text1"/>
        </w:rPr>
        <w:t>London,:</w:t>
      </w:r>
      <w:proofErr w:type="gramEnd"/>
      <w:r w:rsidRPr="00AF3C60">
        <w:rPr>
          <w:rFonts w:ascii="Times New Roman" w:eastAsia="Calibri" w:hAnsi="Times New Roman" w:cs="Times New Roman"/>
          <w:color w:val="000000" w:themeColor="text1"/>
        </w:rPr>
        <w:t xml:space="preserve"> CIPD. Available at: </w:t>
      </w:r>
      <w:hyperlink r:id="rId56">
        <w:r w:rsidRPr="00AF3C60">
          <w:rPr>
            <w:rStyle w:val="Hyperlink"/>
            <w:rFonts w:ascii="Times New Roman" w:eastAsia="Calibri" w:hAnsi="Times New Roman" w:cs="Times New Roman"/>
            <w:color w:val="000000" w:themeColor="text1"/>
          </w:rPr>
          <w:t>https://library.ncirl.ie/items/11898</w:t>
        </w:r>
      </w:hyperlink>
      <w:r w:rsidRPr="00AF3C60">
        <w:rPr>
          <w:rFonts w:ascii="Times New Roman" w:eastAsia="Calibri" w:hAnsi="Times New Roman" w:cs="Times New Roman"/>
          <w:color w:val="000000" w:themeColor="text1"/>
        </w:rPr>
        <w:t>.</w:t>
      </w:r>
    </w:p>
    <w:p w14:paraId="34575D2B" w14:textId="77777777" w:rsidR="004F46CE" w:rsidRPr="00AF3C60" w:rsidRDefault="004F46CE" w:rsidP="00AF3C60">
      <w:pPr>
        <w:spacing w:before="240" w:after="240" w:line="360" w:lineRule="auto"/>
        <w:jc w:val="both"/>
        <w:rPr>
          <w:rFonts w:ascii="Times New Roman" w:hAnsi="Times New Roman" w:cs="Times New Roman"/>
          <w:color w:val="000000" w:themeColor="text1"/>
        </w:rPr>
      </w:pPr>
      <w:r w:rsidRPr="00AF3C60">
        <w:rPr>
          <w:rFonts w:ascii="Times New Roman" w:eastAsia="Calibri" w:hAnsi="Times New Roman" w:cs="Times New Roman"/>
          <w:color w:val="000000" w:themeColor="text1"/>
        </w:rPr>
        <w:t xml:space="preserve">Wiley Online Library (2024) International Journal of Management, Vol. 35, Issue 4. Available at: </w:t>
      </w:r>
      <w:hyperlink r:id="rId57">
        <w:r w:rsidRPr="00AF3C60">
          <w:rPr>
            <w:rStyle w:val="Hyperlink"/>
            <w:rFonts w:ascii="Times New Roman" w:eastAsia="Calibri" w:hAnsi="Times New Roman" w:cs="Times New Roman"/>
            <w:color w:val="000000" w:themeColor="text1"/>
          </w:rPr>
          <w:t>https://onlinelibrary.wiley.com/toc/14678551/2024/35/4</w:t>
        </w:r>
      </w:hyperlink>
      <w:r w:rsidRPr="00AF3C60">
        <w:rPr>
          <w:rFonts w:ascii="Times New Roman" w:eastAsia="Calibri" w:hAnsi="Times New Roman" w:cs="Times New Roman"/>
          <w:color w:val="000000" w:themeColor="text1"/>
        </w:rPr>
        <w:t xml:space="preserve"> (Accessed: 31 October 2024).</w:t>
      </w:r>
    </w:p>
    <w:p w14:paraId="169DF837" w14:textId="77777777" w:rsidR="004F46CE" w:rsidRPr="004F46CE" w:rsidRDefault="004F46CE" w:rsidP="004F46CE">
      <w:pPr>
        <w:spacing w:after="0" w:line="360" w:lineRule="auto"/>
        <w:jc w:val="both"/>
        <w:rPr>
          <w:rFonts w:ascii="Times New Roman" w:hAnsi="Times New Roman" w:cs="Times New Roman"/>
          <w:color w:val="000000" w:themeColor="text1"/>
        </w:rPr>
      </w:pPr>
      <w:r w:rsidRPr="00AF3C60">
        <w:rPr>
          <w:rFonts w:ascii="Times New Roman" w:eastAsia="Calibri" w:hAnsi="Times New Roman" w:cs="Times New Roman"/>
          <w:color w:val="000000" w:themeColor="text1"/>
        </w:rPr>
        <w:t xml:space="preserve">World Travel &amp; Tourism Council (2023). </w:t>
      </w:r>
      <w:r w:rsidRPr="00AF3C60">
        <w:rPr>
          <w:rFonts w:ascii="Times New Roman" w:eastAsia="Calibri" w:hAnsi="Times New Roman" w:cs="Times New Roman"/>
          <w:i/>
          <w:iCs/>
          <w:color w:val="000000" w:themeColor="text1"/>
        </w:rPr>
        <w:t>Economic Impact Research</w:t>
      </w:r>
      <w:r w:rsidRPr="00AF3C60">
        <w:rPr>
          <w:rFonts w:ascii="Times New Roman" w:eastAsia="Calibri" w:hAnsi="Times New Roman" w:cs="Times New Roman"/>
          <w:color w:val="000000" w:themeColor="text1"/>
        </w:rPr>
        <w:t xml:space="preserve">. [online] wttc.org. Available at: </w:t>
      </w:r>
      <w:hyperlink r:id="rId58">
        <w:r w:rsidRPr="00AF3C60">
          <w:rPr>
            <w:rStyle w:val="Hyperlink"/>
            <w:rFonts w:ascii="Times New Roman" w:eastAsia="Calibri" w:hAnsi="Times New Roman" w:cs="Times New Roman"/>
            <w:color w:val="000000" w:themeColor="text1"/>
          </w:rPr>
          <w:t>https://wttc.org/Research/Economic-Impact</w:t>
        </w:r>
      </w:hyperlink>
      <w:r w:rsidRPr="00AF3C60">
        <w:rPr>
          <w:rFonts w:ascii="Times New Roman" w:eastAsia="Calibri" w:hAnsi="Times New Roman" w:cs="Times New Roman"/>
          <w:color w:val="000000" w:themeColor="text1"/>
        </w:rPr>
        <w:t>.</w:t>
      </w:r>
    </w:p>
    <w:p w14:paraId="4548154B" w14:textId="77777777" w:rsidR="004F46CE" w:rsidRPr="00AF3C60" w:rsidRDefault="004F46CE" w:rsidP="00AF3C60">
      <w:pPr>
        <w:spacing w:before="240" w:after="240" w:line="360" w:lineRule="auto"/>
        <w:jc w:val="both"/>
        <w:rPr>
          <w:rFonts w:ascii="Times New Roman" w:hAnsi="Times New Roman" w:cs="Times New Roman"/>
          <w:color w:val="000000" w:themeColor="text1"/>
        </w:rPr>
      </w:pPr>
      <w:r w:rsidRPr="00AF3C60">
        <w:rPr>
          <w:rFonts w:ascii="Times New Roman" w:eastAsia="Calibri" w:hAnsi="Times New Roman" w:cs="Times New Roman"/>
          <w:color w:val="000000" w:themeColor="text1"/>
        </w:rPr>
        <w:lastRenderedPageBreak/>
        <w:t>‌</w:t>
      </w:r>
      <w:hyperlink>
        <w:r w:rsidRPr="00AF3C60">
          <w:rPr>
            <w:rStyle w:val="Hyperlink"/>
            <w:rFonts w:ascii="Times New Roman" w:eastAsia="Calibri" w:hAnsi="Times New Roman" w:cs="Times New Roman"/>
            <w:color w:val="000000" w:themeColor="text1"/>
          </w:rPr>
          <w:t>www.audit.wales</w:t>
        </w:r>
      </w:hyperlink>
      <w:r w:rsidRPr="00AF3C60">
        <w:rPr>
          <w:rFonts w:ascii="Times New Roman" w:eastAsia="Calibri" w:hAnsi="Times New Roman" w:cs="Times New Roman"/>
          <w:color w:val="000000" w:themeColor="text1"/>
        </w:rPr>
        <w:t xml:space="preserve">. (n.d.). </w:t>
      </w:r>
      <w:r w:rsidRPr="00AF3C60">
        <w:rPr>
          <w:rFonts w:ascii="Times New Roman" w:eastAsia="Calibri" w:hAnsi="Times New Roman" w:cs="Times New Roman"/>
          <w:i/>
          <w:iCs/>
          <w:color w:val="000000" w:themeColor="text1"/>
        </w:rPr>
        <w:t>Audit Wales | Assure, Explain &amp; Inspire</w:t>
      </w:r>
      <w:r w:rsidRPr="00AF3C60">
        <w:rPr>
          <w:rFonts w:ascii="Times New Roman" w:eastAsia="Calibri" w:hAnsi="Times New Roman" w:cs="Times New Roman"/>
          <w:color w:val="000000" w:themeColor="text1"/>
        </w:rPr>
        <w:t xml:space="preserve">. [online] Available at: </w:t>
      </w:r>
      <w:hyperlink r:id="rId59">
        <w:r w:rsidRPr="00AF3C60">
          <w:rPr>
            <w:rStyle w:val="Hyperlink"/>
            <w:rFonts w:ascii="Times New Roman" w:eastAsia="Calibri" w:hAnsi="Times New Roman" w:cs="Times New Roman"/>
            <w:color w:val="000000" w:themeColor="text1"/>
          </w:rPr>
          <w:t>https://www.audit.wales/</w:t>
        </w:r>
      </w:hyperlink>
      <w:r w:rsidRPr="00AF3C60">
        <w:rPr>
          <w:rFonts w:ascii="Times New Roman" w:eastAsia="Calibri" w:hAnsi="Times New Roman" w:cs="Times New Roman"/>
          <w:color w:val="000000" w:themeColor="text1"/>
        </w:rPr>
        <w:t>. [Accessed 31 Oct. 2024].</w:t>
      </w:r>
    </w:p>
    <w:p w14:paraId="7965CABD" w14:textId="77777777" w:rsidR="004F46CE" w:rsidRPr="00AF3C60" w:rsidRDefault="004F46CE" w:rsidP="00AF3C60">
      <w:pPr>
        <w:spacing w:before="240" w:after="240" w:line="360" w:lineRule="auto"/>
        <w:jc w:val="both"/>
        <w:rPr>
          <w:rFonts w:ascii="Times New Roman" w:hAnsi="Times New Roman" w:cs="Times New Roman"/>
          <w:color w:val="000000" w:themeColor="text1"/>
        </w:rPr>
      </w:pPr>
      <w:r w:rsidRPr="00AF3C60">
        <w:rPr>
          <w:rFonts w:ascii="Times New Roman" w:eastAsia="Calibri" w:hAnsi="Times New Roman" w:cs="Times New Roman"/>
          <w:color w:val="000000" w:themeColor="text1"/>
        </w:rPr>
        <w:t>‌</w:t>
      </w:r>
      <w:hyperlink>
        <w:r w:rsidRPr="00AF3C60">
          <w:rPr>
            <w:rStyle w:val="Hyperlink"/>
            <w:rFonts w:ascii="Times New Roman" w:eastAsia="Calibri" w:hAnsi="Times New Roman" w:cs="Times New Roman"/>
            <w:color w:val="000000" w:themeColor="text1"/>
          </w:rPr>
          <w:t>www.hrmguide.co.uk</w:t>
        </w:r>
      </w:hyperlink>
      <w:r w:rsidRPr="00AF3C60">
        <w:rPr>
          <w:rFonts w:ascii="Times New Roman" w:eastAsia="Calibri" w:hAnsi="Times New Roman" w:cs="Times New Roman"/>
          <w:color w:val="000000" w:themeColor="text1"/>
        </w:rPr>
        <w:t xml:space="preserve">. (n.d.). </w:t>
      </w:r>
      <w:r w:rsidRPr="00AF3C60">
        <w:rPr>
          <w:rFonts w:ascii="Times New Roman" w:eastAsia="Calibri" w:hAnsi="Times New Roman" w:cs="Times New Roman"/>
          <w:i/>
          <w:iCs/>
          <w:color w:val="000000" w:themeColor="text1"/>
        </w:rPr>
        <w:t>UK Human Resource Management Articles</w:t>
      </w:r>
      <w:r w:rsidRPr="00AF3C60">
        <w:rPr>
          <w:rFonts w:ascii="Times New Roman" w:eastAsia="Calibri" w:hAnsi="Times New Roman" w:cs="Times New Roman"/>
          <w:color w:val="000000" w:themeColor="text1"/>
        </w:rPr>
        <w:t xml:space="preserve">. [online] Available at: </w:t>
      </w:r>
      <w:hyperlink r:id="rId60">
        <w:r w:rsidRPr="00AF3C60">
          <w:rPr>
            <w:rStyle w:val="Hyperlink"/>
            <w:rFonts w:ascii="Times New Roman" w:eastAsia="Calibri" w:hAnsi="Times New Roman" w:cs="Times New Roman"/>
            <w:color w:val="000000" w:themeColor="text1"/>
          </w:rPr>
          <w:t>https://www.hrmguide.co.uk/</w:t>
        </w:r>
      </w:hyperlink>
      <w:r w:rsidRPr="00AF3C60">
        <w:rPr>
          <w:rFonts w:ascii="Times New Roman" w:eastAsia="Calibri" w:hAnsi="Times New Roman" w:cs="Times New Roman"/>
          <w:color w:val="000000" w:themeColor="text1"/>
        </w:rPr>
        <w:t>. [Accessed 31 Oct. 2024].</w:t>
      </w:r>
    </w:p>
    <w:p w14:paraId="511FB576" w14:textId="77777777" w:rsidR="004F46CE" w:rsidRPr="00AF3C60" w:rsidRDefault="004F46CE" w:rsidP="00AF3C60">
      <w:pPr>
        <w:spacing w:after="0" w:line="360" w:lineRule="auto"/>
        <w:jc w:val="both"/>
        <w:rPr>
          <w:rFonts w:ascii="Times New Roman" w:hAnsi="Times New Roman" w:cs="Times New Roman"/>
          <w:color w:val="000000" w:themeColor="text1"/>
        </w:rPr>
      </w:pPr>
      <w:proofErr w:type="spellStart"/>
      <w:r w:rsidRPr="00AF3C60">
        <w:rPr>
          <w:rFonts w:ascii="Times New Roman" w:eastAsia="Calibri" w:hAnsi="Times New Roman" w:cs="Times New Roman"/>
          <w:color w:val="000000" w:themeColor="text1"/>
        </w:rPr>
        <w:t>Yingling</w:t>
      </w:r>
      <w:proofErr w:type="spellEnd"/>
      <w:r w:rsidRPr="00AF3C60">
        <w:rPr>
          <w:rFonts w:ascii="Times New Roman" w:eastAsia="Calibri" w:hAnsi="Times New Roman" w:cs="Times New Roman"/>
          <w:color w:val="000000" w:themeColor="text1"/>
        </w:rPr>
        <w:t xml:space="preserve">, J. (2024). </w:t>
      </w:r>
      <w:r w:rsidRPr="00AF3C60">
        <w:rPr>
          <w:rFonts w:ascii="Times New Roman" w:eastAsia="Calibri" w:hAnsi="Times New Roman" w:cs="Times New Roman"/>
          <w:i/>
          <w:iCs/>
          <w:color w:val="000000" w:themeColor="text1"/>
        </w:rPr>
        <w:t>The Marriott Voyage Program Overview: Salary, Details &amp; More</w:t>
      </w:r>
      <w:r w:rsidRPr="00AF3C60">
        <w:rPr>
          <w:rFonts w:ascii="Times New Roman" w:eastAsia="Calibri" w:hAnsi="Times New Roman" w:cs="Times New Roman"/>
          <w:color w:val="000000" w:themeColor="text1"/>
        </w:rPr>
        <w:t xml:space="preserve">. [online] Life at Marriott Blog. Available at: </w:t>
      </w:r>
      <w:hyperlink r:id="rId61">
        <w:r w:rsidRPr="00AF3C60">
          <w:rPr>
            <w:rStyle w:val="Hyperlink"/>
            <w:rFonts w:ascii="Times New Roman" w:eastAsia="Calibri" w:hAnsi="Times New Roman" w:cs="Times New Roman"/>
            <w:color w:val="000000" w:themeColor="text1"/>
          </w:rPr>
          <w:t>https://life.marriott.com/blog/voyage/</w:t>
        </w:r>
      </w:hyperlink>
      <w:r w:rsidRPr="00AF3C60">
        <w:rPr>
          <w:rFonts w:ascii="Times New Roman" w:eastAsia="Calibri" w:hAnsi="Times New Roman" w:cs="Times New Roman"/>
          <w:color w:val="000000" w:themeColor="text1"/>
        </w:rPr>
        <w:t>.</w:t>
      </w:r>
    </w:p>
    <w:p w14:paraId="488152FF" w14:textId="77777777" w:rsidR="004F46CE" w:rsidRPr="00AF3C60" w:rsidRDefault="004F46CE" w:rsidP="00AF3C60">
      <w:pPr>
        <w:spacing w:before="240" w:after="240" w:line="360" w:lineRule="auto"/>
        <w:jc w:val="both"/>
        <w:rPr>
          <w:rFonts w:ascii="Times New Roman" w:hAnsi="Times New Roman" w:cs="Times New Roman"/>
          <w:color w:val="000000" w:themeColor="text1"/>
        </w:rPr>
      </w:pPr>
      <w:r w:rsidRPr="00AF3C60">
        <w:rPr>
          <w:rFonts w:ascii="Times New Roman" w:eastAsia="Calibri" w:hAnsi="Times New Roman" w:cs="Times New Roman"/>
          <w:color w:val="000000" w:themeColor="text1"/>
        </w:rPr>
        <w:t xml:space="preserve">‌Zhao, Y. (2020). </w:t>
      </w:r>
      <w:r w:rsidRPr="00AF3C60">
        <w:rPr>
          <w:rFonts w:ascii="Times New Roman" w:eastAsia="Calibri" w:hAnsi="Times New Roman" w:cs="Times New Roman"/>
          <w:i/>
          <w:iCs/>
          <w:color w:val="000000" w:themeColor="text1"/>
        </w:rPr>
        <w:t>Delivering Service Excellence: 5 Lessons from Ritz-Carlton</w:t>
      </w:r>
      <w:r w:rsidRPr="00AF3C60">
        <w:rPr>
          <w:rFonts w:ascii="Times New Roman" w:eastAsia="Calibri" w:hAnsi="Times New Roman" w:cs="Times New Roman"/>
          <w:color w:val="000000" w:themeColor="text1"/>
        </w:rPr>
        <w:t xml:space="preserve">. [online] hospitalityinsights.ehl.edu. Available at: </w:t>
      </w:r>
      <w:hyperlink r:id="rId62">
        <w:r w:rsidRPr="00AF3C60">
          <w:rPr>
            <w:rStyle w:val="Hyperlink"/>
            <w:rFonts w:ascii="Times New Roman" w:eastAsia="Calibri" w:hAnsi="Times New Roman" w:cs="Times New Roman"/>
            <w:color w:val="000000" w:themeColor="text1"/>
          </w:rPr>
          <w:t>https://hospitalityinsights.ehl.edu/delivering-service-excellence</w:t>
        </w:r>
      </w:hyperlink>
      <w:r w:rsidRPr="00AF3C60">
        <w:rPr>
          <w:rFonts w:ascii="Times New Roman" w:eastAsia="Calibri" w:hAnsi="Times New Roman" w:cs="Times New Roman"/>
          <w:color w:val="000000" w:themeColor="text1"/>
        </w:rPr>
        <w:t>. [Accessed 31 Oct. 2024].</w:t>
      </w:r>
    </w:p>
    <w:sectPr w:rsidR="004F46CE" w:rsidRPr="00AF3C6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05F99"/>
    <w:multiLevelType w:val="hybridMultilevel"/>
    <w:tmpl w:val="64D0E69C"/>
    <w:lvl w:ilvl="0" w:tplc="73F61B5A">
      <w:start w:val="1"/>
      <w:numFmt w:val="bullet"/>
      <w:lvlText w:val=""/>
      <w:lvlJc w:val="left"/>
      <w:pPr>
        <w:ind w:left="720" w:hanging="360"/>
      </w:pPr>
      <w:rPr>
        <w:rFonts w:ascii="Symbol" w:hAnsi="Symbol" w:hint="default"/>
      </w:rPr>
    </w:lvl>
    <w:lvl w:ilvl="1" w:tplc="CBD2E4CA">
      <w:start w:val="1"/>
      <w:numFmt w:val="bullet"/>
      <w:lvlText w:val="o"/>
      <w:lvlJc w:val="left"/>
      <w:pPr>
        <w:ind w:left="1440" w:hanging="360"/>
      </w:pPr>
      <w:rPr>
        <w:rFonts w:ascii="Courier New" w:hAnsi="Courier New" w:hint="default"/>
      </w:rPr>
    </w:lvl>
    <w:lvl w:ilvl="2" w:tplc="D572F660">
      <w:start w:val="1"/>
      <w:numFmt w:val="bullet"/>
      <w:lvlText w:val=""/>
      <w:lvlJc w:val="left"/>
      <w:pPr>
        <w:ind w:left="2160" w:hanging="360"/>
      </w:pPr>
      <w:rPr>
        <w:rFonts w:ascii="Wingdings" w:hAnsi="Wingdings" w:hint="default"/>
      </w:rPr>
    </w:lvl>
    <w:lvl w:ilvl="3" w:tplc="78361746">
      <w:start w:val="1"/>
      <w:numFmt w:val="bullet"/>
      <w:lvlText w:val=""/>
      <w:lvlJc w:val="left"/>
      <w:pPr>
        <w:ind w:left="2880" w:hanging="360"/>
      </w:pPr>
      <w:rPr>
        <w:rFonts w:ascii="Symbol" w:hAnsi="Symbol" w:hint="default"/>
      </w:rPr>
    </w:lvl>
    <w:lvl w:ilvl="4" w:tplc="1E945E16">
      <w:start w:val="1"/>
      <w:numFmt w:val="bullet"/>
      <w:lvlText w:val="o"/>
      <w:lvlJc w:val="left"/>
      <w:pPr>
        <w:ind w:left="3600" w:hanging="360"/>
      </w:pPr>
      <w:rPr>
        <w:rFonts w:ascii="Courier New" w:hAnsi="Courier New" w:hint="default"/>
      </w:rPr>
    </w:lvl>
    <w:lvl w:ilvl="5" w:tplc="D53E527E">
      <w:start w:val="1"/>
      <w:numFmt w:val="bullet"/>
      <w:lvlText w:val=""/>
      <w:lvlJc w:val="left"/>
      <w:pPr>
        <w:ind w:left="4320" w:hanging="360"/>
      </w:pPr>
      <w:rPr>
        <w:rFonts w:ascii="Wingdings" w:hAnsi="Wingdings" w:hint="default"/>
      </w:rPr>
    </w:lvl>
    <w:lvl w:ilvl="6" w:tplc="2898D738">
      <w:start w:val="1"/>
      <w:numFmt w:val="bullet"/>
      <w:lvlText w:val=""/>
      <w:lvlJc w:val="left"/>
      <w:pPr>
        <w:ind w:left="5040" w:hanging="360"/>
      </w:pPr>
      <w:rPr>
        <w:rFonts w:ascii="Symbol" w:hAnsi="Symbol" w:hint="default"/>
      </w:rPr>
    </w:lvl>
    <w:lvl w:ilvl="7" w:tplc="106C453E">
      <w:start w:val="1"/>
      <w:numFmt w:val="bullet"/>
      <w:lvlText w:val="o"/>
      <w:lvlJc w:val="left"/>
      <w:pPr>
        <w:ind w:left="5760" w:hanging="360"/>
      </w:pPr>
      <w:rPr>
        <w:rFonts w:ascii="Courier New" w:hAnsi="Courier New" w:hint="default"/>
      </w:rPr>
    </w:lvl>
    <w:lvl w:ilvl="8" w:tplc="D7C88F6C">
      <w:start w:val="1"/>
      <w:numFmt w:val="bullet"/>
      <w:lvlText w:val=""/>
      <w:lvlJc w:val="left"/>
      <w:pPr>
        <w:ind w:left="6480" w:hanging="360"/>
      </w:pPr>
      <w:rPr>
        <w:rFonts w:ascii="Wingdings" w:hAnsi="Wingdings" w:hint="default"/>
      </w:rPr>
    </w:lvl>
  </w:abstractNum>
  <w:abstractNum w:abstractNumId="1" w15:restartNumberingAfterBreak="0">
    <w:nsid w:val="02A6CB19"/>
    <w:multiLevelType w:val="hybridMultilevel"/>
    <w:tmpl w:val="12CECD32"/>
    <w:lvl w:ilvl="0" w:tplc="A322E2E4">
      <w:start w:val="1"/>
      <w:numFmt w:val="decimal"/>
      <w:lvlText w:val="%1."/>
      <w:lvlJc w:val="left"/>
      <w:pPr>
        <w:ind w:left="720" w:hanging="360"/>
      </w:pPr>
    </w:lvl>
    <w:lvl w:ilvl="1" w:tplc="E7D229F2">
      <w:start w:val="1"/>
      <w:numFmt w:val="lowerLetter"/>
      <w:lvlText w:val="%2."/>
      <w:lvlJc w:val="left"/>
      <w:pPr>
        <w:ind w:left="1440" w:hanging="360"/>
      </w:pPr>
    </w:lvl>
    <w:lvl w:ilvl="2" w:tplc="6D7C8662">
      <w:start w:val="1"/>
      <w:numFmt w:val="lowerRoman"/>
      <w:lvlText w:val="%3."/>
      <w:lvlJc w:val="right"/>
      <w:pPr>
        <w:ind w:left="2160" w:hanging="180"/>
      </w:pPr>
    </w:lvl>
    <w:lvl w:ilvl="3" w:tplc="E4321762">
      <w:start w:val="1"/>
      <w:numFmt w:val="decimal"/>
      <w:lvlText w:val="%4."/>
      <w:lvlJc w:val="left"/>
      <w:pPr>
        <w:ind w:left="2880" w:hanging="360"/>
      </w:pPr>
    </w:lvl>
    <w:lvl w:ilvl="4" w:tplc="8AA07DBE">
      <w:start w:val="1"/>
      <w:numFmt w:val="lowerLetter"/>
      <w:lvlText w:val="%5."/>
      <w:lvlJc w:val="left"/>
      <w:pPr>
        <w:ind w:left="3600" w:hanging="360"/>
      </w:pPr>
    </w:lvl>
    <w:lvl w:ilvl="5" w:tplc="79426FA6">
      <w:start w:val="1"/>
      <w:numFmt w:val="lowerRoman"/>
      <w:lvlText w:val="%6."/>
      <w:lvlJc w:val="right"/>
      <w:pPr>
        <w:ind w:left="4320" w:hanging="180"/>
      </w:pPr>
    </w:lvl>
    <w:lvl w:ilvl="6" w:tplc="ADBA5BD2">
      <w:start w:val="1"/>
      <w:numFmt w:val="decimal"/>
      <w:lvlText w:val="%7."/>
      <w:lvlJc w:val="left"/>
      <w:pPr>
        <w:ind w:left="5040" w:hanging="360"/>
      </w:pPr>
    </w:lvl>
    <w:lvl w:ilvl="7" w:tplc="FCF026D2">
      <w:start w:val="1"/>
      <w:numFmt w:val="lowerLetter"/>
      <w:lvlText w:val="%8."/>
      <w:lvlJc w:val="left"/>
      <w:pPr>
        <w:ind w:left="5760" w:hanging="360"/>
      </w:pPr>
    </w:lvl>
    <w:lvl w:ilvl="8" w:tplc="8820A4C2">
      <w:start w:val="1"/>
      <w:numFmt w:val="lowerRoman"/>
      <w:lvlText w:val="%9."/>
      <w:lvlJc w:val="right"/>
      <w:pPr>
        <w:ind w:left="6480" w:hanging="180"/>
      </w:pPr>
    </w:lvl>
  </w:abstractNum>
  <w:abstractNum w:abstractNumId="2" w15:restartNumberingAfterBreak="0">
    <w:nsid w:val="0C8A7786"/>
    <w:multiLevelType w:val="hybridMultilevel"/>
    <w:tmpl w:val="5256FD9C"/>
    <w:lvl w:ilvl="0" w:tplc="04E08426">
      <w:start w:val="1"/>
      <w:numFmt w:val="bullet"/>
      <w:lvlText w:val=""/>
      <w:lvlJc w:val="left"/>
      <w:pPr>
        <w:ind w:left="720" w:hanging="360"/>
      </w:pPr>
      <w:rPr>
        <w:rFonts w:ascii="Symbol" w:hAnsi="Symbol" w:hint="default"/>
      </w:rPr>
    </w:lvl>
    <w:lvl w:ilvl="1" w:tplc="4AD8A91C">
      <w:start w:val="1"/>
      <w:numFmt w:val="bullet"/>
      <w:lvlText w:val="o"/>
      <w:lvlJc w:val="left"/>
      <w:pPr>
        <w:ind w:left="1440" w:hanging="360"/>
      </w:pPr>
      <w:rPr>
        <w:rFonts w:ascii="Courier New" w:hAnsi="Courier New" w:hint="default"/>
      </w:rPr>
    </w:lvl>
    <w:lvl w:ilvl="2" w:tplc="0B344394">
      <w:start w:val="1"/>
      <w:numFmt w:val="bullet"/>
      <w:lvlText w:val=""/>
      <w:lvlJc w:val="left"/>
      <w:pPr>
        <w:ind w:left="2160" w:hanging="360"/>
      </w:pPr>
      <w:rPr>
        <w:rFonts w:ascii="Wingdings" w:hAnsi="Wingdings" w:hint="default"/>
      </w:rPr>
    </w:lvl>
    <w:lvl w:ilvl="3" w:tplc="D7D47612">
      <w:start w:val="1"/>
      <w:numFmt w:val="bullet"/>
      <w:lvlText w:val=""/>
      <w:lvlJc w:val="left"/>
      <w:pPr>
        <w:ind w:left="2880" w:hanging="360"/>
      </w:pPr>
      <w:rPr>
        <w:rFonts w:ascii="Symbol" w:hAnsi="Symbol" w:hint="default"/>
      </w:rPr>
    </w:lvl>
    <w:lvl w:ilvl="4" w:tplc="21E81E94">
      <w:start w:val="1"/>
      <w:numFmt w:val="bullet"/>
      <w:lvlText w:val="o"/>
      <w:lvlJc w:val="left"/>
      <w:pPr>
        <w:ind w:left="3600" w:hanging="360"/>
      </w:pPr>
      <w:rPr>
        <w:rFonts w:ascii="Courier New" w:hAnsi="Courier New" w:hint="default"/>
      </w:rPr>
    </w:lvl>
    <w:lvl w:ilvl="5" w:tplc="55AAE960">
      <w:start w:val="1"/>
      <w:numFmt w:val="bullet"/>
      <w:lvlText w:val=""/>
      <w:lvlJc w:val="left"/>
      <w:pPr>
        <w:ind w:left="4320" w:hanging="360"/>
      </w:pPr>
      <w:rPr>
        <w:rFonts w:ascii="Wingdings" w:hAnsi="Wingdings" w:hint="default"/>
      </w:rPr>
    </w:lvl>
    <w:lvl w:ilvl="6" w:tplc="BA26D378">
      <w:start w:val="1"/>
      <w:numFmt w:val="bullet"/>
      <w:lvlText w:val=""/>
      <w:lvlJc w:val="left"/>
      <w:pPr>
        <w:ind w:left="5040" w:hanging="360"/>
      </w:pPr>
      <w:rPr>
        <w:rFonts w:ascii="Symbol" w:hAnsi="Symbol" w:hint="default"/>
      </w:rPr>
    </w:lvl>
    <w:lvl w:ilvl="7" w:tplc="55A61D20">
      <w:start w:val="1"/>
      <w:numFmt w:val="bullet"/>
      <w:lvlText w:val="o"/>
      <w:lvlJc w:val="left"/>
      <w:pPr>
        <w:ind w:left="5760" w:hanging="360"/>
      </w:pPr>
      <w:rPr>
        <w:rFonts w:ascii="Courier New" w:hAnsi="Courier New" w:hint="default"/>
      </w:rPr>
    </w:lvl>
    <w:lvl w:ilvl="8" w:tplc="A34AE06A">
      <w:start w:val="1"/>
      <w:numFmt w:val="bullet"/>
      <w:lvlText w:val=""/>
      <w:lvlJc w:val="left"/>
      <w:pPr>
        <w:ind w:left="6480" w:hanging="360"/>
      </w:pPr>
      <w:rPr>
        <w:rFonts w:ascii="Wingdings" w:hAnsi="Wingdings" w:hint="default"/>
      </w:rPr>
    </w:lvl>
  </w:abstractNum>
  <w:abstractNum w:abstractNumId="3" w15:restartNumberingAfterBreak="0">
    <w:nsid w:val="1AC43993"/>
    <w:multiLevelType w:val="hybridMultilevel"/>
    <w:tmpl w:val="E97E47C6"/>
    <w:lvl w:ilvl="0" w:tplc="E1C60EB8">
      <w:start w:val="1"/>
      <w:numFmt w:val="bullet"/>
      <w:lvlText w:val=""/>
      <w:lvlJc w:val="left"/>
      <w:pPr>
        <w:ind w:left="720" w:hanging="360"/>
      </w:pPr>
      <w:rPr>
        <w:rFonts w:ascii="Symbol" w:hAnsi="Symbol" w:hint="default"/>
      </w:rPr>
    </w:lvl>
    <w:lvl w:ilvl="1" w:tplc="2472A068">
      <w:start w:val="1"/>
      <w:numFmt w:val="bullet"/>
      <w:lvlText w:val="o"/>
      <w:lvlJc w:val="left"/>
      <w:pPr>
        <w:ind w:left="1440" w:hanging="360"/>
      </w:pPr>
      <w:rPr>
        <w:rFonts w:ascii="Courier New" w:hAnsi="Courier New" w:hint="default"/>
      </w:rPr>
    </w:lvl>
    <w:lvl w:ilvl="2" w:tplc="47D889EA">
      <w:start w:val="1"/>
      <w:numFmt w:val="bullet"/>
      <w:lvlText w:val=""/>
      <w:lvlJc w:val="left"/>
      <w:pPr>
        <w:ind w:left="2160" w:hanging="360"/>
      </w:pPr>
      <w:rPr>
        <w:rFonts w:ascii="Wingdings" w:hAnsi="Wingdings" w:hint="default"/>
      </w:rPr>
    </w:lvl>
    <w:lvl w:ilvl="3" w:tplc="69A8ADA2">
      <w:start w:val="1"/>
      <w:numFmt w:val="bullet"/>
      <w:lvlText w:val=""/>
      <w:lvlJc w:val="left"/>
      <w:pPr>
        <w:ind w:left="2880" w:hanging="360"/>
      </w:pPr>
      <w:rPr>
        <w:rFonts w:ascii="Symbol" w:hAnsi="Symbol" w:hint="default"/>
      </w:rPr>
    </w:lvl>
    <w:lvl w:ilvl="4" w:tplc="8BC0DAC0">
      <w:start w:val="1"/>
      <w:numFmt w:val="bullet"/>
      <w:lvlText w:val="o"/>
      <w:lvlJc w:val="left"/>
      <w:pPr>
        <w:ind w:left="3600" w:hanging="360"/>
      </w:pPr>
      <w:rPr>
        <w:rFonts w:ascii="Courier New" w:hAnsi="Courier New" w:hint="default"/>
      </w:rPr>
    </w:lvl>
    <w:lvl w:ilvl="5" w:tplc="7AB4B49E">
      <w:start w:val="1"/>
      <w:numFmt w:val="bullet"/>
      <w:lvlText w:val=""/>
      <w:lvlJc w:val="left"/>
      <w:pPr>
        <w:ind w:left="4320" w:hanging="360"/>
      </w:pPr>
      <w:rPr>
        <w:rFonts w:ascii="Wingdings" w:hAnsi="Wingdings" w:hint="default"/>
      </w:rPr>
    </w:lvl>
    <w:lvl w:ilvl="6" w:tplc="AED6E750">
      <w:start w:val="1"/>
      <w:numFmt w:val="bullet"/>
      <w:lvlText w:val=""/>
      <w:lvlJc w:val="left"/>
      <w:pPr>
        <w:ind w:left="5040" w:hanging="360"/>
      </w:pPr>
      <w:rPr>
        <w:rFonts w:ascii="Symbol" w:hAnsi="Symbol" w:hint="default"/>
      </w:rPr>
    </w:lvl>
    <w:lvl w:ilvl="7" w:tplc="747C144C">
      <w:start w:val="1"/>
      <w:numFmt w:val="bullet"/>
      <w:lvlText w:val="o"/>
      <w:lvlJc w:val="left"/>
      <w:pPr>
        <w:ind w:left="5760" w:hanging="360"/>
      </w:pPr>
      <w:rPr>
        <w:rFonts w:ascii="Courier New" w:hAnsi="Courier New" w:hint="default"/>
      </w:rPr>
    </w:lvl>
    <w:lvl w:ilvl="8" w:tplc="0E08C570">
      <w:start w:val="1"/>
      <w:numFmt w:val="bullet"/>
      <w:lvlText w:val=""/>
      <w:lvlJc w:val="left"/>
      <w:pPr>
        <w:ind w:left="6480" w:hanging="360"/>
      </w:pPr>
      <w:rPr>
        <w:rFonts w:ascii="Wingdings" w:hAnsi="Wingdings" w:hint="default"/>
      </w:rPr>
    </w:lvl>
  </w:abstractNum>
  <w:abstractNum w:abstractNumId="4" w15:restartNumberingAfterBreak="0">
    <w:nsid w:val="1F951B1A"/>
    <w:multiLevelType w:val="hybridMultilevel"/>
    <w:tmpl w:val="1B40A8DA"/>
    <w:lvl w:ilvl="0" w:tplc="43DCDA06">
      <w:start w:val="1"/>
      <w:numFmt w:val="decimal"/>
      <w:lvlText w:val="%1."/>
      <w:lvlJc w:val="left"/>
      <w:pPr>
        <w:ind w:left="720" w:hanging="360"/>
      </w:pPr>
    </w:lvl>
    <w:lvl w:ilvl="1" w:tplc="AB5463B8">
      <w:start w:val="1"/>
      <w:numFmt w:val="lowerLetter"/>
      <w:lvlText w:val="%2."/>
      <w:lvlJc w:val="left"/>
      <w:pPr>
        <w:ind w:left="1440" w:hanging="360"/>
      </w:pPr>
    </w:lvl>
    <w:lvl w:ilvl="2" w:tplc="24380538">
      <w:start w:val="1"/>
      <w:numFmt w:val="lowerRoman"/>
      <w:lvlText w:val="%3."/>
      <w:lvlJc w:val="right"/>
      <w:pPr>
        <w:ind w:left="2160" w:hanging="180"/>
      </w:pPr>
    </w:lvl>
    <w:lvl w:ilvl="3" w:tplc="9C3AEA46">
      <w:start w:val="1"/>
      <w:numFmt w:val="decimal"/>
      <w:lvlText w:val="%4."/>
      <w:lvlJc w:val="left"/>
      <w:pPr>
        <w:ind w:left="2880" w:hanging="360"/>
      </w:pPr>
    </w:lvl>
    <w:lvl w:ilvl="4" w:tplc="21FC017C">
      <w:start w:val="1"/>
      <w:numFmt w:val="lowerLetter"/>
      <w:lvlText w:val="%5."/>
      <w:lvlJc w:val="left"/>
      <w:pPr>
        <w:ind w:left="3600" w:hanging="360"/>
      </w:pPr>
    </w:lvl>
    <w:lvl w:ilvl="5" w:tplc="432EAF1E">
      <w:start w:val="1"/>
      <w:numFmt w:val="lowerRoman"/>
      <w:lvlText w:val="%6."/>
      <w:lvlJc w:val="right"/>
      <w:pPr>
        <w:ind w:left="4320" w:hanging="180"/>
      </w:pPr>
    </w:lvl>
    <w:lvl w:ilvl="6" w:tplc="C7B87F4C">
      <w:start w:val="1"/>
      <w:numFmt w:val="decimal"/>
      <w:lvlText w:val="%7."/>
      <w:lvlJc w:val="left"/>
      <w:pPr>
        <w:ind w:left="5040" w:hanging="360"/>
      </w:pPr>
    </w:lvl>
    <w:lvl w:ilvl="7" w:tplc="0E52CF72">
      <w:start w:val="1"/>
      <w:numFmt w:val="lowerLetter"/>
      <w:lvlText w:val="%8."/>
      <w:lvlJc w:val="left"/>
      <w:pPr>
        <w:ind w:left="5760" w:hanging="360"/>
      </w:pPr>
    </w:lvl>
    <w:lvl w:ilvl="8" w:tplc="F70879DE">
      <w:start w:val="1"/>
      <w:numFmt w:val="lowerRoman"/>
      <w:lvlText w:val="%9."/>
      <w:lvlJc w:val="right"/>
      <w:pPr>
        <w:ind w:left="6480" w:hanging="180"/>
      </w:pPr>
    </w:lvl>
  </w:abstractNum>
  <w:abstractNum w:abstractNumId="5" w15:restartNumberingAfterBreak="0">
    <w:nsid w:val="1FEFF798"/>
    <w:multiLevelType w:val="hybridMultilevel"/>
    <w:tmpl w:val="22FC9940"/>
    <w:lvl w:ilvl="0" w:tplc="D91E0A68">
      <w:start w:val="1"/>
      <w:numFmt w:val="decimal"/>
      <w:lvlText w:val="%1."/>
      <w:lvlJc w:val="left"/>
      <w:pPr>
        <w:ind w:left="720" w:hanging="360"/>
      </w:pPr>
    </w:lvl>
    <w:lvl w:ilvl="1" w:tplc="B26C5B0C">
      <w:start w:val="1"/>
      <w:numFmt w:val="lowerLetter"/>
      <w:lvlText w:val="%2."/>
      <w:lvlJc w:val="left"/>
      <w:pPr>
        <w:ind w:left="1440" w:hanging="360"/>
      </w:pPr>
    </w:lvl>
    <w:lvl w:ilvl="2" w:tplc="719020B4">
      <w:start w:val="1"/>
      <w:numFmt w:val="lowerRoman"/>
      <w:lvlText w:val="%3."/>
      <w:lvlJc w:val="right"/>
      <w:pPr>
        <w:ind w:left="2160" w:hanging="180"/>
      </w:pPr>
    </w:lvl>
    <w:lvl w:ilvl="3" w:tplc="08B4487E">
      <w:start w:val="1"/>
      <w:numFmt w:val="decimal"/>
      <w:lvlText w:val="%4."/>
      <w:lvlJc w:val="left"/>
      <w:pPr>
        <w:ind w:left="2880" w:hanging="360"/>
      </w:pPr>
    </w:lvl>
    <w:lvl w:ilvl="4" w:tplc="902EB6A8">
      <w:start w:val="1"/>
      <w:numFmt w:val="lowerLetter"/>
      <w:lvlText w:val="%5."/>
      <w:lvlJc w:val="left"/>
      <w:pPr>
        <w:ind w:left="3600" w:hanging="360"/>
      </w:pPr>
    </w:lvl>
    <w:lvl w:ilvl="5" w:tplc="D96A3D58">
      <w:start w:val="1"/>
      <w:numFmt w:val="lowerRoman"/>
      <w:lvlText w:val="%6."/>
      <w:lvlJc w:val="right"/>
      <w:pPr>
        <w:ind w:left="4320" w:hanging="180"/>
      </w:pPr>
    </w:lvl>
    <w:lvl w:ilvl="6" w:tplc="BAF4B818">
      <w:start w:val="1"/>
      <w:numFmt w:val="decimal"/>
      <w:lvlText w:val="%7."/>
      <w:lvlJc w:val="left"/>
      <w:pPr>
        <w:ind w:left="5040" w:hanging="360"/>
      </w:pPr>
    </w:lvl>
    <w:lvl w:ilvl="7" w:tplc="1DE42642">
      <w:start w:val="1"/>
      <w:numFmt w:val="lowerLetter"/>
      <w:lvlText w:val="%8."/>
      <w:lvlJc w:val="left"/>
      <w:pPr>
        <w:ind w:left="5760" w:hanging="360"/>
      </w:pPr>
    </w:lvl>
    <w:lvl w:ilvl="8" w:tplc="3D50A3DC">
      <w:start w:val="1"/>
      <w:numFmt w:val="lowerRoman"/>
      <w:lvlText w:val="%9."/>
      <w:lvlJc w:val="right"/>
      <w:pPr>
        <w:ind w:left="6480" w:hanging="180"/>
      </w:pPr>
    </w:lvl>
  </w:abstractNum>
  <w:abstractNum w:abstractNumId="6" w15:restartNumberingAfterBreak="0">
    <w:nsid w:val="211AE030"/>
    <w:multiLevelType w:val="hybridMultilevel"/>
    <w:tmpl w:val="1BDAFCF8"/>
    <w:lvl w:ilvl="0" w:tplc="6352B192">
      <w:start w:val="1"/>
      <w:numFmt w:val="bullet"/>
      <w:lvlText w:val=""/>
      <w:lvlJc w:val="left"/>
      <w:pPr>
        <w:ind w:left="720" w:hanging="360"/>
      </w:pPr>
      <w:rPr>
        <w:rFonts w:ascii="Symbol" w:hAnsi="Symbol" w:hint="default"/>
      </w:rPr>
    </w:lvl>
    <w:lvl w:ilvl="1" w:tplc="E5E057E0">
      <w:start w:val="1"/>
      <w:numFmt w:val="bullet"/>
      <w:lvlText w:val="o"/>
      <w:lvlJc w:val="left"/>
      <w:pPr>
        <w:ind w:left="1440" w:hanging="360"/>
      </w:pPr>
      <w:rPr>
        <w:rFonts w:ascii="Courier New" w:hAnsi="Courier New" w:hint="default"/>
      </w:rPr>
    </w:lvl>
    <w:lvl w:ilvl="2" w:tplc="99365606">
      <w:start w:val="1"/>
      <w:numFmt w:val="bullet"/>
      <w:lvlText w:val=""/>
      <w:lvlJc w:val="left"/>
      <w:pPr>
        <w:ind w:left="2160" w:hanging="360"/>
      </w:pPr>
      <w:rPr>
        <w:rFonts w:ascii="Wingdings" w:hAnsi="Wingdings" w:hint="default"/>
      </w:rPr>
    </w:lvl>
    <w:lvl w:ilvl="3" w:tplc="7C7AEA98">
      <w:start w:val="1"/>
      <w:numFmt w:val="bullet"/>
      <w:lvlText w:val=""/>
      <w:lvlJc w:val="left"/>
      <w:pPr>
        <w:ind w:left="2880" w:hanging="360"/>
      </w:pPr>
      <w:rPr>
        <w:rFonts w:ascii="Symbol" w:hAnsi="Symbol" w:hint="default"/>
      </w:rPr>
    </w:lvl>
    <w:lvl w:ilvl="4" w:tplc="6096BA96">
      <w:start w:val="1"/>
      <w:numFmt w:val="bullet"/>
      <w:lvlText w:val="o"/>
      <w:lvlJc w:val="left"/>
      <w:pPr>
        <w:ind w:left="3600" w:hanging="360"/>
      </w:pPr>
      <w:rPr>
        <w:rFonts w:ascii="Courier New" w:hAnsi="Courier New" w:hint="default"/>
      </w:rPr>
    </w:lvl>
    <w:lvl w:ilvl="5" w:tplc="A48ABFEE">
      <w:start w:val="1"/>
      <w:numFmt w:val="bullet"/>
      <w:lvlText w:val=""/>
      <w:lvlJc w:val="left"/>
      <w:pPr>
        <w:ind w:left="4320" w:hanging="360"/>
      </w:pPr>
      <w:rPr>
        <w:rFonts w:ascii="Wingdings" w:hAnsi="Wingdings" w:hint="default"/>
      </w:rPr>
    </w:lvl>
    <w:lvl w:ilvl="6" w:tplc="BC22E2AC">
      <w:start w:val="1"/>
      <w:numFmt w:val="bullet"/>
      <w:lvlText w:val=""/>
      <w:lvlJc w:val="left"/>
      <w:pPr>
        <w:ind w:left="5040" w:hanging="360"/>
      </w:pPr>
      <w:rPr>
        <w:rFonts w:ascii="Symbol" w:hAnsi="Symbol" w:hint="default"/>
      </w:rPr>
    </w:lvl>
    <w:lvl w:ilvl="7" w:tplc="A2C6376E">
      <w:start w:val="1"/>
      <w:numFmt w:val="bullet"/>
      <w:lvlText w:val="o"/>
      <w:lvlJc w:val="left"/>
      <w:pPr>
        <w:ind w:left="5760" w:hanging="360"/>
      </w:pPr>
      <w:rPr>
        <w:rFonts w:ascii="Courier New" w:hAnsi="Courier New" w:hint="default"/>
      </w:rPr>
    </w:lvl>
    <w:lvl w:ilvl="8" w:tplc="CFBACDEC">
      <w:start w:val="1"/>
      <w:numFmt w:val="bullet"/>
      <w:lvlText w:val=""/>
      <w:lvlJc w:val="left"/>
      <w:pPr>
        <w:ind w:left="6480" w:hanging="360"/>
      </w:pPr>
      <w:rPr>
        <w:rFonts w:ascii="Wingdings" w:hAnsi="Wingdings" w:hint="default"/>
      </w:rPr>
    </w:lvl>
  </w:abstractNum>
  <w:abstractNum w:abstractNumId="7" w15:restartNumberingAfterBreak="0">
    <w:nsid w:val="26EF8352"/>
    <w:multiLevelType w:val="hybridMultilevel"/>
    <w:tmpl w:val="D1D6BA5E"/>
    <w:lvl w:ilvl="0" w:tplc="1DD2899C">
      <w:start w:val="1"/>
      <w:numFmt w:val="decimal"/>
      <w:lvlText w:val="%1."/>
      <w:lvlJc w:val="left"/>
      <w:pPr>
        <w:ind w:left="720" w:hanging="360"/>
      </w:pPr>
    </w:lvl>
    <w:lvl w:ilvl="1" w:tplc="C284EF1A">
      <w:start w:val="1"/>
      <w:numFmt w:val="lowerLetter"/>
      <w:lvlText w:val="%2."/>
      <w:lvlJc w:val="left"/>
      <w:pPr>
        <w:ind w:left="1440" w:hanging="360"/>
      </w:pPr>
    </w:lvl>
    <w:lvl w:ilvl="2" w:tplc="44803280">
      <w:start w:val="1"/>
      <w:numFmt w:val="lowerRoman"/>
      <w:lvlText w:val="%3."/>
      <w:lvlJc w:val="right"/>
      <w:pPr>
        <w:ind w:left="2160" w:hanging="180"/>
      </w:pPr>
    </w:lvl>
    <w:lvl w:ilvl="3" w:tplc="E54AC9CC">
      <w:start w:val="1"/>
      <w:numFmt w:val="decimal"/>
      <w:lvlText w:val="%4."/>
      <w:lvlJc w:val="left"/>
      <w:pPr>
        <w:ind w:left="2880" w:hanging="360"/>
      </w:pPr>
    </w:lvl>
    <w:lvl w:ilvl="4" w:tplc="115C67B6">
      <w:start w:val="1"/>
      <w:numFmt w:val="lowerLetter"/>
      <w:lvlText w:val="%5."/>
      <w:lvlJc w:val="left"/>
      <w:pPr>
        <w:ind w:left="3600" w:hanging="360"/>
      </w:pPr>
    </w:lvl>
    <w:lvl w:ilvl="5" w:tplc="1AF2FA1A">
      <w:start w:val="1"/>
      <w:numFmt w:val="lowerRoman"/>
      <w:lvlText w:val="%6."/>
      <w:lvlJc w:val="right"/>
      <w:pPr>
        <w:ind w:left="4320" w:hanging="180"/>
      </w:pPr>
    </w:lvl>
    <w:lvl w:ilvl="6" w:tplc="5F28EE4A">
      <w:start w:val="1"/>
      <w:numFmt w:val="decimal"/>
      <w:lvlText w:val="%7."/>
      <w:lvlJc w:val="left"/>
      <w:pPr>
        <w:ind w:left="5040" w:hanging="360"/>
      </w:pPr>
    </w:lvl>
    <w:lvl w:ilvl="7" w:tplc="46244A52">
      <w:start w:val="1"/>
      <w:numFmt w:val="lowerLetter"/>
      <w:lvlText w:val="%8."/>
      <w:lvlJc w:val="left"/>
      <w:pPr>
        <w:ind w:left="5760" w:hanging="360"/>
      </w:pPr>
    </w:lvl>
    <w:lvl w:ilvl="8" w:tplc="AF9A5152">
      <w:start w:val="1"/>
      <w:numFmt w:val="lowerRoman"/>
      <w:lvlText w:val="%9."/>
      <w:lvlJc w:val="right"/>
      <w:pPr>
        <w:ind w:left="6480" w:hanging="180"/>
      </w:pPr>
    </w:lvl>
  </w:abstractNum>
  <w:abstractNum w:abstractNumId="8" w15:restartNumberingAfterBreak="0">
    <w:nsid w:val="2E5FC551"/>
    <w:multiLevelType w:val="hybridMultilevel"/>
    <w:tmpl w:val="B726B10E"/>
    <w:lvl w:ilvl="0" w:tplc="EA1608C2">
      <w:start w:val="1"/>
      <w:numFmt w:val="decimal"/>
      <w:lvlText w:val="%1."/>
      <w:lvlJc w:val="left"/>
      <w:pPr>
        <w:ind w:left="720" w:hanging="360"/>
      </w:pPr>
    </w:lvl>
    <w:lvl w:ilvl="1" w:tplc="4BC06AD4">
      <w:start w:val="1"/>
      <w:numFmt w:val="lowerLetter"/>
      <w:lvlText w:val="%2."/>
      <w:lvlJc w:val="left"/>
      <w:pPr>
        <w:ind w:left="1440" w:hanging="360"/>
      </w:pPr>
    </w:lvl>
    <w:lvl w:ilvl="2" w:tplc="B854E368">
      <w:start w:val="1"/>
      <w:numFmt w:val="lowerRoman"/>
      <w:lvlText w:val="%3."/>
      <w:lvlJc w:val="right"/>
      <w:pPr>
        <w:ind w:left="2160" w:hanging="180"/>
      </w:pPr>
    </w:lvl>
    <w:lvl w:ilvl="3" w:tplc="D33E8112">
      <w:start w:val="1"/>
      <w:numFmt w:val="decimal"/>
      <w:lvlText w:val="%4."/>
      <w:lvlJc w:val="left"/>
      <w:pPr>
        <w:ind w:left="2880" w:hanging="360"/>
      </w:pPr>
    </w:lvl>
    <w:lvl w:ilvl="4" w:tplc="31C6D626">
      <w:start w:val="1"/>
      <w:numFmt w:val="lowerLetter"/>
      <w:lvlText w:val="%5."/>
      <w:lvlJc w:val="left"/>
      <w:pPr>
        <w:ind w:left="3600" w:hanging="360"/>
      </w:pPr>
    </w:lvl>
    <w:lvl w:ilvl="5" w:tplc="FACC1860">
      <w:start w:val="1"/>
      <w:numFmt w:val="lowerRoman"/>
      <w:lvlText w:val="%6."/>
      <w:lvlJc w:val="right"/>
      <w:pPr>
        <w:ind w:left="4320" w:hanging="180"/>
      </w:pPr>
    </w:lvl>
    <w:lvl w:ilvl="6" w:tplc="89609734">
      <w:start w:val="1"/>
      <w:numFmt w:val="decimal"/>
      <w:lvlText w:val="%7."/>
      <w:lvlJc w:val="left"/>
      <w:pPr>
        <w:ind w:left="5040" w:hanging="360"/>
      </w:pPr>
    </w:lvl>
    <w:lvl w:ilvl="7" w:tplc="44BA13C8">
      <w:start w:val="1"/>
      <w:numFmt w:val="lowerLetter"/>
      <w:lvlText w:val="%8."/>
      <w:lvlJc w:val="left"/>
      <w:pPr>
        <w:ind w:left="5760" w:hanging="360"/>
      </w:pPr>
    </w:lvl>
    <w:lvl w:ilvl="8" w:tplc="62AA6DA0">
      <w:start w:val="1"/>
      <w:numFmt w:val="lowerRoman"/>
      <w:lvlText w:val="%9."/>
      <w:lvlJc w:val="right"/>
      <w:pPr>
        <w:ind w:left="6480" w:hanging="180"/>
      </w:pPr>
    </w:lvl>
  </w:abstractNum>
  <w:abstractNum w:abstractNumId="9" w15:restartNumberingAfterBreak="0">
    <w:nsid w:val="2F8640F6"/>
    <w:multiLevelType w:val="hybridMultilevel"/>
    <w:tmpl w:val="2DFEB22C"/>
    <w:lvl w:ilvl="0" w:tplc="BF4074CC">
      <w:start w:val="1"/>
      <w:numFmt w:val="bullet"/>
      <w:lvlText w:val=""/>
      <w:lvlJc w:val="left"/>
      <w:pPr>
        <w:ind w:left="720" w:hanging="360"/>
      </w:pPr>
      <w:rPr>
        <w:rFonts w:ascii="Symbol" w:hAnsi="Symbol" w:hint="default"/>
      </w:rPr>
    </w:lvl>
    <w:lvl w:ilvl="1" w:tplc="245ADC44">
      <w:start w:val="1"/>
      <w:numFmt w:val="bullet"/>
      <w:lvlText w:val="o"/>
      <w:lvlJc w:val="left"/>
      <w:pPr>
        <w:ind w:left="1440" w:hanging="360"/>
      </w:pPr>
      <w:rPr>
        <w:rFonts w:ascii="Courier New" w:hAnsi="Courier New" w:hint="default"/>
      </w:rPr>
    </w:lvl>
    <w:lvl w:ilvl="2" w:tplc="CFA8DAB8">
      <w:start w:val="1"/>
      <w:numFmt w:val="bullet"/>
      <w:lvlText w:val=""/>
      <w:lvlJc w:val="left"/>
      <w:pPr>
        <w:ind w:left="2160" w:hanging="360"/>
      </w:pPr>
      <w:rPr>
        <w:rFonts w:ascii="Wingdings" w:hAnsi="Wingdings" w:hint="default"/>
      </w:rPr>
    </w:lvl>
    <w:lvl w:ilvl="3" w:tplc="562AFC90">
      <w:start w:val="1"/>
      <w:numFmt w:val="bullet"/>
      <w:lvlText w:val=""/>
      <w:lvlJc w:val="left"/>
      <w:pPr>
        <w:ind w:left="2880" w:hanging="360"/>
      </w:pPr>
      <w:rPr>
        <w:rFonts w:ascii="Symbol" w:hAnsi="Symbol" w:hint="default"/>
      </w:rPr>
    </w:lvl>
    <w:lvl w:ilvl="4" w:tplc="E760EFB8">
      <w:start w:val="1"/>
      <w:numFmt w:val="bullet"/>
      <w:lvlText w:val="o"/>
      <w:lvlJc w:val="left"/>
      <w:pPr>
        <w:ind w:left="3600" w:hanging="360"/>
      </w:pPr>
      <w:rPr>
        <w:rFonts w:ascii="Courier New" w:hAnsi="Courier New" w:hint="default"/>
      </w:rPr>
    </w:lvl>
    <w:lvl w:ilvl="5" w:tplc="0CD6E6C0">
      <w:start w:val="1"/>
      <w:numFmt w:val="bullet"/>
      <w:lvlText w:val=""/>
      <w:lvlJc w:val="left"/>
      <w:pPr>
        <w:ind w:left="4320" w:hanging="360"/>
      </w:pPr>
      <w:rPr>
        <w:rFonts w:ascii="Wingdings" w:hAnsi="Wingdings" w:hint="default"/>
      </w:rPr>
    </w:lvl>
    <w:lvl w:ilvl="6" w:tplc="D4B25A3E">
      <w:start w:val="1"/>
      <w:numFmt w:val="bullet"/>
      <w:lvlText w:val=""/>
      <w:lvlJc w:val="left"/>
      <w:pPr>
        <w:ind w:left="5040" w:hanging="360"/>
      </w:pPr>
      <w:rPr>
        <w:rFonts w:ascii="Symbol" w:hAnsi="Symbol" w:hint="default"/>
      </w:rPr>
    </w:lvl>
    <w:lvl w:ilvl="7" w:tplc="6114C922">
      <w:start w:val="1"/>
      <w:numFmt w:val="bullet"/>
      <w:lvlText w:val="o"/>
      <w:lvlJc w:val="left"/>
      <w:pPr>
        <w:ind w:left="5760" w:hanging="360"/>
      </w:pPr>
      <w:rPr>
        <w:rFonts w:ascii="Courier New" w:hAnsi="Courier New" w:hint="default"/>
      </w:rPr>
    </w:lvl>
    <w:lvl w:ilvl="8" w:tplc="A18870C0">
      <w:start w:val="1"/>
      <w:numFmt w:val="bullet"/>
      <w:lvlText w:val=""/>
      <w:lvlJc w:val="left"/>
      <w:pPr>
        <w:ind w:left="6480" w:hanging="360"/>
      </w:pPr>
      <w:rPr>
        <w:rFonts w:ascii="Wingdings" w:hAnsi="Wingdings" w:hint="default"/>
      </w:rPr>
    </w:lvl>
  </w:abstractNum>
  <w:abstractNum w:abstractNumId="10" w15:restartNumberingAfterBreak="0">
    <w:nsid w:val="2F8C398E"/>
    <w:multiLevelType w:val="hybridMultilevel"/>
    <w:tmpl w:val="BCB025D2"/>
    <w:lvl w:ilvl="0" w:tplc="464E848A">
      <w:start w:val="1"/>
      <w:numFmt w:val="decimal"/>
      <w:lvlText w:val="%1."/>
      <w:lvlJc w:val="left"/>
      <w:pPr>
        <w:ind w:left="720" w:hanging="360"/>
      </w:pPr>
    </w:lvl>
    <w:lvl w:ilvl="1" w:tplc="2C788520">
      <w:start w:val="1"/>
      <w:numFmt w:val="lowerLetter"/>
      <w:lvlText w:val="%2."/>
      <w:lvlJc w:val="left"/>
      <w:pPr>
        <w:ind w:left="1440" w:hanging="360"/>
      </w:pPr>
    </w:lvl>
    <w:lvl w:ilvl="2" w:tplc="C3123A28">
      <w:start w:val="1"/>
      <w:numFmt w:val="lowerRoman"/>
      <w:lvlText w:val="%3."/>
      <w:lvlJc w:val="right"/>
      <w:pPr>
        <w:ind w:left="2160" w:hanging="180"/>
      </w:pPr>
    </w:lvl>
    <w:lvl w:ilvl="3" w:tplc="5D32C3F8">
      <w:start w:val="1"/>
      <w:numFmt w:val="decimal"/>
      <w:lvlText w:val="%4."/>
      <w:lvlJc w:val="left"/>
      <w:pPr>
        <w:ind w:left="2880" w:hanging="360"/>
      </w:pPr>
    </w:lvl>
    <w:lvl w:ilvl="4" w:tplc="9E989582">
      <w:start w:val="1"/>
      <w:numFmt w:val="lowerLetter"/>
      <w:lvlText w:val="%5."/>
      <w:lvlJc w:val="left"/>
      <w:pPr>
        <w:ind w:left="3600" w:hanging="360"/>
      </w:pPr>
    </w:lvl>
    <w:lvl w:ilvl="5" w:tplc="06F0A8CC">
      <w:start w:val="1"/>
      <w:numFmt w:val="lowerRoman"/>
      <w:lvlText w:val="%6."/>
      <w:lvlJc w:val="right"/>
      <w:pPr>
        <w:ind w:left="4320" w:hanging="180"/>
      </w:pPr>
    </w:lvl>
    <w:lvl w:ilvl="6" w:tplc="4492F316">
      <w:start w:val="1"/>
      <w:numFmt w:val="decimal"/>
      <w:lvlText w:val="%7."/>
      <w:lvlJc w:val="left"/>
      <w:pPr>
        <w:ind w:left="5040" w:hanging="360"/>
      </w:pPr>
    </w:lvl>
    <w:lvl w:ilvl="7" w:tplc="150A9172">
      <w:start w:val="1"/>
      <w:numFmt w:val="lowerLetter"/>
      <w:lvlText w:val="%8."/>
      <w:lvlJc w:val="left"/>
      <w:pPr>
        <w:ind w:left="5760" w:hanging="360"/>
      </w:pPr>
    </w:lvl>
    <w:lvl w:ilvl="8" w:tplc="3CF03070">
      <w:start w:val="1"/>
      <w:numFmt w:val="lowerRoman"/>
      <w:lvlText w:val="%9."/>
      <w:lvlJc w:val="right"/>
      <w:pPr>
        <w:ind w:left="6480" w:hanging="180"/>
      </w:pPr>
    </w:lvl>
  </w:abstractNum>
  <w:abstractNum w:abstractNumId="11" w15:restartNumberingAfterBreak="0">
    <w:nsid w:val="39C53711"/>
    <w:multiLevelType w:val="hybridMultilevel"/>
    <w:tmpl w:val="4D9E232C"/>
    <w:lvl w:ilvl="0" w:tplc="98743F5C">
      <w:start w:val="1"/>
      <w:numFmt w:val="bullet"/>
      <w:lvlText w:val=""/>
      <w:lvlJc w:val="left"/>
      <w:pPr>
        <w:ind w:left="720" w:hanging="360"/>
      </w:pPr>
      <w:rPr>
        <w:rFonts w:ascii="Symbol" w:hAnsi="Symbol" w:hint="default"/>
      </w:rPr>
    </w:lvl>
    <w:lvl w:ilvl="1" w:tplc="38821A60">
      <w:start w:val="1"/>
      <w:numFmt w:val="bullet"/>
      <w:lvlText w:val="o"/>
      <w:lvlJc w:val="left"/>
      <w:pPr>
        <w:ind w:left="1440" w:hanging="360"/>
      </w:pPr>
      <w:rPr>
        <w:rFonts w:ascii="Courier New" w:hAnsi="Courier New" w:hint="default"/>
      </w:rPr>
    </w:lvl>
    <w:lvl w:ilvl="2" w:tplc="2B92F9DC">
      <w:start w:val="1"/>
      <w:numFmt w:val="bullet"/>
      <w:lvlText w:val=""/>
      <w:lvlJc w:val="left"/>
      <w:pPr>
        <w:ind w:left="2160" w:hanging="360"/>
      </w:pPr>
      <w:rPr>
        <w:rFonts w:ascii="Wingdings" w:hAnsi="Wingdings" w:hint="default"/>
      </w:rPr>
    </w:lvl>
    <w:lvl w:ilvl="3" w:tplc="1518BC18">
      <w:start w:val="1"/>
      <w:numFmt w:val="bullet"/>
      <w:lvlText w:val=""/>
      <w:lvlJc w:val="left"/>
      <w:pPr>
        <w:ind w:left="2880" w:hanging="360"/>
      </w:pPr>
      <w:rPr>
        <w:rFonts w:ascii="Symbol" w:hAnsi="Symbol" w:hint="default"/>
      </w:rPr>
    </w:lvl>
    <w:lvl w:ilvl="4" w:tplc="989AECC0">
      <w:start w:val="1"/>
      <w:numFmt w:val="bullet"/>
      <w:lvlText w:val="o"/>
      <w:lvlJc w:val="left"/>
      <w:pPr>
        <w:ind w:left="3600" w:hanging="360"/>
      </w:pPr>
      <w:rPr>
        <w:rFonts w:ascii="Courier New" w:hAnsi="Courier New" w:hint="default"/>
      </w:rPr>
    </w:lvl>
    <w:lvl w:ilvl="5" w:tplc="42ECE17A">
      <w:start w:val="1"/>
      <w:numFmt w:val="bullet"/>
      <w:lvlText w:val=""/>
      <w:lvlJc w:val="left"/>
      <w:pPr>
        <w:ind w:left="4320" w:hanging="360"/>
      </w:pPr>
      <w:rPr>
        <w:rFonts w:ascii="Wingdings" w:hAnsi="Wingdings" w:hint="default"/>
      </w:rPr>
    </w:lvl>
    <w:lvl w:ilvl="6" w:tplc="94B0AE56">
      <w:start w:val="1"/>
      <w:numFmt w:val="bullet"/>
      <w:lvlText w:val=""/>
      <w:lvlJc w:val="left"/>
      <w:pPr>
        <w:ind w:left="5040" w:hanging="360"/>
      </w:pPr>
      <w:rPr>
        <w:rFonts w:ascii="Symbol" w:hAnsi="Symbol" w:hint="default"/>
      </w:rPr>
    </w:lvl>
    <w:lvl w:ilvl="7" w:tplc="A53C59EC">
      <w:start w:val="1"/>
      <w:numFmt w:val="bullet"/>
      <w:lvlText w:val="o"/>
      <w:lvlJc w:val="left"/>
      <w:pPr>
        <w:ind w:left="5760" w:hanging="360"/>
      </w:pPr>
      <w:rPr>
        <w:rFonts w:ascii="Courier New" w:hAnsi="Courier New" w:hint="default"/>
      </w:rPr>
    </w:lvl>
    <w:lvl w:ilvl="8" w:tplc="31E80B92">
      <w:start w:val="1"/>
      <w:numFmt w:val="bullet"/>
      <w:lvlText w:val=""/>
      <w:lvlJc w:val="left"/>
      <w:pPr>
        <w:ind w:left="6480" w:hanging="360"/>
      </w:pPr>
      <w:rPr>
        <w:rFonts w:ascii="Wingdings" w:hAnsi="Wingdings" w:hint="default"/>
      </w:rPr>
    </w:lvl>
  </w:abstractNum>
  <w:abstractNum w:abstractNumId="12" w15:restartNumberingAfterBreak="0">
    <w:nsid w:val="3B48B5A1"/>
    <w:multiLevelType w:val="hybridMultilevel"/>
    <w:tmpl w:val="AAC82FCA"/>
    <w:lvl w:ilvl="0" w:tplc="DE446BC4">
      <w:start w:val="1"/>
      <w:numFmt w:val="bullet"/>
      <w:lvlText w:val=""/>
      <w:lvlJc w:val="left"/>
      <w:pPr>
        <w:ind w:left="720" w:hanging="360"/>
      </w:pPr>
      <w:rPr>
        <w:rFonts w:ascii="Symbol" w:hAnsi="Symbol" w:hint="default"/>
      </w:rPr>
    </w:lvl>
    <w:lvl w:ilvl="1" w:tplc="C00E56FE">
      <w:start w:val="1"/>
      <w:numFmt w:val="bullet"/>
      <w:lvlText w:val="o"/>
      <w:lvlJc w:val="left"/>
      <w:pPr>
        <w:ind w:left="1440" w:hanging="360"/>
      </w:pPr>
      <w:rPr>
        <w:rFonts w:ascii="Courier New" w:hAnsi="Courier New" w:hint="default"/>
      </w:rPr>
    </w:lvl>
    <w:lvl w:ilvl="2" w:tplc="BDAC0B4E">
      <w:start w:val="1"/>
      <w:numFmt w:val="bullet"/>
      <w:lvlText w:val=""/>
      <w:lvlJc w:val="left"/>
      <w:pPr>
        <w:ind w:left="2160" w:hanging="360"/>
      </w:pPr>
      <w:rPr>
        <w:rFonts w:ascii="Wingdings" w:hAnsi="Wingdings" w:hint="default"/>
      </w:rPr>
    </w:lvl>
    <w:lvl w:ilvl="3" w:tplc="1562A93E">
      <w:start w:val="1"/>
      <w:numFmt w:val="bullet"/>
      <w:lvlText w:val=""/>
      <w:lvlJc w:val="left"/>
      <w:pPr>
        <w:ind w:left="2880" w:hanging="360"/>
      </w:pPr>
      <w:rPr>
        <w:rFonts w:ascii="Symbol" w:hAnsi="Symbol" w:hint="default"/>
      </w:rPr>
    </w:lvl>
    <w:lvl w:ilvl="4" w:tplc="2ADEE750">
      <w:start w:val="1"/>
      <w:numFmt w:val="bullet"/>
      <w:lvlText w:val="o"/>
      <w:lvlJc w:val="left"/>
      <w:pPr>
        <w:ind w:left="3600" w:hanging="360"/>
      </w:pPr>
      <w:rPr>
        <w:rFonts w:ascii="Courier New" w:hAnsi="Courier New" w:hint="default"/>
      </w:rPr>
    </w:lvl>
    <w:lvl w:ilvl="5" w:tplc="8A3EE29A">
      <w:start w:val="1"/>
      <w:numFmt w:val="bullet"/>
      <w:lvlText w:val=""/>
      <w:lvlJc w:val="left"/>
      <w:pPr>
        <w:ind w:left="4320" w:hanging="360"/>
      </w:pPr>
      <w:rPr>
        <w:rFonts w:ascii="Wingdings" w:hAnsi="Wingdings" w:hint="default"/>
      </w:rPr>
    </w:lvl>
    <w:lvl w:ilvl="6" w:tplc="EAA6AADE">
      <w:start w:val="1"/>
      <w:numFmt w:val="bullet"/>
      <w:lvlText w:val=""/>
      <w:lvlJc w:val="left"/>
      <w:pPr>
        <w:ind w:left="5040" w:hanging="360"/>
      </w:pPr>
      <w:rPr>
        <w:rFonts w:ascii="Symbol" w:hAnsi="Symbol" w:hint="default"/>
      </w:rPr>
    </w:lvl>
    <w:lvl w:ilvl="7" w:tplc="9E34C206">
      <w:start w:val="1"/>
      <w:numFmt w:val="bullet"/>
      <w:lvlText w:val="o"/>
      <w:lvlJc w:val="left"/>
      <w:pPr>
        <w:ind w:left="5760" w:hanging="360"/>
      </w:pPr>
      <w:rPr>
        <w:rFonts w:ascii="Courier New" w:hAnsi="Courier New" w:hint="default"/>
      </w:rPr>
    </w:lvl>
    <w:lvl w:ilvl="8" w:tplc="E2F217A4">
      <w:start w:val="1"/>
      <w:numFmt w:val="bullet"/>
      <w:lvlText w:val=""/>
      <w:lvlJc w:val="left"/>
      <w:pPr>
        <w:ind w:left="6480" w:hanging="360"/>
      </w:pPr>
      <w:rPr>
        <w:rFonts w:ascii="Wingdings" w:hAnsi="Wingdings" w:hint="default"/>
      </w:rPr>
    </w:lvl>
  </w:abstractNum>
  <w:abstractNum w:abstractNumId="13" w15:restartNumberingAfterBreak="0">
    <w:nsid w:val="3C9C33EB"/>
    <w:multiLevelType w:val="hybridMultilevel"/>
    <w:tmpl w:val="FE8E2578"/>
    <w:lvl w:ilvl="0" w:tplc="E74E4F10">
      <w:start w:val="1"/>
      <w:numFmt w:val="decimal"/>
      <w:lvlText w:val="%1."/>
      <w:lvlJc w:val="left"/>
      <w:pPr>
        <w:ind w:left="720" w:hanging="360"/>
      </w:pPr>
    </w:lvl>
    <w:lvl w:ilvl="1" w:tplc="A2FC3AA4">
      <w:start w:val="1"/>
      <w:numFmt w:val="lowerLetter"/>
      <w:lvlText w:val="%2."/>
      <w:lvlJc w:val="left"/>
      <w:pPr>
        <w:ind w:left="1440" w:hanging="360"/>
      </w:pPr>
    </w:lvl>
    <w:lvl w:ilvl="2" w:tplc="F752A022">
      <w:start w:val="1"/>
      <w:numFmt w:val="lowerRoman"/>
      <w:lvlText w:val="%3."/>
      <w:lvlJc w:val="right"/>
      <w:pPr>
        <w:ind w:left="2160" w:hanging="180"/>
      </w:pPr>
    </w:lvl>
    <w:lvl w:ilvl="3" w:tplc="BC3AAB38">
      <w:start w:val="1"/>
      <w:numFmt w:val="decimal"/>
      <w:lvlText w:val="%4."/>
      <w:lvlJc w:val="left"/>
      <w:pPr>
        <w:ind w:left="2880" w:hanging="360"/>
      </w:pPr>
    </w:lvl>
    <w:lvl w:ilvl="4" w:tplc="3668A5EE">
      <w:start w:val="1"/>
      <w:numFmt w:val="lowerLetter"/>
      <w:lvlText w:val="%5."/>
      <w:lvlJc w:val="left"/>
      <w:pPr>
        <w:ind w:left="3600" w:hanging="360"/>
      </w:pPr>
    </w:lvl>
    <w:lvl w:ilvl="5" w:tplc="0890EBFC">
      <w:start w:val="1"/>
      <w:numFmt w:val="lowerRoman"/>
      <w:lvlText w:val="%6."/>
      <w:lvlJc w:val="right"/>
      <w:pPr>
        <w:ind w:left="4320" w:hanging="180"/>
      </w:pPr>
    </w:lvl>
    <w:lvl w:ilvl="6" w:tplc="E38C2E80">
      <w:start w:val="1"/>
      <w:numFmt w:val="decimal"/>
      <w:lvlText w:val="%7."/>
      <w:lvlJc w:val="left"/>
      <w:pPr>
        <w:ind w:left="5040" w:hanging="360"/>
      </w:pPr>
    </w:lvl>
    <w:lvl w:ilvl="7" w:tplc="36ACB6B0">
      <w:start w:val="1"/>
      <w:numFmt w:val="lowerLetter"/>
      <w:lvlText w:val="%8."/>
      <w:lvlJc w:val="left"/>
      <w:pPr>
        <w:ind w:left="5760" w:hanging="360"/>
      </w:pPr>
    </w:lvl>
    <w:lvl w:ilvl="8" w:tplc="EBFE314C">
      <w:start w:val="1"/>
      <w:numFmt w:val="lowerRoman"/>
      <w:lvlText w:val="%9."/>
      <w:lvlJc w:val="right"/>
      <w:pPr>
        <w:ind w:left="6480" w:hanging="180"/>
      </w:pPr>
    </w:lvl>
  </w:abstractNum>
  <w:abstractNum w:abstractNumId="14" w15:restartNumberingAfterBreak="0">
    <w:nsid w:val="409EBF27"/>
    <w:multiLevelType w:val="hybridMultilevel"/>
    <w:tmpl w:val="D848C4B0"/>
    <w:lvl w:ilvl="0" w:tplc="3B84C522">
      <w:start w:val="1"/>
      <w:numFmt w:val="bullet"/>
      <w:lvlText w:val=""/>
      <w:lvlJc w:val="left"/>
      <w:pPr>
        <w:ind w:left="720" w:hanging="360"/>
      </w:pPr>
      <w:rPr>
        <w:rFonts w:ascii="Symbol" w:hAnsi="Symbol" w:hint="default"/>
      </w:rPr>
    </w:lvl>
    <w:lvl w:ilvl="1" w:tplc="5652F306">
      <w:start w:val="1"/>
      <w:numFmt w:val="bullet"/>
      <w:lvlText w:val="o"/>
      <w:lvlJc w:val="left"/>
      <w:pPr>
        <w:ind w:left="1440" w:hanging="360"/>
      </w:pPr>
      <w:rPr>
        <w:rFonts w:ascii="Courier New" w:hAnsi="Courier New" w:hint="default"/>
      </w:rPr>
    </w:lvl>
    <w:lvl w:ilvl="2" w:tplc="BB682ED2">
      <w:start w:val="1"/>
      <w:numFmt w:val="bullet"/>
      <w:lvlText w:val=""/>
      <w:lvlJc w:val="left"/>
      <w:pPr>
        <w:ind w:left="2160" w:hanging="360"/>
      </w:pPr>
      <w:rPr>
        <w:rFonts w:ascii="Wingdings" w:hAnsi="Wingdings" w:hint="default"/>
      </w:rPr>
    </w:lvl>
    <w:lvl w:ilvl="3" w:tplc="79B48D0A">
      <w:start w:val="1"/>
      <w:numFmt w:val="bullet"/>
      <w:lvlText w:val=""/>
      <w:lvlJc w:val="left"/>
      <w:pPr>
        <w:ind w:left="2880" w:hanging="360"/>
      </w:pPr>
      <w:rPr>
        <w:rFonts w:ascii="Symbol" w:hAnsi="Symbol" w:hint="default"/>
      </w:rPr>
    </w:lvl>
    <w:lvl w:ilvl="4" w:tplc="57E433C6">
      <w:start w:val="1"/>
      <w:numFmt w:val="bullet"/>
      <w:lvlText w:val="o"/>
      <w:lvlJc w:val="left"/>
      <w:pPr>
        <w:ind w:left="3600" w:hanging="360"/>
      </w:pPr>
      <w:rPr>
        <w:rFonts w:ascii="Courier New" w:hAnsi="Courier New" w:hint="default"/>
      </w:rPr>
    </w:lvl>
    <w:lvl w:ilvl="5" w:tplc="A90E14B2">
      <w:start w:val="1"/>
      <w:numFmt w:val="bullet"/>
      <w:lvlText w:val=""/>
      <w:lvlJc w:val="left"/>
      <w:pPr>
        <w:ind w:left="4320" w:hanging="360"/>
      </w:pPr>
      <w:rPr>
        <w:rFonts w:ascii="Wingdings" w:hAnsi="Wingdings" w:hint="default"/>
      </w:rPr>
    </w:lvl>
    <w:lvl w:ilvl="6" w:tplc="762E3A80">
      <w:start w:val="1"/>
      <w:numFmt w:val="bullet"/>
      <w:lvlText w:val=""/>
      <w:lvlJc w:val="left"/>
      <w:pPr>
        <w:ind w:left="5040" w:hanging="360"/>
      </w:pPr>
      <w:rPr>
        <w:rFonts w:ascii="Symbol" w:hAnsi="Symbol" w:hint="default"/>
      </w:rPr>
    </w:lvl>
    <w:lvl w:ilvl="7" w:tplc="8B246586">
      <w:start w:val="1"/>
      <w:numFmt w:val="bullet"/>
      <w:lvlText w:val="o"/>
      <w:lvlJc w:val="left"/>
      <w:pPr>
        <w:ind w:left="5760" w:hanging="360"/>
      </w:pPr>
      <w:rPr>
        <w:rFonts w:ascii="Courier New" w:hAnsi="Courier New" w:hint="default"/>
      </w:rPr>
    </w:lvl>
    <w:lvl w:ilvl="8" w:tplc="40ECEB82">
      <w:start w:val="1"/>
      <w:numFmt w:val="bullet"/>
      <w:lvlText w:val=""/>
      <w:lvlJc w:val="left"/>
      <w:pPr>
        <w:ind w:left="6480" w:hanging="360"/>
      </w:pPr>
      <w:rPr>
        <w:rFonts w:ascii="Wingdings" w:hAnsi="Wingdings" w:hint="default"/>
      </w:rPr>
    </w:lvl>
  </w:abstractNum>
  <w:abstractNum w:abstractNumId="15" w15:restartNumberingAfterBreak="0">
    <w:nsid w:val="41C5E965"/>
    <w:multiLevelType w:val="hybridMultilevel"/>
    <w:tmpl w:val="8DA22D20"/>
    <w:lvl w:ilvl="0" w:tplc="8CCCF322">
      <w:start w:val="1"/>
      <w:numFmt w:val="bullet"/>
      <w:lvlText w:val=""/>
      <w:lvlJc w:val="left"/>
      <w:pPr>
        <w:ind w:left="720" w:hanging="360"/>
      </w:pPr>
      <w:rPr>
        <w:rFonts w:ascii="Symbol" w:hAnsi="Symbol" w:hint="default"/>
      </w:rPr>
    </w:lvl>
    <w:lvl w:ilvl="1" w:tplc="29C60BD0">
      <w:start w:val="1"/>
      <w:numFmt w:val="bullet"/>
      <w:lvlText w:val="o"/>
      <w:lvlJc w:val="left"/>
      <w:pPr>
        <w:ind w:left="1440" w:hanging="360"/>
      </w:pPr>
      <w:rPr>
        <w:rFonts w:ascii="Courier New" w:hAnsi="Courier New" w:hint="default"/>
      </w:rPr>
    </w:lvl>
    <w:lvl w:ilvl="2" w:tplc="9DA2C582">
      <w:start w:val="1"/>
      <w:numFmt w:val="bullet"/>
      <w:lvlText w:val=""/>
      <w:lvlJc w:val="left"/>
      <w:pPr>
        <w:ind w:left="2160" w:hanging="360"/>
      </w:pPr>
      <w:rPr>
        <w:rFonts w:ascii="Wingdings" w:hAnsi="Wingdings" w:hint="default"/>
      </w:rPr>
    </w:lvl>
    <w:lvl w:ilvl="3" w:tplc="AD02BB08">
      <w:start w:val="1"/>
      <w:numFmt w:val="bullet"/>
      <w:lvlText w:val=""/>
      <w:lvlJc w:val="left"/>
      <w:pPr>
        <w:ind w:left="2880" w:hanging="360"/>
      </w:pPr>
      <w:rPr>
        <w:rFonts w:ascii="Symbol" w:hAnsi="Symbol" w:hint="default"/>
      </w:rPr>
    </w:lvl>
    <w:lvl w:ilvl="4" w:tplc="D50E28B2">
      <w:start w:val="1"/>
      <w:numFmt w:val="bullet"/>
      <w:lvlText w:val="o"/>
      <w:lvlJc w:val="left"/>
      <w:pPr>
        <w:ind w:left="3600" w:hanging="360"/>
      </w:pPr>
      <w:rPr>
        <w:rFonts w:ascii="Courier New" w:hAnsi="Courier New" w:hint="default"/>
      </w:rPr>
    </w:lvl>
    <w:lvl w:ilvl="5" w:tplc="B72A42AA">
      <w:start w:val="1"/>
      <w:numFmt w:val="bullet"/>
      <w:lvlText w:val=""/>
      <w:lvlJc w:val="left"/>
      <w:pPr>
        <w:ind w:left="4320" w:hanging="360"/>
      </w:pPr>
      <w:rPr>
        <w:rFonts w:ascii="Wingdings" w:hAnsi="Wingdings" w:hint="default"/>
      </w:rPr>
    </w:lvl>
    <w:lvl w:ilvl="6" w:tplc="DB921A30">
      <w:start w:val="1"/>
      <w:numFmt w:val="bullet"/>
      <w:lvlText w:val=""/>
      <w:lvlJc w:val="left"/>
      <w:pPr>
        <w:ind w:left="5040" w:hanging="360"/>
      </w:pPr>
      <w:rPr>
        <w:rFonts w:ascii="Symbol" w:hAnsi="Symbol" w:hint="default"/>
      </w:rPr>
    </w:lvl>
    <w:lvl w:ilvl="7" w:tplc="F5DA3238">
      <w:start w:val="1"/>
      <w:numFmt w:val="bullet"/>
      <w:lvlText w:val="o"/>
      <w:lvlJc w:val="left"/>
      <w:pPr>
        <w:ind w:left="5760" w:hanging="360"/>
      </w:pPr>
      <w:rPr>
        <w:rFonts w:ascii="Courier New" w:hAnsi="Courier New" w:hint="default"/>
      </w:rPr>
    </w:lvl>
    <w:lvl w:ilvl="8" w:tplc="DC10E9B8">
      <w:start w:val="1"/>
      <w:numFmt w:val="bullet"/>
      <w:lvlText w:val=""/>
      <w:lvlJc w:val="left"/>
      <w:pPr>
        <w:ind w:left="6480" w:hanging="360"/>
      </w:pPr>
      <w:rPr>
        <w:rFonts w:ascii="Wingdings" w:hAnsi="Wingdings" w:hint="default"/>
      </w:rPr>
    </w:lvl>
  </w:abstractNum>
  <w:abstractNum w:abstractNumId="16" w15:restartNumberingAfterBreak="0">
    <w:nsid w:val="4ACC4822"/>
    <w:multiLevelType w:val="hybridMultilevel"/>
    <w:tmpl w:val="DC787BE8"/>
    <w:lvl w:ilvl="0" w:tplc="FDB26082">
      <w:start w:val="1"/>
      <w:numFmt w:val="decimal"/>
      <w:lvlText w:val="%1."/>
      <w:lvlJc w:val="left"/>
      <w:pPr>
        <w:ind w:left="720" w:hanging="360"/>
      </w:pPr>
    </w:lvl>
    <w:lvl w:ilvl="1" w:tplc="D0A4AD3E">
      <w:start w:val="1"/>
      <w:numFmt w:val="lowerLetter"/>
      <w:lvlText w:val="%2."/>
      <w:lvlJc w:val="left"/>
      <w:pPr>
        <w:ind w:left="1440" w:hanging="360"/>
      </w:pPr>
    </w:lvl>
    <w:lvl w:ilvl="2" w:tplc="BAD27E2E">
      <w:start w:val="1"/>
      <w:numFmt w:val="lowerRoman"/>
      <w:lvlText w:val="%3."/>
      <w:lvlJc w:val="right"/>
      <w:pPr>
        <w:ind w:left="2160" w:hanging="180"/>
      </w:pPr>
    </w:lvl>
    <w:lvl w:ilvl="3" w:tplc="232EFFAC">
      <w:start w:val="1"/>
      <w:numFmt w:val="decimal"/>
      <w:lvlText w:val="%4."/>
      <w:lvlJc w:val="left"/>
      <w:pPr>
        <w:ind w:left="2880" w:hanging="360"/>
      </w:pPr>
    </w:lvl>
    <w:lvl w:ilvl="4" w:tplc="25E8C196">
      <w:start w:val="1"/>
      <w:numFmt w:val="lowerLetter"/>
      <w:lvlText w:val="%5."/>
      <w:lvlJc w:val="left"/>
      <w:pPr>
        <w:ind w:left="3600" w:hanging="360"/>
      </w:pPr>
    </w:lvl>
    <w:lvl w:ilvl="5" w:tplc="119A8670">
      <w:start w:val="1"/>
      <w:numFmt w:val="lowerRoman"/>
      <w:lvlText w:val="%6."/>
      <w:lvlJc w:val="right"/>
      <w:pPr>
        <w:ind w:left="4320" w:hanging="180"/>
      </w:pPr>
    </w:lvl>
    <w:lvl w:ilvl="6" w:tplc="EE2CB1E0">
      <w:start w:val="1"/>
      <w:numFmt w:val="decimal"/>
      <w:lvlText w:val="%7."/>
      <w:lvlJc w:val="left"/>
      <w:pPr>
        <w:ind w:left="5040" w:hanging="360"/>
      </w:pPr>
    </w:lvl>
    <w:lvl w:ilvl="7" w:tplc="80E42E92">
      <w:start w:val="1"/>
      <w:numFmt w:val="lowerLetter"/>
      <w:lvlText w:val="%8."/>
      <w:lvlJc w:val="left"/>
      <w:pPr>
        <w:ind w:left="5760" w:hanging="360"/>
      </w:pPr>
    </w:lvl>
    <w:lvl w:ilvl="8" w:tplc="18443A26">
      <w:start w:val="1"/>
      <w:numFmt w:val="lowerRoman"/>
      <w:lvlText w:val="%9."/>
      <w:lvlJc w:val="right"/>
      <w:pPr>
        <w:ind w:left="6480" w:hanging="180"/>
      </w:pPr>
    </w:lvl>
  </w:abstractNum>
  <w:abstractNum w:abstractNumId="17" w15:restartNumberingAfterBreak="0">
    <w:nsid w:val="4B54FBB3"/>
    <w:multiLevelType w:val="hybridMultilevel"/>
    <w:tmpl w:val="76147402"/>
    <w:lvl w:ilvl="0" w:tplc="DF765D18">
      <w:start w:val="1"/>
      <w:numFmt w:val="decimal"/>
      <w:lvlText w:val="%1."/>
      <w:lvlJc w:val="left"/>
      <w:pPr>
        <w:ind w:left="720" w:hanging="360"/>
      </w:pPr>
    </w:lvl>
    <w:lvl w:ilvl="1" w:tplc="C6D8CA2E">
      <w:start w:val="1"/>
      <w:numFmt w:val="lowerLetter"/>
      <w:lvlText w:val="%2."/>
      <w:lvlJc w:val="left"/>
      <w:pPr>
        <w:ind w:left="1440" w:hanging="360"/>
      </w:pPr>
    </w:lvl>
    <w:lvl w:ilvl="2" w:tplc="DBA28920">
      <w:start w:val="1"/>
      <w:numFmt w:val="lowerRoman"/>
      <w:lvlText w:val="%3."/>
      <w:lvlJc w:val="right"/>
      <w:pPr>
        <w:ind w:left="2160" w:hanging="180"/>
      </w:pPr>
    </w:lvl>
    <w:lvl w:ilvl="3" w:tplc="1E54BBD6">
      <w:start w:val="1"/>
      <w:numFmt w:val="decimal"/>
      <w:lvlText w:val="%4."/>
      <w:lvlJc w:val="left"/>
      <w:pPr>
        <w:ind w:left="2880" w:hanging="360"/>
      </w:pPr>
    </w:lvl>
    <w:lvl w:ilvl="4" w:tplc="9C1A03CE">
      <w:start w:val="1"/>
      <w:numFmt w:val="lowerLetter"/>
      <w:lvlText w:val="%5."/>
      <w:lvlJc w:val="left"/>
      <w:pPr>
        <w:ind w:left="3600" w:hanging="360"/>
      </w:pPr>
    </w:lvl>
    <w:lvl w:ilvl="5" w:tplc="6F98B8F4">
      <w:start w:val="1"/>
      <w:numFmt w:val="lowerRoman"/>
      <w:lvlText w:val="%6."/>
      <w:lvlJc w:val="right"/>
      <w:pPr>
        <w:ind w:left="4320" w:hanging="180"/>
      </w:pPr>
    </w:lvl>
    <w:lvl w:ilvl="6" w:tplc="F62A3430">
      <w:start w:val="1"/>
      <w:numFmt w:val="decimal"/>
      <w:lvlText w:val="%7."/>
      <w:lvlJc w:val="left"/>
      <w:pPr>
        <w:ind w:left="5040" w:hanging="360"/>
      </w:pPr>
    </w:lvl>
    <w:lvl w:ilvl="7" w:tplc="A6FA56E8">
      <w:start w:val="1"/>
      <w:numFmt w:val="lowerLetter"/>
      <w:lvlText w:val="%8."/>
      <w:lvlJc w:val="left"/>
      <w:pPr>
        <w:ind w:left="5760" w:hanging="360"/>
      </w:pPr>
    </w:lvl>
    <w:lvl w:ilvl="8" w:tplc="5E5080BA">
      <w:start w:val="1"/>
      <w:numFmt w:val="lowerRoman"/>
      <w:lvlText w:val="%9."/>
      <w:lvlJc w:val="right"/>
      <w:pPr>
        <w:ind w:left="6480" w:hanging="180"/>
      </w:pPr>
    </w:lvl>
  </w:abstractNum>
  <w:abstractNum w:abstractNumId="18" w15:restartNumberingAfterBreak="0">
    <w:nsid w:val="4C1487A0"/>
    <w:multiLevelType w:val="hybridMultilevel"/>
    <w:tmpl w:val="4E86BE68"/>
    <w:lvl w:ilvl="0" w:tplc="43940434">
      <w:start w:val="1"/>
      <w:numFmt w:val="bullet"/>
      <w:lvlText w:val=""/>
      <w:lvlJc w:val="left"/>
      <w:pPr>
        <w:ind w:left="720" w:hanging="360"/>
      </w:pPr>
      <w:rPr>
        <w:rFonts w:ascii="Symbol" w:hAnsi="Symbol" w:hint="default"/>
      </w:rPr>
    </w:lvl>
    <w:lvl w:ilvl="1" w:tplc="9F6EDDC8">
      <w:start w:val="1"/>
      <w:numFmt w:val="bullet"/>
      <w:lvlText w:val="o"/>
      <w:lvlJc w:val="left"/>
      <w:pPr>
        <w:ind w:left="1440" w:hanging="360"/>
      </w:pPr>
      <w:rPr>
        <w:rFonts w:ascii="Courier New" w:hAnsi="Courier New" w:hint="default"/>
      </w:rPr>
    </w:lvl>
    <w:lvl w:ilvl="2" w:tplc="E332982A">
      <w:start w:val="1"/>
      <w:numFmt w:val="bullet"/>
      <w:lvlText w:val=""/>
      <w:lvlJc w:val="left"/>
      <w:pPr>
        <w:ind w:left="2160" w:hanging="360"/>
      </w:pPr>
      <w:rPr>
        <w:rFonts w:ascii="Wingdings" w:hAnsi="Wingdings" w:hint="default"/>
      </w:rPr>
    </w:lvl>
    <w:lvl w:ilvl="3" w:tplc="24D8D27E">
      <w:start w:val="1"/>
      <w:numFmt w:val="bullet"/>
      <w:lvlText w:val=""/>
      <w:lvlJc w:val="left"/>
      <w:pPr>
        <w:ind w:left="2880" w:hanging="360"/>
      </w:pPr>
      <w:rPr>
        <w:rFonts w:ascii="Symbol" w:hAnsi="Symbol" w:hint="default"/>
      </w:rPr>
    </w:lvl>
    <w:lvl w:ilvl="4" w:tplc="A8EC0AFA">
      <w:start w:val="1"/>
      <w:numFmt w:val="bullet"/>
      <w:lvlText w:val="o"/>
      <w:lvlJc w:val="left"/>
      <w:pPr>
        <w:ind w:left="3600" w:hanging="360"/>
      </w:pPr>
      <w:rPr>
        <w:rFonts w:ascii="Courier New" w:hAnsi="Courier New" w:hint="default"/>
      </w:rPr>
    </w:lvl>
    <w:lvl w:ilvl="5" w:tplc="5B4AB80E">
      <w:start w:val="1"/>
      <w:numFmt w:val="bullet"/>
      <w:lvlText w:val=""/>
      <w:lvlJc w:val="left"/>
      <w:pPr>
        <w:ind w:left="4320" w:hanging="360"/>
      </w:pPr>
      <w:rPr>
        <w:rFonts w:ascii="Wingdings" w:hAnsi="Wingdings" w:hint="default"/>
      </w:rPr>
    </w:lvl>
    <w:lvl w:ilvl="6" w:tplc="8A3A61C8">
      <w:start w:val="1"/>
      <w:numFmt w:val="bullet"/>
      <w:lvlText w:val=""/>
      <w:lvlJc w:val="left"/>
      <w:pPr>
        <w:ind w:left="5040" w:hanging="360"/>
      </w:pPr>
      <w:rPr>
        <w:rFonts w:ascii="Symbol" w:hAnsi="Symbol" w:hint="default"/>
      </w:rPr>
    </w:lvl>
    <w:lvl w:ilvl="7" w:tplc="B2DC3034">
      <w:start w:val="1"/>
      <w:numFmt w:val="bullet"/>
      <w:lvlText w:val="o"/>
      <w:lvlJc w:val="left"/>
      <w:pPr>
        <w:ind w:left="5760" w:hanging="360"/>
      </w:pPr>
      <w:rPr>
        <w:rFonts w:ascii="Courier New" w:hAnsi="Courier New" w:hint="default"/>
      </w:rPr>
    </w:lvl>
    <w:lvl w:ilvl="8" w:tplc="B1E05ED2">
      <w:start w:val="1"/>
      <w:numFmt w:val="bullet"/>
      <w:lvlText w:val=""/>
      <w:lvlJc w:val="left"/>
      <w:pPr>
        <w:ind w:left="6480" w:hanging="360"/>
      </w:pPr>
      <w:rPr>
        <w:rFonts w:ascii="Wingdings" w:hAnsi="Wingdings" w:hint="default"/>
      </w:rPr>
    </w:lvl>
  </w:abstractNum>
  <w:abstractNum w:abstractNumId="19" w15:restartNumberingAfterBreak="0">
    <w:nsid w:val="4C15AF88"/>
    <w:multiLevelType w:val="hybridMultilevel"/>
    <w:tmpl w:val="1E46A932"/>
    <w:lvl w:ilvl="0" w:tplc="8996C940">
      <w:start w:val="1"/>
      <w:numFmt w:val="bullet"/>
      <w:lvlText w:val=""/>
      <w:lvlJc w:val="left"/>
      <w:pPr>
        <w:ind w:left="720" w:hanging="360"/>
      </w:pPr>
      <w:rPr>
        <w:rFonts w:ascii="Symbol" w:hAnsi="Symbol" w:hint="default"/>
      </w:rPr>
    </w:lvl>
    <w:lvl w:ilvl="1" w:tplc="1346C638">
      <w:start w:val="1"/>
      <w:numFmt w:val="bullet"/>
      <w:lvlText w:val="o"/>
      <w:lvlJc w:val="left"/>
      <w:pPr>
        <w:ind w:left="1440" w:hanging="360"/>
      </w:pPr>
      <w:rPr>
        <w:rFonts w:ascii="Courier New" w:hAnsi="Courier New" w:hint="default"/>
      </w:rPr>
    </w:lvl>
    <w:lvl w:ilvl="2" w:tplc="DD84983E">
      <w:start w:val="1"/>
      <w:numFmt w:val="bullet"/>
      <w:lvlText w:val=""/>
      <w:lvlJc w:val="left"/>
      <w:pPr>
        <w:ind w:left="2160" w:hanging="360"/>
      </w:pPr>
      <w:rPr>
        <w:rFonts w:ascii="Wingdings" w:hAnsi="Wingdings" w:hint="default"/>
      </w:rPr>
    </w:lvl>
    <w:lvl w:ilvl="3" w:tplc="EC4844FE">
      <w:start w:val="1"/>
      <w:numFmt w:val="bullet"/>
      <w:lvlText w:val=""/>
      <w:lvlJc w:val="left"/>
      <w:pPr>
        <w:ind w:left="2880" w:hanging="360"/>
      </w:pPr>
      <w:rPr>
        <w:rFonts w:ascii="Symbol" w:hAnsi="Symbol" w:hint="default"/>
      </w:rPr>
    </w:lvl>
    <w:lvl w:ilvl="4" w:tplc="5AB8B0BA">
      <w:start w:val="1"/>
      <w:numFmt w:val="bullet"/>
      <w:lvlText w:val="o"/>
      <w:lvlJc w:val="left"/>
      <w:pPr>
        <w:ind w:left="3600" w:hanging="360"/>
      </w:pPr>
      <w:rPr>
        <w:rFonts w:ascii="Courier New" w:hAnsi="Courier New" w:hint="default"/>
      </w:rPr>
    </w:lvl>
    <w:lvl w:ilvl="5" w:tplc="4CEC4D3C">
      <w:start w:val="1"/>
      <w:numFmt w:val="bullet"/>
      <w:lvlText w:val=""/>
      <w:lvlJc w:val="left"/>
      <w:pPr>
        <w:ind w:left="4320" w:hanging="360"/>
      </w:pPr>
      <w:rPr>
        <w:rFonts w:ascii="Wingdings" w:hAnsi="Wingdings" w:hint="default"/>
      </w:rPr>
    </w:lvl>
    <w:lvl w:ilvl="6" w:tplc="8324624E">
      <w:start w:val="1"/>
      <w:numFmt w:val="bullet"/>
      <w:lvlText w:val=""/>
      <w:lvlJc w:val="left"/>
      <w:pPr>
        <w:ind w:left="5040" w:hanging="360"/>
      </w:pPr>
      <w:rPr>
        <w:rFonts w:ascii="Symbol" w:hAnsi="Symbol" w:hint="default"/>
      </w:rPr>
    </w:lvl>
    <w:lvl w:ilvl="7" w:tplc="E1B432F6">
      <w:start w:val="1"/>
      <w:numFmt w:val="bullet"/>
      <w:lvlText w:val="o"/>
      <w:lvlJc w:val="left"/>
      <w:pPr>
        <w:ind w:left="5760" w:hanging="360"/>
      </w:pPr>
      <w:rPr>
        <w:rFonts w:ascii="Courier New" w:hAnsi="Courier New" w:hint="default"/>
      </w:rPr>
    </w:lvl>
    <w:lvl w:ilvl="8" w:tplc="949A84F2">
      <w:start w:val="1"/>
      <w:numFmt w:val="bullet"/>
      <w:lvlText w:val=""/>
      <w:lvlJc w:val="left"/>
      <w:pPr>
        <w:ind w:left="6480" w:hanging="360"/>
      </w:pPr>
      <w:rPr>
        <w:rFonts w:ascii="Wingdings" w:hAnsi="Wingdings" w:hint="default"/>
      </w:rPr>
    </w:lvl>
  </w:abstractNum>
  <w:abstractNum w:abstractNumId="20" w15:restartNumberingAfterBreak="0">
    <w:nsid w:val="4C2CA4B1"/>
    <w:multiLevelType w:val="hybridMultilevel"/>
    <w:tmpl w:val="98BE3C4E"/>
    <w:lvl w:ilvl="0" w:tplc="01766CCA">
      <w:start w:val="1"/>
      <w:numFmt w:val="bullet"/>
      <w:lvlText w:val=""/>
      <w:lvlJc w:val="left"/>
      <w:pPr>
        <w:ind w:left="720" w:hanging="360"/>
      </w:pPr>
      <w:rPr>
        <w:rFonts w:ascii="Symbol" w:hAnsi="Symbol" w:hint="default"/>
      </w:rPr>
    </w:lvl>
    <w:lvl w:ilvl="1" w:tplc="0A7C9884">
      <w:start w:val="1"/>
      <w:numFmt w:val="bullet"/>
      <w:lvlText w:val="o"/>
      <w:lvlJc w:val="left"/>
      <w:pPr>
        <w:ind w:left="1440" w:hanging="360"/>
      </w:pPr>
      <w:rPr>
        <w:rFonts w:ascii="Courier New" w:hAnsi="Courier New" w:hint="default"/>
      </w:rPr>
    </w:lvl>
    <w:lvl w:ilvl="2" w:tplc="9C4C8DA8">
      <w:start w:val="1"/>
      <w:numFmt w:val="bullet"/>
      <w:lvlText w:val=""/>
      <w:lvlJc w:val="left"/>
      <w:pPr>
        <w:ind w:left="2160" w:hanging="360"/>
      </w:pPr>
      <w:rPr>
        <w:rFonts w:ascii="Wingdings" w:hAnsi="Wingdings" w:hint="default"/>
      </w:rPr>
    </w:lvl>
    <w:lvl w:ilvl="3" w:tplc="CD828554">
      <w:start w:val="1"/>
      <w:numFmt w:val="bullet"/>
      <w:lvlText w:val=""/>
      <w:lvlJc w:val="left"/>
      <w:pPr>
        <w:ind w:left="2880" w:hanging="360"/>
      </w:pPr>
      <w:rPr>
        <w:rFonts w:ascii="Symbol" w:hAnsi="Symbol" w:hint="default"/>
      </w:rPr>
    </w:lvl>
    <w:lvl w:ilvl="4" w:tplc="59187106">
      <w:start w:val="1"/>
      <w:numFmt w:val="bullet"/>
      <w:lvlText w:val="o"/>
      <w:lvlJc w:val="left"/>
      <w:pPr>
        <w:ind w:left="3600" w:hanging="360"/>
      </w:pPr>
      <w:rPr>
        <w:rFonts w:ascii="Courier New" w:hAnsi="Courier New" w:hint="default"/>
      </w:rPr>
    </w:lvl>
    <w:lvl w:ilvl="5" w:tplc="7F7C4F08">
      <w:start w:val="1"/>
      <w:numFmt w:val="bullet"/>
      <w:lvlText w:val=""/>
      <w:lvlJc w:val="left"/>
      <w:pPr>
        <w:ind w:left="4320" w:hanging="360"/>
      </w:pPr>
      <w:rPr>
        <w:rFonts w:ascii="Wingdings" w:hAnsi="Wingdings" w:hint="default"/>
      </w:rPr>
    </w:lvl>
    <w:lvl w:ilvl="6" w:tplc="59767660">
      <w:start w:val="1"/>
      <w:numFmt w:val="bullet"/>
      <w:lvlText w:val=""/>
      <w:lvlJc w:val="left"/>
      <w:pPr>
        <w:ind w:left="5040" w:hanging="360"/>
      </w:pPr>
      <w:rPr>
        <w:rFonts w:ascii="Symbol" w:hAnsi="Symbol" w:hint="default"/>
      </w:rPr>
    </w:lvl>
    <w:lvl w:ilvl="7" w:tplc="DC9A9A3A">
      <w:start w:val="1"/>
      <w:numFmt w:val="bullet"/>
      <w:lvlText w:val="o"/>
      <w:lvlJc w:val="left"/>
      <w:pPr>
        <w:ind w:left="5760" w:hanging="360"/>
      </w:pPr>
      <w:rPr>
        <w:rFonts w:ascii="Courier New" w:hAnsi="Courier New" w:hint="default"/>
      </w:rPr>
    </w:lvl>
    <w:lvl w:ilvl="8" w:tplc="2E7EEB1C">
      <w:start w:val="1"/>
      <w:numFmt w:val="bullet"/>
      <w:lvlText w:val=""/>
      <w:lvlJc w:val="left"/>
      <w:pPr>
        <w:ind w:left="6480" w:hanging="360"/>
      </w:pPr>
      <w:rPr>
        <w:rFonts w:ascii="Wingdings" w:hAnsi="Wingdings" w:hint="default"/>
      </w:rPr>
    </w:lvl>
  </w:abstractNum>
  <w:abstractNum w:abstractNumId="21" w15:restartNumberingAfterBreak="0">
    <w:nsid w:val="4E55A6A4"/>
    <w:multiLevelType w:val="hybridMultilevel"/>
    <w:tmpl w:val="760C2C62"/>
    <w:lvl w:ilvl="0" w:tplc="30F6A878">
      <w:start w:val="1"/>
      <w:numFmt w:val="bullet"/>
      <w:lvlText w:val=""/>
      <w:lvlJc w:val="left"/>
      <w:pPr>
        <w:ind w:left="720" w:hanging="360"/>
      </w:pPr>
      <w:rPr>
        <w:rFonts w:ascii="Symbol" w:hAnsi="Symbol" w:hint="default"/>
      </w:rPr>
    </w:lvl>
    <w:lvl w:ilvl="1" w:tplc="B136F97C">
      <w:start w:val="1"/>
      <w:numFmt w:val="bullet"/>
      <w:lvlText w:val="o"/>
      <w:lvlJc w:val="left"/>
      <w:pPr>
        <w:ind w:left="1440" w:hanging="360"/>
      </w:pPr>
      <w:rPr>
        <w:rFonts w:ascii="Courier New" w:hAnsi="Courier New" w:hint="default"/>
      </w:rPr>
    </w:lvl>
    <w:lvl w:ilvl="2" w:tplc="D618EFE4">
      <w:start w:val="1"/>
      <w:numFmt w:val="bullet"/>
      <w:lvlText w:val=""/>
      <w:lvlJc w:val="left"/>
      <w:pPr>
        <w:ind w:left="2160" w:hanging="360"/>
      </w:pPr>
      <w:rPr>
        <w:rFonts w:ascii="Wingdings" w:hAnsi="Wingdings" w:hint="default"/>
      </w:rPr>
    </w:lvl>
    <w:lvl w:ilvl="3" w:tplc="C256E4E2">
      <w:start w:val="1"/>
      <w:numFmt w:val="bullet"/>
      <w:lvlText w:val=""/>
      <w:lvlJc w:val="left"/>
      <w:pPr>
        <w:ind w:left="2880" w:hanging="360"/>
      </w:pPr>
      <w:rPr>
        <w:rFonts w:ascii="Symbol" w:hAnsi="Symbol" w:hint="default"/>
      </w:rPr>
    </w:lvl>
    <w:lvl w:ilvl="4" w:tplc="75107B58">
      <w:start w:val="1"/>
      <w:numFmt w:val="bullet"/>
      <w:lvlText w:val="o"/>
      <w:lvlJc w:val="left"/>
      <w:pPr>
        <w:ind w:left="3600" w:hanging="360"/>
      </w:pPr>
      <w:rPr>
        <w:rFonts w:ascii="Courier New" w:hAnsi="Courier New" w:hint="default"/>
      </w:rPr>
    </w:lvl>
    <w:lvl w:ilvl="5" w:tplc="81E6B58E">
      <w:start w:val="1"/>
      <w:numFmt w:val="bullet"/>
      <w:lvlText w:val=""/>
      <w:lvlJc w:val="left"/>
      <w:pPr>
        <w:ind w:left="4320" w:hanging="360"/>
      </w:pPr>
      <w:rPr>
        <w:rFonts w:ascii="Wingdings" w:hAnsi="Wingdings" w:hint="default"/>
      </w:rPr>
    </w:lvl>
    <w:lvl w:ilvl="6" w:tplc="BDE0E840">
      <w:start w:val="1"/>
      <w:numFmt w:val="bullet"/>
      <w:lvlText w:val=""/>
      <w:lvlJc w:val="left"/>
      <w:pPr>
        <w:ind w:left="5040" w:hanging="360"/>
      </w:pPr>
      <w:rPr>
        <w:rFonts w:ascii="Symbol" w:hAnsi="Symbol" w:hint="default"/>
      </w:rPr>
    </w:lvl>
    <w:lvl w:ilvl="7" w:tplc="8F4E0A2C">
      <w:start w:val="1"/>
      <w:numFmt w:val="bullet"/>
      <w:lvlText w:val="o"/>
      <w:lvlJc w:val="left"/>
      <w:pPr>
        <w:ind w:left="5760" w:hanging="360"/>
      </w:pPr>
      <w:rPr>
        <w:rFonts w:ascii="Courier New" w:hAnsi="Courier New" w:hint="default"/>
      </w:rPr>
    </w:lvl>
    <w:lvl w:ilvl="8" w:tplc="8B56D130">
      <w:start w:val="1"/>
      <w:numFmt w:val="bullet"/>
      <w:lvlText w:val=""/>
      <w:lvlJc w:val="left"/>
      <w:pPr>
        <w:ind w:left="6480" w:hanging="360"/>
      </w:pPr>
      <w:rPr>
        <w:rFonts w:ascii="Wingdings" w:hAnsi="Wingdings" w:hint="default"/>
      </w:rPr>
    </w:lvl>
  </w:abstractNum>
  <w:abstractNum w:abstractNumId="22" w15:restartNumberingAfterBreak="0">
    <w:nsid w:val="4E630B7A"/>
    <w:multiLevelType w:val="hybridMultilevel"/>
    <w:tmpl w:val="88A21DE0"/>
    <w:lvl w:ilvl="0" w:tplc="7FDED30E">
      <w:start w:val="1"/>
      <w:numFmt w:val="decimal"/>
      <w:lvlText w:val="%1."/>
      <w:lvlJc w:val="left"/>
      <w:pPr>
        <w:ind w:left="720" w:hanging="360"/>
      </w:pPr>
    </w:lvl>
    <w:lvl w:ilvl="1" w:tplc="3B50F5EA">
      <w:start w:val="1"/>
      <w:numFmt w:val="lowerLetter"/>
      <w:lvlText w:val="%2."/>
      <w:lvlJc w:val="left"/>
      <w:pPr>
        <w:ind w:left="1440" w:hanging="360"/>
      </w:pPr>
    </w:lvl>
    <w:lvl w:ilvl="2" w:tplc="A7CA7650">
      <w:start w:val="1"/>
      <w:numFmt w:val="lowerRoman"/>
      <w:lvlText w:val="%3."/>
      <w:lvlJc w:val="right"/>
      <w:pPr>
        <w:ind w:left="2160" w:hanging="180"/>
      </w:pPr>
    </w:lvl>
    <w:lvl w:ilvl="3" w:tplc="7EAABD28">
      <w:start w:val="1"/>
      <w:numFmt w:val="decimal"/>
      <w:lvlText w:val="%4."/>
      <w:lvlJc w:val="left"/>
      <w:pPr>
        <w:ind w:left="2880" w:hanging="360"/>
      </w:pPr>
    </w:lvl>
    <w:lvl w:ilvl="4" w:tplc="30C209DE">
      <w:start w:val="1"/>
      <w:numFmt w:val="lowerLetter"/>
      <w:lvlText w:val="%5."/>
      <w:lvlJc w:val="left"/>
      <w:pPr>
        <w:ind w:left="3600" w:hanging="360"/>
      </w:pPr>
    </w:lvl>
    <w:lvl w:ilvl="5" w:tplc="EB66365A">
      <w:start w:val="1"/>
      <w:numFmt w:val="lowerRoman"/>
      <w:lvlText w:val="%6."/>
      <w:lvlJc w:val="right"/>
      <w:pPr>
        <w:ind w:left="4320" w:hanging="180"/>
      </w:pPr>
    </w:lvl>
    <w:lvl w:ilvl="6" w:tplc="8034D06E">
      <w:start w:val="1"/>
      <w:numFmt w:val="decimal"/>
      <w:lvlText w:val="%7."/>
      <w:lvlJc w:val="left"/>
      <w:pPr>
        <w:ind w:left="5040" w:hanging="360"/>
      </w:pPr>
    </w:lvl>
    <w:lvl w:ilvl="7" w:tplc="A0E61550">
      <w:start w:val="1"/>
      <w:numFmt w:val="lowerLetter"/>
      <w:lvlText w:val="%8."/>
      <w:lvlJc w:val="left"/>
      <w:pPr>
        <w:ind w:left="5760" w:hanging="360"/>
      </w:pPr>
    </w:lvl>
    <w:lvl w:ilvl="8" w:tplc="058C3F2C">
      <w:start w:val="1"/>
      <w:numFmt w:val="lowerRoman"/>
      <w:lvlText w:val="%9."/>
      <w:lvlJc w:val="right"/>
      <w:pPr>
        <w:ind w:left="6480" w:hanging="180"/>
      </w:pPr>
    </w:lvl>
  </w:abstractNum>
  <w:abstractNum w:abstractNumId="23" w15:restartNumberingAfterBreak="0">
    <w:nsid w:val="5534A40D"/>
    <w:multiLevelType w:val="hybridMultilevel"/>
    <w:tmpl w:val="2578E532"/>
    <w:lvl w:ilvl="0" w:tplc="65AE37D6">
      <w:start w:val="1"/>
      <w:numFmt w:val="bullet"/>
      <w:lvlText w:val=""/>
      <w:lvlJc w:val="left"/>
      <w:pPr>
        <w:ind w:left="720" w:hanging="360"/>
      </w:pPr>
      <w:rPr>
        <w:rFonts w:ascii="Symbol" w:hAnsi="Symbol" w:hint="default"/>
      </w:rPr>
    </w:lvl>
    <w:lvl w:ilvl="1" w:tplc="62F8547E">
      <w:start w:val="1"/>
      <w:numFmt w:val="bullet"/>
      <w:lvlText w:val="o"/>
      <w:lvlJc w:val="left"/>
      <w:pPr>
        <w:ind w:left="1440" w:hanging="360"/>
      </w:pPr>
      <w:rPr>
        <w:rFonts w:ascii="Courier New" w:hAnsi="Courier New" w:hint="default"/>
      </w:rPr>
    </w:lvl>
    <w:lvl w:ilvl="2" w:tplc="BB9E267E">
      <w:start w:val="1"/>
      <w:numFmt w:val="bullet"/>
      <w:lvlText w:val=""/>
      <w:lvlJc w:val="left"/>
      <w:pPr>
        <w:ind w:left="2160" w:hanging="360"/>
      </w:pPr>
      <w:rPr>
        <w:rFonts w:ascii="Wingdings" w:hAnsi="Wingdings" w:hint="default"/>
      </w:rPr>
    </w:lvl>
    <w:lvl w:ilvl="3" w:tplc="295644E4">
      <w:start w:val="1"/>
      <w:numFmt w:val="bullet"/>
      <w:lvlText w:val=""/>
      <w:lvlJc w:val="left"/>
      <w:pPr>
        <w:ind w:left="2880" w:hanging="360"/>
      </w:pPr>
      <w:rPr>
        <w:rFonts w:ascii="Symbol" w:hAnsi="Symbol" w:hint="default"/>
      </w:rPr>
    </w:lvl>
    <w:lvl w:ilvl="4" w:tplc="49325BBC">
      <w:start w:val="1"/>
      <w:numFmt w:val="bullet"/>
      <w:lvlText w:val="o"/>
      <w:lvlJc w:val="left"/>
      <w:pPr>
        <w:ind w:left="3600" w:hanging="360"/>
      </w:pPr>
      <w:rPr>
        <w:rFonts w:ascii="Courier New" w:hAnsi="Courier New" w:hint="default"/>
      </w:rPr>
    </w:lvl>
    <w:lvl w:ilvl="5" w:tplc="D568B4CC">
      <w:start w:val="1"/>
      <w:numFmt w:val="bullet"/>
      <w:lvlText w:val=""/>
      <w:lvlJc w:val="left"/>
      <w:pPr>
        <w:ind w:left="4320" w:hanging="360"/>
      </w:pPr>
      <w:rPr>
        <w:rFonts w:ascii="Wingdings" w:hAnsi="Wingdings" w:hint="default"/>
      </w:rPr>
    </w:lvl>
    <w:lvl w:ilvl="6" w:tplc="895E4154">
      <w:start w:val="1"/>
      <w:numFmt w:val="bullet"/>
      <w:lvlText w:val=""/>
      <w:lvlJc w:val="left"/>
      <w:pPr>
        <w:ind w:left="5040" w:hanging="360"/>
      </w:pPr>
      <w:rPr>
        <w:rFonts w:ascii="Symbol" w:hAnsi="Symbol" w:hint="default"/>
      </w:rPr>
    </w:lvl>
    <w:lvl w:ilvl="7" w:tplc="9A9241A2">
      <w:start w:val="1"/>
      <w:numFmt w:val="bullet"/>
      <w:lvlText w:val="o"/>
      <w:lvlJc w:val="left"/>
      <w:pPr>
        <w:ind w:left="5760" w:hanging="360"/>
      </w:pPr>
      <w:rPr>
        <w:rFonts w:ascii="Courier New" w:hAnsi="Courier New" w:hint="default"/>
      </w:rPr>
    </w:lvl>
    <w:lvl w:ilvl="8" w:tplc="5D7CEE04">
      <w:start w:val="1"/>
      <w:numFmt w:val="bullet"/>
      <w:lvlText w:val=""/>
      <w:lvlJc w:val="left"/>
      <w:pPr>
        <w:ind w:left="6480" w:hanging="360"/>
      </w:pPr>
      <w:rPr>
        <w:rFonts w:ascii="Wingdings" w:hAnsi="Wingdings" w:hint="default"/>
      </w:rPr>
    </w:lvl>
  </w:abstractNum>
  <w:abstractNum w:abstractNumId="24" w15:restartNumberingAfterBreak="0">
    <w:nsid w:val="56052089"/>
    <w:multiLevelType w:val="hybridMultilevel"/>
    <w:tmpl w:val="E072F538"/>
    <w:lvl w:ilvl="0" w:tplc="1BA02A8A">
      <w:start w:val="1"/>
      <w:numFmt w:val="decimal"/>
      <w:lvlText w:val="%1."/>
      <w:lvlJc w:val="left"/>
      <w:pPr>
        <w:ind w:left="720" w:hanging="360"/>
      </w:pPr>
    </w:lvl>
    <w:lvl w:ilvl="1" w:tplc="3828C95C">
      <w:start w:val="1"/>
      <w:numFmt w:val="lowerLetter"/>
      <w:lvlText w:val="%2."/>
      <w:lvlJc w:val="left"/>
      <w:pPr>
        <w:ind w:left="1440" w:hanging="360"/>
      </w:pPr>
    </w:lvl>
    <w:lvl w:ilvl="2" w:tplc="4C84ED08">
      <w:start w:val="1"/>
      <w:numFmt w:val="lowerRoman"/>
      <w:lvlText w:val="%3."/>
      <w:lvlJc w:val="right"/>
      <w:pPr>
        <w:ind w:left="2160" w:hanging="180"/>
      </w:pPr>
    </w:lvl>
    <w:lvl w:ilvl="3" w:tplc="FAC8551E">
      <w:start w:val="1"/>
      <w:numFmt w:val="decimal"/>
      <w:lvlText w:val="%4."/>
      <w:lvlJc w:val="left"/>
      <w:pPr>
        <w:ind w:left="2880" w:hanging="360"/>
      </w:pPr>
    </w:lvl>
    <w:lvl w:ilvl="4" w:tplc="F0720426">
      <w:start w:val="1"/>
      <w:numFmt w:val="lowerLetter"/>
      <w:lvlText w:val="%5."/>
      <w:lvlJc w:val="left"/>
      <w:pPr>
        <w:ind w:left="3600" w:hanging="360"/>
      </w:pPr>
    </w:lvl>
    <w:lvl w:ilvl="5" w:tplc="90F21F6A">
      <w:start w:val="1"/>
      <w:numFmt w:val="lowerRoman"/>
      <w:lvlText w:val="%6."/>
      <w:lvlJc w:val="right"/>
      <w:pPr>
        <w:ind w:left="4320" w:hanging="180"/>
      </w:pPr>
    </w:lvl>
    <w:lvl w:ilvl="6" w:tplc="7B062C6A">
      <w:start w:val="1"/>
      <w:numFmt w:val="decimal"/>
      <w:lvlText w:val="%7."/>
      <w:lvlJc w:val="left"/>
      <w:pPr>
        <w:ind w:left="5040" w:hanging="360"/>
      </w:pPr>
    </w:lvl>
    <w:lvl w:ilvl="7" w:tplc="67208FC4">
      <w:start w:val="1"/>
      <w:numFmt w:val="lowerLetter"/>
      <w:lvlText w:val="%8."/>
      <w:lvlJc w:val="left"/>
      <w:pPr>
        <w:ind w:left="5760" w:hanging="360"/>
      </w:pPr>
    </w:lvl>
    <w:lvl w:ilvl="8" w:tplc="FA60EDFA">
      <w:start w:val="1"/>
      <w:numFmt w:val="lowerRoman"/>
      <w:lvlText w:val="%9."/>
      <w:lvlJc w:val="right"/>
      <w:pPr>
        <w:ind w:left="6480" w:hanging="180"/>
      </w:pPr>
    </w:lvl>
  </w:abstractNum>
  <w:abstractNum w:abstractNumId="25" w15:restartNumberingAfterBreak="0">
    <w:nsid w:val="5A40CBF8"/>
    <w:multiLevelType w:val="hybridMultilevel"/>
    <w:tmpl w:val="C630CE70"/>
    <w:lvl w:ilvl="0" w:tplc="206E5C52">
      <w:start w:val="1"/>
      <w:numFmt w:val="decimal"/>
      <w:lvlText w:val="%1."/>
      <w:lvlJc w:val="left"/>
      <w:pPr>
        <w:ind w:left="720" w:hanging="360"/>
      </w:pPr>
    </w:lvl>
    <w:lvl w:ilvl="1" w:tplc="3280B838">
      <w:start w:val="1"/>
      <w:numFmt w:val="lowerLetter"/>
      <w:lvlText w:val="%2."/>
      <w:lvlJc w:val="left"/>
      <w:pPr>
        <w:ind w:left="1440" w:hanging="360"/>
      </w:pPr>
    </w:lvl>
    <w:lvl w:ilvl="2" w:tplc="E5F8E86A">
      <w:start w:val="1"/>
      <w:numFmt w:val="lowerRoman"/>
      <w:lvlText w:val="%3."/>
      <w:lvlJc w:val="right"/>
      <w:pPr>
        <w:ind w:left="2160" w:hanging="180"/>
      </w:pPr>
    </w:lvl>
    <w:lvl w:ilvl="3" w:tplc="D260461A">
      <w:start w:val="1"/>
      <w:numFmt w:val="decimal"/>
      <w:lvlText w:val="%4."/>
      <w:lvlJc w:val="left"/>
      <w:pPr>
        <w:ind w:left="2880" w:hanging="360"/>
      </w:pPr>
    </w:lvl>
    <w:lvl w:ilvl="4" w:tplc="E4CAB97A">
      <w:start w:val="1"/>
      <w:numFmt w:val="lowerLetter"/>
      <w:lvlText w:val="%5."/>
      <w:lvlJc w:val="left"/>
      <w:pPr>
        <w:ind w:left="3600" w:hanging="360"/>
      </w:pPr>
    </w:lvl>
    <w:lvl w:ilvl="5" w:tplc="0FCC8498">
      <w:start w:val="1"/>
      <w:numFmt w:val="lowerRoman"/>
      <w:lvlText w:val="%6."/>
      <w:lvlJc w:val="right"/>
      <w:pPr>
        <w:ind w:left="4320" w:hanging="180"/>
      </w:pPr>
    </w:lvl>
    <w:lvl w:ilvl="6" w:tplc="548AC6BA">
      <w:start w:val="1"/>
      <w:numFmt w:val="decimal"/>
      <w:lvlText w:val="%7."/>
      <w:lvlJc w:val="left"/>
      <w:pPr>
        <w:ind w:left="5040" w:hanging="360"/>
      </w:pPr>
    </w:lvl>
    <w:lvl w:ilvl="7" w:tplc="7E283978">
      <w:start w:val="1"/>
      <w:numFmt w:val="lowerLetter"/>
      <w:lvlText w:val="%8."/>
      <w:lvlJc w:val="left"/>
      <w:pPr>
        <w:ind w:left="5760" w:hanging="360"/>
      </w:pPr>
    </w:lvl>
    <w:lvl w:ilvl="8" w:tplc="36D84618">
      <w:start w:val="1"/>
      <w:numFmt w:val="lowerRoman"/>
      <w:lvlText w:val="%9."/>
      <w:lvlJc w:val="right"/>
      <w:pPr>
        <w:ind w:left="6480" w:hanging="180"/>
      </w:pPr>
    </w:lvl>
  </w:abstractNum>
  <w:abstractNum w:abstractNumId="26" w15:restartNumberingAfterBreak="0">
    <w:nsid w:val="5BF1BE96"/>
    <w:multiLevelType w:val="hybridMultilevel"/>
    <w:tmpl w:val="7D5E2574"/>
    <w:lvl w:ilvl="0" w:tplc="20A0073C">
      <w:start w:val="1"/>
      <w:numFmt w:val="decimal"/>
      <w:lvlText w:val="%1."/>
      <w:lvlJc w:val="left"/>
      <w:pPr>
        <w:ind w:left="720" w:hanging="360"/>
      </w:pPr>
    </w:lvl>
    <w:lvl w:ilvl="1" w:tplc="096CC386">
      <w:start w:val="1"/>
      <w:numFmt w:val="lowerLetter"/>
      <w:lvlText w:val="%2."/>
      <w:lvlJc w:val="left"/>
      <w:pPr>
        <w:ind w:left="1440" w:hanging="360"/>
      </w:pPr>
    </w:lvl>
    <w:lvl w:ilvl="2" w:tplc="708E8298">
      <w:start w:val="1"/>
      <w:numFmt w:val="lowerRoman"/>
      <w:lvlText w:val="%3."/>
      <w:lvlJc w:val="right"/>
      <w:pPr>
        <w:ind w:left="2160" w:hanging="180"/>
      </w:pPr>
    </w:lvl>
    <w:lvl w:ilvl="3" w:tplc="A9C6BDA2">
      <w:start w:val="1"/>
      <w:numFmt w:val="decimal"/>
      <w:lvlText w:val="%4."/>
      <w:lvlJc w:val="left"/>
      <w:pPr>
        <w:ind w:left="2880" w:hanging="360"/>
      </w:pPr>
    </w:lvl>
    <w:lvl w:ilvl="4" w:tplc="683088C0">
      <w:start w:val="1"/>
      <w:numFmt w:val="lowerLetter"/>
      <w:lvlText w:val="%5."/>
      <w:lvlJc w:val="left"/>
      <w:pPr>
        <w:ind w:left="3600" w:hanging="360"/>
      </w:pPr>
    </w:lvl>
    <w:lvl w:ilvl="5" w:tplc="B996659A">
      <w:start w:val="1"/>
      <w:numFmt w:val="lowerRoman"/>
      <w:lvlText w:val="%6."/>
      <w:lvlJc w:val="right"/>
      <w:pPr>
        <w:ind w:left="4320" w:hanging="180"/>
      </w:pPr>
    </w:lvl>
    <w:lvl w:ilvl="6" w:tplc="40E85F70">
      <w:start w:val="1"/>
      <w:numFmt w:val="decimal"/>
      <w:lvlText w:val="%7."/>
      <w:lvlJc w:val="left"/>
      <w:pPr>
        <w:ind w:left="5040" w:hanging="360"/>
      </w:pPr>
    </w:lvl>
    <w:lvl w:ilvl="7" w:tplc="C910FFEE">
      <w:start w:val="1"/>
      <w:numFmt w:val="lowerLetter"/>
      <w:lvlText w:val="%8."/>
      <w:lvlJc w:val="left"/>
      <w:pPr>
        <w:ind w:left="5760" w:hanging="360"/>
      </w:pPr>
    </w:lvl>
    <w:lvl w:ilvl="8" w:tplc="1AB2A402">
      <w:start w:val="1"/>
      <w:numFmt w:val="lowerRoman"/>
      <w:lvlText w:val="%9."/>
      <w:lvlJc w:val="right"/>
      <w:pPr>
        <w:ind w:left="6480" w:hanging="180"/>
      </w:pPr>
    </w:lvl>
  </w:abstractNum>
  <w:abstractNum w:abstractNumId="27" w15:restartNumberingAfterBreak="0">
    <w:nsid w:val="5CC3E930"/>
    <w:multiLevelType w:val="hybridMultilevel"/>
    <w:tmpl w:val="C6DA3546"/>
    <w:lvl w:ilvl="0" w:tplc="2BF6C1BC">
      <w:start w:val="1"/>
      <w:numFmt w:val="decimal"/>
      <w:lvlText w:val="%1."/>
      <w:lvlJc w:val="left"/>
      <w:pPr>
        <w:ind w:left="720" w:hanging="360"/>
      </w:pPr>
    </w:lvl>
    <w:lvl w:ilvl="1" w:tplc="DC0AE960">
      <w:start w:val="1"/>
      <w:numFmt w:val="lowerLetter"/>
      <w:lvlText w:val="%2."/>
      <w:lvlJc w:val="left"/>
      <w:pPr>
        <w:ind w:left="1440" w:hanging="360"/>
      </w:pPr>
    </w:lvl>
    <w:lvl w:ilvl="2" w:tplc="C60C376E">
      <w:start w:val="1"/>
      <w:numFmt w:val="lowerRoman"/>
      <w:lvlText w:val="%3."/>
      <w:lvlJc w:val="right"/>
      <w:pPr>
        <w:ind w:left="2160" w:hanging="180"/>
      </w:pPr>
    </w:lvl>
    <w:lvl w:ilvl="3" w:tplc="DB90C2EA">
      <w:start w:val="1"/>
      <w:numFmt w:val="decimal"/>
      <w:lvlText w:val="%4."/>
      <w:lvlJc w:val="left"/>
      <w:pPr>
        <w:ind w:left="2880" w:hanging="360"/>
      </w:pPr>
    </w:lvl>
    <w:lvl w:ilvl="4" w:tplc="3372083E">
      <w:start w:val="1"/>
      <w:numFmt w:val="lowerLetter"/>
      <w:lvlText w:val="%5."/>
      <w:lvlJc w:val="left"/>
      <w:pPr>
        <w:ind w:left="3600" w:hanging="360"/>
      </w:pPr>
    </w:lvl>
    <w:lvl w:ilvl="5" w:tplc="8C2018C2">
      <w:start w:val="1"/>
      <w:numFmt w:val="lowerRoman"/>
      <w:lvlText w:val="%6."/>
      <w:lvlJc w:val="right"/>
      <w:pPr>
        <w:ind w:left="4320" w:hanging="180"/>
      </w:pPr>
    </w:lvl>
    <w:lvl w:ilvl="6" w:tplc="0930B9DA">
      <w:start w:val="1"/>
      <w:numFmt w:val="decimal"/>
      <w:lvlText w:val="%7."/>
      <w:lvlJc w:val="left"/>
      <w:pPr>
        <w:ind w:left="5040" w:hanging="360"/>
      </w:pPr>
    </w:lvl>
    <w:lvl w:ilvl="7" w:tplc="511AA104">
      <w:start w:val="1"/>
      <w:numFmt w:val="lowerLetter"/>
      <w:lvlText w:val="%8."/>
      <w:lvlJc w:val="left"/>
      <w:pPr>
        <w:ind w:left="5760" w:hanging="360"/>
      </w:pPr>
    </w:lvl>
    <w:lvl w:ilvl="8" w:tplc="85C0B702">
      <w:start w:val="1"/>
      <w:numFmt w:val="lowerRoman"/>
      <w:lvlText w:val="%9."/>
      <w:lvlJc w:val="right"/>
      <w:pPr>
        <w:ind w:left="6480" w:hanging="180"/>
      </w:pPr>
    </w:lvl>
  </w:abstractNum>
  <w:abstractNum w:abstractNumId="28" w15:restartNumberingAfterBreak="0">
    <w:nsid w:val="5FFC50C4"/>
    <w:multiLevelType w:val="hybridMultilevel"/>
    <w:tmpl w:val="460C9A2C"/>
    <w:lvl w:ilvl="0" w:tplc="2CF06896">
      <w:start w:val="1"/>
      <w:numFmt w:val="decimal"/>
      <w:lvlText w:val="%1."/>
      <w:lvlJc w:val="left"/>
      <w:pPr>
        <w:ind w:left="720" w:hanging="360"/>
      </w:pPr>
    </w:lvl>
    <w:lvl w:ilvl="1" w:tplc="DA1CDFB4">
      <w:start w:val="1"/>
      <w:numFmt w:val="lowerLetter"/>
      <w:lvlText w:val="%2."/>
      <w:lvlJc w:val="left"/>
      <w:pPr>
        <w:ind w:left="1440" w:hanging="360"/>
      </w:pPr>
    </w:lvl>
    <w:lvl w:ilvl="2" w:tplc="96687F34">
      <w:start w:val="1"/>
      <w:numFmt w:val="lowerRoman"/>
      <w:lvlText w:val="%3."/>
      <w:lvlJc w:val="right"/>
      <w:pPr>
        <w:ind w:left="2160" w:hanging="180"/>
      </w:pPr>
    </w:lvl>
    <w:lvl w:ilvl="3" w:tplc="901E7906">
      <w:start w:val="1"/>
      <w:numFmt w:val="decimal"/>
      <w:lvlText w:val="%4."/>
      <w:lvlJc w:val="left"/>
      <w:pPr>
        <w:ind w:left="2880" w:hanging="360"/>
      </w:pPr>
    </w:lvl>
    <w:lvl w:ilvl="4" w:tplc="65DE74E6">
      <w:start w:val="1"/>
      <w:numFmt w:val="lowerLetter"/>
      <w:lvlText w:val="%5."/>
      <w:lvlJc w:val="left"/>
      <w:pPr>
        <w:ind w:left="3600" w:hanging="360"/>
      </w:pPr>
    </w:lvl>
    <w:lvl w:ilvl="5" w:tplc="30DCD5CA">
      <w:start w:val="1"/>
      <w:numFmt w:val="lowerRoman"/>
      <w:lvlText w:val="%6."/>
      <w:lvlJc w:val="right"/>
      <w:pPr>
        <w:ind w:left="4320" w:hanging="180"/>
      </w:pPr>
    </w:lvl>
    <w:lvl w:ilvl="6" w:tplc="6312270A">
      <w:start w:val="1"/>
      <w:numFmt w:val="decimal"/>
      <w:lvlText w:val="%7."/>
      <w:lvlJc w:val="left"/>
      <w:pPr>
        <w:ind w:left="5040" w:hanging="360"/>
      </w:pPr>
    </w:lvl>
    <w:lvl w:ilvl="7" w:tplc="00446948">
      <w:start w:val="1"/>
      <w:numFmt w:val="lowerLetter"/>
      <w:lvlText w:val="%8."/>
      <w:lvlJc w:val="left"/>
      <w:pPr>
        <w:ind w:left="5760" w:hanging="360"/>
      </w:pPr>
    </w:lvl>
    <w:lvl w:ilvl="8" w:tplc="76F40EF4">
      <w:start w:val="1"/>
      <w:numFmt w:val="lowerRoman"/>
      <w:lvlText w:val="%9."/>
      <w:lvlJc w:val="right"/>
      <w:pPr>
        <w:ind w:left="6480" w:hanging="180"/>
      </w:pPr>
    </w:lvl>
  </w:abstractNum>
  <w:abstractNum w:abstractNumId="29" w15:restartNumberingAfterBreak="0">
    <w:nsid w:val="6233D634"/>
    <w:multiLevelType w:val="hybridMultilevel"/>
    <w:tmpl w:val="72F245FC"/>
    <w:lvl w:ilvl="0" w:tplc="54D87596">
      <w:start w:val="1"/>
      <w:numFmt w:val="bullet"/>
      <w:lvlText w:val=""/>
      <w:lvlJc w:val="left"/>
      <w:pPr>
        <w:ind w:left="720" w:hanging="360"/>
      </w:pPr>
      <w:rPr>
        <w:rFonts w:ascii="Symbol" w:hAnsi="Symbol" w:hint="default"/>
      </w:rPr>
    </w:lvl>
    <w:lvl w:ilvl="1" w:tplc="60FE674C">
      <w:start w:val="1"/>
      <w:numFmt w:val="bullet"/>
      <w:lvlText w:val="o"/>
      <w:lvlJc w:val="left"/>
      <w:pPr>
        <w:ind w:left="1440" w:hanging="360"/>
      </w:pPr>
      <w:rPr>
        <w:rFonts w:ascii="Courier New" w:hAnsi="Courier New" w:hint="default"/>
      </w:rPr>
    </w:lvl>
    <w:lvl w:ilvl="2" w:tplc="5DFC28F2">
      <w:start w:val="1"/>
      <w:numFmt w:val="bullet"/>
      <w:lvlText w:val=""/>
      <w:lvlJc w:val="left"/>
      <w:pPr>
        <w:ind w:left="2160" w:hanging="360"/>
      </w:pPr>
      <w:rPr>
        <w:rFonts w:ascii="Wingdings" w:hAnsi="Wingdings" w:hint="default"/>
      </w:rPr>
    </w:lvl>
    <w:lvl w:ilvl="3" w:tplc="3AA40E08">
      <w:start w:val="1"/>
      <w:numFmt w:val="bullet"/>
      <w:lvlText w:val=""/>
      <w:lvlJc w:val="left"/>
      <w:pPr>
        <w:ind w:left="2880" w:hanging="360"/>
      </w:pPr>
      <w:rPr>
        <w:rFonts w:ascii="Symbol" w:hAnsi="Symbol" w:hint="default"/>
      </w:rPr>
    </w:lvl>
    <w:lvl w:ilvl="4" w:tplc="AC5A6C66">
      <w:start w:val="1"/>
      <w:numFmt w:val="bullet"/>
      <w:lvlText w:val="o"/>
      <w:lvlJc w:val="left"/>
      <w:pPr>
        <w:ind w:left="3600" w:hanging="360"/>
      </w:pPr>
      <w:rPr>
        <w:rFonts w:ascii="Courier New" w:hAnsi="Courier New" w:hint="default"/>
      </w:rPr>
    </w:lvl>
    <w:lvl w:ilvl="5" w:tplc="DBC6DCE2">
      <w:start w:val="1"/>
      <w:numFmt w:val="bullet"/>
      <w:lvlText w:val=""/>
      <w:lvlJc w:val="left"/>
      <w:pPr>
        <w:ind w:left="4320" w:hanging="360"/>
      </w:pPr>
      <w:rPr>
        <w:rFonts w:ascii="Wingdings" w:hAnsi="Wingdings" w:hint="default"/>
      </w:rPr>
    </w:lvl>
    <w:lvl w:ilvl="6" w:tplc="88D84374">
      <w:start w:val="1"/>
      <w:numFmt w:val="bullet"/>
      <w:lvlText w:val=""/>
      <w:lvlJc w:val="left"/>
      <w:pPr>
        <w:ind w:left="5040" w:hanging="360"/>
      </w:pPr>
      <w:rPr>
        <w:rFonts w:ascii="Symbol" w:hAnsi="Symbol" w:hint="default"/>
      </w:rPr>
    </w:lvl>
    <w:lvl w:ilvl="7" w:tplc="1E143680">
      <w:start w:val="1"/>
      <w:numFmt w:val="bullet"/>
      <w:lvlText w:val="o"/>
      <w:lvlJc w:val="left"/>
      <w:pPr>
        <w:ind w:left="5760" w:hanging="360"/>
      </w:pPr>
      <w:rPr>
        <w:rFonts w:ascii="Courier New" w:hAnsi="Courier New" w:hint="default"/>
      </w:rPr>
    </w:lvl>
    <w:lvl w:ilvl="8" w:tplc="520AC828">
      <w:start w:val="1"/>
      <w:numFmt w:val="bullet"/>
      <w:lvlText w:val=""/>
      <w:lvlJc w:val="left"/>
      <w:pPr>
        <w:ind w:left="6480" w:hanging="360"/>
      </w:pPr>
      <w:rPr>
        <w:rFonts w:ascii="Wingdings" w:hAnsi="Wingdings" w:hint="default"/>
      </w:rPr>
    </w:lvl>
  </w:abstractNum>
  <w:abstractNum w:abstractNumId="30" w15:restartNumberingAfterBreak="0">
    <w:nsid w:val="62EE8900"/>
    <w:multiLevelType w:val="hybridMultilevel"/>
    <w:tmpl w:val="1A44F5C2"/>
    <w:lvl w:ilvl="0" w:tplc="9E00096C">
      <w:start w:val="1"/>
      <w:numFmt w:val="bullet"/>
      <w:lvlText w:val=""/>
      <w:lvlJc w:val="left"/>
      <w:pPr>
        <w:ind w:left="720" w:hanging="360"/>
      </w:pPr>
      <w:rPr>
        <w:rFonts w:ascii="Symbol" w:hAnsi="Symbol" w:hint="default"/>
      </w:rPr>
    </w:lvl>
    <w:lvl w:ilvl="1" w:tplc="F1281B2C">
      <w:start w:val="1"/>
      <w:numFmt w:val="bullet"/>
      <w:lvlText w:val="o"/>
      <w:lvlJc w:val="left"/>
      <w:pPr>
        <w:ind w:left="1440" w:hanging="360"/>
      </w:pPr>
      <w:rPr>
        <w:rFonts w:ascii="Courier New" w:hAnsi="Courier New" w:hint="default"/>
      </w:rPr>
    </w:lvl>
    <w:lvl w:ilvl="2" w:tplc="EFA092FC">
      <w:start w:val="1"/>
      <w:numFmt w:val="bullet"/>
      <w:lvlText w:val=""/>
      <w:lvlJc w:val="left"/>
      <w:pPr>
        <w:ind w:left="2160" w:hanging="360"/>
      </w:pPr>
      <w:rPr>
        <w:rFonts w:ascii="Wingdings" w:hAnsi="Wingdings" w:hint="default"/>
      </w:rPr>
    </w:lvl>
    <w:lvl w:ilvl="3" w:tplc="75D4BF94">
      <w:start w:val="1"/>
      <w:numFmt w:val="bullet"/>
      <w:lvlText w:val=""/>
      <w:lvlJc w:val="left"/>
      <w:pPr>
        <w:ind w:left="2880" w:hanging="360"/>
      </w:pPr>
      <w:rPr>
        <w:rFonts w:ascii="Symbol" w:hAnsi="Symbol" w:hint="default"/>
      </w:rPr>
    </w:lvl>
    <w:lvl w:ilvl="4" w:tplc="47444EF2">
      <w:start w:val="1"/>
      <w:numFmt w:val="bullet"/>
      <w:lvlText w:val="o"/>
      <w:lvlJc w:val="left"/>
      <w:pPr>
        <w:ind w:left="3600" w:hanging="360"/>
      </w:pPr>
      <w:rPr>
        <w:rFonts w:ascii="Courier New" w:hAnsi="Courier New" w:hint="default"/>
      </w:rPr>
    </w:lvl>
    <w:lvl w:ilvl="5" w:tplc="1AC2D4F6">
      <w:start w:val="1"/>
      <w:numFmt w:val="bullet"/>
      <w:lvlText w:val=""/>
      <w:lvlJc w:val="left"/>
      <w:pPr>
        <w:ind w:left="4320" w:hanging="360"/>
      </w:pPr>
      <w:rPr>
        <w:rFonts w:ascii="Wingdings" w:hAnsi="Wingdings" w:hint="default"/>
      </w:rPr>
    </w:lvl>
    <w:lvl w:ilvl="6" w:tplc="5E369706">
      <w:start w:val="1"/>
      <w:numFmt w:val="bullet"/>
      <w:lvlText w:val=""/>
      <w:lvlJc w:val="left"/>
      <w:pPr>
        <w:ind w:left="5040" w:hanging="360"/>
      </w:pPr>
      <w:rPr>
        <w:rFonts w:ascii="Symbol" w:hAnsi="Symbol" w:hint="default"/>
      </w:rPr>
    </w:lvl>
    <w:lvl w:ilvl="7" w:tplc="51E2B520">
      <w:start w:val="1"/>
      <w:numFmt w:val="bullet"/>
      <w:lvlText w:val="o"/>
      <w:lvlJc w:val="left"/>
      <w:pPr>
        <w:ind w:left="5760" w:hanging="360"/>
      </w:pPr>
      <w:rPr>
        <w:rFonts w:ascii="Courier New" w:hAnsi="Courier New" w:hint="default"/>
      </w:rPr>
    </w:lvl>
    <w:lvl w:ilvl="8" w:tplc="155CC04A">
      <w:start w:val="1"/>
      <w:numFmt w:val="bullet"/>
      <w:lvlText w:val=""/>
      <w:lvlJc w:val="left"/>
      <w:pPr>
        <w:ind w:left="6480" w:hanging="360"/>
      </w:pPr>
      <w:rPr>
        <w:rFonts w:ascii="Wingdings" w:hAnsi="Wingdings" w:hint="default"/>
      </w:rPr>
    </w:lvl>
  </w:abstractNum>
  <w:abstractNum w:abstractNumId="31" w15:restartNumberingAfterBreak="0">
    <w:nsid w:val="6333EE25"/>
    <w:multiLevelType w:val="hybridMultilevel"/>
    <w:tmpl w:val="7B841C0C"/>
    <w:lvl w:ilvl="0" w:tplc="58C04F9A">
      <w:start w:val="1"/>
      <w:numFmt w:val="decimal"/>
      <w:lvlText w:val="%1."/>
      <w:lvlJc w:val="left"/>
      <w:pPr>
        <w:ind w:left="720" w:hanging="360"/>
      </w:pPr>
    </w:lvl>
    <w:lvl w:ilvl="1" w:tplc="524A6BDA">
      <w:start w:val="1"/>
      <w:numFmt w:val="lowerLetter"/>
      <w:lvlText w:val="%2."/>
      <w:lvlJc w:val="left"/>
      <w:pPr>
        <w:ind w:left="1440" w:hanging="360"/>
      </w:pPr>
    </w:lvl>
    <w:lvl w:ilvl="2" w:tplc="E62CD0F8">
      <w:start w:val="1"/>
      <w:numFmt w:val="lowerRoman"/>
      <w:lvlText w:val="%3."/>
      <w:lvlJc w:val="right"/>
      <w:pPr>
        <w:ind w:left="2160" w:hanging="180"/>
      </w:pPr>
    </w:lvl>
    <w:lvl w:ilvl="3" w:tplc="4ECC60E2">
      <w:start w:val="1"/>
      <w:numFmt w:val="decimal"/>
      <w:lvlText w:val="%4."/>
      <w:lvlJc w:val="left"/>
      <w:pPr>
        <w:ind w:left="2880" w:hanging="360"/>
      </w:pPr>
    </w:lvl>
    <w:lvl w:ilvl="4" w:tplc="1D4E7C6A">
      <w:start w:val="1"/>
      <w:numFmt w:val="lowerLetter"/>
      <w:lvlText w:val="%5."/>
      <w:lvlJc w:val="left"/>
      <w:pPr>
        <w:ind w:left="3600" w:hanging="360"/>
      </w:pPr>
    </w:lvl>
    <w:lvl w:ilvl="5" w:tplc="79BA3FFA">
      <w:start w:val="1"/>
      <w:numFmt w:val="lowerRoman"/>
      <w:lvlText w:val="%6."/>
      <w:lvlJc w:val="right"/>
      <w:pPr>
        <w:ind w:left="4320" w:hanging="180"/>
      </w:pPr>
    </w:lvl>
    <w:lvl w:ilvl="6" w:tplc="C5365764">
      <w:start w:val="1"/>
      <w:numFmt w:val="decimal"/>
      <w:lvlText w:val="%7."/>
      <w:lvlJc w:val="left"/>
      <w:pPr>
        <w:ind w:left="5040" w:hanging="360"/>
      </w:pPr>
    </w:lvl>
    <w:lvl w:ilvl="7" w:tplc="FE14D51A">
      <w:start w:val="1"/>
      <w:numFmt w:val="lowerLetter"/>
      <w:lvlText w:val="%8."/>
      <w:lvlJc w:val="left"/>
      <w:pPr>
        <w:ind w:left="5760" w:hanging="360"/>
      </w:pPr>
    </w:lvl>
    <w:lvl w:ilvl="8" w:tplc="E1E837F6">
      <w:start w:val="1"/>
      <w:numFmt w:val="lowerRoman"/>
      <w:lvlText w:val="%9."/>
      <w:lvlJc w:val="right"/>
      <w:pPr>
        <w:ind w:left="6480" w:hanging="180"/>
      </w:pPr>
    </w:lvl>
  </w:abstractNum>
  <w:abstractNum w:abstractNumId="32" w15:restartNumberingAfterBreak="0">
    <w:nsid w:val="69FDEF75"/>
    <w:multiLevelType w:val="hybridMultilevel"/>
    <w:tmpl w:val="177E83DC"/>
    <w:lvl w:ilvl="0" w:tplc="1A98826C">
      <w:start w:val="1"/>
      <w:numFmt w:val="decimal"/>
      <w:lvlText w:val="%1."/>
      <w:lvlJc w:val="left"/>
      <w:pPr>
        <w:ind w:left="720" w:hanging="360"/>
      </w:pPr>
    </w:lvl>
    <w:lvl w:ilvl="1" w:tplc="0764FDC0">
      <w:start w:val="1"/>
      <w:numFmt w:val="lowerLetter"/>
      <w:lvlText w:val="%2."/>
      <w:lvlJc w:val="left"/>
      <w:pPr>
        <w:ind w:left="1440" w:hanging="360"/>
      </w:pPr>
    </w:lvl>
    <w:lvl w:ilvl="2" w:tplc="4F0CDA3C">
      <w:start w:val="1"/>
      <w:numFmt w:val="lowerRoman"/>
      <w:lvlText w:val="%3."/>
      <w:lvlJc w:val="right"/>
      <w:pPr>
        <w:ind w:left="2160" w:hanging="180"/>
      </w:pPr>
    </w:lvl>
    <w:lvl w:ilvl="3" w:tplc="F266C49E">
      <w:start w:val="1"/>
      <w:numFmt w:val="decimal"/>
      <w:lvlText w:val="%4."/>
      <w:lvlJc w:val="left"/>
      <w:pPr>
        <w:ind w:left="2880" w:hanging="360"/>
      </w:pPr>
    </w:lvl>
    <w:lvl w:ilvl="4" w:tplc="5B1A4690">
      <w:start w:val="1"/>
      <w:numFmt w:val="lowerLetter"/>
      <w:lvlText w:val="%5."/>
      <w:lvlJc w:val="left"/>
      <w:pPr>
        <w:ind w:left="3600" w:hanging="360"/>
      </w:pPr>
    </w:lvl>
    <w:lvl w:ilvl="5" w:tplc="80EA2238">
      <w:start w:val="1"/>
      <w:numFmt w:val="lowerRoman"/>
      <w:lvlText w:val="%6."/>
      <w:lvlJc w:val="right"/>
      <w:pPr>
        <w:ind w:left="4320" w:hanging="180"/>
      </w:pPr>
    </w:lvl>
    <w:lvl w:ilvl="6" w:tplc="470CF95C">
      <w:start w:val="1"/>
      <w:numFmt w:val="decimal"/>
      <w:lvlText w:val="%7."/>
      <w:lvlJc w:val="left"/>
      <w:pPr>
        <w:ind w:left="5040" w:hanging="360"/>
      </w:pPr>
    </w:lvl>
    <w:lvl w:ilvl="7" w:tplc="CECC04F6">
      <w:start w:val="1"/>
      <w:numFmt w:val="lowerLetter"/>
      <w:lvlText w:val="%8."/>
      <w:lvlJc w:val="left"/>
      <w:pPr>
        <w:ind w:left="5760" w:hanging="360"/>
      </w:pPr>
    </w:lvl>
    <w:lvl w:ilvl="8" w:tplc="BB5067AE">
      <w:start w:val="1"/>
      <w:numFmt w:val="lowerRoman"/>
      <w:lvlText w:val="%9."/>
      <w:lvlJc w:val="right"/>
      <w:pPr>
        <w:ind w:left="6480" w:hanging="180"/>
      </w:pPr>
    </w:lvl>
  </w:abstractNum>
  <w:abstractNum w:abstractNumId="33" w15:restartNumberingAfterBreak="0">
    <w:nsid w:val="6D642CB4"/>
    <w:multiLevelType w:val="hybridMultilevel"/>
    <w:tmpl w:val="574C6366"/>
    <w:lvl w:ilvl="0" w:tplc="BA5E5D3C">
      <w:start w:val="1"/>
      <w:numFmt w:val="bullet"/>
      <w:lvlText w:val=""/>
      <w:lvlJc w:val="left"/>
      <w:pPr>
        <w:ind w:left="720" w:hanging="360"/>
      </w:pPr>
      <w:rPr>
        <w:rFonts w:ascii="Symbol" w:hAnsi="Symbol" w:hint="default"/>
      </w:rPr>
    </w:lvl>
    <w:lvl w:ilvl="1" w:tplc="63C866A0">
      <w:start w:val="1"/>
      <w:numFmt w:val="bullet"/>
      <w:lvlText w:val="o"/>
      <w:lvlJc w:val="left"/>
      <w:pPr>
        <w:ind w:left="1440" w:hanging="360"/>
      </w:pPr>
      <w:rPr>
        <w:rFonts w:ascii="Courier New" w:hAnsi="Courier New" w:hint="default"/>
      </w:rPr>
    </w:lvl>
    <w:lvl w:ilvl="2" w:tplc="6636C70E">
      <w:start w:val="1"/>
      <w:numFmt w:val="bullet"/>
      <w:lvlText w:val=""/>
      <w:lvlJc w:val="left"/>
      <w:pPr>
        <w:ind w:left="2160" w:hanging="360"/>
      </w:pPr>
      <w:rPr>
        <w:rFonts w:ascii="Wingdings" w:hAnsi="Wingdings" w:hint="default"/>
      </w:rPr>
    </w:lvl>
    <w:lvl w:ilvl="3" w:tplc="FE3CDCAA">
      <w:start w:val="1"/>
      <w:numFmt w:val="bullet"/>
      <w:lvlText w:val=""/>
      <w:lvlJc w:val="left"/>
      <w:pPr>
        <w:ind w:left="2880" w:hanging="360"/>
      </w:pPr>
      <w:rPr>
        <w:rFonts w:ascii="Symbol" w:hAnsi="Symbol" w:hint="default"/>
      </w:rPr>
    </w:lvl>
    <w:lvl w:ilvl="4" w:tplc="25906A0C">
      <w:start w:val="1"/>
      <w:numFmt w:val="bullet"/>
      <w:lvlText w:val="o"/>
      <w:lvlJc w:val="left"/>
      <w:pPr>
        <w:ind w:left="3600" w:hanging="360"/>
      </w:pPr>
      <w:rPr>
        <w:rFonts w:ascii="Courier New" w:hAnsi="Courier New" w:hint="default"/>
      </w:rPr>
    </w:lvl>
    <w:lvl w:ilvl="5" w:tplc="DE423CE0">
      <w:start w:val="1"/>
      <w:numFmt w:val="bullet"/>
      <w:lvlText w:val=""/>
      <w:lvlJc w:val="left"/>
      <w:pPr>
        <w:ind w:left="4320" w:hanging="360"/>
      </w:pPr>
      <w:rPr>
        <w:rFonts w:ascii="Wingdings" w:hAnsi="Wingdings" w:hint="default"/>
      </w:rPr>
    </w:lvl>
    <w:lvl w:ilvl="6" w:tplc="AD949AFA">
      <w:start w:val="1"/>
      <w:numFmt w:val="bullet"/>
      <w:lvlText w:val=""/>
      <w:lvlJc w:val="left"/>
      <w:pPr>
        <w:ind w:left="5040" w:hanging="360"/>
      </w:pPr>
      <w:rPr>
        <w:rFonts w:ascii="Symbol" w:hAnsi="Symbol" w:hint="default"/>
      </w:rPr>
    </w:lvl>
    <w:lvl w:ilvl="7" w:tplc="D444D9E6">
      <w:start w:val="1"/>
      <w:numFmt w:val="bullet"/>
      <w:lvlText w:val="o"/>
      <w:lvlJc w:val="left"/>
      <w:pPr>
        <w:ind w:left="5760" w:hanging="360"/>
      </w:pPr>
      <w:rPr>
        <w:rFonts w:ascii="Courier New" w:hAnsi="Courier New" w:hint="default"/>
      </w:rPr>
    </w:lvl>
    <w:lvl w:ilvl="8" w:tplc="F71460CA">
      <w:start w:val="1"/>
      <w:numFmt w:val="bullet"/>
      <w:lvlText w:val=""/>
      <w:lvlJc w:val="left"/>
      <w:pPr>
        <w:ind w:left="6480" w:hanging="360"/>
      </w:pPr>
      <w:rPr>
        <w:rFonts w:ascii="Wingdings" w:hAnsi="Wingdings" w:hint="default"/>
      </w:rPr>
    </w:lvl>
  </w:abstractNum>
  <w:abstractNum w:abstractNumId="34" w15:restartNumberingAfterBreak="0">
    <w:nsid w:val="73B52CF1"/>
    <w:multiLevelType w:val="hybridMultilevel"/>
    <w:tmpl w:val="5378AE02"/>
    <w:lvl w:ilvl="0" w:tplc="15C0B23A">
      <w:start w:val="1"/>
      <w:numFmt w:val="bullet"/>
      <w:lvlText w:val=""/>
      <w:lvlJc w:val="left"/>
      <w:pPr>
        <w:ind w:left="720" w:hanging="360"/>
      </w:pPr>
      <w:rPr>
        <w:rFonts w:ascii="Symbol" w:hAnsi="Symbol" w:hint="default"/>
      </w:rPr>
    </w:lvl>
    <w:lvl w:ilvl="1" w:tplc="D5BACCC6">
      <w:start w:val="1"/>
      <w:numFmt w:val="bullet"/>
      <w:lvlText w:val="o"/>
      <w:lvlJc w:val="left"/>
      <w:pPr>
        <w:ind w:left="1440" w:hanging="360"/>
      </w:pPr>
      <w:rPr>
        <w:rFonts w:ascii="Courier New" w:hAnsi="Courier New" w:hint="default"/>
      </w:rPr>
    </w:lvl>
    <w:lvl w:ilvl="2" w:tplc="763E9F0C">
      <w:start w:val="1"/>
      <w:numFmt w:val="bullet"/>
      <w:lvlText w:val=""/>
      <w:lvlJc w:val="left"/>
      <w:pPr>
        <w:ind w:left="2160" w:hanging="360"/>
      </w:pPr>
      <w:rPr>
        <w:rFonts w:ascii="Wingdings" w:hAnsi="Wingdings" w:hint="default"/>
      </w:rPr>
    </w:lvl>
    <w:lvl w:ilvl="3" w:tplc="272C1E18">
      <w:start w:val="1"/>
      <w:numFmt w:val="bullet"/>
      <w:lvlText w:val=""/>
      <w:lvlJc w:val="left"/>
      <w:pPr>
        <w:ind w:left="2880" w:hanging="360"/>
      </w:pPr>
      <w:rPr>
        <w:rFonts w:ascii="Symbol" w:hAnsi="Symbol" w:hint="default"/>
      </w:rPr>
    </w:lvl>
    <w:lvl w:ilvl="4" w:tplc="DBB410D4">
      <w:start w:val="1"/>
      <w:numFmt w:val="bullet"/>
      <w:lvlText w:val="o"/>
      <w:lvlJc w:val="left"/>
      <w:pPr>
        <w:ind w:left="3600" w:hanging="360"/>
      </w:pPr>
      <w:rPr>
        <w:rFonts w:ascii="Courier New" w:hAnsi="Courier New" w:hint="default"/>
      </w:rPr>
    </w:lvl>
    <w:lvl w:ilvl="5" w:tplc="1672854A">
      <w:start w:val="1"/>
      <w:numFmt w:val="bullet"/>
      <w:lvlText w:val=""/>
      <w:lvlJc w:val="left"/>
      <w:pPr>
        <w:ind w:left="4320" w:hanging="360"/>
      </w:pPr>
      <w:rPr>
        <w:rFonts w:ascii="Wingdings" w:hAnsi="Wingdings" w:hint="default"/>
      </w:rPr>
    </w:lvl>
    <w:lvl w:ilvl="6" w:tplc="FBACA1BA">
      <w:start w:val="1"/>
      <w:numFmt w:val="bullet"/>
      <w:lvlText w:val=""/>
      <w:lvlJc w:val="left"/>
      <w:pPr>
        <w:ind w:left="5040" w:hanging="360"/>
      </w:pPr>
      <w:rPr>
        <w:rFonts w:ascii="Symbol" w:hAnsi="Symbol" w:hint="default"/>
      </w:rPr>
    </w:lvl>
    <w:lvl w:ilvl="7" w:tplc="0B10D6A0">
      <w:start w:val="1"/>
      <w:numFmt w:val="bullet"/>
      <w:lvlText w:val="o"/>
      <w:lvlJc w:val="left"/>
      <w:pPr>
        <w:ind w:left="5760" w:hanging="360"/>
      </w:pPr>
      <w:rPr>
        <w:rFonts w:ascii="Courier New" w:hAnsi="Courier New" w:hint="default"/>
      </w:rPr>
    </w:lvl>
    <w:lvl w:ilvl="8" w:tplc="48E2827E">
      <w:start w:val="1"/>
      <w:numFmt w:val="bullet"/>
      <w:lvlText w:val=""/>
      <w:lvlJc w:val="left"/>
      <w:pPr>
        <w:ind w:left="6480" w:hanging="360"/>
      </w:pPr>
      <w:rPr>
        <w:rFonts w:ascii="Wingdings" w:hAnsi="Wingdings" w:hint="default"/>
      </w:rPr>
    </w:lvl>
  </w:abstractNum>
  <w:num w:numId="1" w16cid:durableId="1593783253">
    <w:abstractNumId w:val="17"/>
  </w:num>
  <w:num w:numId="2" w16cid:durableId="879786201">
    <w:abstractNumId w:val="18"/>
  </w:num>
  <w:num w:numId="3" w16cid:durableId="1781024825">
    <w:abstractNumId w:val="26"/>
  </w:num>
  <w:num w:numId="4" w16cid:durableId="362249748">
    <w:abstractNumId w:val="3"/>
  </w:num>
  <w:num w:numId="5" w16cid:durableId="933823981">
    <w:abstractNumId w:val="31"/>
  </w:num>
  <w:num w:numId="6" w16cid:durableId="2036609419">
    <w:abstractNumId w:val="15"/>
  </w:num>
  <w:num w:numId="7" w16cid:durableId="649095540">
    <w:abstractNumId w:val="2"/>
  </w:num>
  <w:num w:numId="8" w16cid:durableId="1091854634">
    <w:abstractNumId w:val="27"/>
  </w:num>
  <w:num w:numId="9" w16cid:durableId="462386302">
    <w:abstractNumId w:val="33"/>
  </w:num>
  <w:num w:numId="10" w16cid:durableId="1487815460">
    <w:abstractNumId w:val="9"/>
  </w:num>
  <w:num w:numId="11" w16cid:durableId="411195358">
    <w:abstractNumId w:val="24"/>
  </w:num>
  <w:num w:numId="12" w16cid:durableId="1566405524">
    <w:abstractNumId w:val="29"/>
  </w:num>
  <w:num w:numId="13" w16cid:durableId="695085390">
    <w:abstractNumId w:val="23"/>
  </w:num>
  <w:num w:numId="14" w16cid:durableId="1681158649">
    <w:abstractNumId w:val="28"/>
  </w:num>
  <w:num w:numId="15" w16cid:durableId="1357075842">
    <w:abstractNumId w:val="25"/>
  </w:num>
  <w:num w:numId="16" w16cid:durableId="1429037102">
    <w:abstractNumId w:val="1"/>
  </w:num>
  <w:num w:numId="17" w16cid:durableId="420685770">
    <w:abstractNumId w:val="4"/>
  </w:num>
  <w:num w:numId="18" w16cid:durableId="1017006729">
    <w:abstractNumId w:val="32"/>
  </w:num>
  <w:num w:numId="19" w16cid:durableId="559560221">
    <w:abstractNumId w:val="13"/>
  </w:num>
  <w:num w:numId="20" w16cid:durableId="1360742427">
    <w:abstractNumId w:val="21"/>
  </w:num>
  <w:num w:numId="21" w16cid:durableId="1063331415">
    <w:abstractNumId w:val="12"/>
  </w:num>
  <w:num w:numId="22" w16cid:durableId="1129129901">
    <w:abstractNumId w:val="0"/>
  </w:num>
  <w:num w:numId="23" w16cid:durableId="1425611761">
    <w:abstractNumId w:val="10"/>
  </w:num>
  <w:num w:numId="24" w16cid:durableId="1735004613">
    <w:abstractNumId w:val="6"/>
  </w:num>
  <w:num w:numId="25" w16cid:durableId="1226834763">
    <w:abstractNumId w:val="20"/>
  </w:num>
  <w:num w:numId="26" w16cid:durableId="1741437477">
    <w:abstractNumId w:val="16"/>
  </w:num>
  <w:num w:numId="27" w16cid:durableId="994644078">
    <w:abstractNumId w:val="11"/>
  </w:num>
  <w:num w:numId="28" w16cid:durableId="1445035820">
    <w:abstractNumId w:val="14"/>
  </w:num>
  <w:num w:numId="29" w16cid:durableId="1920674825">
    <w:abstractNumId w:val="22"/>
  </w:num>
  <w:num w:numId="30" w16cid:durableId="616451580">
    <w:abstractNumId w:val="8"/>
  </w:num>
  <w:num w:numId="31" w16cid:durableId="1447385033">
    <w:abstractNumId w:val="5"/>
  </w:num>
  <w:num w:numId="32" w16cid:durableId="1750761418">
    <w:abstractNumId w:val="19"/>
  </w:num>
  <w:num w:numId="33" w16cid:durableId="1243292028">
    <w:abstractNumId w:val="34"/>
  </w:num>
  <w:num w:numId="34" w16cid:durableId="683897936">
    <w:abstractNumId w:val="30"/>
  </w:num>
  <w:num w:numId="35" w16cid:durableId="101693175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39EE54A"/>
    <w:rsid w:val="00080267"/>
    <w:rsid w:val="0020052E"/>
    <w:rsid w:val="00375CDE"/>
    <w:rsid w:val="004F46CE"/>
    <w:rsid w:val="00855440"/>
    <w:rsid w:val="00971786"/>
    <w:rsid w:val="009C0531"/>
    <w:rsid w:val="00AF3C60"/>
    <w:rsid w:val="0181538E"/>
    <w:rsid w:val="02BD38B8"/>
    <w:rsid w:val="03187F4F"/>
    <w:rsid w:val="03B76993"/>
    <w:rsid w:val="04056B9B"/>
    <w:rsid w:val="04391AFA"/>
    <w:rsid w:val="051B4ED2"/>
    <w:rsid w:val="0529273E"/>
    <w:rsid w:val="05D4F000"/>
    <w:rsid w:val="062172CA"/>
    <w:rsid w:val="062D9DC6"/>
    <w:rsid w:val="070B025F"/>
    <w:rsid w:val="081880A6"/>
    <w:rsid w:val="0A7342F7"/>
    <w:rsid w:val="0C48FBEC"/>
    <w:rsid w:val="0CBEC9FF"/>
    <w:rsid w:val="0DB97D19"/>
    <w:rsid w:val="0E9A52F2"/>
    <w:rsid w:val="0F53A8B6"/>
    <w:rsid w:val="104B558A"/>
    <w:rsid w:val="10DD7628"/>
    <w:rsid w:val="10FCB8B6"/>
    <w:rsid w:val="126A5B8C"/>
    <w:rsid w:val="13BFBDC2"/>
    <w:rsid w:val="143774F5"/>
    <w:rsid w:val="144423E4"/>
    <w:rsid w:val="14AD6D83"/>
    <w:rsid w:val="1565102F"/>
    <w:rsid w:val="15E06116"/>
    <w:rsid w:val="177D5044"/>
    <w:rsid w:val="17CDC75C"/>
    <w:rsid w:val="1877AAB6"/>
    <w:rsid w:val="188E130B"/>
    <w:rsid w:val="18A9E6EB"/>
    <w:rsid w:val="19553DBF"/>
    <w:rsid w:val="1A14F594"/>
    <w:rsid w:val="1A71DE69"/>
    <w:rsid w:val="1B6775E8"/>
    <w:rsid w:val="1CD3516D"/>
    <w:rsid w:val="1E2F9D9C"/>
    <w:rsid w:val="1E5D8E41"/>
    <w:rsid w:val="1E9A8ADF"/>
    <w:rsid w:val="1E9E9DB3"/>
    <w:rsid w:val="215AA0AD"/>
    <w:rsid w:val="221B4D2D"/>
    <w:rsid w:val="227F0F54"/>
    <w:rsid w:val="24B23EC2"/>
    <w:rsid w:val="24CEB065"/>
    <w:rsid w:val="268BE76B"/>
    <w:rsid w:val="28650473"/>
    <w:rsid w:val="2868AC8B"/>
    <w:rsid w:val="28AC8EAF"/>
    <w:rsid w:val="29D7441B"/>
    <w:rsid w:val="29F608BD"/>
    <w:rsid w:val="2A201654"/>
    <w:rsid w:val="2ABEC7D5"/>
    <w:rsid w:val="2DA7B624"/>
    <w:rsid w:val="2E07EB17"/>
    <w:rsid w:val="2ED3F81C"/>
    <w:rsid w:val="2F496C93"/>
    <w:rsid w:val="34082526"/>
    <w:rsid w:val="350FCEC6"/>
    <w:rsid w:val="3630A31D"/>
    <w:rsid w:val="374481CB"/>
    <w:rsid w:val="37A4860A"/>
    <w:rsid w:val="39EC0230"/>
    <w:rsid w:val="3A427152"/>
    <w:rsid w:val="3B01F9E7"/>
    <w:rsid w:val="3CECD8BB"/>
    <w:rsid w:val="3D032077"/>
    <w:rsid w:val="3EDB4CF5"/>
    <w:rsid w:val="407668E9"/>
    <w:rsid w:val="430AD70E"/>
    <w:rsid w:val="43535B51"/>
    <w:rsid w:val="44F0938F"/>
    <w:rsid w:val="4518CA22"/>
    <w:rsid w:val="453257CB"/>
    <w:rsid w:val="45B48DC8"/>
    <w:rsid w:val="46127AE4"/>
    <w:rsid w:val="467A640E"/>
    <w:rsid w:val="46D994B2"/>
    <w:rsid w:val="46E17FF0"/>
    <w:rsid w:val="46E827C7"/>
    <w:rsid w:val="47E7E549"/>
    <w:rsid w:val="480FB75C"/>
    <w:rsid w:val="4A7D90ED"/>
    <w:rsid w:val="4B1F23B6"/>
    <w:rsid w:val="4C0819A1"/>
    <w:rsid w:val="4D24E4DE"/>
    <w:rsid w:val="4F4B9EB0"/>
    <w:rsid w:val="5082C463"/>
    <w:rsid w:val="514484E4"/>
    <w:rsid w:val="524EC6C9"/>
    <w:rsid w:val="52DDBF36"/>
    <w:rsid w:val="5324B87E"/>
    <w:rsid w:val="53D90830"/>
    <w:rsid w:val="543B477C"/>
    <w:rsid w:val="5555F8AB"/>
    <w:rsid w:val="556A1321"/>
    <w:rsid w:val="5671DE5D"/>
    <w:rsid w:val="57F2E856"/>
    <w:rsid w:val="5834000F"/>
    <w:rsid w:val="58FA2509"/>
    <w:rsid w:val="5924E1AA"/>
    <w:rsid w:val="59289B29"/>
    <w:rsid w:val="5B88F270"/>
    <w:rsid w:val="5BE1A96D"/>
    <w:rsid w:val="5CA6B4DA"/>
    <w:rsid w:val="5CD7D173"/>
    <w:rsid w:val="5D924EE5"/>
    <w:rsid w:val="5DB267AF"/>
    <w:rsid w:val="61B3CFD7"/>
    <w:rsid w:val="62334DEC"/>
    <w:rsid w:val="62C89C9C"/>
    <w:rsid w:val="639EE54A"/>
    <w:rsid w:val="646B690F"/>
    <w:rsid w:val="66B002E7"/>
    <w:rsid w:val="673CB665"/>
    <w:rsid w:val="68C70A1C"/>
    <w:rsid w:val="6A3021C8"/>
    <w:rsid w:val="6AA1261F"/>
    <w:rsid w:val="6AB16364"/>
    <w:rsid w:val="6D1C5BCA"/>
    <w:rsid w:val="6E2E38D3"/>
    <w:rsid w:val="6F48C202"/>
    <w:rsid w:val="6F59C633"/>
    <w:rsid w:val="6FDF055E"/>
    <w:rsid w:val="72586D4C"/>
    <w:rsid w:val="72EF9F68"/>
    <w:rsid w:val="73C9F867"/>
    <w:rsid w:val="74AA1124"/>
    <w:rsid w:val="7730D802"/>
    <w:rsid w:val="77657239"/>
    <w:rsid w:val="78FB27BA"/>
    <w:rsid w:val="797F5C36"/>
    <w:rsid w:val="79FC5D5B"/>
    <w:rsid w:val="7A02DDFE"/>
    <w:rsid w:val="7A9832A5"/>
    <w:rsid w:val="7B1A819A"/>
    <w:rsid w:val="7F52F1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EE54A"/>
  <w15:chartTrackingRefBased/>
  <w15:docId w15:val="{E9285870-7736-4153-9174-0A3D367A1C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43535B51"/>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3630A31D"/>
    <w:rPr>
      <w:color w:val="467886"/>
      <w:u w:val="single"/>
    </w:rPr>
  </w:style>
  <w:style w:type="table" w:styleId="TableGridLight">
    <w:name w:val="Grid Table Light"/>
    <w:basedOn w:val="TableNormal"/>
    <w:uiPriority w:val="40"/>
    <w:rsid w:val="0097178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9C0531"/>
    <w:pPr>
      <w:spacing w:before="480" w:after="0" w:line="276" w:lineRule="auto"/>
      <w:outlineLvl w:val="9"/>
    </w:pPr>
    <w:rPr>
      <w:b/>
      <w:bCs/>
      <w:sz w:val="28"/>
      <w:szCs w:val="28"/>
      <w:lang w:eastAsia="en-US"/>
    </w:rPr>
  </w:style>
  <w:style w:type="paragraph" w:styleId="TOC3">
    <w:name w:val="toc 3"/>
    <w:basedOn w:val="Normal"/>
    <w:next w:val="Normal"/>
    <w:autoRedefine/>
    <w:uiPriority w:val="39"/>
    <w:unhideWhenUsed/>
    <w:rsid w:val="009C0531"/>
    <w:pPr>
      <w:spacing w:after="0"/>
    </w:pPr>
    <w:rPr>
      <w:smallCaps/>
      <w:sz w:val="22"/>
      <w:szCs w:val="22"/>
    </w:rPr>
  </w:style>
  <w:style w:type="paragraph" w:styleId="TOC1">
    <w:name w:val="toc 1"/>
    <w:basedOn w:val="Normal"/>
    <w:next w:val="Normal"/>
    <w:autoRedefine/>
    <w:uiPriority w:val="39"/>
    <w:semiHidden/>
    <w:unhideWhenUsed/>
    <w:rsid w:val="009C0531"/>
    <w:pPr>
      <w:spacing w:before="360" w:after="360"/>
    </w:pPr>
    <w:rPr>
      <w:b/>
      <w:bCs/>
      <w:caps/>
      <w:sz w:val="22"/>
      <w:szCs w:val="22"/>
      <w:u w:val="single"/>
    </w:rPr>
  </w:style>
  <w:style w:type="paragraph" w:styleId="TOC2">
    <w:name w:val="toc 2"/>
    <w:basedOn w:val="Normal"/>
    <w:next w:val="Normal"/>
    <w:autoRedefine/>
    <w:uiPriority w:val="39"/>
    <w:semiHidden/>
    <w:unhideWhenUsed/>
    <w:rsid w:val="009C0531"/>
    <w:pPr>
      <w:spacing w:after="0"/>
    </w:pPr>
    <w:rPr>
      <w:b/>
      <w:bCs/>
      <w:smallCaps/>
      <w:sz w:val="22"/>
      <w:szCs w:val="22"/>
    </w:rPr>
  </w:style>
  <w:style w:type="paragraph" w:styleId="TOC4">
    <w:name w:val="toc 4"/>
    <w:basedOn w:val="Normal"/>
    <w:next w:val="Normal"/>
    <w:autoRedefine/>
    <w:uiPriority w:val="39"/>
    <w:semiHidden/>
    <w:unhideWhenUsed/>
    <w:rsid w:val="009C0531"/>
    <w:pPr>
      <w:spacing w:after="0"/>
    </w:pPr>
    <w:rPr>
      <w:sz w:val="22"/>
      <w:szCs w:val="22"/>
    </w:rPr>
  </w:style>
  <w:style w:type="paragraph" w:styleId="TOC5">
    <w:name w:val="toc 5"/>
    <w:basedOn w:val="Normal"/>
    <w:next w:val="Normal"/>
    <w:autoRedefine/>
    <w:uiPriority w:val="39"/>
    <w:semiHidden/>
    <w:unhideWhenUsed/>
    <w:rsid w:val="009C0531"/>
    <w:pPr>
      <w:spacing w:after="0"/>
    </w:pPr>
    <w:rPr>
      <w:sz w:val="22"/>
      <w:szCs w:val="22"/>
    </w:rPr>
  </w:style>
  <w:style w:type="paragraph" w:styleId="TOC6">
    <w:name w:val="toc 6"/>
    <w:basedOn w:val="Normal"/>
    <w:next w:val="Normal"/>
    <w:autoRedefine/>
    <w:uiPriority w:val="39"/>
    <w:semiHidden/>
    <w:unhideWhenUsed/>
    <w:rsid w:val="009C0531"/>
    <w:pPr>
      <w:spacing w:after="0"/>
    </w:pPr>
    <w:rPr>
      <w:sz w:val="22"/>
      <w:szCs w:val="22"/>
    </w:rPr>
  </w:style>
  <w:style w:type="paragraph" w:styleId="TOC7">
    <w:name w:val="toc 7"/>
    <w:basedOn w:val="Normal"/>
    <w:next w:val="Normal"/>
    <w:autoRedefine/>
    <w:uiPriority w:val="39"/>
    <w:semiHidden/>
    <w:unhideWhenUsed/>
    <w:rsid w:val="009C0531"/>
    <w:pPr>
      <w:spacing w:after="0"/>
    </w:pPr>
    <w:rPr>
      <w:sz w:val="22"/>
      <w:szCs w:val="22"/>
    </w:rPr>
  </w:style>
  <w:style w:type="paragraph" w:styleId="TOC8">
    <w:name w:val="toc 8"/>
    <w:basedOn w:val="Normal"/>
    <w:next w:val="Normal"/>
    <w:autoRedefine/>
    <w:uiPriority w:val="39"/>
    <w:semiHidden/>
    <w:unhideWhenUsed/>
    <w:rsid w:val="009C0531"/>
    <w:pPr>
      <w:spacing w:after="0"/>
    </w:pPr>
    <w:rPr>
      <w:sz w:val="22"/>
      <w:szCs w:val="22"/>
    </w:rPr>
  </w:style>
  <w:style w:type="paragraph" w:styleId="TOC9">
    <w:name w:val="toc 9"/>
    <w:basedOn w:val="Normal"/>
    <w:next w:val="Normal"/>
    <w:autoRedefine/>
    <w:uiPriority w:val="39"/>
    <w:semiHidden/>
    <w:unhideWhenUsed/>
    <w:rsid w:val="009C0531"/>
    <w:pPr>
      <w:spacing w:after="0"/>
    </w:pPr>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maxwideman.com/papers/hotel/intro.htm" TargetMode="External"/><Relationship Id="rId18" Type="http://schemas.openxmlformats.org/officeDocument/2006/relationships/hyperlink" Target="https://www.cipd.org/uk" TargetMode="External"/><Relationship Id="rId26" Type="http://schemas.openxmlformats.org/officeDocument/2006/relationships/hyperlink" Target="https://www.perlego.com/book/1524334/strategic-human-resource-management-formulating-and-implementing-hr-strategies-for-a-competitive-advantage-pdf?utm_source=bing&amp;utm_medium=cpc&amp;utm_campaign=2.2.1.1%20DSAG" TargetMode="External"/><Relationship Id="rId39" Type="http://schemas.openxmlformats.org/officeDocument/2006/relationships/hyperlink" Target="https://www.marriott.com/marriott-brands/mobile-app.mi" TargetMode="External"/><Relationship Id="rId21" Type="http://schemas.openxmlformats.org/officeDocument/2006/relationships/hyperlink" Target="https://books.google.co.uk/books/about/The_Org.html?id=a9ZSAgAAQBAJ&amp;redir_esc=y" TargetMode="External"/><Relationship Id="rId34" Type="http://schemas.openxmlformats.org/officeDocument/2006/relationships/hyperlink" Target="https://books.google.co.uk/books/about/Exploring_Strategy.html?id=ieksEAAAQBAJ&amp;redir_esc=y" TargetMode="External"/><Relationship Id="rId42" Type="http://schemas.openxmlformats.org/officeDocument/2006/relationships/hyperlink" Target="https://www.jstor.org/stable/26366557" TargetMode="External"/><Relationship Id="rId47" Type="http://schemas.openxmlformats.org/officeDocument/2006/relationships/hyperlink" Target="https://quizlet.com/study-guides/ritz-carlton-s-service-excellence-063160db-1dac-4af6-ae06-a7ec3f7acab5" TargetMode="External"/><Relationship Id="rId50" Type="http://schemas.openxmlformats.org/officeDocument/2006/relationships/hyperlink" Target="https://journals.sagepub.com/home/wes" TargetMode="External"/><Relationship Id="rId55" Type="http://schemas.openxmlformats.org/officeDocument/2006/relationships/hyperlink" Target="https://www.ukessays.com/essays/construction/project-management-of-the-burj-al-arab-construction.php" TargetMode="External"/><Relationship Id="rId63" Type="http://schemas.openxmlformats.org/officeDocument/2006/relationships/fontTable" Target="fontTable.xml"/><Relationship Id="rId7" Type="http://schemas.openxmlformats.org/officeDocument/2006/relationships/hyperlink" Target="https://www.emerald.com/insight/content/doi/10.1108/IJCHM-11-2021-1443/full/html" TargetMode="External"/><Relationship Id="rId2" Type="http://schemas.openxmlformats.org/officeDocument/2006/relationships/numbering" Target="numbering.xml"/><Relationship Id="rId16" Type="http://schemas.openxmlformats.org/officeDocument/2006/relationships/hyperlink" Target="https://books.google.co.uk/books/about/Managing_Change.html?id=9J5Ri4xatEMC&amp;redir_esc=y" TargetMode="External"/><Relationship Id="rId29" Type="http://schemas.openxmlformats.org/officeDocument/2006/relationships/hyperlink" Target="https://help.hilton.com/s/article/How-does-Digital-Key-work" TargetMode="External"/><Relationship Id="rId11" Type="http://schemas.openxmlformats.org/officeDocument/2006/relationships/hyperlink" Target="https://serve360.marriott.com/wp-content/uploads/2022/10/Marriott-Responsible_Sourcing_Guide_August-2021.pdf" TargetMode="External"/><Relationship Id="rId24" Type="http://schemas.openxmlformats.org/officeDocument/2006/relationships/hyperlink" Target="https://books.google.co.uk/books/about/The_Management_Consultant.html?id=q6jljakzJvUC&amp;redir_esc=y" TargetMode="External"/><Relationship Id="rId32" Type="http://schemas.openxmlformats.org/officeDocument/2006/relationships/hyperlink" Target="https://search.informit.org/loi/ijes/group/d2020.y2024.m3" TargetMode="External"/><Relationship Id="rId37" Type="http://schemas.openxmlformats.org/officeDocument/2006/relationships/hyperlink" Target="https://www.jumeirah.com/en/article/campaigns/stay-home-with-jumeirah/what-sustainability-means-for-jumeirah" TargetMode="External"/><Relationship Id="rId40" Type="http://schemas.openxmlformats.org/officeDocument/2006/relationships/hyperlink" Target="https://mhrglobal.com/uk/en?_e" TargetMode="External"/><Relationship Id="rId45" Type="http://schemas.openxmlformats.org/officeDocument/2006/relationships/hyperlink" Target="https://www.peoplemanagement.co.uk/pm/" TargetMode="External"/><Relationship Id="rId53" Type="http://schemas.openxmlformats.org/officeDocument/2006/relationships/hyperlink" Target="https://sustainablehospitalityalliance.org/resource/global-hotel-decarbonisation-report/" TargetMode="External"/><Relationship Id="rId58" Type="http://schemas.openxmlformats.org/officeDocument/2006/relationships/hyperlink" Target="https://wttc.org/Research/Economic-Impact" TargetMode="External"/><Relationship Id="rId5" Type="http://schemas.openxmlformats.org/officeDocument/2006/relationships/webSettings" Target="webSettings.xml"/><Relationship Id="rId61" Type="http://schemas.openxmlformats.org/officeDocument/2006/relationships/hyperlink" Target="https://life.marriott.com/blog/voyage/" TargetMode="External"/><Relationship Id="rId19" Type="http://schemas.openxmlformats.org/officeDocument/2006/relationships/hyperlink" Target="https://www.constructionweekonline.com/business/article-26145-burj-al-arab-recognised-for-its-sustainability" TargetMode="External"/><Relationship Id="rId14" Type="http://schemas.openxmlformats.org/officeDocument/2006/relationships/hyperlink" Target="https://www.acas.org.uk/" TargetMode="External"/><Relationship Id="rId22" Type="http://schemas.openxmlformats.org/officeDocument/2006/relationships/hyperlink" Target="https://books.google.co.uk/books/about/Human_Capital_Management.html?id=9LhqfbzC_vYC&amp;redir_esc=y" TargetMode="External"/><Relationship Id="rId27" Type="http://schemas.openxmlformats.org/officeDocument/2006/relationships/hyperlink" Target="https://www.exed.hbs.edu/?utm_source=bing&amp;utm_medium=paid-search&amp;utm_campaign=brand-general-info-global-none-phrase-cross-device-all&amp;utm_id=core&amp;gclid=3a5994edf4ac156187b6f3c9ffcca51d&amp;gclsrc=3p.ds&amp;msclkid=3a5994edf4ac156187b6f3c9ffcca51d" TargetMode="External"/><Relationship Id="rId30" Type="http://schemas.openxmlformats.org/officeDocument/2006/relationships/hyperlink" Target="https://searchworks.stanford.edu/view/8206508" TargetMode="External"/><Relationship Id="rId35" Type="http://schemas.openxmlformats.org/officeDocument/2006/relationships/hyperlink" Target="https://www.jumeirah.com/en/stay/dubai/burj-al-arab-jumeirah" TargetMode="External"/><Relationship Id="rId43" Type="http://schemas.openxmlformats.org/officeDocument/2006/relationships/hyperlink" Target="https://www.ons.gov.uk/" TargetMode="External"/><Relationship Id="rId48" Type="http://schemas.openxmlformats.org/officeDocument/2006/relationships/hyperlink" Target="https://journals.sagepub.com/home/cqx" TargetMode="External"/><Relationship Id="rId56" Type="http://schemas.openxmlformats.org/officeDocument/2006/relationships/hyperlink" Target="https://library.ncirl.ie/items/11898" TargetMode="External"/><Relationship Id="rId64" Type="http://schemas.openxmlformats.org/officeDocument/2006/relationships/theme" Target="theme/theme1.xml"/><Relationship Id="rId8" Type="http://schemas.openxmlformats.org/officeDocument/2006/relationships/hyperlink" Target="https://www.cbi.org.uk/" TargetMode="External"/><Relationship Id="rId51" Type="http://schemas.openxmlformats.org/officeDocument/2006/relationships/hyperlink" Target="https://www.servicenow.com/lpebk/digital-transformation-customer-zero.html?campid=112763&amp;cid=p:platform:dg:nb:prsp:phr:Bing_Other_Restructure:emea:all&amp;s_kwcid=AL" TargetMode="External"/><Relationship Id="rId3" Type="http://schemas.openxmlformats.org/officeDocument/2006/relationships/styles" Target="styles.xml"/><Relationship Id="rId12" Type="http://schemas.openxmlformats.org/officeDocument/2006/relationships/hyperlink" Target="https://elitetraveler.com/travel/hotel-news/four-seasons-chat-app-luxury-hotel-service" TargetMode="External"/><Relationship Id="rId17" Type="http://schemas.openxmlformats.org/officeDocument/2006/relationships/hyperlink" Target="https://about.hyatt.com/content/dam/hyatt/woc/2022WOCHighlights.pdf" TargetMode="External"/><Relationship Id="rId25" Type="http://schemas.openxmlformats.org/officeDocument/2006/relationships/hyperlink" Target="https://www.greenprophet.com/2014/02/dubais-burj-al-arab-green-globe-certification/" TargetMode="External"/><Relationship Id="rId33" Type="http://schemas.openxmlformats.org/officeDocument/2006/relationships/hyperlink" Target="https://www.employment-studies.co.uk/" TargetMode="External"/><Relationship Id="rId38" Type="http://schemas.openxmlformats.org/officeDocument/2006/relationships/hyperlink" Target="https://hbr.org/2007/01/leading-change-why-transformation-efforts-fail" TargetMode="External"/><Relationship Id="rId46" Type="http://schemas.openxmlformats.org/officeDocument/2006/relationships/hyperlink" Target="https://www.youtube.com/watch?v=4_2C3S_4e8A" TargetMode="External"/><Relationship Id="rId59" Type="http://schemas.openxmlformats.org/officeDocument/2006/relationships/hyperlink" Target="https://www.audit.wales/" TargetMode="External"/><Relationship Id="rId20" Type="http://schemas.openxmlformats.org/officeDocument/2006/relationships/hyperlink" Target="https://www.sciencedirect.com/journal/human-resource-management-review" TargetMode="External"/><Relationship Id="rId41" Type="http://schemas.openxmlformats.org/officeDocument/2006/relationships/hyperlink" Target="https://monday.com/ap/general" TargetMode="External"/><Relationship Id="rId54" Type="http://schemas.openxmlformats.org/officeDocument/2006/relationships/hyperlink" Target="https://www.traveldailynews.com/hotels-lodging/burj-al-arab-recognised-for-seven-star-sustainability/" TargetMode="External"/><Relationship Id="rId62" Type="http://schemas.openxmlformats.org/officeDocument/2006/relationships/hyperlink" Target="https://hospitalityinsights.ehl.edu/delivering-service-excellence" TargetMode="External"/><Relationship Id="rId1" Type="http://schemas.openxmlformats.org/officeDocument/2006/relationships/customXml" Target="../customXml/item1.xml"/><Relationship Id="rId6" Type="http://schemas.openxmlformats.org/officeDocument/2006/relationships/image" Target="media/image1.jpeg"/><Relationship Id="rId15" Type="http://schemas.openxmlformats.org/officeDocument/2006/relationships/hyperlink" Target="https://www.alilahotels.com/philosophy/" TargetMode="External"/><Relationship Id="rId23" Type="http://schemas.openxmlformats.org/officeDocument/2006/relationships/hyperlink" Target="https://books.google.co.uk/books/about/The_Independent_Consultant_s_Survival_Gu.html?id=3lr0NwAACAAJ&amp;redir_esc=y" TargetMode="External"/><Relationship Id="rId28" Type="http://schemas.openxmlformats.org/officeDocument/2006/relationships/hyperlink" Target="https://hbr.org/magazine" TargetMode="External"/><Relationship Id="rId36" Type="http://schemas.openxmlformats.org/officeDocument/2006/relationships/hyperlink" Target="https://cd-hospitality.jumeirah.com/-/mediadh/dh/hospitality/jumeirah/jumeirah-group/sustainability/jumeirah-sustainabilty_report-2023.pdf?modified=20231201053006" TargetMode="External"/><Relationship Id="rId49" Type="http://schemas.openxmlformats.org/officeDocument/2006/relationships/hyperlink" Target="https://journals.sagepub.com/home/ppm" TargetMode="External"/><Relationship Id="rId57" Type="http://schemas.openxmlformats.org/officeDocument/2006/relationships/hyperlink" Target="https://onlinelibrary.wiley.com/toc/14678551/2024/35/4" TargetMode="External"/><Relationship Id="rId10" Type="http://schemas.openxmlformats.org/officeDocument/2006/relationships/hyperlink" Target="https://world.hyatt.com/content/hyatt-about/en/world-of-care/caring-for-the-planet/climate-change-and-water-conservation.html" TargetMode="External"/><Relationship Id="rId31" Type="http://schemas.openxmlformats.org/officeDocument/2006/relationships/hyperlink" Target="https://www.hyatt.com/world-of-care/en-US/caring-for-the-planet" TargetMode="External"/><Relationship Id="rId44" Type="http://schemas.openxmlformats.org/officeDocument/2006/relationships/hyperlink" Target="https://academic.oup.com/edited-volume/38572" TargetMode="External"/><Relationship Id="rId52" Type="http://schemas.openxmlformats.org/officeDocument/2006/relationships/hyperlink" Target="https://www.sixsenses.com/en/sustainability/" TargetMode="External"/><Relationship Id="rId60" Type="http://schemas.openxmlformats.org/officeDocument/2006/relationships/hyperlink" Target="https://www.hrmguide.co.uk/" TargetMode="External"/><Relationship Id="rId4" Type="http://schemas.openxmlformats.org/officeDocument/2006/relationships/settings" Target="settings.xml"/><Relationship Id="rId9" Type="http://schemas.openxmlformats.org/officeDocument/2006/relationships/hyperlink" Target="https://books.google.co.uk/books/about/The_Project_Workout.html?id=gaVcAgAAQBAJ&amp;redir_es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157B3B-0C1B-B845-9743-BE71B61BE6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36</Pages>
  <Words>9622</Words>
  <Characters>54851</Characters>
  <Application>Microsoft Office Word</Application>
  <DocSecurity>0</DocSecurity>
  <Lines>457</Lines>
  <Paragraphs>128</Paragraphs>
  <ScaleCrop>false</ScaleCrop>
  <Company/>
  <LinksUpToDate>false</LinksUpToDate>
  <CharactersWithSpaces>64345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Melis Ahmed Shaban (2212035)</dc:creator>
  <cp:keywords/>
  <dc:description/>
  <cp:lastModifiedBy>Microsoft Office User</cp:lastModifiedBy>
  <cp:revision>9</cp:revision>
  <dcterms:created xsi:type="dcterms:W3CDTF">2024-10-25T20:11:00Z</dcterms:created>
  <dcterms:modified xsi:type="dcterms:W3CDTF">2024-11-12T22:49:00Z</dcterms:modified>
</cp:coreProperties>
</file>