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8C5F13" w:rsidRDefault="2B8C5F13" w14:paraId="2F65A6AB" w14:textId="5ADD82D2">
      <w:r w:rsidR="5EE7BAE5">
        <w:rPr/>
        <w:t xml:space="preserve">In late 1802, Black </w:t>
      </w:r>
      <w:r w:rsidR="3AA91141">
        <w:rPr/>
        <w:t xml:space="preserve">general Jacques Maurepas, a </w:t>
      </w:r>
      <w:r w:rsidR="3AA91141">
        <w:rPr/>
        <w:t>loyal member of the French army in Saint-Domingue, was led</w:t>
      </w:r>
      <w:r w:rsidR="0A1890A8">
        <w:rPr/>
        <w:t>, along with his family,</w:t>
      </w:r>
      <w:r w:rsidR="3AA91141">
        <w:rPr/>
        <w:t xml:space="preserve"> to a ship off</w:t>
      </w:r>
      <w:r w:rsidR="21B13D27">
        <w:rPr/>
        <w:t xml:space="preserve"> the coast of</w:t>
      </w:r>
      <w:r w:rsidR="3AA91141">
        <w:rPr/>
        <w:t xml:space="preserve"> </w:t>
      </w:r>
      <w:r w:rsidR="3A742376">
        <w:rPr/>
        <w:t>Cap-Français</w:t>
      </w:r>
      <w:r w:rsidR="1075A2A0">
        <w:rPr/>
        <w:t>.</w:t>
      </w:r>
      <w:r w:rsidR="2B3254F1">
        <w:rPr/>
        <w:t xml:space="preserve"> </w:t>
      </w:r>
      <w:r w:rsidR="2436E8E4">
        <w:rPr/>
        <w:t>He was bound to the main mast of the ship and had a pair of epaulettes hammered into his shoulders, followed by a general’s hat being nailed to his head</w:t>
      </w:r>
      <w:r w:rsidR="496536C2">
        <w:rPr/>
        <w:t xml:space="preserve">. He, his </w:t>
      </w:r>
      <w:r w:rsidR="496536C2">
        <w:rPr/>
        <w:t>wife</w:t>
      </w:r>
      <w:r w:rsidR="496536C2">
        <w:rPr/>
        <w:t xml:space="preserve"> and his children were then thrown into the sea and drowned. This execution was ordered by Victo</w:t>
      </w:r>
      <w:r w:rsidR="7087C626">
        <w:rPr/>
        <w:t>ire-</w:t>
      </w:r>
      <w:r w:rsidR="496536C2">
        <w:rPr/>
        <w:t>Emmanuel Leclerc, his own commanding officer.</w:t>
      </w:r>
      <w:r w:rsidRPr="7D50C134">
        <w:rPr>
          <w:rStyle w:val="FootnoteReference"/>
        </w:rPr>
        <w:footnoteReference w:id="8495"/>
      </w:r>
      <w:r>
        <w:br/>
      </w:r>
    </w:p>
    <w:p w:rsidR="2B8C5F13" w:rsidRDefault="2B8C5F13" w14:paraId="31CCF8FB" w14:textId="326DE849">
      <w:r w:rsidR="3EDC649C">
        <w:rPr/>
        <w:t>Incidents like these occurred across the rebellious French colony of Saint-Domingue throughout 1802-4</w:t>
      </w:r>
      <w:r w:rsidR="3EDC649C">
        <w:rPr/>
        <w:t xml:space="preserve">. Historian Philippe Girard </w:t>
      </w:r>
      <w:r w:rsidR="2D771F46">
        <w:rPr/>
        <w:t xml:space="preserve">argues that this does not cross the boundary </w:t>
      </w:r>
      <w:r w:rsidR="7A725F5E">
        <w:rPr/>
        <w:t>to</w:t>
      </w:r>
      <w:r w:rsidR="2D771F46">
        <w:rPr/>
        <w:t xml:space="preserve"> genocide </w:t>
      </w:r>
      <w:r w:rsidR="0A15EB30">
        <w:rPr/>
        <w:t xml:space="preserve">from </w:t>
      </w:r>
      <w:r w:rsidR="2D771F46">
        <w:rPr/>
        <w:t>mass murder.</w:t>
      </w:r>
      <w:r w:rsidRPr="7D50C134">
        <w:rPr>
          <w:rStyle w:val="FootnoteReference"/>
        </w:rPr>
        <w:footnoteReference w:id="27871"/>
      </w:r>
      <w:r w:rsidR="2D771F46">
        <w:rPr/>
        <w:t xml:space="preserve"> Historians Marlene Daut</w:t>
      </w:r>
      <w:r w:rsidRPr="7D50C134">
        <w:rPr>
          <w:rStyle w:val="FootnoteReference"/>
        </w:rPr>
        <w:footnoteReference w:id="11003"/>
      </w:r>
      <w:r w:rsidR="2D771F46">
        <w:rPr/>
        <w:t xml:space="preserve"> and David Geggus</w:t>
      </w:r>
      <w:r w:rsidRPr="7D50C134">
        <w:rPr>
          <w:rStyle w:val="FootnoteReference"/>
        </w:rPr>
        <w:footnoteReference w:id="17138"/>
      </w:r>
      <w:r w:rsidR="2D771F46">
        <w:rPr/>
        <w:t xml:space="preserve">, </w:t>
      </w:r>
      <w:r w:rsidR="0D8B5D4C">
        <w:rPr/>
        <w:t>however, argue that it does. To address this question requires both a detailed</w:t>
      </w:r>
      <w:r w:rsidR="0CE4EA6F">
        <w:rPr/>
        <w:t xml:space="preserve"> explanation of the greater context and analysis of the words of the </w:t>
      </w:r>
      <w:r w:rsidR="541C048E">
        <w:rPr/>
        <w:t>French commanding officers themselves.</w:t>
      </w:r>
      <w:r>
        <w:br/>
      </w:r>
    </w:p>
    <w:p w:rsidR="2B8C5F13" w:rsidP="7D50C134" w:rsidRDefault="2B8C5F13" w14:paraId="419A424C" w14:textId="19C55D43">
      <w:pPr>
        <w:rPr>
          <w:rStyle w:val="FootnoteReference"/>
        </w:rPr>
      </w:pPr>
      <w:r w:rsidR="2B8C5F13">
        <w:rPr/>
        <w:t>After the slaves of Saint-Domingue</w:t>
      </w:r>
      <w:r w:rsidR="0EA3504E">
        <w:rPr/>
        <w:t xml:space="preserve"> rebelled in</w:t>
      </w:r>
      <w:r w:rsidR="5C3B2E86">
        <w:rPr/>
        <w:t xml:space="preserve"> 1791, the colony</w:t>
      </w:r>
      <w:r w:rsidR="7D3D70FC">
        <w:rPr/>
        <w:t xml:space="preserve"> </w:t>
      </w:r>
      <w:r w:rsidR="5C3B2E86">
        <w:rPr/>
        <w:t xml:space="preserve">remained in French control, </w:t>
      </w:r>
      <w:r w:rsidR="6A496A3E">
        <w:rPr/>
        <w:t xml:space="preserve">albeit </w:t>
      </w:r>
      <w:r w:rsidR="5C3B2E86">
        <w:rPr/>
        <w:t>with its Black</w:t>
      </w:r>
      <w:r w:rsidR="73F2080B">
        <w:rPr/>
        <w:t xml:space="preserve"> and </w:t>
      </w:r>
      <w:r w:rsidR="0BC668B0">
        <w:rPr/>
        <w:t>M</w:t>
      </w:r>
      <w:r w:rsidR="73F2080B">
        <w:rPr/>
        <w:t>ulatto</w:t>
      </w:r>
      <w:r w:rsidR="5C3B2E86">
        <w:rPr/>
        <w:t xml:space="preserve"> population as free citizens</w:t>
      </w:r>
      <w:r w:rsidR="39D594E7">
        <w:rPr/>
        <w:t>,</w:t>
      </w:r>
      <w:r w:rsidR="28895F33">
        <w:rPr/>
        <w:t xml:space="preserve"> with the freed slaves now </w:t>
      </w:r>
      <w:r w:rsidR="39D594E7">
        <w:rPr/>
        <w:t>known as</w:t>
      </w:r>
      <w:r w:rsidR="50BFA55C">
        <w:rPr/>
        <w:t xml:space="preserve"> </w:t>
      </w:r>
      <w:r w:rsidRPr="7D50C134" w:rsidR="50BFA55C">
        <w:rPr>
          <w:i w:val="1"/>
          <w:iCs w:val="1"/>
        </w:rPr>
        <w:t>libres</w:t>
      </w:r>
      <w:r w:rsidRPr="7D50C134" w:rsidR="50BFA55C">
        <w:rPr>
          <w:i w:val="0"/>
          <w:iCs w:val="0"/>
        </w:rPr>
        <w:t>, and the Mulattos who had been free before the revolution</w:t>
      </w:r>
      <w:r w:rsidRPr="7D50C134" w:rsidR="39D594E7">
        <w:rPr>
          <w:i w:val="0"/>
          <w:iCs w:val="0"/>
        </w:rPr>
        <w:t xml:space="preserve"> </w:t>
      </w:r>
      <w:r w:rsidRPr="7D50C134" w:rsidR="39D594E7">
        <w:rPr>
          <w:i w:val="1"/>
          <w:iCs w:val="1"/>
        </w:rPr>
        <w:t>ancien</w:t>
      </w:r>
      <w:r w:rsidRPr="7D50C134" w:rsidR="39D594E7">
        <w:rPr>
          <w:i w:val="1"/>
          <w:iCs w:val="1"/>
        </w:rPr>
        <w:t xml:space="preserve"> </w:t>
      </w:r>
      <w:r w:rsidRPr="7D50C134" w:rsidR="39D594E7">
        <w:rPr>
          <w:i w:val="1"/>
          <w:iCs w:val="1"/>
        </w:rPr>
        <w:t>libres</w:t>
      </w:r>
      <w:r w:rsidRPr="7D50C134" w:rsidR="6D41D991">
        <w:rPr>
          <w:i w:val="1"/>
          <w:iCs w:val="1"/>
        </w:rPr>
        <w:t>.</w:t>
      </w:r>
      <w:r w:rsidRPr="1C6F8615">
        <w:rPr>
          <w:rStyle w:val="FootnoteReference"/>
        </w:rPr>
        <w:footnoteReference w:id="15336"/>
      </w:r>
      <w:r w:rsidR="24EDF9A3">
        <w:rPr/>
        <w:t xml:space="preserve"> One of the commanding officers of the Haitian</w:t>
      </w:r>
      <w:r w:rsidR="24EDF9A3">
        <w:rPr/>
        <w:t xml:space="preserve"> forces, Toussaint Louverture, gained control of the colony</w:t>
      </w:r>
      <w:r w:rsidR="74EE9154">
        <w:rPr/>
        <w:t xml:space="preserve"> as </w:t>
      </w:r>
      <w:r w:rsidR="2094526E">
        <w:rPr/>
        <w:t>g</w:t>
      </w:r>
      <w:r w:rsidR="74EE9154">
        <w:rPr/>
        <w:t>overnor-</w:t>
      </w:r>
      <w:r w:rsidR="2F72D9C3">
        <w:rPr/>
        <w:t>g</w:t>
      </w:r>
      <w:r w:rsidR="74EE9154">
        <w:rPr/>
        <w:t>eneral</w:t>
      </w:r>
      <w:r w:rsidR="5B353F78">
        <w:rPr/>
        <w:t xml:space="preserve"> around 1797, after forcing the White Fren</w:t>
      </w:r>
      <w:r w:rsidR="47CFA1ED">
        <w:rPr/>
        <w:t xml:space="preserve">ch commander </w:t>
      </w:r>
      <w:r w:rsidR="47CFA1ED">
        <w:rPr/>
        <w:t>Léger-Félicité</w:t>
      </w:r>
      <w:r w:rsidR="47CFA1ED">
        <w:rPr/>
        <w:t xml:space="preserve"> </w:t>
      </w:r>
      <w:r w:rsidR="47CFA1ED">
        <w:rPr/>
        <w:t>Sonthona</w:t>
      </w:r>
      <w:r w:rsidR="47CFA1ED">
        <w:rPr/>
        <w:t>x</w:t>
      </w:r>
      <w:r w:rsidR="47CFA1ED">
        <w:rPr/>
        <w:t xml:space="preserve"> out of the role</w:t>
      </w:r>
      <w:r w:rsidRPr="1C6F8615">
        <w:rPr>
          <w:rStyle w:val="FootnoteReference"/>
        </w:rPr>
        <w:footnoteReference w:id="18943"/>
      </w:r>
      <w:r w:rsidR="47CFA1ED">
        <w:rPr/>
        <w:t>.</w:t>
      </w:r>
      <w:r w:rsidR="090E5812">
        <w:rPr/>
        <w:t xml:space="preserve"> </w:t>
      </w:r>
      <w:r w:rsidR="1DB03258">
        <w:rPr/>
        <w:t>F</w:t>
      </w:r>
      <w:r w:rsidR="090E5812">
        <w:rPr/>
        <w:t>r</w:t>
      </w:r>
      <w:r w:rsidR="1DB03258">
        <w:rPr/>
        <w:t xml:space="preserve">om 1799 to 1801, Louverture </w:t>
      </w:r>
      <w:r w:rsidR="090E5812">
        <w:rPr/>
        <w:t xml:space="preserve">repeatedly acted </w:t>
      </w:r>
      <w:r w:rsidR="52063B7F">
        <w:rPr/>
        <w:t>against the wishes of then-First Consul Napoleon Bonaparte</w:t>
      </w:r>
      <w:r w:rsidR="272155C1">
        <w:rPr/>
        <w:t xml:space="preserve">: he subverted the stated foreign policy goals of France, </w:t>
      </w:r>
      <w:r w:rsidR="289F5E5D">
        <w:rPr/>
        <w:t>first in working covertly with its enemies, then in annexing the Spanish holding of Santo Domingo</w:t>
      </w:r>
      <w:r w:rsidR="173E01A4">
        <w:rPr/>
        <w:t xml:space="preserve"> without consultation, then finally declaring himself governor-</w:t>
      </w:r>
      <w:r w:rsidR="0AAAE02B">
        <w:rPr/>
        <w:t>general for life.</w:t>
      </w:r>
      <w:r w:rsidRPr="1C6F8615">
        <w:rPr>
          <w:rStyle w:val="FootnoteReference"/>
        </w:rPr>
        <w:footnoteReference w:id="13417"/>
      </w:r>
      <w:r w:rsidR="31FBCC37">
        <w:rPr/>
        <w:t xml:space="preserve"> </w:t>
      </w:r>
      <w:r w:rsidR="0518650F">
        <w:rPr/>
        <w:t>Bonaparte</w:t>
      </w:r>
      <w:r w:rsidR="63421FDA">
        <w:rPr/>
        <w:t xml:space="preserve"> finally responded in late 1801 by sending </w:t>
      </w:r>
      <w:r w:rsidR="4C0EF39E">
        <w:rPr/>
        <w:t>a complement of</w:t>
      </w:r>
      <w:r w:rsidR="4C0EF39E">
        <w:rPr/>
        <w:t xml:space="preserve"> </w:t>
      </w:r>
      <w:r w:rsidR="4C0EF39E">
        <w:rPr/>
        <w:t>19,000 troop</w:t>
      </w:r>
      <w:r w:rsidR="4C0EF39E">
        <w:rPr/>
        <w:t>s</w:t>
      </w:r>
      <w:r w:rsidR="4C0EF39E">
        <w:rPr/>
        <w:t xml:space="preserve"> to Saint-Domingue</w:t>
      </w:r>
      <w:r w:rsidRPr="1C6F8615">
        <w:rPr>
          <w:rStyle w:val="FootnoteReference"/>
        </w:rPr>
        <w:footnoteReference w:id="20179"/>
      </w:r>
      <w:r w:rsidR="4C0EF39E">
        <w:rPr/>
        <w:t>, led by his brother-in-law Victoire-Emmanuel Leclerc</w:t>
      </w:r>
      <w:r w:rsidR="017578DB">
        <w:rPr/>
        <w:t>, with instruction to restore French authority</w:t>
      </w:r>
      <w:r w:rsidRPr="1C6F8615">
        <w:rPr>
          <w:rStyle w:val="FootnoteReference"/>
        </w:rPr>
        <w:footnoteReference w:id="6940"/>
      </w:r>
      <w:r w:rsidR="017578DB">
        <w:rPr/>
        <w:t>.</w:t>
      </w:r>
    </w:p>
    <w:p w:rsidR="2B8C5F13" w:rsidP="7D50C134" w:rsidRDefault="2B8C5F13" w14:paraId="515B45FB" w14:textId="4640F02F">
      <w:pPr>
        <w:pStyle w:val="Normal"/>
        <w:suppressLineNumbers w:val="0"/>
        <w:bidi w:val="0"/>
        <w:spacing w:before="0" w:beforeAutospacing="off" w:after="160" w:afterAutospacing="off" w:line="279" w:lineRule="auto"/>
        <w:ind w:left="0" w:right="0"/>
        <w:jc w:val="left"/>
      </w:pPr>
      <w:r w:rsidR="3589C08B">
        <w:rPr/>
        <w:t>While the French forces enjoyed immediate success, it was short lived.</w:t>
      </w:r>
      <w:r w:rsidR="73F858D5">
        <w:rPr/>
        <w:t xml:space="preserve"> </w:t>
      </w:r>
      <w:r w:rsidR="0F4015C2">
        <w:rPr/>
        <w:t xml:space="preserve">Over the course of 1802, many </w:t>
      </w:r>
      <w:r w:rsidR="73F858D5">
        <w:rPr/>
        <w:t>of the</w:t>
      </w:r>
      <w:r w:rsidR="675889F9">
        <w:rPr/>
        <w:t>ir</w:t>
      </w:r>
      <w:r w:rsidR="73F858D5">
        <w:rPr/>
        <w:t xml:space="preserve"> troops</w:t>
      </w:r>
      <w:r w:rsidR="7E6E5616">
        <w:rPr/>
        <w:t xml:space="preserve"> fell victim to yellow fever, which was a common foe to soldiers in the Caribbean</w:t>
      </w:r>
      <w:r w:rsidRPr="1C6F8615">
        <w:rPr>
          <w:rStyle w:val="FootnoteReference"/>
        </w:rPr>
        <w:footnoteReference w:id="26337"/>
      </w:r>
      <w:r w:rsidR="249B5E95">
        <w:rPr/>
        <w:t>. By</w:t>
      </w:r>
      <w:r w:rsidR="63EE6843">
        <w:rPr/>
        <w:t xml:space="preserve"> September 16</w:t>
      </w:r>
      <w:r w:rsidR="7C0456BC">
        <w:rPr/>
        <w:t>, Leclerc writes that “(the disease) is now costing us 100 to 120 men per day.”</w:t>
      </w:r>
      <w:r w:rsidRPr="1C6F8615">
        <w:rPr>
          <w:rStyle w:val="FootnoteReference"/>
        </w:rPr>
        <w:footnoteReference w:id="20447"/>
      </w:r>
      <w:r w:rsidR="0C909B3A">
        <w:rPr/>
        <w:t xml:space="preserve"> Facing constant losses of his own men</w:t>
      </w:r>
      <w:r w:rsidR="43060D59">
        <w:rPr/>
        <w:t xml:space="preserve"> to disease and defection</w:t>
      </w:r>
      <w:r w:rsidR="0C909B3A">
        <w:rPr/>
        <w:t>, and contracting the disease himself</w:t>
      </w:r>
      <w:r w:rsidR="16262EE1">
        <w:rPr/>
        <w:t>,</w:t>
      </w:r>
      <w:r w:rsidRPr="1C6F8615">
        <w:rPr>
          <w:rStyle w:val="FootnoteReference"/>
        </w:rPr>
        <w:footnoteReference w:id="31663"/>
      </w:r>
      <w:r w:rsidR="7EB1170E">
        <w:rPr/>
        <w:t xml:space="preserve"> Leclerc began to order his forces </w:t>
      </w:r>
      <w:r w:rsidR="738D4D7B">
        <w:rPr/>
        <w:t xml:space="preserve">to aggressively destroy any </w:t>
      </w:r>
      <w:r w:rsidR="738D4D7B">
        <w:rPr/>
        <w:t>possible rebellion</w:t>
      </w:r>
      <w:r w:rsidR="738D4D7B">
        <w:rPr/>
        <w:t xml:space="preserve"> within the</w:t>
      </w:r>
      <w:r w:rsidR="534106EA">
        <w:rPr/>
        <w:t xml:space="preserve"> ranks of the Black and Mulatto colonial regiments.</w:t>
      </w:r>
      <w:r w:rsidR="5994D15B">
        <w:rPr/>
        <w:t xml:space="preserve"> Units were executed collectively if a single member had </w:t>
      </w:r>
      <w:r w:rsidR="3F2216E7">
        <w:rPr/>
        <w:t>defected, with mass drownings becoming the most common method of execution</w:t>
      </w:r>
      <w:r w:rsidR="7F907E68">
        <w:rPr/>
        <w:t>.</w:t>
      </w:r>
      <w:r w:rsidRPr="1C6F8615">
        <w:rPr>
          <w:rStyle w:val="FootnoteReference"/>
        </w:rPr>
        <w:footnoteReference w:id="9019"/>
      </w:r>
      <w:r w:rsidR="6C42CE12">
        <w:rPr/>
        <w:t xml:space="preserve"> </w:t>
      </w:r>
      <w:r w:rsidR="49D077A0">
        <w:rPr/>
        <w:t xml:space="preserve">The indiscriminate nature of these acts against the Black and Mulatto soldiers was not coincidental. In a letter to naval and colonial minister Denis </w:t>
      </w:r>
      <w:r w:rsidR="49D077A0">
        <w:rPr/>
        <w:t>Decrès</w:t>
      </w:r>
      <w:r w:rsidR="49D077A0">
        <w:rPr/>
        <w:t xml:space="preserve"> on 17 September, Leclerc stated that he ”will have to engage in a war of extermination”,</w:t>
      </w:r>
      <w:r w:rsidRPr="7D50C134">
        <w:rPr>
          <w:rStyle w:val="FootnoteReference"/>
        </w:rPr>
        <w:footnoteReference w:id="5328"/>
      </w:r>
      <w:r w:rsidR="49D077A0">
        <w:rPr/>
        <w:t xml:space="preserve"> and later wrote that to defeat the Haitians, his force ”must destroy all the negros from the mountains, man and woman, only keep the children older than 12, destroy half of those of the plains and allow not a single man of colour that has worn epaulettes.”</w:t>
      </w:r>
      <w:r w:rsidRPr="7D50C134">
        <w:rPr>
          <w:rStyle w:val="FootnoteReference"/>
        </w:rPr>
        <w:footnoteReference w:id="21478"/>
      </w:r>
      <w:r w:rsidR="49D077A0">
        <w:rPr/>
        <w:t xml:space="preserve"> It is little wonder, therefore, that these executions rapidly evolved from mass killings to proto-industrialized massacres. </w:t>
      </w:r>
      <w:r w:rsidR="6C42CE12">
        <w:rPr/>
        <w:t>This reached a peak shortly before Leclerc’s death of yellow fever</w:t>
      </w:r>
      <w:r w:rsidR="3BF234BC">
        <w:rPr/>
        <w:t>, with all 1,200 members of the 6</w:t>
      </w:r>
      <w:r w:rsidRPr="1C6F8615" w:rsidR="3BF234BC">
        <w:rPr>
          <w:vertAlign w:val="superscript"/>
        </w:rPr>
        <w:t>th</w:t>
      </w:r>
      <w:r w:rsidR="3BF234BC">
        <w:rPr/>
        <w:t xml:space="preserve"> colonial demi-brigade being drowned at</w:t>
      </w:r>
      <w:r w:rsidR="40E20C56">
        <w:rPr/>
        <w:t xml:space="preserve"> Cap-Français.</w:t>
      </w:r>
      <w:r w:rsidR="439E9F7A">
        <w:rPr/>
        <w:t xml:space="preserve"> Haitian writers from the time also </w:t>
      </w:r>
      <w:r w:rsidR="5D3D9911">
        <w:rPr/>
        <w:t xml:space="preserve">made claims of</w:t>
      </w:r>
      <w:r w:rsidR="439E9F7A">
        <w:rPr/>
        <w:t xml:space="preserve"> </w:t>
      </w:r>
      <w:r w:rsidR="439E9F7A">
        <w:rPr/>
        <w:t xml:space="preserve">French forces executing their captives with sulphur, which while not claimed in </w:t>
      </w:r>
      <w:r w:rsidR="01A343BD">
        <w:rPr/>
        <w:t xml:space="preserve">writing by Leclerc or later Rochambeau, may be referenced by two British agents</w:t>
      </w:r>
      <w:r w:rsidR="6AAE7903">
        <w:rPr/>
        <w:t xml:space="preserve">’ contemporary</w:t>
      </w:r>
      <w:r w:rsidR="01A343BD">
        <w:rPr/>
        <w:t xml:space="preserve"> writing</w:t>
      </w:r>
      <w:r w:rsidR="3073A484">
        <w:rPr/>
        <w:t xml:space="preserve">s</w:t>
      </w:r>
      <w:r w:rsidR="066555B5">
        <w:rPr/>
        <w:t xml:space="preserve">.</w:t>
      </w:r>
      <w:r w:rsidRPr="7D50C134">
        <w:rPr>
          <w:rStyle w:val="FootnoteReference"/>
        </w:rPr>
        <w:footnoteReference w:id="15463"/>
      </w:r>
      <w:r>
        <w:br/>
      </w:r>
      <w:r>
        <w:br/>
      </w:r>
      <w:r w:rsidR="6C4830BF">
        <w:rPr/>
        <w:t>At the same time as these indiscriminate killings, French forces began public ex</w:t>
      </w:r>
      <w:r w:rsidR="3E5FF039">
        <w:rPr/>
        <w:t>ecutions</w:t>
      </w:r>
      <w:r w:rsidR="3F0C9C46">
        <w:rPr/>
        <w:t>, initially</w:t>
      </w:r>
      <w:r w:rsidR="3E5FF039">
        <w:rPr/>
        <w:t xml:space="preserve"> as acts of terror against the Haitian population</w:t>
      </w:r>
      <w:r w:rsidR="6B43C818">
        <w:rPr/>
        <w:t>, though t</w:t>
      </w:r>
      <w:r w:rsidR="27ED6BD3">
        <w:rPr/>
        <w:t>h</w:t>
      </w:r>
      <w:r w:rsidR="32E8BCF0">
        <w:rPr/>
        <w:t>ese</w:t>
      </w:r>
      <w:r w:rsidR="27ED6BD3">
        <w:rPr/>
        <w:t xml:space="preserve"> performance</w:t>
      </w:r>
      <w:r w:rsidR="4DDA3C61">
        <w:rPr/>
        <w:t>s</w:t>
      </w:r>
      <w:r w:rsidR="27ED6BD3">
        <w:rPr/>
        <w:t xml:space="preserve"> of cruelty became a spectator sport for the </w:t>
      </w:r>
      <w:r w:rsidR="2384266C">
        <w:rPr/>
        <w:t xml:space="preserve">White </w:t>
      </w:r>
      <w:r w:rsidR="27ED6BD3">
        <w:rPr/>
        <w:t>French stationed on the island:</w:t>
      </w:r>
      <w:r w:rsidR="10BE2A74">
        <w:rPr/>
        <w:t xml:space="preserve"> Cap-Français</w:t>
      </w:r>
      <w:r w:rsidR="6E1CD63F">
        <w:rPr/>
        <w:t>, likewise,</w:t>
      </w:r>
      <w:r w:rsidR="10BE2A74">
        <w:rPr/>
        <w:t xml:space="preserve"> became the host of </w:t>
      </w:r>
      <w:r w:rsidR="5864AF79">
        <w:rPr/>
        <w:t>regular killings by bloodhounds</w:t>
      </w:r>
      <w:r w:rsidR="2DB63A99">
        <w:rPr/>
        <w:t xml:space="preserve"> </w:t>
      </w:r>
      <w:r w:rsidR="5864AF79">
        <w:rPr/>
        <w:t xml:space="preserve">who had been trained to </w:t>
      </w:r>
      <w:r w:rsidR="19DA5857">
        <w:rPr/>
        <w:t>hunt Black Haitians</w:t>
      </w:r>
      <w:r w:rsidR="71B131F7">
        <w:rPr/>
        <w:t>, who would be led into arenas naked to be torn apart</w:t>
      </w:r>
      <w:r w:rsidR="7B0769BC">
        <w:rPr/>
        <w:t xml:space="preserve"> before a crowd</w:t>
      </w:r>
      <w:r w:rsidR="71B131F7">
        <w:rPr/>
        <w:t>.</w:t>
      </w:r>
      <w:r w:rsidRPr="7D50C134">
        <w:rPr>
          <w:rStyle w:val="FootnoteReference"/>
        </w:rPr>
        <w:footnoteReference w:id="26521"/>
      </w:r>
      <w:r w:rsidR="4F0019D0">
        <w:rPr/>
        <w:t xml:space="preserve"> Such killings, along with the prior mentioned execution of Maurepas, </w:t>
      </w:r>
      <w:r w:rsidR="1C39899D">
        <w:rPr/>
        <w:t>indicate</w:t>
      </w:r>
      <w:r w:rsidR="1C39899D">
        <w:rPr/>
        <w:t xml:space="preserve"> a clear pattern of intentional cruelty in their actions, taken entirely against Black</w:t>
      </w:r>
      <w:r w:rsidR="27765F7D">
        <w:rPr/>
        <w:t xml:space="preserve"> and Mulatto</w:t>
      </w:r>
      <w:r w:rsidR="1C39899D">
        <w:rPr/>
        <w:t xml:space="preserve"> citizens and soldiers.</w:t>
      </w:r>
      <w:r>
        <w:br/>
      </w:r>
      <w:r>
        <w:br/>
      </w:r>
      <w:r>
        <w:br/>
      </w:r>
      <w:r w:rsidR="6BD723A0">
        <w:rPr/>
        <w:t xml:space="preserve">It is difficult to </w:t>
      </w:r>
      <w:r w:rsidR="6BD723A0">
        <w:rPr/>
        <w:t>ascertain</w:t>
      </w:r>
      <w:r w:rsidR="6BD723A0">
        <w:rPr/>
        <w:t xml:space="preserve"> whether the boundary between genocide and mass murder was crossed in Saint-Domingue between 1802 and 1804. Historical consensus varies within the subject itself: </w:t>
      </w:r>
      <w:r w:rsidR="05875072">
        <w:rPr/>
        <w:t>it is indisputable that French forces committed mass murder of Black</w:t>
      </w:r>
      <w:r w:rsidR="7D8A6305">
        <w:rPr/>
        <w:t xml:space="preserve"> and Mulatto</w:t>
      </w:r>
      <w:r w:rsidR="05875072">
        <w:rPr/>
        <w:t xml:space="preserve"> Haitians. To answer this, the question of intent must be asked</w:t>
      </w:r>
      <w:r w:rsidR="7080F81C">
        <w:rPr/>
        <w:t xml:space="preserve">, per Article 2 of the United Nations </w:t>
      </w:r>
      <w:r w:rsidR="7080F81C">
        <w:rPr/>
        <w:t>Convention on the Prevention and Punishment of the Crime of Genocide</w:t>
      </w:r>
      <w:r w:rsidR="14A485A7">
        <w:rPr/>
        <w:t xml:space="preserve"> (here onward referred to as the Genocide Convention)</w:t>
      </w:r>
      <w:r w:rsidR="7E44E569">
        <w:rPr/>
        <w:t>: did the leaders of the French expedition intend to commit genocide?</w:t>
      </w:r>
      <w:r>
        <w:br/>
      </w:r>
      <w:r>
        <w:br/>
      </w:r>
      <w:r w:rsidR="5643CA7C">
        <w:rPr/>
        <w:t>It is</w:t>
      </w:r>
      <w:r w:rsidR="5643CA7C">
        <w:rPr/>
        <w:t xml:space="preserve">, in my opinion, </w:t>
      </w:r>
      <w:r w:rsidR="448EA00D">
        <w:rPr/>
        <w:t>also</w:t>
      </w:r>
      <w:r w:rsidR="448EA00D">
        <w:rPr/>
        <w:t xml:space="preserve"> </w:t>
      </w:r>
      <w:r w:rsidR="5643CA7C">
        <w:rPr/>
        <w:t>indisputable</w:t>
      </w:r>
      <w:r w:rsidR="5643CA7C">
        <w:rPr/>
        <w:t xml:space="preserve"> that the French forces had intent to kill</w:t>
      </w:r>
      <w:r w:rsidR="305D3522">
        <w:rPr/>
        <w:t xml:space="preserve"> and</w:t>
      </w:r>
      <w:r w:rsidR="5643CA7C">
        <w:rPr/>
        <w:t xml:space="preserve"> </w:t>
      </w:r>
      <w:r w:rsidR="5F897BF5">
        <w:rPr/>
        <w:t>cause serious bodily or mental harm to</w:t>
      </w:r>
      <w:r w:rsidR="3F512295">
        <w:rPr/>
        <w:t xml:space="preserve"> the Black and Mulatto residents of Saint-Domingue</w:t>
      </w:r>
      <w:r w:rsidR="7B976A46">
        <w:rPr/>
        <w:t xml:space="preserve">: however, it is debated whether they had the intent </w:t>
      </w:r>
      <w:r w:rsidR="7B976A46">
        <w:rPr/>
        <w:t>to ”destroy</w:t>
      </w:r>
      <w:r w:rsidR="7B976A46">
        <w:rPr/>
        <w:t>, in whole or in part</w:t>
      </w:r>
      <w:r w:rsidR="7B976A46">
        <w:rPr/>
        <w:t>”,</w:t>
      </w:r>
      <w:r w:rsidRPr="7D50C134">
        <w:rPr>
          <w:rStyle w:val="FootnoteReference"/>
        </w:rPr>
        <w:footnoteReference w:id="9277"/>
      </w:r>
      <w:r w:rsidR="7B976A46">
        <w:rPr/>
        <w:t xml:space="preserve"> the </w:t>
      </w:r>
      <w:r w:rsidR="68A322A1">
        <w:rPr/>
        <w:t>non-white Haitians of Saint Domingue.</w:t>
      </w:r>
      <w:r w:rsidR="595942B8">
        <w:rPr/>
        <w:t xml:space="preserve"> Philippe Girard</w:t>
      </w:r>
      <w:r w:rsidR="63BC5254">
        <w:rPr/>
        <w:t xml:space="preserve"> argues that the treatment of citizens of Guadeloupe after the reintroduction of slavery</w:t>
      </w:r>
      <w:r w:rsidR="4A1EBBBA">
        <w:rPr/>
        <w:t xml:space="preserve">, and only ten percent of the population being killed or deported, shows there may never have been intent to kill more than the same </w:t>
      </w:r>
      <w:r w:rsidR="46C4630D">
        <w:rPr/>
        <w:t xml:space="preserve">proportion in Haiti; additionally, as Africans would have been imported to </w:t>
      </w:r>
      <w:r w:rsidR="6B26EA45">
        <w:rPr/>
        <w:t xml:space="preserve">replenish the labour force, Leclerc </w:t>
      </w:r>
      <w:r w:rsidR="1CCFFFE7">
        <w:rPr/>
        <w:t>did not expect a racial extermination from his demand to ”</w:t>
      </w:r>
      <w:r w:rsidR="3C15093D">
        <w:rPr/>
        <w:t>destroy all the negros from the mountains, [...] only keep the children older than 12, destroy half of those of the plains and allow not a single man of colour that has worn epaulettes”</w:t>
      </w:r>
      <w:r w:rsidR="1745AD63">
        <w:rPr/>
        <w:t xml:space="preserve">. </w:t>
      </w:r>
      <w:r w:rsidRPr="7D50C134">
        <w:rPr>
          <w:rStyle w:val="FootnoteReference"/>
        </w:rPr>
        <w:footnoteReference w:id="7653"/>
      </w:r>
      <w:r>
        <w:br/>
      </w:r>
      <w:r>
        <w:br/>
      </w:r>
      <w:r w:rsidR="307BC3DA">
        <w:rPr/>
        <w:t>I</w:t>
      </w:r>
      <w:r w:rsidR="09570A16">
        <w:rPr/>
        <w:t>t is my</w:t>
      </w:r>
      <w:r w:rsidR="307BC3DA">
        <w:rPr/>
        <w:t xml:space="preserve"> </w:t>
      </w:r>
      <w:r w:rsidR="1CC0984C">
        <w:rPr/>
        <w:t xml:space="preserve">belief </w:t>
      </w:r>
      <w:r w:rsidR="307BC3DA">
        <w:rPr/>
        <w:t>that Girard has a fundamental misunderstanding of the</w:t>
      </w:r>
      <w:r w:rsidR="075F837D">
        <w:rPr/>
        <w:t xml:space="preserve"> text of the</w:t>
      </w:r>
      <w:r w:rsidR="307BC3DA">
        <w:rPr/>
        <w:t xml:space="preserve"> Genocide Convention</w:t>
      </w:r>
      <w:r w:rsidR="64386159">
        <w:rPr/>
        <w:t xml:space="preserve">. Even taking this argument as truth, </w:t>
      </w:r>
      <w:r w:rsidR="362A1DE1">
        <w:rPr/>
        <w:t xml:space="preserve">the ”war of extermination” Leclerc called for would still constitute genocide per Article 2, as </w:t>
      </w:r>
      <w:r w:rsidR="564D0D66">
        <w:rPr/>
        <w:t xml:space="preserve">the </w:t>
      </w:r>
      <w:r w:rsidR="5D45D93C">
        <w:rPr/>
        <w:t>killing and deportation of Haitian citizens and importing of non-Haitians would constitute the intentional destruction</w:t>
      </w:r>
      <w:r w:rsidR="450E585A">
        <w:rPr/>
        <w:t>, by Leclerc or by the greater French government,</w:t>
      </w:r>
      <w:r w:rsidR="5D45D93C">
        <w:rPr/>
        <w:t xml:space="preserve"> of a national group</w:t>
      </w:r>
      <w:r w:rsidR="48B8E857">
        <w:rPr/>
        <w:t>, which the Genocide Convention recognizes as a group that can suffer genocide.</w:t>
      </w:r>
      <w:r w:rsidRPr="7D50C134">
        <w:rPr>
          <w:rStyle w:val="FootnoteReference"/>
        </w:rPr>
        <w:footnoteReference w:id="29546"/>
      </w:r>
      <w:r>
        <w:br/>
      </w:r>
    </w:p>
    <w:p w:rsidR="2B8C5F13" w:rsidP="7D50C134" w:rsidRDefault="2B8C5F13" w14:paraId="4A60D5DA" w14:textId="1EA33D21">
      <w:pPr>
        <w:pStyle w:val="Normal"/>
        <w:suppressLineNumbers w:val="0"/>
        <w:bidi w:val="0"/>
        <w:spacing w:before="0" w:beforeAutospacing="off" w:after="160" w:afterAutospacing="off" w:line="279" w:lineRule="auto"/>
        <w:ind w:left="0" w:right="0"/>
        <w:jc w:val="left"/>
      </w:pPr>
      <w:r w:rsidR="3193987B">
        <w:rPr/>
        <w:t>T</w:t>
      </w:r>
      <w:r w:rsidR="78F8389B">
        <w:rPr/>
        <w:t xml:space="preserve">o conclude, </w:t>
      </w:r>
      <w:r w:rsidR="78F8389B">
        <w:rPr/>
        <w:t>in my opinion the</w:t>
      </w:r>
      <w:r w:rsidR="78F8389B">
        <w:rPr/>
        <w:t xml:space="preserve"> boundary was crossed, and under </w:t>
      </w:r>
      <w:r w:rsidR="2C49AB93">
        <w:rPr/>
        <w:t>the definition ratified in the Genocide Convention</w:t>
      </w:r>
      <w:r w:rsidR="78F8389B">
        <w:rPr/>
        <w:t xml:space="preserve"> the French expedition to </w:t>
      </w:r>
      <w:r w:rsidR="7F669898">
        <w:rPr/>
        <w:t xml:space="preserve">Saint-Domingue </w:t>
      </w:r>
      <w:r w:rsidR="78F8389B">
        <w:rPr/>
        <w:t>attempted</w:t>
      </w:r>
      <w:r w:rsidR="78F8389B">
        <w:rPr/>
        <w:t xml:space="preserve"> to commit genocide</w:t>
      </w:r>
      <w:r w:rsidR="4FCF6083">
        <w:rPr/>
        <w:t xml:space="preserve"> of the Black and Mulatto Haitians.</w:t>
      </w:r>
      <w:r w:rsidR="78F8389B">
        <w:rPr/>
        <w:t xml:space="preserve"> between 1802 and 1804.</w:t>
      </w:r>
    </w:p>
    <w:p w:rsidR="3CA55F77" w:rsidRDefault="3CA55F77" w14:paraId="4E11FFDD" w14:textId="336CC298"/>
    <w:p w:rsidR="3CA55F77" w:rsidRDefault="3CA55F77" w14:paraId="24CFE39B" w14:textId="5FDCDE82"/>
    <w:p w:rsidR="3CA55F77" w:rsidP="1C6F8615" w:rsidRDefault="3CA55F77" w14:paraId="6B42E217" w14:textId="07ACEB91">
      <w:pPr>
        <w:pStyle w:val="Normal"/>
      </w:pPr>
    </w:p>
    <w:p w:rsidR="7D50C134" w:rsidP="7D50C134" w:rsidRDefault="7D50C134" w14:paraId="13E94A31" w14:textId="3E7872F7">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046DADC0" w14:textId="622771B6">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06CE5208" w14:textId="049DEFB8">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40131697" w14:textId="3267868C">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360A5BBD" w14:textId="1C9A3A03">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20228E4F" w14:textId="4AA7F3A0">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6BEC5308" w14:textId="12E2389E">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43FFA5F8" w14:textId="143DEC9C">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5226002D" w14:textId="705DC380">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0E510B96" w14:textId="4CE550A3">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2F368CCB" w14:textId="5B331D94">
      <w:pPr>
        <w:pStyle w:val="Normal"/>
        <w:suppressLineNumbers w:val="0"/>
        <w:bidi w:val="0"/>
        <w:spacing w:before="0" w:beforeAutospacing="off" w:after="173" w:afterAutospacing="off"/>
        <w:rPr>
          <w:rFonts w:ascii="Roboto" w:hAnsi="Roboto" w:eastAsia="Roboto" w:cs="Roboto"/>
          <w:sz w:val="21"/>
          <w:szCs w:val="21"/>
        </w:rPr>
      </w:pPr>
    </w:p>
    <w:p w:rsidR="7D50C134" w:rsidP="7D50C134" w:rsidRDefault="7D50C134" w14:paraId="7107C82B" w14:textId="08CC1C19">
      <w:pPr>
        <w:pStyle w:val="Normal"/>
        <w:suppressLineNumbers w:val="0"/>
        <w:bidi w:val="0"/>
        <w:spacing w:before="0" w:beforeAutospacing="off" w:after="173" w:afterAutospacing="off"/>
        <w:rPr>
          <w:rFonts w:ascii="Roboto" w:hAnsi="Roboto" w:eastAsia="Roboto" w:cs="Roboto"/>
          <w:sz w:val="21"/>
          <w:szCs w:val="21"/>
        </w:rPr>
      </w:pPr>
    </w:p>
    <w:p w:rsidR="2E3D32DD" w:rsidP="1C6F8615" w:rsidRDefault="2E3D32DD" w14:paraId="18DFF70C" w14:textId="27E212B4">
      <w:pPr>
        <w:pStyle w:val="Normal"/>
        <w:suppressLineNumbers w:val="0"/>
        <w:bidi w:val="0"/>
        <w:spacing w:before="0" w:beforeAutospacing="off" w:after="173" w:afterAutospacing="off"/>
      </w:pPr>
      <w:r>
        <w:br/>
      </w:r>
      <w:r>
        <w:br/>
      </w:r>
      <w:r>
        <w:br/>
      </w:r>
      <w:r>
        <w:br/>
      </w:r>
      <w:r>
        <w:br/>
      </w:r>
      <w:r>
        <w:br/>
      </w:r>
      <w:r>
        <w:br/>
      </w:r>
      <w:r>
        <w:br/>
      </w:r>
    </w:p>
    <w:p w:rsidR="2E3D32DD" w:rsidP="7D50C134" w:rsidRDefault="2E3D32DD" w14:paraId="7A57223F" w14:textId="6518056E">
      <w:pPr>
        <w:pStyle w:val="Normal"/>
        <w:suppressLineNumbers w:val="0"/>
        <w:bidi w:val="0"/>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sz w:val="21"/>
          <w:szCs w:val="21"/>
        </w:rPr>
        <w:t>Bibliography</w:t>
      </w:r>
      <w:r>
        <w:br/>
      </w:r>
      <w:r>
        <w:br/>
      </w:r>
      <w:r w:rsidRPr="7D50C134" w:rsidR="30AB44EB">
        <w:rPr>
          <w:rFonts w:ascii="Roboto" w:hAnsi="Roboto" w:eastAsia="Roboto" w:cs="Roboto"/>
          <w:sz w:val="21"/>
          <w:szCs w:val="21"/>
        </w:rPr>
        <w:t xml:space="preserve">Barskett, J. (1824). History of the Island of St. Domingo: From Its First Discovery by Columbus to the Present Period. Mahlon Day, New York, 1824. Available: </w:t>
      </w:r>
      <w:hyperlink w:anchor="v=onepage&amp;q&amp;f=false" r:id="R5e1d536551d74306">
        <w:r w:rsidRPr="7D50C134" w:rsidR="30AB44EB">
          <w:rPr>
            <w:rStyle w:val="Hyperlink"/>
            <w:rFonts w:ascii="Roboto" w:hAnsi="Roboto" w:eastAsia="Roboto" w:cs="Roboto"/>
            <w:sz w:val="21"/>
            <w:szCs w:val="21"/>
          </w:rPr>
          <w:t>https://books.google.co.uk/books?id=QeoCAAAAYAAJ&amp;pg=PP1#v=onepage&amp;q&amp;f=false</w:t>
        </w:r>
      </w:hyperlink>
      <w:r w:rsidRPr="7D50C134" w:rsidR="30AB44EB">
        <w:rPr>
          <w:rFonts w:ascii="Roboto" w:hAnsi="Roboto" w:eastAsia="Roboto" w:cs="Roboto"/>
          <w:sz w:val="21"/>
          <w:szCs w:val="21"/>
        </w:rPr>
        <w:t xml:space="preserve"> </w:t>
      </w:r>
      <w:r w:rsidRPr="7D50C134" w:rsidR="28757C0F">
        <w:rPr>
          <w:rFonts w:ascii="Roboto" w:hAnsi="Roboto" w:eastAsia="Roboto" w:cs="Roboto"/>
          <w:sz w:val="21"/>
          <w:szCs w:val="21"/>
        </w:rPr>
        <w:t>[</w:t>
      </w:r>
      <w:r w:rsidRPr="7D50C134" w:rsidR="30AB44EB">
        <w:rPr>
          <w:rFonts w:ascii="Roboto" w:hAnsi="Roboto" w:eastAsia="Roboto" w:cs="Roboto"/>
          <w:sz w:val="21"/>
          <w:szCs w:val="21"/>
        </w:rPr>
        <w:t>Accessed: 17 November 2024</w:t>
      </w:r>
      <w:r w:rsidRPr="7D50C134" w:rsidR="083E2D84">
        <w:rPr>
          <w:rFonts w:ascii="Roboto" w:hAnsi="Roboto" w:eastAsia="Roboto" w:cs="Roboto"/>
          <w:sz w:val="21"/>
          <w:szCs w:val="21"/>
        </w:rPr>
        <w:t>]</w:t>
      </w:r>
      <w:r>
        <w:br/>
      </w:r>
      <w:r w:rsidR="2E3D32DD">
        <w:rPr/>
        <w:t xml:space="preserve"> </w:t>
      </w:r>
      <w:r>
        <w:br/>
      </w:r>
      <w:r w:rsidRPr="7D50C134" w:rsidR="2E3D32DD">
        <w:rPr>
          <w:rFonts w:ascii="Roboto" w:hAnsi="Roboto" w:eastAsia="Roboto" w:cs="Roboto"/>
          <w:b w:val="0"/>
          <w:bCs w:val="0"/>
          <w:i w:val="0"/>
          <w:iCs w:val="0"/>
          <w:caps w:val="0"/>
          <w:smallCaps w:val="0"/>
          <w:color w:val="000000" w:themeColor="text1" w:themeTint="FF" w:themeShade="FF"/>
          <w:sz w:val="21"/>
          <w:szCs w:val="21"/>
        </w:rPr>
        <w:t>Daut, M.L. (2020), All the Devils Are Here.</w:t>
      </w:r>
      <w:r w:rsidRPr="7D50C134" w:rsidR="2D0E974B">
        <w:rPr>
          <w:rFonts w:ascii="Roboto" w:hAnsi="Roboto" w:eastAsia="Roboto" w:cs="Roboto"/>
          <w:b w:val="0"/>
          <w:bCs w:val="0"/>
          <w:i w:val="0"/>
          <w:iCs w:val="0"/>
          <w:caps w:val="0"/>
          <w:smallCaps w:val="0"/>
          <w:color w:val="000000" w:themeColor="text1" w:themeTint="FF" w:themeShade="FF"/>
          <w:sz w:val="21"/>
          <w:szCs w:val="21"/>
        </w:rPr>
        <w:t xml:space="preserve"> </w:t>
      </w:r>
      <w:r w:rsidRPr="7D50C134" w:rsidR="2D0E974B">
        <w:rPr>
          <w:rFonts w:ascii="Roboto" w:hAnsi="Roboto" w:eastAsia="Roboto" w:cs="Roboto"/>
          <w:b w:val="0"/>
          <w:bCs w:val="0"/>
          <w:i w:val="1"/>
          <w:iCs w:val="1"/>
          <w:caps w:val="0"/>
          <w:smallCaps w:val="0"/>
          <w:color w:val="000000" w:themeColor="text1" w:themeTint="FF" w:themeShade="FF"/>
          <w:sz w:val="21"/>
          <w:szCs w:val="21"/>
        </w:rPr>
        <w:t>Lapham’s Quarterly</w:t>
      </w:r>
      <w:r w:rsidRPr="7D50C134" w:rsidR="2D0E974B">
        <w:rPr>
          <w:rFonts w:ascii="Roboto" w:hAnsi="Roboto" w:eastAsia="Roboto" w:cs="Roboto"/>
          <w:b w:val="0"/>
          <w:bCs w:val="0"/>
          <w:i w:val="0"/>
          <w:iCs w:val="0"/>
          <w:caps w:val="0"/>
          <w:smallCaps w:val="0"/>
          <w:color w:val="000000" w:themeColor="text1" w:themeTint="FF" w:themeShade="FF"/>
          <w:sz w:val="21"/>
          <w:szCs w:val="21"/>
        </w:rPr>
        <w:t>, 14 October.</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Available: </w:t>
      </w:r>
      <w:hyperlink r:id="Rc89ee83b2f2049f5">
        <w:r w:rsidRPr="7D50C134" w:rsidR="2E3D32DD">
          <w:rPr>
            <w:rStyle w:val="Hyperlink"/>
            <w:rFonts w:ascii="Roboto" w:hAnsi="Roboto" w:eastAsia="Roboto" w:cs="Roboto"/>
            <w:b w:val="0"/>
            <w:bCs w:val="0"/>
            <w:i w:val="0"/>
            <w:iCs w:val="0"/>
            <w:caps w:val="0"/>
            <w:smallCaps w:val="0"/>
            <w:strike w:val="0"/>
            <w:dstrike w:val="0"/>
            <w:sz w:val="21"/>
            <w:szCs w:val="21"/>
          </w:rPr>
          <w:t>https://www.laphamsquarterly.org/roundtable/all-devils-are-here</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0D74773A">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 17 November 2024</w:t>
      </w:r>
      <w:r w:rsidRPr="7D50C134" w:rsidR="110695D7">
        <w:rPr>
          <w:rFonts w:ascii="Roboto" w:hAnsi="Roboto" w:eastAsia="Roboto" w:cs="Roboto"/>
          <w:b w:val="0"/>
          <w:bCs w:val="0"/>
          <w:i w:val="0"/>
          <w:iCs w:val="0"/>
          <w:caps w:val="0"/>
          <w:smallCaps w:val="0"/>
          <w:color w:val="000000" w:themeColor="text1" w:themeTint="FF" w:themeShade="FF"/>
          <w:sz w:val="21"/>
          <w:szCs w:val="21"/>
        </w:rPr>
        <w:t>]</w:t>
      </w:r>
    </w:p>
    <w:p w:rsidR="2E3D32DD" w:rsidP="7D50C134" w:rsidRDefault="2E3D32DD" w14:paraId="665F2992" w14:textId="0FAF70EE">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Chanlatte, J. and Dessalines, J.J. (1805). Unknown headline (Constitution of Haiti, 1805), </w:t>
      </w:r>
      <w:r w:rsidRPr="7D50C134" w:rsidR="2E3D32DD">
        <w:rPr>
          <w:rFonts w:ascii="Roboto" w:hAnsi="Roboto" w:eastAsia="Roboto" w:cs="Roboto"/>
          <w:b w:val="0"/>
          <w:bCs w:val="0"/>
          <w:i w:val="1"/>
          <w:iCs w:val="1"/>
          <w:caps w:val="0"/>
          <w:smallCaps w:val="0"/>
          <w:color w:val="000000" w:themeColor="text1" w:themeTint="FF" w:themeShade="FF"/>
          <w:sz w:val="21"/>
          <w:szCs w:val="21"/>
        </w:rPr>
        <w:t>New-York Evening Post</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15 July, p.2. Available: </w:t>
      </w:r>
      <w:hyperlink r:id="R57c312be2eb84243">
        <w:r w:rsidRPr="7D50C134" w:rsidR="2E3D32DD">
          <w:rPr>
            <w:rStyle w:val="Hyperlink"/>
            <w:rFonts w:ascii="Roboto" w:hAnsi="Roboto" w:eastAsia="Roboto" w:cs="Roboto"/>
            <w:b w:val="0"/>
            <w:bCs w:val="0"/>
            <w:i w:val="0"/>
            <w:iCs w:val="0"/>
            <w:caps w:val="0"/>
            <w:smallCaps w:val="0"/>
            <w:strike w:val="0"/>
            <w:dstrike w:val="0"/>
            <w:sz w:val="21"/>
            <w:szCs w:val="21"/>
          </w:rPr>
          <w:t>https://nyshistoricnewspapers.org/?a=d&amp;d=nep18050715-01.1.3&amp;e=-------en-20--1--txt-txIN----------</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7F1ED9D2">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 17 November 2024</w:t>
      </w:r>
      <w:r w:rsidRPr="7D50C134" w:rsidR="06BE3268">
        <w:rPr>
          <w:rFonts w:ascii="Roboto" w:hAnsi="Roboto" w:eastAsia="Roboto" w:cs="Roboto"/>
          <w:b w:val="0"/>
          <w:bCs w:val="0"/>
          <w:i w:val="0"/>
          <w:iCs w:val="0"/>
          <w:caps w:val="0"/>
          <w:smallCaps w:val="0"/>
          <w:color w:val="000000" w:themeColor="text1" w:themeTint="FF" w:themeShade="FF"/>
          <w:sz w:val="21"/>
          <w:szCs w:val="21"/>
        </w:rPr>
        <w:t>]</w:t>
      </w:r>
    </w:p>
    <w:p w:rsidR="2E3D32DD" w:rsidP="7D50C134" w:rsidRDefault="2E3D32DD" w14:paraId="20B84939" w14:textId="7714CD2F">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Dubois, L. (2004). </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Avengers of the New World: the story of the Haitian Revolution. </w:t>
      </w:r>
      <w:r w:rsidRPr="7D50C134" w:rsidR="2E3D32DD">
        <w:rPr>
          <w:rFonts w:ascii="Roboto" w:hAnsi="Roboto" w:eastAsia="Roboto" w:cs="Roboto"/>
          <w:b w:val="0"/>
          <w:bCs w:val="0"/>
          <w:i w:val="0"/>
          <w:iCs w:val="0"/>
          <w:caps w:val="0"/>
          <w:smallCaps w:val="0"/>
          <w:color w:val="000000" w:themeColor="text1" w:themeTint="FF" w:themeShade="FF"/>
          <w:sz w:val="21"/>
          <w:szCs w:val="21"/>
        </w:rPr>
        <w:t>[Online]</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Cambridge, Mass: Belknap Press of Harvard University Press. Available: </w:t>
      </w:r>
      <w:hyperlink r:id="R844071f04f4b4155">
        <w:r w:rsidRPr="7D50C134" w:rsidR="2E3D32DD">
          <w:rPr>
            <w:rStyle w:val="Hyperlink"/>
            <w:rFonts w:ascii="Roboto" w:hAnsi="Roboto" w:eastAsia="Roboto" w:cs="Roboto"/>
            <w:b w:val="0"/>
            <w:bCs w:val="0"/>
            <w:i w:val="0"/>
            <w:iCs w:val="0"/>
            <w:caps w:val="0"/>
            <w:smallCaps w:val="0"/>
            <w:strike w:val="0"/>
            <w:dstrike w:val="0"/>
            <w:sz w:val="21"/>
            <w:szCs w:val="21"/>
          </w:rPr>
          <w:t>https://www-fulcrum-org.ezproxy.uwtsd.ac.uk/epubs/1n79h7124?locale=en</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061A197A">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 17 November 2024</w:t>
      </w:r>
      <w:r w:rsidRPr="7D50C134" w:rsidR="16873FDF">
        <w:rPr>
          <w:rFonts w:ascii="Roboto" w:hAnsi="Roboto" w:eastAsia="Roboto" w:cs="Roboto"/>
          <w:b w:val="0"/>
          <w:bCs w:val="0"/>
          <w:i w:val="0"/>
          <w:iCs w:val="0"/>
          <w:caps w:val="0"/>
          <w:smallCaps w:val="0"/>
          <w:color w:val="000000" w:themeColor="text1" w:themeTint="FF" w:themeShade="FF"/>
          <w:sz w:val="21"/>
          <w:szCs w:val="21"/>
        </w:rPr>
        <w:t>]</w:t>
      </w:r>
    </w:p>
    <w:p w:rsidR="2E3D32DD" w:rsidP="7D50C134" w:rsidRDefault="2E3D32DD" w14:paraId="41375ACF" w14:textId="4805A3E3">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b w:val="0"/>
          <w:bCs w:val="0"/>
          <w:i w:val="0"/>
          <w:iCs w:val="0"/>
          <w:caps w:val="0"/>
          <w:smallCaps w:val="0"/>
          <w:color w:val="000000" w:themeColor="text1" w:themeTint="FF" w:themeShade="FF"/>
          <w:sz w:val="21"/>
          <w:szCs w:val="21"/>
        </w:rPr>
        <w:t>Geggus</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D.P. (2002). </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Haitian revolutionary studies. </w:t>
      </w:r>
      <w:r w:rsidRPr="7D50C134" w:rsidR="2E3D32DD">
        <w:rPr>
          <w:rFonts w:ascii="Roboto" w:hAnsi="Roboto" w:eastAsia="Roboto" w:cs="Roboto"/>
          <w:b w:val="0"/>
          <w:bCs w:val="0"/>
          <w:i w:val="0"/>
          <w:iCs w:val="0"/>
          <w:caps w:val="0"/>
          <w:smallCaps w:val="0"/>
          <w:color w:val="000000" w:themeColor="text1" w:themeTint="FF" w:themeShade="FF"/>
          <w:sz w:val="21"/>
          <w:szCs w:val="21"/>
        </w:rPr>
        <w:t>[Online]</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1 </w:t>
      </w:r>
      <w:r w:rsidRPr="7D50C134" w:rsidR="2E3D32DD">
        <w:rPr>
          <w:rFonts w:ascii="Roboto" w:hAnsi="Roboto" w:eastAsia="Roboto" w:cs="Roboto"/>
          <w:b w:val="0"/>
          <w:bCs w:val="0"/>
          <w:i w:val="0"/>
          <w:iCs w:val="0"/>
          <w:caps w:val="0"/>
          <w:smallCaps w:val="0"/>
          <w:color w:val="000000" w:themeColor="text1" w:themeTint="FF" w:themeShade="FF"/>
          <w:sz w:val="21"/>
          <w:szCs w:val="21"/>
        </w:rPr>
        <w:t>edn</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Bloomington, IN: Indiana University Press. Available: </w:t>
      </w:r>
      <w:hyperlink r:id="R5b6c6b5af165444a">
        <w:r w:rsidRPr="7D50C134" w:rsidR="2E3D32DD">
          <w:rPr>
            <w:rStyle w:val="Hyperlink"/>
            <w:rFonts w:ascii="Roboto" w:hAnsi="Roboto" w:eastAsia="Roboto" w:cs="Roboto"/>
            <w:b w:val="0"/>
            <w:bCs w:val="0"/>
            <w:i w:val="0"/>
            <w:iCs w:val="0"/>
            <w:caps w:val="0"/>
            <w:smallCaps w:val="0"/>
            <w:strike w:val="0"/>
            <w:dstrike w:val="0"/>
            <w:sz w:val="21"/>
            <w:szCs w:val="21"/>
          </w:rPr>
          <w:t>https://hdl-handle-net.ezproxy.uwtsd.ac.uk/2027/heb04575.0001.001</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12EC1D1E">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 17 November 2024</w:t>
      </w:r>
      <w:r w:rsidRPr="7D50C134" w:rsidR="7E16EA89">
        <w:rPr>
          <w:rFonts w:ascii="Roboto" w:hAnsi="Roboto" w:eastAsia="Roboto" w:cs="Roboto"/>
          <w:b w:val="0"/>
          <w:bCs w:val="0"/>
          <w:i w:val="0"/>
          <w:iCs w:val="0"/>
          <w:caps w:val="0"/>
          <w:smallCaps w:val="0"/>
          <w:color w:val="000000" w:themeColor="text1" w:themeTint="FF" w:themeShade="FF"/>
          <w:sz w:val="21"/>
          <w:szCs w:val="21"/>
        </w:rPr>
        <w:t>]</w:t>
      </w:r>
    </w:p>
    <w:p w:rsidR="2E3D32DD" w:rsidP="7D50C134" w:rsidRDefault="2E3D32DD" w14:paraId="7CEFFE0B" w14:textId="4F67BD69">
      <w:pPr>
        <w:shd w:val="clear" w:color="auto" w:fill="FFFFFF" w:themeFill="background1"/>
        <w:bidi w:val="0"/>
        <w:spacing w:before="0" w:beforeAutospacing="off" w:after="173" w:afterAutospacing="off"/>
        <w:rPr>
          <w:rStyle w:val="FootnoteReference"/>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Girard, P.R. (2005). Caribbean genocide: racial war in Haiti, 1802–4. </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Patterns of Prejudice, </w:t>
      </w:r>
      <w:r w:rsidRPr="7D50C134" w:rsidR="2E3D32DD">
        <w:rPr>
          <w:rFonts w:ascii="Roboto" w:hAnsi="Roboto" w:eastAsia="Roboto" w:cs="Roboto"/>
          <w:b w:val="1"/>
          <w:bCs w:val="1"/>
          <w:i w:val="0"/>
          <w:iCs w:val="0"/>
          <w:caps w:val="0"/>
          <w:smallCaps w:val="0"/>
          <w:color w:val="000000" w:themeColor="text1" w:themeTint="FF" w:themeShade="FF"/>
          <w:sz w:val="21"/>
          <w:szCs w:val="21"/>
        </w:rPr>
        <w:t>39</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(2), pp. 138–161. Available: </w:t>
      </w:r>
      <w:hyperlink r:id="Rf543e50278754af0">
        <w:r w:rsidRPr="7D50C134" w:rsidR="2E3D32DD">
          <w:rPr>
            <w:rStyle w:val="Hyperlink"/>
            <w:rFonts w:ascii="Roboto" w:hAnsi="Roboto" w:eastAsia="Roboto" w:cs="Roboto"/>
            <w:b w:val="0"/>
            <w:bCs w:val="0"/>
            <w:i w:val="0"/>
            <w:iCs w:val="0"/>
            <w:caps w:val="0"/>
            <w:smallCaps w:val="0"/>
            <w:strike w:val="0"/>
            <w:dstrike w:val="0"/>
            <w:sz w:val="21"/>
            <w:szCs w:val="21"/>
          </w:rPr>
          <w:t>https://www.tandfonline.com/doi/full/10.1080/00313220500106196</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5D0646A7">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Accessed: 17 November </w:t>
      </w:r>
      <w:r w:rsidRPr="7D50C134" w:rsidR="2E3D32DD">
        <w:rPr>
          <w:rFonts w:ascii="Roboto" w:hAnsi="Roboto" w:eastAsia="Roboto" w:cs="Roboto"/>
          <w:b w:val="0"/>
          <w:bCs w:val="0"/>
          <w:i w:val="0"/>
          <w:iCs w:val="0"/>
          <w:caps w:val="0"/>
          <w:smallCaps w:val="0"/>
          <w:color w:val="000000" w:themeColor="text1" w:themeTint="FF" w:themeShade="FF"/>
          <w:sz w:val="21"/>
          <w:szCs w:val="21"/>
        </w:rPr>
        <w:t>2024</w:t>
      </w:r>
      <w:r w:rsidRPr="7D50C134" w:rsidR="6F1643BF">
        <w:rPr>
          <w:rFonts w:ascii="Roboto" w:hAnsi="Roboto" w:eastAsia="Roboto" w:cs="Roboto"/>
          <w:b w:val="0"/>
          <w:bCs w:val="0"/>
          <w:i w:val="0"/>
          <w:iCs w:val="0"/>
          <w:caps w:val="0"/>
          <w:smallCaps w:val="0"/>
          <w:color w:val="000000" w:themeColor="text1" w:themeTint="FF" w:themeShade="FF"/>
          <w:sz w:val="21"/>
          <w:szCs w:val="21"/>
        </w:rPr>
        <w:t>]</w:t>
      </w:r>
    </w:p>
    <w:p w:rsidR="2E3D32DD" w:rsidP="7D50C134" w:rsidRDefault="2E3D32DD" w14:paraId="63470576" w14:textId="427F512B">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color w:val="000000" w:themeColor="text1" w:themeTint="FF" w:themeShade="FF"/>
          <w:sz w:val="21"/>
          <w:szCs w:val="21"/>
        </w:rPr>
      </w:pP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Girard, P.R. (2013). French </w:t>
      </w:r>
      <w:r w:rsidRPr="7D50C134" w:rsidR="2E3D32DD">
        <w:rPr>
          <w:rFonts w:ascii="Roboto" w:hAnsi="Roboto" w:eastAsia="Roboto" w:cs="Roboto"/>
          <w:b w:val="0"/>
          <w:bCs w:val="0"/>
          <w:i w:val="0"/>
          <w:iCs w:val="0"/>
          <w:caps w:val="0"/>
          <w:smallCaps w:val="0"/>
          <w:color w:val="000000" w:themeColor="text1" w:themeTint="FF" w:themeShade="FF"/>
          <w:sz w:val="21"/>
          <w:szCs w:val="21"/>
        </w:rPr>
        <w:t>atrocities</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during</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the </w:t>
      </w:r>
      <w:r w:rsidRPr="7D50C134" w:rsidR="2E3D32DD">
        <w:rPr>
          <w:rFonts w:ascii="Roboto" w:hAnsi="Roboto" w:eastAsia="Roboto" w:cs="Roboto"/>
          <w:b w:val="0"/>
          <w:bCs w:val="0"/>
          <w:i w:val="0"/>
          <w:iCs w:val="0"/>
          <w:caps w:val="0"/>
          <w:smallCaps w:val="0"/>
          <w:color w:val="000000" w:themeColor="text1" w:themeTint="FF" w:themeShade="FF"/>
          <w:sz w:val="21"/>
          <w:szCs w:val="21"/>
        </w:rPr>
        <w:t>Haitian</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War</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of Independence. </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Journal of </w:t>
      </w:r>
      <w:r w:rsidRPr="7D50C134" w:rsidR="2E3D32DD">
        <w:rPr>
          <w:rFonts w:ascii="Roboto" w:hAnsi="Roboto" w:eastAsia="Roboto" w:cs="Roboto"/>
          <w:b w:val="0"/>
          <w:bCs w:val="0"/>
          <w:i w:val="1"/>
          <w:iCs w:val="1"/>
          <w:caps w:val="0"/>
          <w:smallCaps w:val="0"/>
          <w:color w:val="000000" w:themeColor="text1" w:themeTint="FF" w:themeShade="FF"/>
          <w:sz w:val="21"/>
          <w:szCs w:val="21"/>
        </w:rPr>
        <w:t>genocide</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w:t>
      </w:r>
      <w:r w:rsidRPr="7D50C134" w:rsidR="2E3D32DD">
        <w:rPr>
          <w:rFonts w:ascii="Roboto" w:hAnsi="Roboto" w:eastAsia="Roboto" w:cs="Roboto"/>
          <w:b w:val="0"/>
          <w:bCs w:val="0"/>
          <w:i w:val="1"/>
          <w:iCs w:val="1"/>
          <w:caps w:val="0"/>
          <w:smallCaps w:val="0"/>
          <w:color w:val="000000" w:themeColor="text1" w:themeTint="FF" w:themeShade="FF"/>
          <w:sz w:val="21"/>
          <w:szCs w:val="21"/>
        </w:rPr>
        <w:t>research</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w:t>
      </w:r>
      <w:r w:rsidRPr="7D50C134" w:rsidR="2E3D32DD">
        <w:rPr>
          <w:rFonts w:ascii="Roboto" w:hAnsi="Roboto" w:eastAsia="Roboto" w:cs="Roboto"/>
          <w:b w:val="1"/>
          <w:bCs w:val="1"/>
          <w:i w:val="0"/>
          <w:iCs w:val="0"/>
          <w:caps w:val="0"/>
          <w:smallCaps w:val="0"/>
          <w:color w:val="000000" w:themeColor="text1" w:themeTint="FF" w:themeShade="FF"/>
          <w:sz w:val="21"/>
          <w:szCs w:val="21"/>
        </w:rPr>
        <w:t>15</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(2), pp. 133–149. </w:t>
      </w:r>
      <w:r w:rsidRPr="7D50C134" w:rsidR="2E3D32DD">
        <w:rPr>
          <w:rFonts w:ascii="Roboto" w:hAnsi="Roboto" w:eastAsia="Roboto" w:cs="Roboto"/>
          <w:b w:val="0"/>
          <w:bCs w:val="0"/>
          <w:i w:val="0"/>
          <w:iCs w:val="0"/>
          <w:caps w:val="0"/>
          <w:smallCaps w:val="0"/>
          <w:color w:val="000000" w:themeColor="text1" w:themeTint="FF" w:themeShade="FF"/>
          <w:sz w:val="21"/>
          <w:szCs w:val="21"/>
        </w:rPr>
        <w:t>Available</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hyperlink r:id="R9df0a56c966b4a79">
        <w:r w:rsidRPr="7D50C134" w:rsidR="2E3D32DD">
          <w:rPr>
            <w:rStyle w:val="Hyperlink"/>
            <w:rFonts w:ascii="Roboto" w:hAnsi="Roboto" w:eastAsia="Roboto" w:cs="Roboto"/>
            <w:b w:val="0"/>
            <w:bCs w:val="0"/>
            <w:i w:val="0"/>
            <w:iCs w:val="0"/>
            <w:caps w:val="0"/>
            <w:smallCaps w:val="0"/>
            <w:strike w:val="0"/>
            <w:dstrike w:val="0"/>
            <w:sz w:val="21"/>
            <w:szCs w:val="21"/>
          </w:rPr>
          <w:t>https://www.tandfonline.com/doi/full/10.1080/14623528.2013.789181</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5B13821A">
        <w:rPr>
          <w:rFonts w:ascii="Roboto" w:hAnsi="Roboto" w:eastAsia="Roboto" w:cs="Roboto"/>
          <w:b w:val="0"/>
          <w:bCs w:val="0"/>
          <w:i w:val="0"/>
          <w:iCs w:val="0"/>
          <w:caps w:val="0"/>
          <w:smallCaps w:val="0"/>
          <w:color w:val="000000" w:themeColor="text1" w:themeTint="FF" w:themeShade="FF"/>
          <w:sz w:val="21"/>
          <w:szCs w:val="21"/>
        </w:rPr>
        <w:t>[A</w:t>
      </w:r>
      <w:r w:rsidRPr="7D50C134" w:rsidR="2E3D32DD">
        <w:rPr>
          <w:rFonts w:ascii="Roboto" w:hAnsi="Roboto" w:eastAsia="Roboto" w:cs="Roboto"/>
          <w:b w:val="0"/>
          <w:bCs w:val="0"/>
          <w:i w:val="0"/>
          <w:iCs w:val="0"/>
          <w:caps w:val="0"/>
          <w:smallCaps w:val="0"/>
          <w:color w:val="000000" w:themeColor="text1" w:themeTint="FF" w:themeShade="FF"/>
          <w:sz w:val="21"/>
          <w:szCs w:val="21"/>
        </w:rPr>
        <w:t>ccessed: 17 November 2024</w:t>
      </w:r>
      <w:r w:rsidRPr="7D50C134" w:rsidR="3BAE0B23">
        <w:rPr>
          <w:rFonts w:ascii="Roboto" w:hAnsi="Roboto" w:eastAsia="Roboto" w:cs="Roboto"/>
          <w:b w:val="0"/>
          <w:bCs w:val="0"/>
          <w:i w:val="0"/>
          <w:iCs w:val="0"/>
          <w:caps w:val="0"/>
          <w:smallCaps w:val="0"/>
          <w:color w:val="000000" w:themeColor="text1" w:themeTint="FF" w:themeShade="FF"/>
          <w:sz w:val="21"/>
          <w:szCs w:val="21"/>
        </w:rPr>
        <w:t>]</w:t>
      </w:r>
      <w:r>
        <w:br/>
      </w:r>
    </w:p>
    <w:p w:rsidR="2E3D32DD" w:rsidP="7D50C134" w:rsidRDefault="2E3D32DD" w14:paraId="49B1A867" w14:textId="34563FCB">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Leclerc C.V.E., </w:t>
      </w:r>
      <w:r w:rsidRPr="7D50C134" w:rsidR="2E3D32DD">
        <w:rPr>
          <w:rFonts w:ascii="Roboto" w:hAnsi="Roboto" w:eastAsia="Roboto" w:cs="Roboto"/>
          <w:b w:val="0"/>
          <w:bCs w:val="0"/>
          <w:i w:val="0"/>
          <w:iCs w:val="0"/>
          <w:caps w:val="0"/>
          <w:smallCaps w:val="0"/>
          <w:color w:val="000000" w:themeColor="text1" w:themeTint="FF" w:themeShade="FF"/>
          <w:sz w:val="21"/>
          <w:szCs w:val="21"/>
        </w:rPr>
        <w:t>Roussier</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P. (1937). </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Lettres du </w:t>
      </w:r>
      <w:r w:rsidRPr="7D50C134" w:rsidR="2E3D32DD">
        <w:rPr>
          <w:rFonts w:ascii="Roboto" w:hAnsi="Roboto" w:eastAsia="Roboto" w:cs="Roboto"/>
          <w:b w:val="0"/>
          <w:bCs w:val="0"/>
          <w:i w:val="1"/>
          <w:iCs w:val="1"/>
          <w:caps w:val="0"/>
          <w:smallCaps w:val="0"/>
          <w:color w:val="000000" w:themeColor="text1" w:themeTint="FF" w:themeShade="FF"/>
          <w:sz w:val="21"/>
          <w:szCs w:val="21"/>
        </w:rPr>
        <w:t>Général</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Leclerc commandant </w:t>
      </w:r>
      <w:r w:rsidRPr="7D50C134" w:rsidR="2E3D32DD">
        <w:rPr>
          <w:rFonts w:ascii="Roboto" w:hAnsi="Roboto" w:eastAsia="Roboto" w:cs="Roboto"/>
          <w:b w:val="0"/>
          <w:bCs w:val="0"/>
          <w:i w:val="1"/>
          <w:iCs w:val="1"/>
          <w:caps w:val="0"/>
          <w:smallCaps w:val="0"/>
          <w:color w:val="000000" w:themeColor="text1" w:themeTint="FF" w:themeShade="FF"/>
          <w:sz w:val="21"/>
          <w:szCs w:val="21"/>
        </w:rPr>
        <w:t>en</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chef de </w:t>
      </w:r>
      <w:r w:rsidRPr="7D50C134" w:rsidR="2E3D32DD">
        <w:rPr>
          <w:rFonts w:ascii="Roboto" w:hAnsi="Roboto" w:eastAsia="Roboto" w:cs="Roboto"/>
          <w:b w:val="0"/>
          <w:bCs w:val="0"/>
          <w:i w:val="1"/>
          <w:iCs w:val="1"/>
          <w:caps w:val="0"/>
          <w:smallCaps w:val="0"/>
          <w:color w:val="000000" w:themeColor="text1" w:themeTint="FF" w:themeShade="FF"/>
          <w:sz w:val="21"/>
          <w:szCs w:val="21"/>
        </w:rPr>
        <w:t>l’armée</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de Saint-Domingue </w:t>
      </w:r>
      <w:r w:rsidRPr="7D50C134" w:rsidR="2E3D32DD">
        <w:rPr>
          <w:rFonts w:ascii="Roboto" w:hAnsi="Roboto" w:eastAsia="Roboto" w:cs="Roboto"/>
          <w:b w:val="0"/>
          <w:bCs w:val="0"/>
          <w:i w:val="1"/>
          <w:iCs w:val="1"/>
          <w:caps w:val="0"/>
          <w:smallCaps w:val="0"/>
          <w:color w:val="000000" w:themeColor="text1" w:themeTint="FF" w:themeShade="FF"/>
          <w:sz w:val="21"/>
          <w:szCs w:val="21"/>
        </w:rPr>
        <w:t>en</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1802. </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[Online] Paris, </w:t>
      </w:r>
      <w:r w:rsidRPr="7D50C134" w:rsidR="2E3D32DD">
        <w:rPr>
          <w:rFonts w:ascii="Roboto" w:hAnsi="Roboto" w:eastAsia="Roboto" w:cs="Roboto"/>
          <w:b w:val="0"/>
          <w:bCs w:val="0"/>
          <w:i w:val="0"/>
          <w:iCs w:val="0"/>
          <w:caps w:val="0"/>
          <w:smallCaps w:val="0"/>
          <w:color w:val="000000" w:themeColor="text1" w:themeTint="FF" w:themeShade="FF"/>
          <w:sz w:val="21"/>
          <w:szCs w:val="21"/>
        </w:rPr>
        <w:t>France:</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Société de </w:t>
      </w:r>
      <w:r w:rsidRPr="7D50C134" w:rsidR="2E3D32DD">
        <w:rPr>
          <w:rFonts w:ascii="Roboto" w:hAnsi="Roboto" w:eastAsia="Roboto" w:cs="Roboto"/>
          <w:b w:val="0"/>
          <w:bCs w:val="0"/>
          <w:i w:val="0"/>
          <w:iCs w:val="0"/>
          <w:caps w:val="0"/>
          <w:smallCaps w:val="0"/>
          <w:color w:val="000000" w:themeColor="text1" w:themeTint="FF" w:themeShade="FF"/>
          <w:sz w:val="21"/>
          <w:szCs w:val="21"/>
        </w:rPr>
        <w:t>l'Histoire</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des Colonies </w:t>
      </w:r>
      <w:r w:rsidRPr="7D50C134" w:rsidR="2E3D32DD">
        <w:rPr>
          <w:rFonts w:ascii="Roboto" w:hAnsi="Roboto" w:eastAsia="Roboto" w:cs="Roboto"/>
          <w:b w:val="0"/>
          <w:bCs w:val="0"/>
          <w:i w:val="0"/>
          <w:iCs w:val="0"/>
          <w:caps w:val="0"/>
          <w:smallCaps w:val="0"/>
          <w:color w:val="000000" w:themeColor="text1" w:themeTint="FF" w:themeShade="FF"/>
          <w:sz w:val="21"/>
          <w:szCs w:val="21"/>
        </w:rPr>
        <w:t>Françaises</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Available</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hyperlink r:id="R21e53faaf2e5441b">
        <w:r w:rsidRPr="7D50C134" w:rsidR="2E3D32DD">
          <w:rPr>
            <w:rStyle w:val="Hyperlink"/>
            <w:rFonts w:ascii="Roboto" w:hAnsi="Roboto" w:eastAsia="Roboto" w:cs="Roboto"/>
            <w:b w:val="0"/>
            <w:bCs w:val="0"/>
            <w:i w:val="0"/>
            <w:iCs w:val="0"/>
            <w:caps w:val="0"/>
            <w:smallCaps w:val="0"/>
            <w:strike w:val="0"/>
            <w:dstrike w:val="0"/>
            <w:sz w:val="21"/>
            <w:szCs w:val="21"/>
          </w:rPr>
          <w:t>https://www.persee.fr/doc/sfhom_1961-8166_1937_edc_6_1</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601874CB">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17 </w:t>
      </w:r>
      <w:r w:rsidRPr="7D50C134" w:rsidR="2E3D32DD">
        <w:rPr>
          <w:rFonts w:ascii="Roboto" w:hAnsi="Roboto" w:eastAsia="Roboto" w:cs="Roboto"/>
          <w:b w:val="0"/>
          <w:bCs w:val="0"/>
          <w:i w:val="0"/>
          <w:iCs w:val="0"/>
          <w:caps w:val="0"/>
          <w:smallCaps w:val="0"/>
          <w:color w:val="000000" w:themeColor="text1" w:themeTint="FF" w:themeShade="FF"/>
          <w:sz w:val="21"/>
          <w:szCs w:val="21"/>
        </w:rPr>
        <w:t>November</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2024</w:t>
      </w:r>
      <w:r w:rsidRPr="7D50C134" w:rsidR="68B3B777">
        <w:rPr>
          <w:rFonts w:ascii="Roboto" w:hAnsi="Roboto" w:eastAsia="Roboto" w:cs="Roboto"/>
          <w:b w:val="0"/>
          <w:bCs w:val="0"/>
          <w:i w:val="0"/>
          <w:iCs w:val="0"/>
          <w:caps w:val="0"/>
          <w:smallCaps w:val="0"/>
          <w:color w:val="000000" w:themeColor="text1" w:themeTint="FF" w:themeShade="FF"/>
          <w:sz w:val="21"/>
          <w:szCs w:val="21"/>
        </w:rPr>
        <w:t>]</w:t>
      </w:r>
    </w:p>
    <w:p w:rsidR="1C6F8615" w:rsidP="1C6F8615" w:rsidRDefault="1C6F8615" w14:paraId="4391E36F" w14:textId="76D622CA">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color w:val="000000" w:themeColor="text1" w:themeTint="FF" w:themeShade="FF"/>
          <w:sz w:val="21"/>
          <w:szCs w:val="21"/>
        </w:rPr>
      </w:pPr>
    </w:p>
    <w:p w:rsidR="2E3D32DD" w:rsidP="7D50C134" w:rsidRDefault="2E3D32DD" w14:paraId="5611B98A" w14:textId="5F460A16">
      <w:pPr>
        <w:shd w:val="clear" w:color="auto" w:fill="FFFFFF" w:themeFill="background1"/>
        <w:bidi w:val="0"/>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Rainsford, M., Pierrot, G. and Youngquist, P., 2013. </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An Historical Account of the Black Empire of </w:t>
      </w:r>
      <w:r w:rsidRPr="7D50C134" w:rsidR="2E3D32DD">
        <w:rPr>
          <w:rFonts w:ascii="Roboto" w:hAnsi="Roboto" w:eastAsia="Roboto" w:cs="Roboto"/>
          <w:b w:val="0"/>
          <w:bCs w:val="0"/>
          <w:i w:val="1"/>
          <w:iCs w:val="1"/>
          <w:caps w:val="0"/>
          <w:smallCaps w:val="0"/>
          <w:color w:val="000000" w:themeColor="text1" w:themeTint="FF" w:themeShade="FF"/>
          <w:sz w:val="21"/>
          <w:szCs w:val="21"/>
        </w:rPr>
        <w:t>Hayti</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[Online]</w:t>
      </w:r>
      <w:r w:rsidRPr="7D50C134" w:rsidR="2E3D32DD">
        <w:rPr>
          <w:rFonts w:ascii="Roboto" w:hAnsi="Roboto" w:eastAsia="Roboto" w:cs="Roboto"/>
          <w:b w:val="0"/>
          <w:bCs w:val="0"/>
          <w:i w:val="1"/>
          <w:iCs w:val="1"/>
          <w:caps w:val="0"/>
          <w:smallCaps w:val="0"/>
          <w:color w:val="000000" w:themeColor="text1" w:themeTint="FF" w:themeShade="FF"/>
          <w:sz w:val="21"/>
          <w:szCs w:val="21"/>
        </w:rPr>
        <w:t xml:space="preserve"> </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Durham, NC: Duke University Press. Available: </w:t>
      </w:r>
      <w:hyperlink r:id="R762fc798b31e44f1">
        <w:r w:rsidRPr="7D50C134" w:rsidR="2E3D32DD">
          <w:rPr>
            <w:rStyle w:val="Hyperlink"/>
            <w:rFonts w:ascii="Roboto" w:hAnsi="Roboto" w:eastAsia="Roboto" w:cs="Roboto"/>
            <w:b w:val="0"/>
            <w:bCs w:val="0"/>
            <w:i w:val="0"/>
            <w:iCs w:val="0"/>
            <w:caps w:val="0"/>
            <w:smallCaps w:val="0"/>
            <w:strike w:val="0"/>
            <w:dstrike w:val="0"/>
            <w:sz w:val="21"/>
            <w:szCs w:val="21"/>
          </w:rPr>
          <w:t>https://research-ebsco-com.ezproxy.uwtsd.ac.uk/c/onvpsy/search/details/axnmv5cboj?db=e001mww</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7FE587BA">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 17 November 2024]</w:t>
      </w:r>
      <w:r>
        <w:br/>
      </w:r>
      <w:r>
        <w:br/>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UN General Assembly, (1948). </w:t>
      </w:r>
      <w:r w:rsidRPr="7D50C134" w:rsidR="2E3D32DD">
        <w:rPr>
          <w:rFonts w:ascii="Roboto" w:hAnsi="Roboto" w:eastAsia="Roboto" w:cs="Roboto"/>
          <w:b w:val="0"/>
          <w:bCs w:val="0"/>
          <w:i w:val="1"/>
          <w:iCs w:val="1"/>
          <w:caps w:val="0"/>
          <w:smallCaps w:val="0"/>
          <w:color w:val="000000" w:themeColor="text1" w:themeTint="FF" w:themeShade="FF"/>
          <w:sz w:val="21"/>
          <w:szCs w:val="21"/>
        </w:rPr>
        <w:t>Convention on the Prevention and Punishment of the Crime of Genocide</w:t>
      </w:r>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[Online] United Nations, Treaty Series, vol. 78, p. 277. Available: </w:t>
      </w:r>
      <w:hyperlink r:id="R20b410f0d87e4523">
        <w:r w:rsidRPr="7D50C134" w:rsidR="2E3D32DD">
          <w:rPr>
            <w:rStyle w:val="Hyperlink"/>
            <w:rFonts w:ascii="Roboto" w:hAnsi="Roboto" w:eastAsia="Roboto" w:cs="Roboto"/>
            <w:b w:val="0"/>
            <w:bCs w:val="0"/>
            <w:i w:val="0"/>
            <w:iCs w:val="0"/>
            <w:caps w:val="0"/>
            <w:smallCaps w:val="0"/>
            <w:sz w:val="21"/>
            <w:szCs w:val="21"/>
          </w:rPr>
          <w:t>https://www.refworld.org/legal/agreements/unga/1948/en/13495</w:t>
        </w:r>
      </w:hyperlink>
      <w:r w:rsidRPr="7D50C134" w:rsidR="2E3D32DD">
        <w:rPr>
          <w:rFonts w:ascii="Roboto" w:hAnsi="Roboto" w:eastAsia="Roboto" w:cs="Roboto"/>
          <w:b w:val="0"/>
          <w:bCs w:val="0"/>
          <w:i w:val="0"/>
          <w:iCs w:val="0"/>
          <w:caps w:val="0"/>
          <w:smallCaps w:val="0"/>
          <w:color w:val="000000" w:themeColor="text1" w:themeTint="FF" w:themeShade="FF"/>
          <w:sz w:val="21"/>
          <w:szCs w:val="21"/>
        </w:rPr>
        <w:t xml:space="preserve"> </w:t>
      </w:r>
      <w:r w:rsidRPr="7D50C134" w:rsidR="2FE8A799">
        <w:rPr>
          <w:rFonts w:ascii="Roboto" w:hAnsi="Roboto" w:eastAsia="Roboto" w:cs="Roboto"/>
          <w:b w:val="0"/>
          <w:bCs w:val="0"/>
          <w:i w:val="0"/>
          <w:iCs w:val="0"/>
          <w:caps w:val="0"/>
          <w:smallCaps w:val="0"/>
          <w:color w:val="000000" w:themeColor="text1" w:themeTint="FF" w:themeShade="FF"/>
          <w:sz w:val="21"/>
          <w:szCs w:val="21"/>
        </w:rPr>
        <w:t>[</w:t>
      </w:r>
      <w:r w:rsidRPr="7D50C134" w:rsidR="2E3D32DD">
        <w:rPr>
          <w:rFonts w:ascii="Roboto" w:hAnsi="Roboto" w:eastAsia="Roboto" w:cs="Roboto"/>
          <w:b w:val="0"/>
          <w:bCs w:val="0"/>
          <w:i w:val="0"/>
          <w:iCs w:val="0"/>
          <w:caps w:val="0"/>
          <w:smallCaps w:val="0"/>
          <w:color w:val="000000" w:themeColor="text1" w:themeTint="FF" w:themeShade="FF"/>
          <w:sz w:val="21"/>
          <w:szCs w:val="21"/>
        </w:rPr>
        <w:t>Accessed: 17 November 2024</w:t>
      </w:r>
      <w:r w:rsidRPr="7D50C134" w:rsidR="036675A5">
        <w:rPr>
          <w:rFonts w:ascii="Roboto" w:hAnsi="Roboto" w:eastAsia="Roboto" w:cs="Roboto"/>
          <w:b w:val="0"/>
          <w:bCs w:val="0"/>
          <w:i w:val="0"/>
          <w:iCs w:val="0"/>
          <w:caps w:val="0"/>
          <w:smallCaps w:val="0"/>
          <w:color w:val="000000" w:themeColor="text1" w:themeTint="FF" w:themeShade="FF"/>
          <w:sz w:val="21"/>
          <w:szCs w:val="21"/>
        </w:rPr>
        <w:t>]</w:t>
      </w:r>
    </w:p>
    <w:p w:rsidR="3CA55F77" w:rsidP="3CA55F77" w:rsidRDefault="3CA55F77" w14:paraId="6E777FE6" w14:textId="5BAA32FD">
      <w:pPr>
        <w:pStyle w:val="Normal"/>
        <w:suppressLineNumbers w:val="0"/>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headerReference w:type="default" r:id="R3f2e38a33cab4ed8"/>
      <w:footerReference w:type="default" r:id="R7794f1f9be254f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50C134" w:rsidTr="7D50C134" w14:paraId="5514E8E7">
      <w:trPr>
        <w:trHeight w:val="300"/>
      </w:trPr>
      <w:tc>
        <w:tcPr>
          <w:tcW w:w="3120" w:type="dxa"/>
          <w:tcMar/>
        </w:tcPr>
        <w:p w:rsidR="7D50C134" w:rsidP="7D50C134" w:rsidRDefault="7D50C134" w14:paraId="347E919A" w14:textId="7674B42E">
          <w:pPr>
            <w:pStyle w:val="Header"/>
            <w:bidi w:val="0"/>
            <w:ind w:left="-115"/>
            <w:jc w:val="left"/>
          </w:pPr>
        </w:p>
      </w:tc>
      <w:tc>
        <w:tcPr>
          <w:tcW w:w="3120" w:type="dxa"/>
          <w:tcMar/>
        </w:tcPr>
        <w:p w:rsidR="7D50C134" w:rsidP="7D50C134" w:rsidRDefault="7D50C134" w14:paraId="666C1F02" w14:textId="3D62B394">
          <w:pPr>
            <w:pStyle w:val="Header"/>
            <w:bidi w:val="0"/>
            <w:jc w:val="center"/>
          </w:pPr>
        </w:p>
      </w:tc>
      <w:tc>
        <w:tcPr>
          <w:tcW w:w="3120" w:type="dxa"/>
          <w:tcMar/>
        </w:tcPr>
        <w:p w:rsidR="7D50C134" w:rsidP="7D50C134" w:rsidRDefault="7D50C134" w14:paraId="59C76535" w14:textId="415A14CD">
          <w:pPr>
            <w:pStyle w:val="Header"/>
            <w:bidi w:val="0"/>
            <w:ind w:right="-115"/>
            <w:jc w:val="right"/>
          </w:pPr>
        </w:p>
      </w:tc>
    </w:tr>
  </w:tbl>
  <w:p w:rsidR="7D50C134" w:rsidP="7D50C134" w:rsidRDefault="7D50C134" w14:paraId="6DE566F3" w14:textId="354AB71B">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1C6F8615" w:rsidRDefault="1C6F8615" w14:paraId="510B45D4" w14:textId="1ECF7515">
      <w:pPr>
        <w:spacing w:after="0" w:line="240" w:lineRule="auto"/>
      </w:pPr>
      <w:r>
        <w:separator/>
      </w:r>
    </w:p>
  </w:footnote>
  <w:footnote w:type="continuationSeparator" w:id="0">
    <w:p w:rsidR="1C6F8615" w:rsidRDefault="1C6F8615" w14:paraId="037594DA" w14:textId="4592B0F0">
      <w:pPr>
        <w:spacing w:after="0" w:line="240" w:lineRule="auto"/>
      </w:pPr>
      <w:r>
        <w:continuationSeparator/>
      </w:r>
    </w:p>
  </w:footnote>
  <w:footnote w:id="15336">
    <w:p w:rsidR="1C6F8615" w:rsidP="7D50C134" w:rsidRDefault="1C6F8615" w14:paraId="51A5B904" w14:textId="2924B6A9">
      <w:pPr>
        <w:pStyle w:val="FootnoteText"/>
        <w:bidi w:val="0"/>
        <w:rPr>
          <w:i w:val="0"/>
          <w:iCs w:val="0"/>
        </w:rPr>
      </w:pPr>
      <w:r w:rsidRPr="1C6F8615">
        <w:rPr>
          <w:rStyle w:val="FootnoteReference"/>
        </w:rPr>
        <w:footnoteRef/>
      </w:r>
      <w:r w:rsidR="7D50C134">
        <w:rPr/>
        <w:t xml:space="preserve"> </w:t>
      </w:r>
      <w:r w:rsidRPr="7D50C134" w:rsidR="7D50C134">
        <w:rPr>
          <w:i w:val="1"/>
          <w:iCs w:val="1"/>
        </w:rPr>
        <w:t>ibid.</w:t>
      </w:r>
      <w:r w:rsidRPr="7D50C134" w:rsidR="7D50C134">
        <w:rPr>
          <w:i w:val="0"/>
          <w:iCs w:val="0"/>
        </w:rPr>
        <w:t>, p.13</w:t>
      </w:r>
    </w:p>
  </w:footnote>
  <w:footnote w:id="18943">
    <w:p w:rsidR="1C6F8615" w:rsidP="1C6F8615" w:rsidRDefault="1C6F8615" w14:paraId="64CD6DE1" w14:textId="4B123C14">
      <w:pPr>
        <w:pStyle w:val="FootnoteText"/>
        <w:bidi w:val="0"/>
      </w:pPr>
      <w:r w:rsidRPr="1C6F8615">
        <w:rPr>
          <w:rStyle w:val="FootnoteReference"/>
        </w:rPr>
        <w:footnoteRef/>
      </w:r>
      <w:r w:rsidR="1C6F8615">
        <w:rPr/>
        <w:t xml:space="preserve"> </w:t>
      </w:r>
      <w:r w:rsidRPr="1C6F8615" w:rsidR="1C6F8615">
        <w:rPr>
          <w:i w:val="1"/>
          <w:iCs w:val="1"/>
        </w:rPr>
        <w:t>ibid.</w:t>
      </w:r>
      <w:r w:rsidR="1C6F8615">
        <w:rPr/>
        <w:t>, p. 21</w:t>
      </w:r>
    </w:p>
  </w:footnote>
  <w:footnote w:id="13417">
    <w:p w:rsidR="1C6F8615" w:rsidP="1C6F8615" w:rsidRDefault="1C6F8615" w14:paraId="5234CD1B" w14:textId="25868874">
      <w:pPr>
        <w:pStyle w:val="FootnoteText"/>
        <w:bidi w:val="0"/>
        <w:rPr>
          <w:i w:val="0"/>
          <w:iCs w:val="0"/>
        </w:rPr>
      </w:pPr>
      <w:r w:rsidRPr="1C6F8615">
        <w:rPr>
          <w:rStyle w:val="FootnoteReference"/>
        </w:rPr>
        <w:footnoteRef/>
      </w:r>
      <w:r w:rsidR="1C6F8615">
        <w:rPr/>
        <w:t xml:space="preserve"> </w:t>
      </w:r>
      <w:r w:rsidRPr="1C6F8615" w:rsidR="1C6F8615">
        <w:rPr>
          <w:i w:val="1"/>
          <w:iCs w:val="1"/>
        </w:rPr>
        <w:t>ibid</w:t>
      </w:r>
      <w:r w:rsidRPr="1C6F8615" w:rsidR="1C6F8615">
        <w:rPr>
          <w:i w:val="1"/>
          <w:iCs w:val="1"/>
        </w:rPr>
        <w:t>.</w:t>
      </w:r>
      <w:r w:rsidRPr="1C6F8615" w:rsidR="1C6F8615">
        <w:rPr>
          <w:i w:val="0"/>
          <w:iCs w:val="0"/>
        </w:rPr>
        <w:t>, p. 24</w:t>
      </w:r>
    </w:p>
  </w:footnote>
  <w:footnote w:id="20179">
    <w:p w:rsidR="1C6F8615" w:rsidP="1C6F8615" w:rsidRDefault="1C6F8615" w14:paraId="3A8CDAA8" w14:textId="29A8E779">
      <w:pPr>
        <w:pStyle w:val="FootnoteText"/>
        <w:bidi w:val="0"/>
      </w:pPr>
      <w:r w:rsidRPr="1C6F8615">
        <w:rPr>
          <w:rStyle w:val="FootnoteReference"/>
        </w:rPr>
        <w:footnoteRef/>
      </w:r>
      <w:r w:rsidR="1C6F8615">
        <w:rPr/>
        <w:t xml:space="preserve"> </w:t>
      </w:r>
      <w:r w:rsidRPr="1C6F8615" w:rsidR="1C6F8615">
        <w:rPr>
          <w:lang w:val="fr-FR"/>
        </w:rPr>
        <w:t xml:space="preserve">Leclerc, C.V.E. and Roussier, P. (1937) Lettres du Général Leclerc commandant en chef de l’armée de Saint-Domingue en 1802. Société de l'Histoire des Colonies Françaises (sixth ed.), Appendix 1. Retrieved from https://persee.fr/doc/sfhom_1961-8166_1937_edc_6_1 [accessed 18 November 2024]   </w:t>
      </w:r>
    </w:p>
  </w:footnote>
  <w:footnote w:id="6940">
    <w:p w:rsidR="1C6F8615" w:rsidP="7D50C134" w:rsidRDefault="1C6F8615" w14:paraId="3C08CD82" w14:textId="2EC79F11">
      <w:pPr>
        <w:pStyle w:val="FootnoteText"/>
        <w:bidi w:val="0"/>
        <w:rPr>
          <w:i w:val="0"/>
          <w:iCs w:val="0"/>
          <w:noProof w:val="0"/>
          <w:lang w:val="en-US"/>
        </w:rPr>
      </w:pPr>
      <w:r w:rsidRPr="1C6F8615">
        <w:rPr>
          <w:rStyle w:val="FootnoteReference"/>
        </w:rPr>
        <w:footnoteRef/>
      </w:r>
      <w:r w:rsidR="7D50C134">
        <w:rPr/>
        <w:t xml:space="preserve"> </w:t>
      </w:r>
      <w:r w:rsidR="7D50C134">
        <w:rPr/>
        <w:t xml:space="preserve">Girard, </w:t>
      </w:r>
      <w:r w:rsidRPr="7D50C134" w:rsidR="7D50C134">
        <w:rPr>
          <w:i w:val="1"/>
          <w:iCs w:val="1"/>
        </w:rPr>
        <w:t xml:space="preserve">French atrocities during the Haitian War of Independence, </w:t>
      </w:r>
      <w:r w:rsidRPr="7D50C134" w:rsidR="7D50C134">
        <w:rPr>
          <w:i w:val="0"/>
          <w:iCs w:val="0"/>
        </w:rPr>
        <w:t>pp. 133-149</w:t>
      </w:r>
    </w:p>
  </w:footnote>
  <w:footnote w:id="26337">
    <w:p w:rsidR="1C6F8615" w:rsidP="1C6F8615" w:rsidRDefault="1C6F8615" w14:paraId="4069763E" w14:textId="2EEA03B8">
      <w:pPr>
        <w:pStyle w:val="FootnoteText"/>
        <w:bidi w:val="0"/>
      </w:pPr>
      <w:r w:rsidRPr="1C6F8615">
        <w:rPr>
          <w:rStyle w:val="FootnoteReference"/>
        </w:rPr>
        <w:footnoteRef/>
      </w:r>
      <w:r w:rsidR="1C6F8615">
        <w:rPr/>
        <w:t xml:space="preserve"> Dubois, L. (2005). Avengers of the New World: the story of the Haitian Revolution, p. 280. Retrieved from </w:t>
      </w:r>
      <w:hyperlink r:id="R385a3e45c6e44122">
        <w:r w:rsidRPr="1C6F8615" w:rsidR="1C6F8615">
          <w:rPr>
            <w:rStyle w:val="Hyperlink"/>
          </w:rPr>
          <w:t>https://hdl-handle-net.ezproxy.uwtsd.ac.uk/2027/heb31944.0001.001</w:t>
        </w:r>
      </w:hyperlink>
      <w:r w:rsidR="1C6F8615">
        <w:rPr/>
        <w:t>. [accessed 17 November 2024]</w:t>
      </w:r>
    </w:p>
  </w:footnote>
  <w:footnote w:id="20447">
    <w:p w:rsidR="1C6F8615" w:rsidP="1C6F8615" w:rsidRDefault="1C6F8615" w14:paraId="49041298" w14:textId="60C003EC">
      <w:pPr>
        <w:pStyle w:val="FootnoteText"/>
        <w:bidi w:val="0"/>
        <w:spacing w:after="0" w:line="240" w:lineRule="auto"/>
        <w:rPr>
          <w:noProof w:val="0"/>
          <w:lang w:val="en-US"/>
        </w:rPr>
      </w:pPr>
      <w:r w:rsidRPr="1C6F8615">
        <w:rPr>
          <w:rStyle w:val="FootnoteReference"/>
        </w:rPr>
        <w:footnoteRef/>
      </w:r>
      <w:r w:rsidR="1C6F8615">
        <w:rPr/>
        <w:t xml:space="preserve"> </w:t>
      </w:r>
      <w:r w:rsidRPr="1C6F8615" w:rsidR="1C6F8615">
        <w:rPr>
          <w:rFonts w:ascii="Aptos" w:hAnsi="Aptos" w:eastAsia="Aptos" w:cs="Aptos"/>
          <w:b w:val="0"/>
          <w:bCs w:val="0"/>
          <w:i w:val="0"/>
          <w:iCs w:val="0"/>
          <w:caps w:val="0"/>
          <w:smallCaps w:val="0"/>
          <w:noProof w:val="0"/>
          <w:color w:val="000000" w:themeColor="text1" w:themeTint="FF" w:themeShade="FF"/>
          <w:sz w:val="20"/>
          <w:szCs w:val="20"/>
          <w:lang w:val="en-US"/>
        </w:rPr>
        <w:t xml:space="preserve">Leclerc and Roussier. </w:t>
      </w:r>
      <w:r w:rsidRPr="1C6F8615" w:rsidR="1C6F8615">
        <w:rPr>
          <w:rFonts w:ascii="Aptos" w:hAnsi="Aptos" w:eastAsia="Aptos" w:cs="Aptos"/>
          <w:b w:val="0"/>
          <w:bCs w:val="0"/>
          <w:i w:val="1"/>
          <w:iCs w:val="1"/>
          <w:caps w:val="0"/>
          <w:smallCaps w:val="0"/>
          <w:noProof w:val="0"/>
          <w:color w:val="000000" w:themeColor="text1" w:themeTint="FF" w:themeShade="FF"/>
          <w:sz w:val="20"/>
          <w:szCs w:val="20"/>
          <w:lang w:val="en-US"/>
        </w:rPr>
        <w:t>Lettres du Général Leclerc commandant en chef de l’armée de Saint-Domingue en 1802</w:t>
      </w:r>
      <w:r w:rsidRPr="1C6F8615" w:rsidR="1C6F8615">
        <w:rPr>
          <w:rFonts w:ascii="Aptos" w:hAnsi="Aptos" w:eastAsia="Aptos" w:cs="Aptos"/>
          <w:b w:val="0"/>
          <w:bCs w:val="0"/>
          <w:i w:val="0"/>
          <w:iCs w:val="0"/>
          <w:caps w:val="0"/>
          <w:smallCaps w:val="0"/>
          <w:noProof w:val="0"/>
          <w:color w:val="000000" w:themeColor="text1" w:themeTint="FF" w:themeShade="FF"/>
          <w:sz w:val="20"/>
          <w:szCs w:val="20"/>
          <w:lang w:val="en-US"/>
        </w:rPr>
        <w:t>, p.233.</w:t>
      </w:r>
    </w:p>
  </w:footnote>
  <w:footnote w:id="31663">
    <w:p w:rsidR="1C6F8615" w:rsidP="1C6F8615" w:rsidRDefault="1C6F8615" w14:paraId="068B59F7" w14:textId="46E9C27D">
      <w:pPr>
        <w:pStyle w:val="FootnoteText"/>
        <w:bidi w:val="0"/>
        <w:rPr>
          <w:i w:val="0"/>
          <w:iCs w:val="0"/>
        </w:rPr>
      </w:pPr>
      <w:r w:rsidRPr="1C6F8615">
        <w:rPr>
          <w:rStyle w:val="FootnoteReference"/>
        </w:rPr>
        <w:footnoteRef/>
      </w:r>
      <w:r w:rsidR="1C6F8615">
        <w:rPr/>
        <w:t xml:space="preserve"> </w:t>
      </w:r>
      <w:r w:rsidR="1C6F8615">
        <w:rPr/>
        <w:t>Geggus</w:t>
      </w:r>
      <w:r w:rsidR="1C6F8615">
        <w:rPr/>
        <w:t xml:space="preserve">, </w:t>
      </w:r>
      <w:r w:rsidRPr="1C6F8615" w:rsidR="1C6F8615">
        <w:rPr>
          <w:i w:val="1"/>
          <w:iCs w:val="1"/>
        </w:rPr>
        <w:t xml:space="preserve">Haitian revolutionary studies, </w:t>
      </w:r>
      <w:r w:rsidRPr="1C6F8615" w:rsidR="1C6F8615">
        <w:rPr>
          <w:i w:val="0"/>
          <w:iCs w:val="0"/>
        </w:rPr>
        <w:t>p. 26</w:t>
      </w:r>
    </w:p>
  </w:footnote>
  <w:footnote w:id="9019">
    <w:p w:rsidR="1C6F8615" w:rsidP="1C6F8615" w:rsidRDefault="1C6F8615" w14:paraId="56FF569C" w14:textId="36EDB19F">
      <w:pPr>
        <w:pStyle w:val="FootnoteText"/>
        <w:bidi w:val="0"/>
        <w:rPr>
          <w:i w:val="0"/>
          <w:iCs w:val="0"/>
        </w:rPr>
      </w:pPr>
      <w:r w:rsidRPr="1C6F8615">
        <w:rPr>
          <w:rStyle w:val="FootnoteReference"/>
        </w:rPr>
        <w:footnoteRef/>
      </w:r>
      <w:r w:rsidR="1C6F8615">
        <w:rPr/>
        <w:t xml:space="preserve"> Girard, </w:t>
      </w:r>
      <w:r w:rsidRPr="1C6F8615" w:rsidR="1C6F8615">
        <w:rPr>
          <w:i w:val="1"/>
          <w:iCs w:val="1"/>
        </w:rPr>
        <w:t xml:space="preserve">French atrocities during the Haitian War of Independence, </w:t>
      </w:r>
      <w:r w:rsidRPr="1C6F8615" w:rsidR="1C6F8615">
        <w:rPr>
          <w:i w:val="0"/>
          <w:iCs w:val="0"/>
        </w:rPr>
        <w:t>pp. 133-149</w:t>
      </w:r>
    </w:p>
  </w:footnote>
  <w:footnote w:id="5328">
    <w:p w:rsidR="7D50C134" w:rsidP="7D50C134" w:rsidRDefault="7D50C134" w14:paraId="03BFC486" w14:textId="6A440F21">
      <w:pPr>
        <w:pStyle w:val="FootnoteText"/>
        <w:bidi w:val="0"/>
        <w:rPr>
          <w:noProof w:val="0"/>
          <w:lang w:val="en-US"/>
        </w:rPr>
      </w:pPr>
      <w:r w:rsidRPr="7D50C134">
        <w:rPr>
          <w:rStyle w:val="FootnoteReference"/>
        </w:rPr>
        <w:footnoteRef/>
      </w:r>
      <w:r w:rsidR="7D50C134">
        <w:rPr/>
        <w:t xml:space="preserve"> </w:t>
      </w:r>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 xml:space="preserve">Leclerc and </w:t>
      </w:r>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Roussier</w:t>
      </w:r>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 xml:space="preserve">Lettres du </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Général</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 xml:space="preserve"> Leclerc commandant </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en</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 xml:space="preserve"> chef de </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l’armée</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 xml:space="preserve"> de Saint-Domingue </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en</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 xml:space="preserve"> 1802</w:t>
      </w:r>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 p.238.</w:t>
      </w:r>
    </w:p>
  </w:footnote>
  <w:footnote w:id="21478">
    <w:p w:rsidR="7D50C134" w:rsidP="7D50C134" w:rsidRDefault="7D50C134" w14:paraId="598EB8AF" w14:textId="553FB5E3">
      <w:pPr>
        <w:pStyle w:val="FootnoteText"/>
        <w:bidi w:val="0"/>
      </w:pPr>
      <w:r w:rsidRPr="7D50C134">
        <w:rPr>
          <w:rStyle w:val="FootnoteReference"/>
        </w:rPr>
        <w:footnoteRef/>
      </w:r>
      <w:r w:rsidR="7D50C134">
        <w:rPr/>
        <w:t xml:space="preserve"> </w:t>
      </w:r>
      <w:r w:rsidRPr="7D50C134" w:rsidR="7D50C134">
        <w:rPr>
          <w:i w:val="1"/>
          <w:iCs w:val="1"/>
        </w:rPr>
        <w:t>ibid</w:t>
      </w:r>
      <w:r w:rsidR="7D50C134">
        <w:rPr/>
        <w:t>., p. 256</w:t>
      </w:r>
    </w:p>
  </w:footnote>
  <w:footnote w:id="15463">
    <w:p w:rsidR="7D50C134" w:rsidP="7D50C134" w:rsidRDefault="7D50C134" w14:paraId="204A8C8A" w14:textId="65A0BAE7">
      <w:pPr>
        <w:pStyle w:val="FootnoteText"/>
        <w:bidi w:val="0"/>
        <w:rPr>
          <w:i w:val="0"/>
          <w:iCs w:val="0"/>
        </w:rPr>
      </w:pPr>
      <w:r w:rsidRPr="7D50C134">
        <w:rPr>
          <w:rStyle w:val="FootnoteReference"/>
        </w:rPr>
        <w:footnoteRef/>
      </w:r>
      <w:r w:rsidR="7D50C134">
        <w:rPr/>
        <w:t xml:space="preserve"> Girard, </w:t>
      </w:r>
      <w:r w:rsidRPr="7D50C134" w:rsidR="7D50C134">
        <w:rPr>
          <w:i w:val="1"/>
          <w:iCs w:val="1"/>
        </w:rPr>
        <w:t xml:space="preserve">French atrocities during the Haitian War of Independence, </w:t>
      </w:r>
      <w:r w:rsidRPr="7D50C134" w:rsidR="7D50C134">
        <w:rPr>
          <w:i w:val="0"/>
          <w:iCs w:val="0"/>
        </w:rPr>
        <w:t>pp. 133-149</w:t>
      </w:r>
    </w:p>
  </w:footnote>
  <w:footnote w:id="8495">
    <w:p w:rsidR="7D50C134" w:rsidP="7D50C134" w:rsidRDefault="7D50C134" w14:paraId="62F0505F" w14:textId="6B2C7326">
      <w:pPr>
        <w:pStyle w:val="FootnoteText"/>
        <w:bidi w:val="0"/>
      </w:pPr>
      <w:r w:rsidRPr="7D50C134">
        <w:rPr>
          <w:rStyle w:val="FootnoteReference"/>
        </w:rPr>
        <w:footnoteRef/>
      </w:r>
      <w:r w:rsidR="7D50C134">
        <w:rPr/>
        <w:t xml:space="preserve"> </w:t>
      </w:r>
      <w:r w:rsidR="7D50C134">
        <w:rPr/>
        <w:t>Barskett</w:t>
      </w:r>
      <w:r w:rsidR="7D50C134">
        <w:rPr/>
        <w:t>, J. (1824). History of the Island of St. Domingo: From Its First Discovery by Columbus to the Present Period. Mahlon Day, New York, 1824, p. 261</w:t>
      </w:r>
    </w:p>
  </w:footnote>
  <w:footnote w:id="26521">
    <w:p w:rsidR="7D50C134" w:rsidP="7D50C134" w:rsidRDefault="7D50C134" w14:paraId="2CCA2A5F" w14:textId="750AEFD4">
      <w:pPr>
        <w:pStyle w:val="FootnoteText"/>
        <w:bidi w:val="0"/>
      </w:pPr>
      <w:r w:rsidRPr="7D50C134">
        <w:rPr>
          <w:rStyle w:val="FootnoteReference"/>
        </w:rPr>
        <w:footnoteRef/>
      </w:r>
      <w:r w:rsidR="7D50C134">
        <w:rPr/>
        <w:t xml:space="preserve"> </w:t>
      </w:r>
      <w:r w:rsidR="7D50C134">
        <w:rPr/>
        <w:t>Barskett</w:t>
      </w:r>
      <w:r w:rsidR="7D50C134">
        <w:rPr/>
        <w:t>, History of the Island of St. Domingo: From Its First Discovery by Columbus to the Present Period, p. 165</w:t>
      </w:r>
    </w:p>
  </w:footnote>
  <w:footnote w:id="27871">
    <w:p w:rsidR="7D50C134" w:rsidP="7D50C134" w:rsidRDefault="7D50C134" w14:paraId="4E83C8C6" w14:textId="69B44B8F">
      <w:pPr>
        <w:pStyle w:val="FootnoteText"/>
        <w:bidi w:val="0"/>
        <w:rPr>
          <w:noProof w:val="0"/>
          <w:lang w:val="en-US"/>
        </w:rPr>
      </w:pPr>
      <w:r w:rsidRPr="7D50C134">
        <w:rPr>
          <w:rStyle w:val="FootnoteReference"/>
        </w:rPr>
        <w:footnoteRef/>
      </w:r>
      <w:r w:rsidR="7D50C134">
        <w:rPr/>
        <w:t xml:space="preserve"> </w:t>
      </w:r>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Girard, P. R. (2013). ‘French atrocities during the Haitian War of Independence’,</w:t>
      </w:r>
      <w:r w:rsidRPr="7D50C134" w:rsidR="7D50C134">
        <w:rPr>
          <w:rFonts w:ascii="Aptos" w:hAnsi="Aptos" w:eastAsia="Aptos" w:cs="Aptos"/>
          <w:b w:val="0"/>
          <w:bCs w:val="0"/>
          <w:i w:val="1"/>
          <w:iCs w:val="1"/>
          <w:caps w:val="0"/>
          <w:smallCaps w:val="0"/>
          <w:noProof w:val="0"/>
          <w:color w:val="000000" w:themeColor="text1" w:themeTint="FF" w:themeShade="FF"/>
          <w:sz w:val="20"/>
          <w:szCs w:val="20"/>
          <w:lang w:val="en-US"/>
        </w:rPr>
        <w:t xml:space="preserve"> Journal of Genocide Research</w:t>
      </w:r>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 xml:space="preserve">, 15(2), pp. 133–149. </w:t>
      </w:r>
      <w:hyperlink r:id="R487989fae607453e">
        <w:r w:rsidRPr="7D50C134" w:rsidR="7D50C134">
          <w:rPr>
            <w:rStyle w:val="Hyperlink"/>
            <w:rFonts w:ascii="Aptos" w:hAnsi="Aptos" w:eastAsia="Aptos" w:cs="Aptos"/>
            <w:b w:val="0"/>
            <w:bCs w:val="0"/>
            <w:i w:val="0"/>
            <w:iCs w:val="0"/>
            <w:caps w:val="0"/>
            <w:smallCaps w:val="0"/>
            <w:strike w:val="0"/>
            <w:dstrike w:val="0"/>
            <w:noProof w:val="0"/>
            <w:sz w:val="20"/>
            <w:szCs w:val="20"/>
            <w:lang w:val="en-US"/>
          </w:rPr>
          <w:t>https://doi.org/10.1080/14623528.2013.789181</w:t>
        </w:r>
      </w:hyperlink>
      <w:r w:rsidRPr="7D50C134" w:rsidR="7D50C134">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18 November 2024]</w:t>
      </w:r>
    </w:p>
  </w:footnote>
  <w:footnote w:id="11003">
    <w:p w:rsidR="7D50C134" w:rsidP="7D50C134" w:rsidRDefault="7D50C134" w14:paraId="14F89B7D" w14:textId="63416FAE">
      <w:pPr>
        <w:pStyle w:val="FootnoteText"/>
        <w:bidi w:val="0"/>
        <w:rPr>
          <w:i w:val="0"/>
          <w:iCs w:val="0"/>
        </w:rPr>
      </w:pPr>
      <w:r w:rsidRPr="7D50C134">
        <w:rPr>
          <w:rStyle w:val="FootnoteReference"/>
        </w:rPr>
        <w:footnoteRef/>
      </w:r>
      <w:r w:rsidR="7D50C134">
        <w:rPr/>
        <w:t xml:space="preserve"> Daut, M. (2020). ‘All the Devils Are Here</w:t>
      </w:r>
      <w:r w:rsidR="7D50C134">
        <w:rPr/>
        <w:t>’,</w:t>
      </w:r>
      <w:r w:rsidR="7D50C134">
        <w:rPr/>
        <w:t xml:space="preserve"> </w:t>
      </w:r>
      <w:r w:rsidRPr="7D50C134" w:rsidR="7D50C134">
        <w:rPr>
          <w:i w:val="1"/>
          <w:iCs w:val="1"/>
        </w:rPr>
        <w:t xml:space="preserve">Lapham’s Quarterly. </w:t>
      </w:r>
      <w:r w:rsidRPr="7D50C134" w:rsidR="7D50C134">
        <w:rPr>
          <w:i w:val="0"/>
          <w:iCs w:val="0"/>
        </w:rPr>
        <w:t xml:space="preserve">Retrieved from </w:t>
      </w:r>
      <w:hyperlink r:id="R3f7b414159da4a02">
        <w:r w:rsidRPr="7D50C134" w:rsidR="7D50C134">
          <w:rPr>
            <w:rStyle w:val="Hyperlink"/>
            <w:i w:val="0"/>
            <w:iCs w:val="0"/>
          </w:rPr>
          <w:t>https://www.laphamsquarterly.org/roundtable/all-devils-are-here</w:t>
        </w:r>
      </w:hyperlink>
      <w:r w:rsidRPr="7D50C134" w:rsidR="7D50C134">
        <w:rPr>
          <w:i w:val="0"/>
          <w:iCs w:val="0"/>
        </w:rPr>
        <w:t xml:space="preserve"> [accessed 17 November 2024]</w:t>
      </w:r>
    </w:p>
  </w:footnote>
  <w:footnote w:id="17138">
    <w:p w:rsidR="7D50C134" w:rsidP="7D50C134" w:rsidRDefault="7D50C134" w14:paraId="270D4933" w14:textId="50952B4A">
      <w:pPr>
        <w:pStyle w:val="FootnoteText"/>
        <w:bidi w:val="0"/>
      </w:pPr>
      <w:r w:rsidRPr="7D50C134">
        <w:rPr>
          <w:rStyle w:val="FootnoteReference"/>
        </w:rPr>
        <w:footnoteRef/>
      </w:r>
      <w:r w:rsidR="7D50C134">
        <w:rPr/>
        <w:t xml:space="preserve"> </w:t>
      </w:r>
      <w:r w:rsidR="7D50C134">
        <w:rPr/>
        <w:t>Geggus</w:t>
      </w:r>
      <w:r w:rsidR="7D50C134">
        <w:rPr/>
        <w:t>, D. (2002). Haitian revolutionary studies. Retrieved from https://hdl-handle-net.ezproxy.uwtsd.ac.uk/2027/heb04575.0001.001. [accessed 17 November 2024]</w:t>
      </w:r>
    </w:p>
  </w:footnote>
  <w:footnote w:id="9277">
    <w:p w:rsidR="7D50C134" w:rsidP="7D50C134" w:rsidRDefault="7D50C134" w14:paraId="1A1BFAEC" w14:textId="077F1848">
      <w:pPr>
        <w:pStyle w:val="FootnoteText"/>
        <w:bidi w:val="0"/>
      </w:pPr>
      <w:r w:rsidRPr="7D50C134">
        <w:rPr>
          <w:rStyle w:val="FootnoteReference"/>
        </w:rPr>
        <w:footnoteRef/>
      </w:r>
      <w:r w:rsidR="7D50C134">
        <w:rPr/>
        <w:t xml:space="preserve"> UN General Assembly (1948), Convention on the Prevention and Punishment of the Crime of Genocide, United Nations, Treaty Series, vol. 78, p. 277, 9 December. Retrieved from https://www.refworld.org/legal/agreements/unga/1948/en/13495 [accessed 17 November 2024]</w:t>
      </w:r>
    </w:p>
  </w:footnote>
  <w:footnote w:id="7653">
    <w:p w:rsidR="7D50C134" w:rsidP="7D50C134" w:rsidRDefault="7D50C134" w14:paraId="50B32191" w14:textId="1B592877">
      <w:pPr>
        <w:pStyle w:val="FootnoteText"/>
        <w:bidi w:val="0"/>
        <w:rPr>
          <w:i w:val="0"/>
          <w:iCs w:val="0"/>
        </w:rPr>
      </w:pPr>
      <w:r w:rsidRPr="7D50C134">
        <w:rPr>
          <w:rStyle w:val="FootnoteReference"/>
        </w:rPr>
        <w:footnoteRef/>
      </w:r>
      <w:r w:rsidR="7D50C134">
        <w:rPr/>
        <w:t xml:space="preserve"> Girard, </w:t>
      </w:r>
      <w:r w:rsidRPr="7D50C134" w:rsidR="7D50C134">
        <w:rPr>
          <w:i w:val="1"/>
          <w:iCs w:val="1"/>
        </w:rPr>
        <w:t xml:space="preserve">French atrocities during the Haitian War of Independence, </w:t>
      </w:r>
      <w:r w:rsidRPr="7D50C134" w:rsidR="7D50C134">
        <w:rPr>
          <w:i w:val="0"/>
          <w:iCs w:val="0"/>
        </w:rPr>
        <w:t>pp. 133-149</w:t>
      </w:r>
    </w:p>
  </w:footnote>
  <w:footnote w:id="29546">
    <w:p w:rsidR="7D50C134" w:rsidP="7D50C134" w:rsidRDefault="7D50C134" w14:paraId="079D8CFE" w14:textId="16FB3360">
      <w:pPr>
        <w:pStyle w:val="FootnoteText"/>
        <w:bidi w:val="0"/>
      </w:pPr>
      <w:r w:rsidRPr="7D50C134">
        <w:rPr>
          <w:rStyle w:val="FootnoteReference"/>
        </w:rPr>
        <w:footnoteRef/>
      </w:r>
      <w:r w:rsidR="7D50C134">
        <w:rPr/>
        <w:t xml:space="preserve"> UN General Assembly, </w:t>
      </w:r>
      <w:r w:rsidRPr="7D50C134" w:rsidR="7D50C134">
        <w:rPr>
          <w:i w:val="1"/>
          <w:iCs w:val="1"/>
        </w:rPr>
        <w:t>Convention on the Prevention and Punishment of the Crime of Genocide, United Nations, Treaty Series</w:t>
      </w:r>
      <w:r w:rsidR="7D50C134">
        <w:rPr/>
        <w:t>, vol. 78, p. 277</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50C134" w:rsidTr="7D50C134" w14:paraId="47E85792">
      <w:trPr>
        <w:trHeight w:val="300"/>
      </w:trPr>
      <w:tc>
        <w:tcPr>
          <w:tcW w:w="3120" w:type="dxa"/>
          <w:tcMar/>
        </w:tcPr>
        <w:p w:rsidR="7D50C134" w:rsidP="7D50C134" w:rsidRDefault="7D50C134" w14:paraId="075D83AC" w14:textId="33BC47E6">
          <w:pPr>
            <w:pStyle w:val="Header"/>
            <w:bidi w:val="0"/>
            <w:ind w:left="-115"/>
            <w:jc w:val="left"/>
          </w:pPr>
        </w:p>
      </w:tc>
      <w:tc>
        <w:tcPr>
          <w:tcW w:w="3120" w:type="dxa"/>
          <w:tcMar/>
        </w:tcPr>
        <w:p w:rsidR="7D50C134" w:rsidP="7D50C134" w:rsidRDefault="7D50C134" w14:paraId="6F3CAB4C" w14:textId="1FC79813">
          <w:pPr>
            <w:pStyle w:val="Header"/>
            <w:bidi w:val="0"/>
            <w:jc w:val="center"/>
          </w:pPr>
        </w:p>
      </w:tc>
      <w:tc>
        <w:tcPr>
          <w:tcW w:w="3120" w:type="dxa"/>
          <w:tcMar/>
        </w:tcPr>
        <w:p w:rsidR="7D50C134" w:rsidP="7D50C134" w:rsidRDefault="7D50C134" w14:paraId="272CE3A1" w14:textId="0D146086">
          <w:pPr>
            <w:pStyle w:val="Header"/>
            <w:bidi w:val="0"/>
            <w:ind w:right="-115"/>
            <w:jc w:val="right"/>
          </w:pPr>
        </w:p>
      </w:tc>
    </w:tr>
  </w:tbl>
  <w:p w:rsidR="7D50C134" w:rsidP="7D50C134" w:rsidRDefault="7D50C134" w14:paraId="6AC073EB" w14:textId="0B6A40E8">
    <w:pPr>
      <w:pStyle w:val="Header"/>
      <w:bidi w:val="0"/>
    </w:pPr>
  </w:p>
</w:hdr>
</file>

<file path=word/intelligence2.xml><?xml version="1.0" encoding="utf-8"?>
<int2:intelligence xmlns:int2="http://schemas.microsoft.com/office/intelligence/2020/intelligence">
  <int2:observations>
    <int2:textHash int2:hashCode="+NlvaEfyQdG2HK" int2:id="re5MYpvN">
      <int2:state int2:type="AugLoop_Text_Critique" int2:value="Rejected"/>
    </int2:textHash>
    <int2:textHash int2:hashCode="aj770W1S4d5VKT" int2:id="abKCIQJM">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27BB65"/>
    <w:rsid w:val="004A82D4"/>
    <w:rsid w:val="006CBF71"/>
    <w:rsid w:val="017578DB"/>
    <w:rsid w:val="01A343BD"/>
    <w:rsid w:val="01D2C9CA"/>
    <w:rsid w:val="0215A054"/>
    <w:rsid w:val="02E8FF9D"/>
    <w:rsid w:val="036675A5"/>
    <w:rsid w:val="0399A931"/>
    <w:rsid w:val="043A4041"/>
    <w:rsid w:val="0518650F"/>
    <w:rsid w:val="05875072"/>
    <w:rsid w:val="05BA43E7"/>
    <w:rsid w:val="061A197A"/>
    <w:rsid w:val="066555B5"/>
    <w:rsid w:val="06BE3268"/>
    <w:rsid w:val="075F837D"/>
    <w:rsid w:val="076D5F78"/>
    <w:rsid w:val="07C0CC25"/>
    <w:rsid w:val="081099E1"/>
    <w:rsid w:val="083E2D84"/>
    <w:rsid w:val="087FACF2"/>
    <w:rsid w:val="08DAA703"/>
    <w:rsid w:val="090E5812"/>
    <w:rsid w:val="09570A16"/>
    <w:rsid w:val="0A15EB30"/>
    <w:rsid w:val="0A1890A8"/>
    <w:rsid w:val="0AAAE02B"/>
    <w:rsid w:val="0AABB89C"/>
    <w:rsid w:val="0AD2C0AF"/>
    <w:rsid w:val="0AF320B8"/>
    <w:rsid w:val="0BC668B0"/>
    <w:rsid w:val="0C54309E"/>
    <w:rsid w:val="0C909B3A"/>
    <w:rsid w:val="0CE4EA6F"/>
    <w:rsid w:val="0D20C2B4"/>
    <w:rsid w:val="0D67E752"/>
    <w:rsid w:val="0D74773A"/>
    <w:rsid w:val="0D8B469F"/>
    <w:rsid w:val="0D8B5D4C"/>
    <w:rsid w:val="0E156751"/>
    <w:rsid w:val="0EA3504E"/>
    <w:rsid w:val="0F27BB65"/>
    <w:rsid w:val="0F4015C2"/>
    <w:rsid w:val="0F6A861F"/>
    <w:rsid w:val="1075A2A0"/>
    <w:rsid w:val="1096866B"/>
    <w:rsid w:val="10BE2A74"/>
    <w:rsid w:val="10F9A9DA"/>
    <w:rsid w:val="10FF8EBE"/>
    <w:rsid w:val="110695D7"/>
    <w:rsid w:val="11B82075"/>
    <w:rsid w:val="12739D5E"/>
    <w:rsid w:val="12D38437"/>
    <w:rsid w:val="12EC1D1E"/>
    <w:rsid w:val="13ADEFE3"/>
    <w:rsid w:val="13F74508"/>
    <w:rsid w:val="14098623"/>
    <w:rsid w:val="141D8A91"/>
    <w:rsid w:val="14555CB3"/>
    <w:rsid w:val="148BDAD6"/>
    <w:rsid w:val="148E1EF4"/>
    <w:rsid w:val="14A485A7"/>
    <w:rsid w:val="14FB246D"/>
    <w:rsid w:val="151C0615"/>
    <w:rsid w:val="152326D7"/>
    <w:rsid w:val="15798784"/>
    <w:rsid w:val="15F3BC3A"/>
    <w:rsid w:val="16025392"/>
    <w:rsid w:val="16262EE1"/>
    <w:rsid w:val="16873FDF"/>
    <w:rsid w:val="16DF6EC7"/>
    <w:rsid w:val="16F478CB"/>
    <w:rsid w:val="173E01A4"/>
    <w:rsid w:val="1745AD63"/>
    <w:rsid w:val="197A8B77"/>
    <w:rsid w:val="198D7889"/>
    <w:rsid w:val="19DA5857"/>
    <w:rsid w:val="1A5A43B3"/>
    <w:rsid w:val="1ADDD63A"/>
    <w:rsid w:val="1C28155D"/>
    <w:rsid w:val="1C39899D"/>
    <w:rsid w:val="1C6F8615"/>
    <w:rsid w:val="1CC0984C"/>
    <w:rsid w:val="1CCDD44A"/>
    <w:rsid w:val="1CCFFFE7"/>
    <w:rsid w:val="1DB03258"/>
    <w:rsid w:val="1DC14CD9"/>
    <w:rsid w:val="1DCD8461"/>
    <w:rsid w:val="1E0D963C"/>
    <w:rsid w:val="1E6F0986"/>
    <w:rsid w:val="1E907BC9"/>
    <w:rsid w:val="1EE11738"/>
    <w:rsid w:val="1F78D1BC"/>
    <w:rsid w:val="1FB87146"/>
    <w:rsid w:val="203CFA86"/>
    <w:rsid w:val="2094526E"/>
    <w:rsid w:val="21B13D27"/>
    <w:rsid w:val="21BDCC9F"/>
    <w:rsid w:val="22332D12"/>
    <w:rsid w:val="2352511A"/>
    <w:rsid w:val="2384266C"/>
    <w:rsid w:val="2428A2D3"/>
    <w:rsid w:val="2436E8E4"/>
    <w:rsid w:val="24489E07"/>
    <w:rsid w:val="249B5E95"/>
    <w:rsid w:val="24EDF9A3"/>
    <w:rsid w:val="2518B49D"/>
    <w:rsid w:val="251D14DC"/>
    <w:rsid w:val="26836665"/>
    <w:rsid w:val="26AC8475"/>
    <w:rsid w:val="272155C1"/>
    <w:rsid w:val="27765F7D"/>
    <w:rsid w:val="27856553"/>
    <w:rsid w:val="27B59602"/>
    <w:rsid w:val="27ED6BD3"/>
    <w:rsid w:val="28757C0F"/>
    <w:rsid w:val="28895F33"/>
    <w:rsid w:val="289F5E5D"/>
    <w:rsid w:val="2A0F0F62"/>
    <w:rsid w:val="2A5AEE95"/>
    <w:rsid w:val="2A80389F"/>
    <w:rsid w:val="2A88083A"/>
    <w:rsid w:val="2AFA7F3B"/>
    <w:rsid w:val="2B056334"/>
    <w:rsid w:val="2B3254F1"/>
    <w:rsid w:val="2B87B121"/>
    <w:rsid w:val="2B8C5F13"/>
    <w:rsid w:val="2C146D5B"/>
    <w:rsid w:val="2C49AB93"/>
    <w:rsid w:val="2D0E974B"/>
    <w:rsid w:val="2D48177E"/>
    <w:rsid w:val="2D516F4F"/>
    <w:rsid w:val="2D771F46"/>
    <w:rsid w:val="2DB63A99"/>
    <w:rsid w:val="2E171A18"/>
    <w:rsid w:val="2E3D32DD"/>
    <w:rsid w:val="2E90CD5F"/>
    <w:rsid w:val="2F72D9C3"/>
    <w:rsid w:val="2F78F7C9"/>
    <w:rsid w:val="2FE8A799"/>
    <w:rsid w:val="305D3522"/>
    <w:rsid w:val="3073A484"/>
    <w:rsid w:val="307BB9C4"/>
    <w:rsid w:val="307BC3DA"/>
    <w:rsid w:val="30AB44EB"/>
    <w:rsid w:val="3193987B"/>
    <w:rsid w:val="31FBCC37"/>
    <w:rsid w:val="321E7DB2"/>
    <w:rsid w:val="32E8BCF0"/>
    <w:rsid w:val="33DE9818"/>
    <w:rsid w:val="3589C08B"/>
    <w:rsid w:val="362A1DE1"/>
    <w:rsid w:val="37BEAF4F"/>
    <w:rsid w:val="37C050C2"/>
    <w:rsid w:val="37E046FA"/>
    <w:rsid w:val="38146AF8"/>
    <w:rsid w:val="387164F9"/>
    <w:rsid w:val="390E4239"/>
    <w:rsid w:val="393A9CBA"/>
    <w:rsid w:val="39C807A1"/>
    <w:rsid w:val="39D594E7"/>
    <w:rsid w:val="39E749AB"/>
    <w:rsid w:val="3A71FA03"/>
    <w:rsid w:val="3A742376"/>
    <w:rsid w:val="3AA91141"/>
    <w:rsid w:val="3AB2E8DC"/>
    <w:rsid w:val="3BAA2E13"/>
    <w:rsid w:val="3BAE0B23"/>
    <w:rsid w:val="3BB491AC"/>
    <w:rsid w:val="3BF234BC"/>
    <w:rsid w:val="3C15093D"/>
    <w:rsid w:val="3CA55F77"/>
    <w:rsid w:val="3D453BDF"/>
    <w:rsid w:val="3E3FC9F8"/>
    <w:rsid w:val="3E5FF039"/>
    <w:rsid w:val="3E7B703A"/>
    <w:rsid w:val="3EDC649C"/>
    <w:rsid w:val="3EF69C0F"/>
    <w:rsid w:val="3F0C9C46"/>
    <w:rsid w:val="3F18FBFC"/>
    <w:rsid w:val="3F2216E7"/>
    <w:rsid w:val="3F512295"/>
    <w:rsid w:val="3F9E4967"/>
    <w:rsid w:val="3FE31617"/>
    <w:rsid w:val="40E20C56"/>
    <w:rsid w:val="417C7732"/>
    <w:rsid w:val="41FB1C2E"/>
    <w:rsid w:val="4252E553"/>
    <w:rsid w:val="42A823FC"/>
    <w:rsid w:val="43060D59"/>
    <w:rsid w:val="435263C6"/>
    <w:rsid w:val="436186BE"/>
    <w:rsid w:val="439E9F7A"/>
    <w:rsid w:val="43CF8B89"/>
    <w:rsid w:val="448EA00D"/>
    <w:rsid w:val="44C65E85"/>
    <w:rsid w:val="44DF71CE"/>
    <w:rsid w:val="450E585A"/>
    <w:rsid w:val="4644A479"/>
    <w:rsid w:val="4692339E"/>
    <w:rsid w:val="46C4630D"/>
    <w:rsid w:val="478CF89C"/>
    <w:rsid w:val="47CFA1ED"/>
    <w:rsid w:val="47DF690C"/>
    <w:rsid w:val="484AE2F7"/>
    <w:rsid w:val="489E0011"/>
    <w:rsid w:val="48AB90F6"/>
    <w:rsid w:val="48B8E857"/>
    <w:rsid w:val="491F14A2"/>
    <w:rsid w:val="496536C2"/>
    <w:rsid w:val="497CAE3E"/>
    <w:rsid w:val="49D077A0"/>
    <w:rsid w:val="49DF0A21"/>
    <w:rsid w:val="4A1EBBBA"/>
    <w:rsid w:val="4BF0B845"/>
    <w:rsid w:val="4C0EF39E"/>
    <w:rsid w:val="4C475A1E"/>
    <w:rsid w:val="4CBB94F5"/>
    <w:rsid w:val="4D9BC133"/>
    <w:rsid w:val="4DDA3C61"/>
    <w:rsid w:val="4DFB6872"/>
    <w:rsid w:val="4E1A7AC1"/>
    <w:rsid w:val="4F0019D0"/>
    <w:rsid w:val="4F06E34B"/>
    <w:rsid w:val="4FCF6083"/>
    <w:rsid w:val="5005975A"/>
    <w:rsid w:val="5068F08C"/>
    <w:rsid w:val="50BFA55C"/>
    <w:rsid w:val="52063B7F"/>
    <w:rsid w:val="526CCAFF"/>
    <w:rsid w:val="52A7F094"/>
    <w:rsid w:val="534106EA"/>
    <w:rsid w:val="5344CC82"/>
    <w:rsid w:val="5376A49A"/>
    <w:rsid w:val="5379DF83"/>
    <w:rsid w:val="53B0D0F1"/>
    <w:rsid w:val="541C048E"/>
    <w:rsid w:val="547C7BFD"/>
    <w:rsid w:val="549A0131"/>
    <w:rsid w:val="54A4E299"/>
    <w:rsid w:val="55B5140B"/>
    <w:rsid w:val="5643CA7C"/>
    <w:rsid w:val="564D0D66"/>
    <w:rsid w:val="568995E9"/>
    <w:rsid w:val="56C09E93"/>
    <w:rsid w:val="571FCD0D"/>
    <w:rsid w:val="57269AEB"/>
    <w:rsid w:val="5744C492"/>
    <w:rsid w:val="5826ED7B"/>
    <w:rsid w:val="5840A4EA"/>
    <w:rsid w:val="5864AF79"/>
    <w:rsid w:val="586C632E"/>
    <w:rsid w:val="58DE674A"/>
    <w:rsid w:val="59015570"/>
    <w:rsid w:val="595942B8"/>
    <w:rsid w:val="5976CF64"/>
    <w:rsid w:val="5994D15B"/>
    <w:rsid w:val="59B96D66"/>
    <w:rsid w:val="59ED1EAC"/>
    <w:rsid w:val="5ABC29E6"/>
    <w:rsid w:val="5AC9E07A"/>
    <w:rsid w:val="5B13821A"/>
    <w:rsid w:val="5B353F78"/>
    <w:rsid w:val="5C3B2E86"/>
    <w:rsid w:val="5C3D525B"/>
    <w:rsid w:val="5CEF9367"/>
    <w:rsid w:val="5D0646A7"/>
    <w:rsid w:val="5D093E3B"/>
    <w:rsid w:val="5D2158BF"/>
    <w:rsid w:val="5D3D9911"/>
    <w:rsid w:val="5D45D93C"/>
    <w:rsid w:val="5D9CC816"/>
    <w:rsid w:val="5E0EB2FD"/>
    <w:rsid w:val="5E60B8A2"/>
    <w:rsid w:val="5EE7BAE5"/>
    <w:rsid w:val="5F596228"/>
    <w:rsid w:val="5F897BF5"/>
    <w:rsid w:val="5FC040BD"/>
    <w:rsid w:val="601874CB"/>
    <w:rsid w:val="604FFBFC"/>
    <w:rsid w:val="60C26432"/>
    <w:rsid w:val="6105D896"/>
    <w:rsid w:val="612945F2"/>
    <w:rsid w:val="617E9F1D"/>
    <w:rsid w:val="61E7A0D6"/>
    <w:rsid w:val="633F107E"/>
    <w:rsid w:val="63421FDA"/>
    <w:rsid w:val="63BC5254"/>
    <w:rsid w:val="63D807FF"/>
    <w:rsid w:val="63EE6843"/>
    <w:rsid w:val="64386159"/>
    <w:rsid w:val="64A7CCCA"/>
    <w:rsid w:val="6563D771"/>
    <w:rsid w:val="65A0DDFD"/>
    <w:rsid w:val="662F9C20"/>
    <w:rsid w:val="667CD0AE"/>
    <w:rsid w:val="66F842C7"/>
    <w:rsid w:val="670AD7B3"/>
    <w:rsid w:val="675889F9"/>
    <w:rsid w:val="68A322A1"/>
    <w:rsid w:val="68B3B777"/>
    <w:rsid w:val="6901138D"/>
    <w:rsid w:val="692EE8DD"/>
    <w:rsid w:val="6961221E"/>
    <w:rsid w:val="69C67EFD"/>
    <w:rsid w:val="69D0066B"/>
    <w:rsid w:val="69D0F4CE"/>
    <w:rsid w:val="6A32CD03"/>
    <w:rsid w:val="6A496A3E"/>
    <w:rsid w:val="6AAE7903"/>
    <w:rsid w:val="6B26EA45"/>
    <w:rsid w:val="6B2C72A3"/>
    <w:rsid w:val="6B43C818"/>
    <w:rsid w:val="6B677E7E"/>
    <w:rsid w:val="6B80C7A3"/>
    <w:rsid w:val="6BD723A0"/>
    <w:rsid w:val="6C03F48D"/>
    <w:rsid w:val="6C42CE12"/>
    <w:rsid w:val="6C4830BF"/>
    <w:rsid w:val="6C536260"/>
    <w:rsid w:val="6C805A2E"/>
    <w:rsid w:val="6CC14CF9"/>
    <w:rsid w:val="6D41D991"/>
    <w:rsid w:val="6D5EC41F"/>
    <w:rsid w:val="6D90CE10"/>
    <w:rsid w:val="6E1CD63F"/>
    <w:rsid w:val="6E6F8233"/>
    <w:rsid w:val="6F1643BF"/>
    <w:rsid w:val="6FD18204"/>
    <w:rsid w:val="703501A8"/>
    <w:rsid w:val="7064D446"/>
    <w:rsid w:val="7073A07E"/>
    <w:rsid w:val="7080F81C"/>
    <w:rsid w:val="7087C626"/>
    <w:rsid w:val="70973F1D"/>
    <w:rsid w:val="70ADD4A0"/>
    <w:rsid w:val="70FD67E2"/>
    <w:rsid w:val="717796EE"/>
    <w:rsid w:val="717BFBEA"/>
    <w:rsid w:val="71A96871"/>
    <w:rsid w:val="71B131F7"/>
    <w:rsid w:val="72731874"/>
    <w:rsid w:val="738D4D7B"/>
    <w:rsid w:val="73F2080B"/>
    <w:rsid w:val="73F858D5"/>
    <w:rsid w:val="7464B06E"/>
    <w:rsid w:val="74D8D875"/>
    <w:rsid w:val="74EE9154"/>
    <w:rsid w:val="75127433"/>
    <w:rsid w:val="752BBCDB"/>
    <w:rsid w:val="753D2DED"/>
    <w:rsid w:val="75EDED76"/>
    <w:rsid w:val="762A7A63"/>
    <w:rsid w:val="7645113C"/>
    <w:rsid w:val="76DFE22E"/>
    <w:rsid w:val="77054E30"/>
    <w:rsid w:val="7717459C"/>
    <w:rsid w:val="7798C841"/>
    <w:rsid w:val="78AB2B02"/>
    <w:rsid w:val="78C60EDD"/>
    <w:rsid w:val="78F8389B"/>
    <w:rsid w:val="79854553"/>
    <w:rsid w:val="7A596CE1"/>
    <w:rsid w:val="7A725F5E"/>
    <w:rsid w:val="7B0769BC"/>
    <w:rsid w:val="7B60E2F2"/>
    <w:rsid w:val="7B7236B6"/>
    <w:rsid w:val="7B89D842"/>
    <w:rsid w:val="7B976A46"/>
    <w:rsid w:val="7C0456BC"/>
    <w:rsid w:val="7C354613"/>
    <w:rsid w:val="7C5FC233"/>
    <w:rsid w:val="7CF07067"/>
    <w:rsid w:val="7D3D70FC"/>
    <w:rsid w:val="7D50C134"/>
    <w:rsid w:val="7D584900"/>
    <w:rsid w:val="7D722091"/>
    <w:rsid w:val="7D8A6305"/>
    <w:rsid w:val="7DA7C2DD"/>
    <w:rsid w:val="7DE8EF8C"/>
    <w:rsid w:val="7DFD3738"/>
    <w:rsid w:val="7E16EA89"/>
    <w:rsid w:val="7E2BD736"/>
    <w:rsid w:val="7E44E569"/>
    <w:rsid w:val="7E663C37"/>
    <w:rsid w:val="7E6E5616"/>
    <w:rsid w:val="7E814EEF"/>
    <w:rsid w:val="7EB1170E"/>
    <w:rsid w:val="7EE57061"/>
    <w:rsid w:val="7EEBFE4C"/>
    <w:rsid w:val="7F1ED9D2"/>
    <w:rsid w:val="7F669898"/>
    <w:rsid w:val="7F907E68"/>
    <w:rsid w:val="7FE58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7BB65"/>
  <w15:chartTrackingRefBased/>
  <w15:docId w15:val="{B36CB015-045B-4FBA-BBDC-4B7AD543F6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6F861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C6F861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C6F861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C6F861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C6F861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C6F861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C6F861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C6F861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C6F861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C6F861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C6F861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C6F861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C6F861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C6F861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paragraph" w:styleId="ListParagraph">
    <w:uiPriority w:val="34"/>
    <w:name w:val="List Paragraph"/>
    <w:basedOn w:val="Normal"/>
    <w:qFormat/>
    <w:rsid w:val="1C6F8615"/>
    <w:pPr>
      <w:spacing/>
      <w:ind w:left="720"/>
      <w:contextualSpacing/>
    </w:pPr>
  </w:style>
  <w:style w:type="paragraph" w:styleId="TOC1">
    <w:uiPriority w:val="39"/>
    <w:name w:val="toc 1"/>
    <w:basedOn w:val="Normal"/>
    <w:next w:val="Normal"/>
    <w:unhideWhenUsed/>
    <w:rsid w:val="1C6F8615"/>
    <w:pPr>
      <w:spacing w:after="100"/>
    </w:pPr>
  </w:style>
  <w:style w:type="paragraph" w:styleId="TOC2">
    <w:uiPriority w:val="39"/>
    <w:name w:val="toc 2"/>
    <w:basedOn w:val="Normal"/>
    <w:next w:val="Normal"/>
    <w:unhideWhenUsed/>
    <w:rsid w:val="1C6F8615"/>
    <w:pPr>
      <w:spacing w:after="100"/>
      <w:ind w:left="220"/>
    </w:pPr>
  </w:style>
  <w:style w:type="paragraph" w:styleId="TOC3">
    <w:uiPriority w:val="39"/>
    <w:name w:val="toc 3"/>
    <w:basedOn w:val="Normal"/>
    <w:next w:val="Normal"/>
    <w:unhideWhenUsed/>
    <w:rsid w:val="1C6F8615"/>
    <w:pPr>
      <w:spacing w:after="100"/>
      <w:ind w:left="440"/>
    </w:pPr>
  </w:style>
  <w:style w:type="paragraph" w:styleId="TOC4">
    <w:uiPriority w:val="39"/>
    <w:name w:val="toc 4"/>
    <w:basedOn w:val="Normal"/>
    <w:next w:val="Normal"/>
    <w:unhideWhenUsed/>
    <w:rsid w:val="1C6F8615"/>
    <w:pPr>
      <w:spacing w:after="100"/>
      <w:ind w:left="660"/>
    </w:pPr>
  </w:style>
  <w:style w:type="paragraph" w:styleId="TOC5">
    <w:uiPriority w:val="39"/>
    <w:name w:val="toc 5"/>
    <w:basedOn w:val="Normal"/>
    <w:next w:val="Normal"/>
    <w:unhideWhenUsed/>
    <w:rsid w:val="1C6F8615"/>
    <w:pPr>
      <w:spacing w:after="100"/>
      <w:ind w:left="880"/>
    </w:pPr>
  </w:style>
  <w:style w:type="paragraph" w:styleId="TOC6">
    <w:uiPriority w:val="39"/>
    <w:name w:val="toc 6"/>
    <w:basedOn w:val="Normal"/>
    <w:next w:val="Normal"/>
    <w:unhideWhenUsed/>
    <w:rsid w:val="1C6F8615"/>
    <w:pPr>
      <w:spacing w:after="100"/>
      <w:ind w:left="1100"/>
    </w:pPr>
  </w:style>
  <w:style w:type="paragraph" w:styleId="TOC7">
    <w:uiPriority w:val="39"/>
    <w:name w:val="toc 7"/>
    <w:basedOn w:val="Normal"/>
    <w:next w:val="Normal"/>
    <w:unhideWhenUsed/>
    <w:rsid w:val="1C6F8615"/>
    <w:pPr>
      <w:spacing w:after="100"/>
      <w:ind w:left="1320"/>
    </w:pPr>
  </w:style>
  <w:style w:type="paragraph" w:styleId="TOC8">
    <w:uiPriority w:val="39"/>
    <w:name w:val="toc 8"/>
    <w:basedOn w:val="Normal"/>
    <w:next w:val="Normal"/>
    <w:unhideWhenUsed/>
    <w:rsid w:val="1C6F8615"/>
    <w:pPr>
      <w:spacing w:after="100"/>
      <w:ind w:left="1540"/>
    </w:pPr>
  </w:style>
  <w:style w:type="paragraph" w:styleId="TOC9">
    <w:uiPriority w:val="39"/>
    <w:name w:val="toc 9"/>
    <w:basedOn w:val="Normal"/>
    <w:next w:val="Normal"/>
    <w:unhideWhenUsed/>
    <w:rsid w:val="1C6F8615"/>
    <w:pPr>
      <w:spacing w:after="100"/>
      <w:ind w:left="1760"/>
    </w:pPr>
  </w:style>
  <w:style w:type="paragraph" w:styleId="EndnoteText">
    <w:uiPriority w:val="99"/>
    <w:name w:val="endnote text"/>
    <w:basedOn w:val="Normal"/>
    <w:semiHidden/>
    <w:unhideWhenUsed/>
    <w:link w:val="EndnoteTextChar"/>
    <w:rsid w:val="1C6F8615"/>
    <w:rPr>
      <w:sz w:val="20"/>
      <w:szCs w:val="20"/>
    </w:rPr>
    <w:pPr>
      <w:spacing w:after="0" w:line="240" w:lineRule="auto"/>
    </w:pPr>
  </w:style>
  <w:style w:type="paragraph" w:styleId="Footer">
    <w:uiPriority w:val="99"/>
    <w:name w:val="footer"/>
    <w:basedOn w:val="Normal"/>
    <w:unhideWhenUsed/>
    <w:link w:val="FooterChar"/>
    <w:rsid w:val="1C6F861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C6F8615"/>
    <w:rPr>
      <w:sz w:val="20"/>
      <w:szCs w:val="20"/>
    </w:rPr>
    <w:pPr>
      <w:spacing w:after="0" w:line="240" w:lineRule="auto"/>
    </w:pPr>
  </w:style>
  <w:style w:type="paragraph" w:styleId="Header">
    <w:uiPriority w:val="99"/>
    <w:name w:val="header"/>
    <w:basedOn w:val="Normal"/>
    <w:unhideWhenUsed/>
    <w:link w:val="HeaderChar"/>
    <w:rsid w:val="1C6F8615"/>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6f2a7ccdd05241be" /><Relationship Type="http://schemas.microsoft.com/office/2020/10/relationships/intelligence" Target="intelligence2.xml" Id="Rc279831d89384301" /><Relationship Type="http://schemas.openxmlformats.org/officeDocument/2006/relationships/hyperlink" Target="https://books.google.co.uk/books?id=QeoCAAAAYAAJ&amp;pg=PP1" TargetMode="External" Id="R5e1d536551d74306" /><Relationship Type="http://schemas.openxmlformats.org/officeDocument/2006/relationships/hyperlink" Target="https://www.laphamsquarterly.org/roundtable/all-devils-are-here" TargetMode="External" Id="Rc89ee83b2f2049f5" /><Relationship Type="http://schemas.openxmlformats.org/officeDocument/2006/relationships/hyperlink" Target="https://nyshistoricnewspapers.org/?a=d&amp;d=nep18050715-01.1.3&amp;e=-------en-20--1--txt-txIN----------" TargetMode="External" Id="R57c312be2eb84243" /><Relationship Type="http://schemas.openxmlformats.org/officeDocument/2006/relationships/hyperlink" Target="https://www-fulcrum-org.ezproxy.uwtsd.ac.uk/epubs/1n79h7124?locale=en" TargetMode="External" Id="R844071f04f4b4155" /><Relationship Type="http://schemas.openxmlformats.org/officeDocument/2006/relationships/hyperlink" Target="https://hdl-handle-net.ezproxy.uwtsd.ac.uk/2027/heb04575.0001.001" TargetMode="External" Id="R5b6c6b5af165444a" /><Relationship Type="http://schemas.openxmlformats.org/officeDocument/2006/relationships/hyperlink" Target="https://www.tandfonline.com/doi/full/10.1080/00313220500106196" TargetMode="External" Id="Rf543e50278754af0" /><Relationship Type="http://schemas.openxmlformats.org/officeDocument/2006/relationships/hyperlink" Target="https://www.tandfonline.com/doi/full/10.1080/14623528.2013.789181" TargetMode="External" Id="R9df0a56c966b4a79" /><Relationship Type="http://schemas.openxmlformats.org/officeDocument/2006/relationships/hyperlink" Target="https://www.persee.fr/doc/sfhom_1961-8166_1937_edc_6_1" TargetMode="External" Id="R21e53faaf2e5441b" /><Relationship Type="http://schemas.openxmlformats.org/officeDocument/2006/relationships/hyperlink" Target="https://research-ebsco-com.ezproxy.uwtsd.ac.uk/c/onvpsy/search/details/axnmv5cboj?db=e001mww" TargetMode="External" Id="R762fc798b31e44f1" /><Relationship Type="http://schemas.openxmlformats.org/officeDocument/2006/relationships/hyperlink" Target="https://www.refworld.org/legal/agreements/unga/1948/en/13495" TargetMode="External" Id="R20b410f0d87e4523" /><Relationship Type="http://schemas.openxmlformats.org/officeDocument/2006/relationships/header" Target="header.xml" Id="R3f2e38a33cab4ed8" /><Relationship Type="http://schemas.openxmlformats.org/officeDocument/2006/relationships/footer" Target="footer.xml" Id="R7794f1f9be254f64" /></Relationships>
</file>

<file path=word/_rels/footnotes.xml.rels>&#65279;<?xml version="1.0" encoding="utf-8"?><Relationships xmlns="http://schemas.openxmlformats.org/package/2006/relationships"><Relationship Type="http://schemas.openxmlformats.org/officeDocument/2006/relationships/hyperlink" Target="https://hdl-handle-net.ezproxy.uwtsd.ac.uk/2027/heb31944.0001.001" TargetMode="External" Id="R385a3e45c6e44122" /><Relationship Type="http://schemas.openxmlformats.org/officeDocument/2006/relationships/hyperlink" Target="https://doi.org/10.1080/14623528.2013.789181" TargetMode="External" Id="R487989fae607453e" /><Relationship Type="http://schemas.openxmlformats.org/officeDocument/2006/relationships/hyperlink" Target="https://www.laphamsquarterly.org/roundtable/all-devils-are-here" TargetMode="External" Id="R3f7b414159da4a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2024-11-17T13:36:01.2545622Z</dcterms:created>
  <dcterms:modified xsi:type="dcterms:W3CDTF">2024-11-17T23:12:21.9089255Z</dcterms:modified>
  <dc:creator>Corentine Byrd (2404309)</dc:creator>
  <lastModifiedBy>Corentine Byrd (2404309)</lastModifiedBy>
</coreProperties>
</file>