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ascii="Arial" w:hAnsi="Arial" w:cs="Arial"/>
          <w:b/>
          <w:lang w:eastAsia="en-GB"/>
        </w:rPr>
      </w:pPr>
      <w:bookmarkStart w:id="0" w:name="_Toc343429583"/>
    </w:p>
    <w:p>
      <w:pPr>
        <w:spacing w:line="240" w:lineRule="auto"/>
        <w:jc w:val="center"/>
        <w:rPr>
          <w:rFonts w:ascii="Arial" w:hAnsi="Arial" w:cs="Arial"/>
          <w:b/>
          <w:lang w:eastAsia="en-GB"/>
        </w:rPr>
      </w:pPr>
      <w:r>
        <w:rPr>
          <w:rFonts w:ascii="Arial" w:hAnsi="Arial" w:cs="Arial"/>
          <w:b/>
          <w:lang w:eastAsia="en-GB"/>
        </w:rPr>
        <w:drawing>
          <wp:inline distT="0" distB="0" distL="0" distR="0">
            <wp:extent cx="2924175" cy="1167765"/>
            <wp:effectExtent l="0" t="0" r="1905" b="5715"/>
            <wp:docPr id="1619044794" name="图片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44794" name="图片 4"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24175" cy="1167765"/>
                    </a:xfrm>
                    <a:prstGeom prst="rect">
                      <a:avLst/>
                    </a:prstGeom>
                    <a:noFill/>
                    <a:ln>
                      <a:noFill/>
                    </a:ln>
                  </pic:spPr>
                </pic:pic>
              </a:graphicData>
            </a:graphic>
          </wp:inline>
        </w:drawing>
      </w:r>
      <w:bookmarkEnd w:id="0"/>
    </w:p>
    <w:p>
      <w:pPr>
        <w:spacing w:line="240" w:lineRule="auto"/>
        <w:jc w:val="center"/>
        <w:rPr>
          <w:rFonts w:ascii="Arial" w:hAnsi="Arial" w:cs="Arial"/>
          <w:b/>
          <w:lang w:eastAsia="en-GB"/>
        </w:rPr>
      </w:pPr>
    </w:p>
    <w:p>
      <w:pPr>
        <w:spacing w:line="240" w:lineRule="auto"/>
        <w:jc w:val="center"/>
        <w:rPr>
          <w:rFonts w:ascii="Arial" w:hAnsi="Arial" w:cs="Arial"/>
          <w:b/>
          <w:lang w:eastAsia="en-GB"/>
        </w:rPr>
      </w:pPr>
    </w:p>
    <w:p>
      <w:pPr>
        <w:spacing w:line="240" w:lineRule="auto"/>
        <w:jc w:val="center"/>
        <w:rPr>
          <w:rFonts w:hint="default" w:ascii="Times New Roman" w:hAnsi="Times New Roman" w:cs="Times New Roman"/>
          <w:b/>
          <w:bCs/>
          <w:sz w:val="56"/>
          <w:lang w:val="en-US" w:eastAsia="zh-CN"/>
        </w:rPr>
      </w:pPr>
      <w:r>
        <w:rPr>
          <w:rFonts w:hint="default" w:ascii="Times New Roman" w:hAnsi="Times New Roman" w:cs="Times New Roman"/>
          <w:b/>
          <w:sz w:val="56"/>
          <w:szCs w:val="56"/>
        </w:rPr>
        <w:t>BMMB7026</w:t>
      </w:r>
      <w:r>
        <w:rPr>
          <w:rFonts w:hint="eastAsia" w:ascii="Times New Roman" w:hAnsi="Times New Roman" w:cs="Times New Roman"/>
          <w:b/>
          <w:sz w:val="56"/>
          <w:szCs w:val="56"/>
          <w:lang w:val="en-US" w:eastAsia="zh-CN"/>
        </w:rPr>
        <w:t xml:space="preserve"> </w:t>
      </w:r>
      <w:bookmarkStart w:id="13" w:name="_GoBack"/>
      <w:r>
        <w:rPr>
          <w:rFonts w:hint="default" w:ascii="Times New Roman" w:hAnsi="Times New Roman" w:cs="Times New Roman"/>
          <w:b/>
          <w:bCs/>
          <w:sz w:val="56"/>
        </w:rPr>
        <w:t>M</w:t>
      </w:r>
      <w:r>
        <w:rPr>
          <w:rFonts w:hint="eastAsia" w:ascii="Times New Roman" w:hAnsi="Times New Roman" w:cs="Times New Roman"/>
          <w:b/>
          <w:bCs/>
          <w:sz w:val="56"/>
          <w:lang w:val="en-US" w:eastAsia="zh-CN"/>
        </w:rPr>
        <w:t>anaging</w:t>
      </w:r>
      <w:r>
        <w:rPr>
          <w:rFonts w:hint="default" w:ascii="Times New Roman" w:hAnsi="Times New Roman" w:cs="Times New Roman"/>
          <w:b/>
          <w:bCs/>
          <w:sz w:val="56"/>
        </w:rPr>
        <w:t xml:space="preserve"> M</w:t>
      </w:r>
      <w:r>
        <w:rPr>
          <w:rFonts w:hint="eastAsia" w:ascii="Times New Roman" w:hAnsi="Times New Roman" w:cs="Times New Roman"/>
          <w:b/>
          <w:bCs/>
          <w:sz w:val="56"/>
          <w:lang w:val="en-US" w:eastAsia="zh-CN"/>
        </w:rPr>
        <w:t>arketing Change</w:t>
      </w:r>
      <w:bookmarkEnd w:id="13"/>
    </w:p>
    <w:p>
      <w:pPr>
        <w:spacing w:line="240" w:lineRule="auto"/>
        <w:jc w:val="center"/>
        <w:rPr>
          <w:rFonts w:hint="default" w:ascii="Times New Roman" w:hAnsi="Times New Roman" w:cs="Times New Roman"/>
          <w:b/>
          <w:bCs/>
          <w:sz w:val="56"/>
          <w:lang w:val="en-US" w:eastAsia="zh-CN"/>
        </w:rPr>
      </w:pPr>
    </w:p>
    <w:p>
      <w:pPr>
        <w:spacing w:line="240" w:lineRule="auto"/>
        <w:jc w:val="center"/>
        <w:rPr>
          <w:rFonts w:hint="default" w:ascii="Times New Roman" w:hAnsi="Times New Roman" w:cs="Times New Roman"/>
          <w:b w:val="0"/>
          <w:bCs w:val="0"/>
          <w:sz w:val="56"/>
        </w:rPr>
      </w:pPr>
    </w:p>
    <w:p>
      <w:pPr>
        <w:spacing w:before="120" w:after="120"/>
        <w:jc w:val="center"/>
        <w:rPr>
          <w:rFonts w:hint="eastAsia" w:ascii="Times New Roman" w:hAnsi="Times New Roman" w:cs="Times New Roman"/>
          <w:sz w:val="36"/>
          <w:szCs w:val="36"/>
          <w:lang w:val="en-US" w:eastAsia="zh-CN"/>
        </w:rPr>
      </w:pPr>
      <w:r>
        <w:rPr>
          <w:rFonts w:hint="default" w:ascii="Times New Roman" w:hAnsi="Times New Roman" w:cs="Times New Roman"/>
          <w:b/>
          <w:bCs/>
          <w:sz w:val="36"/>
          <w:szCs w:val="36"/>
        </w:rPr>
        <w:t>Assignment title:</w:t>
      </w:r>
      <w:r>
        <w:rPr>
          <w:rFonts w:hint="default" w:ascii="Times New Roman" w:hAnsi="Times New Roman" w:cs="Times New Roman"/>
          <w:sz w:val="36"/>
          <w:szCs w:val="36"/>
        </w:rPr>
        <w:t xml:space="preserve">Future Developments in the Field of </w:t>
      </w:r>
    </w:p>
    <w:p>
      <w:pPr>
        <w:spacing w:before="120" w:after="120"/>
        <w:jc w:val="center"/>
        <w:rPr>
          <w:rFonts w:hint="eastAsia" w:ascii="Times New Roman" w:hAnsi="Times New Roman" w:cs="Times New Roman" w:eastAsiaTheme="minorEastAsia"/>
          <w:sz w:val="36"/>
          <w:szCs w:val="36"/>
          <w:lang w:val="en-US" w:eastAsia="zh-CN"/>
        </w:rPr>
      </w:pPr>
      <w:r>
        <w:rPr>
          <w:rFonts w:hint="default" w:ascii="Times New Roman" w:hAnsi="Times New Roman" w:cs="Times New Roman"/>
          <w:sz w:val="36"/>
          <w:szCs w:val="36"/>
        </w:rPr>
        <w:t>Marketing</w:t>
      </w:r>
      <w:r>
        <w:rPr>
          <w:rFonts w:hint="eastAsia" w:ascii="Times New Roman" w:hAnsi="Times New Roman" w:cs="Times New Roman"/>
          <w:sz w:val="36"/>
          <w:szCs w:val="36"/>
          <w:lang w:eastAsia="zh-CN"/>
        </w:rPr>
        <w:t>——</w:t>
      </w:r>
      <w:r>
        <w:rPr>
          <w:rFonts w:hint="eastAsia" w:ascii="Times New Roman" w:hAnsi="Times New Roman" w:cs="Times New Roman"/>
          <w:sz w:val="36"/>
          <w:szCs w:val="36"/>
          <w:lang w:val="en-US" w:eastAsia="zh-CN"/>
        </w:rPr>
        <w:t>Tesla</w:t>
      </w:r>
    </w:p>
    <w:p>
      <w:pPr>
        <w:spacing w:before="120" w:after="120"/>
        <w:jc w:val="center"/>
        <w:rPr>
          <w:rFonts w:hint="default" w:ascii="Times New Roman" w:hAnsi="Times New Roman" w:cs="Times New Roman"/>
          <w:sz w:val="36"/>
          <w:szCs w:val="36"/>
        </w:rPr>
      </w:pPr>
    </w:p>
    <w:p>
      <w:pPr>
        <w:spacing w:before="120" w:after="120"/>
        <w:jc w:val="center"/>
        <w:rPr>
          <w:rFonts w:hint="default" w:ascii="Times New Roman" w:hAnsi="Times New Roman" w:cs="Times New Roman"/>
          <w:sz w:val="36"/>
          <w:szCs w:val="36"/>
        </w:rPr>
      </w:pPr>
    </w:p>
    <w:p>
      <w:pPr>
        <w:spacing w:before="120" w:after="120"/>
        <w:jc w:val="center"/>
        <w:rPr>
          <w:rFonts w:hint="default" w:ascii="Times New Roman" w:hAnsi="Times New Roman" w:cs="Times New Roman"/>
          <w:b/>
          <w:bCs/>
          <w:sz w:val="36"/>
          <w:szCs w:val="36"/>
        </w:rPr>
      </w:pPr>
    </w:p>
    <w:p>
      <w:pPr>
        <w:spacing w:before="120" w:after="120"/>
        <w:jc w:val="center"/>
        <w:rPr>
          <w:rFonts w:hint="default" w:ascii="Times New Roman" w:hAnsi="Times New Roman" w:cs="Times New Roman"/>
          <w:sz w:val="36"/>
          <w:szCs w:val="36"/>
          <w:lang w:val="en-US" w:eastAsia="zh-CN"/>
        </w:rPr>
      </w:pPr>
      <w:r>
        <w:rPr>
          <w:rFonts w:hint="default" w:ascii="Times New Roman" w:hAnsi="Times New Roman" w:cs="Times New Roman"/>
          <w:b/>
          <w:bCs/>
          <w:sz w:val="36"/>
          <w:szCs w:val="36"/>
        </w:rPr>
        <w:t>Student Name:</w:t>
      </w:r>
      <w:r>
        <w:rPr>
          <w:rFonts w:hint="eastAsia" w:ascii="Times New Roman" w:hAnsi="Times New Roman" w:cs="Times New Roman"/>
          <w:sz w:val="36"/>
          <w:szCs w:val="36"/>
          <w:lang w:val="en-US" w:eastAsia="zh-CN"/>
        </w:rPr>
        <w:t>Huiwen Qi</w:t>
      </w:r>
    </w:p>
    <w:p>
      <w:pPr>
        <w:spacing w:before="120" w:after="120"/>
        <w:jc w:val="center"/>
        <w:rPr>
          <w:rFonts w:hint="default" w:ascii="Times New Roman" w:hAnsi="Times New Roman" w:cs="Times New Roman"/>
          <w:sz w:val="36"/>
          <w:szCs w:val="36"/>
        </w:rPr>
      </w:pPr>
      <w:r>
        <w:rPr>
          <w:rFonts w:hint="default" w:ascii="Times New Roman" w:hAnsi="Times New Roman" w:cs="Times New Roman"/>
          <w:b/>
          <w:bCs/>
          <w:sz w:val="36"/>
          <w:szCs w:val="36"/>
        </w:rPr>
        <w:t>Student ID</w:t>
      </w:r>
      <w:r>
        <w:rPr>
          <w:rFonts w:hint="eastAsia" w:ascii="Times New Roman" w:hAnsi="Times New Roman" w:cs="Times New Roman"/>
          <w:b/>
          <w:bCs/>
          <w:sz w:val="36"/>
          <w:szCs w:val="36"/>
          <w:lang w:val="en-US" w:eastAsia="zh-CN"/>
        </w:rPr>
        <w:t>:</w:t>
      </w:r>
      <w:r>
        <w:rPr>
          <w:rFonts w:hint="eastAsia" w:ascii="Times New Roman" w:hAnsi="Times New Roman" w:cs="Times New Roman"/>
          <w:sz w:val="36"/>
          <w:szCs w:val="36"/>
          <w:lang w:val="en-US" w:eastAsia="zh-CN"/>
        </w:rPr>
        <w:t>2200154</w:t>
      </w:r>
    </w:p>
    <w:p>
      <w:pPr>
        <w:spacing w:before="156" w:beforeLines="50" w:after="468" w:afterLines="150" w:line="360" w:lineRule="auto"/>
        <w:rPr>
          <w:rFonts w:ascii="Times New Roman" w:hAnsi="Times New Roman" w:cs="Times New Roman"/>
        </w:rPr>
      </w:pPr>
    </w:p>
    <w:sdt>
      <w:sdtPr>
        <w:rPr>
          <w:rFonts w:ascii="Times New Roman" w:hAnsi="Times New Roman" w:cs="Times New Roman" w:eastAsiaTheme="minorEastAsia"/>
          <w:b/>
          <w:bCs/>
          <w:color w:val="auto"/>
          <w:sz w:val="22"/>
          <w:szCs w:val="22"/>
          <w:lang w:val="zh-CN"/>
        </w:rPr>
        <w:id w:val="-1238548206"/>
        <w:docPartObj>
          <w:docPartGallery w:val="Table of Contents"/>
          <w:docPartUnique/>
        </w:docPartObj>
      </w:sdtPr>
      <w:sdtEndPr>
        <w:rPr>
          <w:rFonts w:hint="default" w:ascii="Times New Roman" w:hAnsi="Times New Roman" w:cs="Times New Roman" w:eastAsiaTheme="minorEastAsia"/>
          <w:b/>
          <w:bCs/>
          <w:color w:val="auto"/>
          <w:sz w:val="21"/>
          <w:szCs w:val="21"/>
          <w:lang w:val="zh-CN"/>
        </w:rPr>
      </w:sdtEndPr>
      <w:sdtContent>
        <w:p>
          <w:pPr>
            <w:pStyle w:val="51"/>
            <w:spacing w:before="156" w:beforeLines="50" w:after="468" w:afterLines="150" w:line="360" w:lineRule="auto"/>
            <w:jc w:val="left"/>
            <w:rPr>
              <w:rFonts w:hint="default" w:ascii="Times New Roman" w:hAnsi="Times New Roman" w:cs="Times New Roman" w:eastAsiaTheme="majorEastAsia"/>
              <w:b/>
              <w:bCs/>
              <w:color w:val="2F5597" w:themeColor="accent1" w:themeShade="BF"/>
              <w:sz w:val="28"/>
              <w:szCs w:val="28"/>
              <w:lang w:val="zh-CN" w:eastAsia="zh-CN" w:bidi="ar-SA"/>
            </w:rPr>
          </w:pPr>
          <w:r>
            <w:rPr>
              <w:rFonts w:hint="default" w:ascii="Times New Roman" w:hAnsi="Times New Roman" w:cs="Times New Roman"/>
              <w:b/>
              <w:bCs/>
              <w:sz w:val="32"/>
              <w:szCs w:val="32"/>
              <w:lang w:val="zh-CN"/>
            </w:rPr>
            <w:t>Table of contents</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TOC \o "1-3" \h \z \u </w:instrText>
          </w:r>
          <w:r>
            <w:rPr>
              <w:rFonts w:hint="default" w:ascii="Times New Roman" w:hAnsi="Times New Roman" w:cs="Times New Roman"/>
              <w:sz w:val="28"/>
              <w:szCs w:val="28"/>
            </w:rPr>
            <w:fldChar w:fldCharType="separate"/>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_Toc27130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Executive summary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_Toc27130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_Toc27336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1.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_Toc27336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_Toc2715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 The critical evaluation of Tesla’s marketing activity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_Toc2715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8"/>
            <w:tabs>
              <w:tab w:val="right" w:leader="dot" w:pos="8306"/>
              <w:tab w:val="clear" w:pos="1045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_Toc22110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i w:val="0"/>
              <w:iCs w:val="0"/>
              <w:color w:val="044A91" w:themeColor="hyperlink" w:themeShade="BF"/>
              <w:sz w:val="28"/>
              <w:szCs w:val="28"/>
            </w:rPr>
            <w:t>2.1 The concept and importance of marketing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_Toc22110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8"/>
            <w:tabs>
              <w:tab w:val="right" w:leader="dot" w:pos="8306"/>
              <w:tab w:val="clear" w:pos="1045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_Toc31630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2.2 Macro and micro environment of Tesla’s marketing environment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_Toc31630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2"/>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_Toc5122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2.2.1 Macro marketing environment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_Toc5122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2"/>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_Toc3662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2.2.2 Micro environment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_Toc3662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8"/>
            <w:tabs>
              <w:tab w:val="right" w:leader="dot" w:pos="8306"/>
              <w:tab w:val="clear" w:pos="1045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_Toc357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2.3 Change management strategies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_Toc357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8"/>
            <w:tabs>
              <w:tab w:val="right" w:leader="dot" w:pos="8306"/>
              <w:tab w:val="clear" w:pos="1045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_Toc15193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2.4 Target market, media selection, and measure of success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_Toc15193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_Toc26686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3. The conclusions addressing the shortcomings of Tesla’s marketing strategy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_Toc26686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_Toc21501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4. The recommendations to improve Tesla’s marketing effectiveness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_Toc21501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17</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pStyle w:val="15"/>
            <w:tabs>
              <w:tab w:val="right" w:leader="dot" w:pos="8306"/>
            </w:tabs>
            <w:rPr>
              <w:rFonts w:hint="default" w:ascii="Times New Roman" w:hAnsi="Times New Roman" w:cs="Times New Roman"/>
              <w:sz w:val="28"/>
              <w:szCs w:val="28"/>
            </w:rPr>
          </w:pPr>
          <w:r>
            <w:rPr>
              <w:rFonts w:hint="default" w:ascii="Times New Roman" w:hAnsi="Times New Roman" w:cs="Times New Roman"/>
              <w:bCs/>
              <w:sz w:val="28"/>
              <w:szCs w:val="28"/>
              <w:lang w:val="zh-CN"/>
            </w:rPr>
            <w:fldChar w:fldCharType="begin"/>
          </w:r>
          <w:r>
            <w:rPr>
              <w:rFonts w:hint="default" w:ascii="Times New Roman" w:hAnsi="Times New Roman" w:cs="Times New Roman"/>
              <w:bCs/>
              <w:sz w:val="28"/>
              <w:szCs w:val="28"/>
              <w:lang w:val="zh-CN"/>
            </w:rPr>
            <w:instrText xml:space="preserve"> HYPERLINK \l _Toc29033 </w:instrText>
          </w:r>
          <w:r>
            <w:rPr>
              <w:rFonts w:hint="default" w:ascii="Times New Roman" w:hAnsi="Times New Roman" w:cs="Times New Roman"/>
              <w:bCs/>
              <w:sz w:val="28"/>
              <w:szCs w:val="28"/>
              <w:lang w:val="zh-CN"/>
            </w:rPr>
            <w:fldChar w:fldCharType="separate"/>
          </w:r>
          <w:r>
            <w:rPr>
              <w:rFonts w:hint="default" w:ascii="Times New Roman" w:hAnsi="Times New Roman" w:cs="Times New Roman"/>
              <w:sz w:val="28"/>
              <w:szCs w:val="28"/>
            </w:rPr>
            <w:t>Reference List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_Toc29033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19</w:t>
          </w:r>
          <w:r>
            <w:rPr>
              <w:rFonts w:hint="default" w:ascii="Times New Roman" w:hAnsi="Times New Roman" w:cs="Times New Roman"/>
              <w:sz w:val="28"/>
              <w:szCs w:val="28"/>
            </w:rPr>
            <w:fldChar w:fldCharType="end"/>
          </w:r>
          <w:r>
            <w:rPr>
              <w:rFonts w:hint="default" w:ascii="Times New Roman" w:hAnsi="Times New Roman" w:cs="Times New Roman"/>
              <w:bCs/>
              <w:sz w:val="28"/>
              <w:szCs w:val="28"/>
              <w:lang w:val="zh-CN"/>
            </w:rPr>
            <w:fldChar w:fldCharType="end"/>
          </w:r>
        </w:p>
        <w:p>
          <w:pPr>
            <w:spacing w:before="156" w:beforeLines="50" w:after="468" w:afterLines="150" w:line="360" w:lineRule="auto"/>
            <w:jc w:val="center"/>
            <w:rPr>
              <w:rFonts w:hint="default" w:ascii="Times New Roman" w:hAnsi="Times New Roman" w:cs="Times New Roman"/>
              <w:b/>
              <w:bCs/>
              <w:lang w:val="zh-CN"/>
            </w:rPr>
          </w:pPr>
          <w:r>
            <w:rPr>
              <w:rFonts w:hint="default" w:ascii="Times New Roman" w:hAnsi="Times New Roman" w:cs="Times New Roman"/>
              <w:b/>
              <w:bCs/>
              <w:sz w:val="28"/>
              <w:szCs w:val="28"/>
              <w:lang w:val="zh-CN"/>
            </w:rPr>
            <w:fldChar w:fldCharType="end"/>
          </w:r>
        </w:p>
      </w:sdtContent>
    </w:sdt>
    <w:p>
      <w:pPr>
        <w:jc w:val="right"/>
        <w:rPr>
          <w:rFonts w:ascii="Times New Roman" w:hAnsi="Times New Roman" w:cs="Times New Roman"/>
          <w:b/>
          <w:bCs/>
          <w:lang w:val="zh-CN"/>
        </w:rPr>
      </w:pPr>
    </w:p>
    <w:p>
      <w:pPr>
        <w:rPr>
          <w:rFonts w:hint="eastAsia" w:ascii="Times New Roman" w:hAnsi="Times New Roman" w:cs="Times New Roman"/>
        </w:rPr>
        <w:sectPr>
          <w:footerReference r:id="rId5" w:type="default"/>
          <w:pgSz w:w="11906" w:h="16838"/>
          <w:pgMar w:top="1440" w:right="1800" w:bottom="1440" w:left="1800" w:header="851" w:footer="992" w:gutter="0"/>
          <w:cols w:space="425" w:num="1"/>
          <w:docGrid w:type="lines" w:linePitch="312" w:charSpace="0"/>
        </w:sectPr>
      </w:pPr>
    </w:p>
    <w:p>
      <w:pPr>
        <w:pStyle w:val="2"/>
        <w:spacing w:before="156" w:beforeLines="50" w:after="468" w:afterLines="150" w:line="360" w:lineRule="auto"/>
        <w:jc w:val="both"/>
        <w:rPr>
          <w:rFonts w:ascii="Times New Roman" w:hAnsi="Times New Roman" w:cs="Times New Roman"/>
        </w:rPr>
      </w:pPr>
      <w:bookmarkStart w:id="1" w:name="_Toc27130"/>
      <w:r>
        <w:rPr>
          <w:rFonts w:ascii="Times New Roman" w:hAnsi="Times New Roman" w:cs="Times New Roman"/>
        </w:rPr>
        <w:t>Executive summary</w:t>
      </w:r>
      <w:bookmarkEnd w:id="1"/>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provides a comprehensive and critical examination and evaluation of Tesla’s marketing strategies, examining the macro and micro environment that shape these marketing strategies, identifying key shortcomings and offering actionable recommendations for enhancing future marketing effectiveness.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The report employs PESt and Porter’s five forces to analyze the macro and micro marketing environment of Tesla and indicates the existing strategy of relying on self-organized and non-traditional marketing channels is shaped by its alignment with the marketing environment, e,g, serving consumers’ preference to obtain information from official channels, maintaining of cost leadership to serve the price sensitive customers. however, the overdependence on self-organized marketing channels, such as social media, has the potential to increase volatility in public brand perception, and limited control over the online narratives, leaving Tesla more vulnerable to negative publicity or word-of-mouth. The present report then suggests the diversification of its digital marketing strategies to use a mix of search engine marketing, social media advertising and influencer collaboration to further exploit cost efficiency while developing a robust monitoring mechanism over online interactions to manage online discussion directions and expand marketing efforts to cultivate positive brand perception and loyalty.</w:t>
      </w:r>
    </w:p>
    <w:p>
      <w:pPr>
        <w:spacing w:before="156" w:beforeLines="50" w:after="468" w:afterLines="150" w:line="360" w:lineRule="auto"/>
        <w:jc w:val="both"/>
        <w:rPr>
          <w:rFonts w:ascii="Times New Roman" w:hAnsi="Times New Roman" w:cs="Times New Roman"/>
        </w:rPr>
      </w:pPr>
      <w:r>
        <w:rPr>
          <w:rFonts w:ascii="Times New Roman" w:hAnsi="Times New Roman" w:cs="Times New Roman"/>
        </w:rPr>
        <w:br w:type="page"/>
      </w:r>
    </w:p>
    <w:p>
      <w:pPr>
        <w:pStyle w:val="2"/>
        <w:numPr>
          <w:ilvl w:val="0"/>
          <w:numId w:val="1"/>
        </w:numPr>
        <w:spacing w:before="156" w:beforeLines="50" w:after="468" w:afterLines="150" w:line="360" w:lineRule="auto"/>
        <w:jc w:val="both"/>
        <w:rPr>
          <w:rFonts w:ascii="Times New Roman" w:hAnsi="Times New Roman" w:cs="Times New Roman"/>
        </w:rPr>
      </w:pPr>
      <w:bookmarkStart w:id="2" w:name="_Toc27336"/>
      <w:r>
        <w:rPr>
          <w:rFonts w:ascii="Times New Roman" w:hAnsi="Times New Roman" w:cs="Times New Roman"/>
        </w:rPr>
        <w:t>Introduction</w:t>
      </w:r>
      <w:bookmarkEnd w:id="2"/>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Tesla, Inc. (as Tesla or the company), designs, develops, manufactures, and sells electric vehicles (as EV), EV components, energy generation and storage systems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{"citationID":"BFa5KOI4","properties":{"formattedCitation":"(Tesla,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The primary business scope of Tesla is summarized in the following table 1. The mission of the company is “</w:t>
      </w:r>
      <w:r>
        <w:rPr>
          <w:rFonts w:ascii="Times New Roman" w:hAnsi="Times New Roman" w:cs="Times New Roman"/>
          <w:i/>
          <w:iCs/>
          <w:sz w:val="24"/>
          <w:szCs w:val="24"/>
        </w:rPr>
        <w:t>to accelerate the world’s transition to sustainable energy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{"citationID":"vlQ5BCBH","properties":{"formattedCitation":"(Tesla,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Although Tesla has a diversified portfolio of products and services, the EV unit has been the primary profit contributor for Tesla and is expected to generate stronger growth momentum due to the promising outlook of the global EV market.</w:t>
      </w:r>
    </w:p>
    <w:p>
      <w:pPr>
        <w:spacing w:after="0" w:line="360" w:lineRule="auto"/>
        <w:jc w:val="both"/>
        <w:rPr>
          <w:rFonts w:ascii="Times New Roman" w:hAnsi="Times New Roman" w:cs="Times New Roman"/>
          <w:lang w:val="en-GB"/>
        </w:rPr>
      </w:pPr>
      <w:r>
        <w:rPr>
          <w:rFonts w:ascii="Times New Roman" w:hAnsi="Times New Roman" w:cs="Times New Roman"/>
          <w:lang w:val="en-GB"/>
        </w:rPr>
        <w:t xml:space="preserve">Table 1: Primary products, services, and brands of Tesla </w:t>
      </w:r>
    </w:p>
    <w:p>
      <w:pPr>
        <w:spacing w:after="0" w:line="360" w:lineRule="auto"/>
        <w:jc w:val="both"/>
        <w:rPr>
          <w:rFonts w:ascii="Times New Roman" w:hAnsi="Times New Roman" w:cs="Times New Roman"/>
          <w:lang w:val="en-GB"/>
        </w:rPr>
      </w:pPr>
      <w:r>
        <w:rPr>
          <w:rFonts w:ascii="Times New Roman" w:hAnsi="Times New Roman" w:cs="Times New Roman"/>
          <w:lang w:val="en-GB"/>
        </w:rPr>
        <w:t xml:space="preserve">Source: MarketLine Advantage </w:t>
      </w:r>
      <w:r>
        <w:rPr>
          <w:rStyle w:val="26"/>
          <w:rFonts w:ascii="Times New Roman" w:hAnsi="Times New Roman" w:cs="Times New Roman"/>
          <w:lang w:val="en-GB"/>
        </w:rPr>
        <w:footnoteReference w:id="0"/>
      </w:r>
    </w:p>
    <w:tbl>
      <w:tblPr>
        <w:tblStyle w:val="56"/>
        <w:tblW w:w="8784" w:type="dxa"/>
        <w:tblInd w:w="0" w:type="dxa"/>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Layout w:type="autofit"/>
        <w:tblCellMar>
          <w:top w:w="0" w:type="dxa"/>
          <w:left w:w="108" w:type="dxa"/>
          <w:bottom w:w="0" w:type="dxa"/>
          <w:right w:w="108" w:type="dxa"/>
        </w:tblCellMar>
      </w:tblPr>
      <w:tblGrid>
        <w:gridCol w:w="3964"/>
        <w:gridCol w:w="2694"/>
        <w:gridCol w:w="2126"/>
      </w:tblGrid>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tcBorders>
              <w:top w:val="single" w:color="A5A5A5" w:themeColor="accent3" w:sz="4" w:space="0"/>
              <w:left w:val="single" w:color="A5A5A5" w:themeColor="accent3" w:sz="4" w:space="0"/>
              <w:bottom w:val="single" w:color="A5A5A5" w:themeColor="accent3" w:sz="4" w:space="0"/>
              <w:right w:val="nil"/>
              <w:insideH w:val="single" w:sz="4" w:space="0"/>
              <w:insideV w:val="nil"/>
            </w:tcBorders>
            <w:shd w:val="clear" w:color="auto" w:fill="A5A5A5" w:themeFill="accent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Products</w:t>
            </w:r>
          </w:p>
        </w:tc>
        <w:tc>
          <w:tcPr>
            <w:tcW w:w="2694" w:type="dxa"/>
            <w:tcBorders>
              <w:top w:val="single" w:color="A5A5A5" w:themeColor="accent3" w:sz="4" w:space="0"/>
              <w:bottom w:val="single" w:color="A5A5A5" w:themeColor="accent3" w:sz="4" w:space="0"/>
              <w:right w:val="nil"/>
              <w:insideH w:val="single" w:sz="4" w:space="0"/>
              <w:insideV w:val="nil"/>
            </w:tcBorders>
            <w:shd w:val="clear" w:color="auto" w:fill="A5A5A5" w:themeFill="accent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Services</w:t>
            </w:r>
          </w:p>
        </w:tc>
        <w:tc>
          <w:tcPr>
            <w:tcW w:w="2126" w:type="dxa"/>
            <w:tcBorders>
              <w:top w:val="single" w:color="A5A5A5" w:themeColor="accent3" w:sz="4" w:space="0"/>
              <w:bottom w:val="single" w:color="A5A5A5" w:themeColor="accent3" w:sz="4" w:space="0"/>
              <w:right w:val="single" w:color="A5A5A5" w:themeColor="accent3" w:sz="4" w:space="0"/>
              <w:insideH w:val="single" w:sz="4" w:space="0"/>
              <w:insideV w:val="nil"/>
            </w:tcBorders>
            <w:shd w:val="clear" w:color="auto" w:fill="A5A5A5" w:themeFill="accent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Brands</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shd w:val="clear" w:color="auto" w:fill="ECECEC" w:themeFill="accent3" w:themeFillTint="3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Electric Sports Cars: Tesla Roadster</w:t>
            </w:r>
          </w:p>
        </w:tc>
        <w:tc>
          <w:tcPr>
            <w:tcW w:w="2694"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Sale of Solar Electricity</w:t>
            </w:r>
          </w:p>
        </w:tc>
        <w:tc>
          <w:tcPr>
            <w:tcW w:w="2126"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Cybertruck</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Sedans: Tesla Model S, Model 3, Model Y</w:t>
            </w:r>
          </w:p>
        </w:tc>
        <w:tc>
          <w:tcPr>
            <w:tcW w:w="2694" w:type="dxa"/>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Installation and Maintenance</w:t>
            </w:r>
          </w:p>
        </w:tc>
        <w:tc>
          <w:tcPr>
            <w:tcW w:w="2126" w:type="dxa"/>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Semi</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shd w:val="clear" w:color="auto" w:fill="ECECEC" w:themeFill="accent3" w:themeFillTint="33"/>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Components: Various car parts and accessories</w:t>
            </w:r>
          </w:p>
        </w:tc>
        <w:tc>
          <w:tcPr>
            <w:tcW w:w="2694" w:type="dxa"/>
            <w:shd w:val="clear" w:color="auto" w:fill="ECECEC" w:themeFill="accent3" w:themeFillTint="33"/>
          </w:tcPr>
          <w:p>
            <w:pPr>
              <w:spacing w:after="0" w:line="360" w:lineRule="auto"/>
              <w:jc w:val="both"/>
              <w:rPr>
                <w:rFonts w:ascii="Times New Roman" w:hAnsi="Times New Roman" w:eastAsia="宋体" w:cs="Times New Roman"/>
                <w:color w:val="374151"/>
              </w:rPr>
            </w:pPr>
          </w:p>
        </w:tc>
        <w:tc>
          <w:tcPr>
            <w:tcW w:w="2126"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Roadster</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tcPr>
          <w:p>
            <w:pPr>
              <w:spacing w:after="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Energy Generation and Storage Systems: Solar panels, Powerwall, Powerpack, Megapack</w:t>
            </w:r>
          </w:p>
        </w:tc>
        <w:tc>
          <w:tcPr>
            <w:tcW w:w="2694" w:type="dxa"/>
          </w:tcPr>
          <w:p>
            <w:pPr>
              <w:spacing w:after="0" w:line="360" w:lineRule="auto"/>
              <w:jc w:val="both"/>
              <w:rPr>
                <w:rFonts w:ascii="Times New Roman" w:hAnsi="Times New Roman" w:eastAsia="宋体" w:cs="Times New Roman"/>
                <w:color w:val="374151"/>
              </w:rPr>
            </w:pPr>
          </w:p>
        </w:tc>
        <w:tc>
          <w:tcPr>
            <w:tcW w:w="2126" w:type="dxa"/>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Model S</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shd w:val="clear" w:color="auto" w:fill="ECECEC" w:themeFill="accent3" w:themeFillTint="33"/>
          </w:tcPr>
          <w:p>
            <w:pPr>
              <w:spacing w:after="0" w:line="360" w:lineRule="auto"/>
              <w:jc w:val="both"/>
              <w:rPr>
                <w:rFonts w:ascii="Times New Roman" w:hAnsi="Times New Roman" w:eastAsia="宋体" w:cs="Times New Roman"/>
                <w:b/>
                <w:bCs/>
                <w:color w:val="374151"/>
              </w:rPr>
            </w:pPr>
          </w:p>
        </w:tc>
        <w:tc>
          <w:tcPr>
            <w:tcW w:w="2694" w:type="dxa"/>
            <w:shd w:val="clear" w:color="auto" w:fill="ECECEC" w:themeFill="accent3" w:themeFillTint="33"/>
          </w:tcPr>
          <w:p>
            <w:pPr>
              <w:spacing w:after="0" w:line="360" w:lineRule="auto"/>
              <w:jc w:val="both"/>
              <w:rPr>
                <w:rFonts w:ascii="Times New Roman" w:hAnsi="Times New Roman" w:eastAsia="Times New Roman" w:cs="Times New Roman"/>
                <w:sz w:val="20"/>
                <w:szCs w:val="20"/>
              </w:rPr>
            </w:pPr>
          </w:p>
        </w:tc>
        <w:tc>
          <w:tcPr>
            <w:tcW w:w="2126"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Model X</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tcPr>
          <w:p>
            <w:pPr>
              <w:spacing w:after="0" w:line="360" w:lineRule="auto"/>
              <w:jc w:val="both"/>
              <w:rPr>
                <w:rFonts w:ascii="Times New Roman" w:hAnsi="Times New Roman" w:eastAsia="宋体" w:cs="Times New Roman"/>
                <w:b/>
                <w:bCs/>
                <w:color w:val="374151"/>
              </w:rPr>
            </w:pPr>
          </w:p>
        </w:tc>
        <w:tc>
          <w:tcPr>
            <w:tcW w:w="2694" w:type="dxa"/>
          </w:tcPr>
          <w:p>
            <w:pPr>
              <w:spacing w:after="0" w:line="360" w:lineRule="auto"/>
              <w:jc w:val="both"/>
              <w:rPr>
                <w:rFonts w:ascii="Times New Roman" w:hAnsi="Times New Roman" w:eastAsia="Times New Roman" w:cs="Times New Roman"/>
                <w:sz w:val="20"/>
                <w:szCs w:val="20"/>
              </w:rPr>
            </w:pPr>
          </w:p>
        </w:tc>
        <w:tc>
          <w:tcPr>
            <w:tcW w:w="2126" w:type="dxa"/>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Model 3</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3964" w:type="dxa"/>
            <w:shd w:val="clear" w:color="auto" w:fill="ECECEC" w:themeFill="accent3" w:themeFillTint="33"/>
          </w:tcPr>
          <w:p>
            <w:pPr>
              <w:spacing w:after="0" w:line="360" w:lineRule="auto"/>
              <w:jc w:val="both"/>
              <w:rPr>
                <w:rFonts w:ascii="Times New Roman" w:hAnsi="Times New Roman" w:eastAsia="宋体" w:cs="Times New Roman"/>
                <w:b/>
                <w:bCs/>
                <w:color w:val="374151"/>
              </w:rPr>
            </w:pPr>
          </w:p>
        </w:tc>
        <w:tc>
          <w:tcPr>
            <w:tcW w:w="2694" w:type="dxa"/>
            <w:shd w:val="clear" w:color="auto" w:fill="ECECEC" w:themeFill="accent3" w:themeFillTint="33"/>
          </w:tcPr>
          <w:p>
            <w:pPr>
              <w:spacing w:after="0" w:line="360" w:lineRule="auto"/>
              <w:jc w:val="both"/>
              <w:rPr>
                <w:rFonts w:ascii="Times New Roman" w:hAnsi="Times New Roman" w:eastAsia="Times New Roman" w:cs="Times New Roman"/>
                <w:sz w:val="20"/>
                <w:szCs w:val="20"/>
              </w:rPr>
            </w:pPr>
          </w:p>
        </w:tc>
        <w:tc>
          <w:tcPr>
            <w:tcW w:w="2126" w:type="dxa"/>
            <w:shd w:val="clear" w:color="auto" w:fill="ECECEC" w:themeFill="accent3" w:themeFillTint="33"/>
          </w:tcPr>
          <w:p>
            <w:pPr>
              <w:spacing w:after="0" w:line="360" w:lineRule="auto"/>
              <w:jc w:val="both"/>
              <w:rPr>
                <w:rFonts w:ascii="Times New Roman" w:hAnsi="Times New Roman" w:eastAsia="宋体" w:cs="Times New Roman"/>
                <w:color w:val="374151"/>
              </w:rPr>
            </w:pPr>
            <w:r>
              <w:rPr>
                <w:rFonts w:ascii="Times New Roman" w:hAnsi="Times New Roman" w:eastAsia="宋体" w:cs="Times New Roman"/>
                <w:color w:val="374151"/>
              </w:rPr>
              <w:t>Tesla Model Y</w:t>
            </w:r>
          </w:p>
        </w:tc>
      </w:tr>
    </w:tbl>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fourth quarter of 2023, BYD overtook Tesla as the world's best-selling all-EV manufacturer. Having weathered domestic competition, international expansion is BYD's next priority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{"citationID":"PKxUEvBE","properties":{"formattedCitation":"(Financial Times, 2024)","plainCitation":"(Financial Times, 2024)","noteIndex":0},"citationItems":[{"id":2382,"uris":["http://zotero.org/users/local/MDmHQm0z/items/VBAF2TCS"],"itemData":{"id":2382,"type":"webpage","title":"Tesla overtaken by China’s BYD as world’s biggest EV maker","URL":"https://www.ft.com/content/716c9b0b-d8cd-491a-a91b-d70c1e540797","author":[{"family":"Financial Times","given":""}],"accessed":{"date-parts":[["2024",1,7]]},"issued":{"date-parts":[["2024"]]},"citation-key":"financialtimesTeslaOvertakenChina2024"}}],"schema":"https://github.com/citation-style-language/schema/raw/master/csl-citation.json"}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(Financial Times, 2024)</w:t>
      </w:r>
      <w:r>
        <w:rPr>
          <w:rFonts w:ascii="Times New Roman" w:hAnsi="Times New Roman" w:cs="Times New Roman"/>
          <w:sz w:val="24"/>
          <w:szCs w:val="24"/>
        </w:rPr>
        <w:fldChar w:fldCharType="end"/>
      </w:r>
      <w:r>
        <w:rPr>
          <w:rFonts w:ascii="Times New Roman" w:hAnsi="Times New Roman" w:cs="Times New Roman"/>
          <w:sz w:val="24"/>
          <w:szCs w:val="24"/>
        </w:rPr>
        <w:t xml:space="preserve">. The numbers highlight the challenges Tesla may face this year from its competitors eager to capitalise on the growing demand for electric cars. Tesla remains a major player in the electric car market but will face more competition from international competition in the future. The competition pressures indicate the necessity to improve the effectiveness of its current marketing tactics to further drive profitability over the long term and outperform its competitors.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 report is composed of three interconnected parts, with part one focusing on the critical evaluation of Tesla’s marketing activity by shedding light on issues such as marketing environment and marketing channels, part two providing a concluding remark to address the shortcomings of Tesla’s marketing strategy, and part two affording practical recommendations on how Tesla’s marketing strategies could be further improved. </w:t>
      </w:r>
    </w:p>
    <w:p>
      <w:pPr>
        <w:rPr>
          <w:rFonts w:hint="eastAsia" w:ascii="Times New Roman" w:hAnsi="Times New Roman" w:cs="Times New Roman"/>
          <w:sz w:val="24"/>
          <w:szCs w:val="24"/>
        </w:rPr>
      </w:pPr>
      <w:r>
        <w:rPr>
          <w:rFonts w:ascii="Times New Roman" w:hAnsi="Times New Roman" w:cs="Times New Roman"/>
          <w:sz w:val="24"/>
          <w:szCs w:val="24"/>
        </w:rPr>
        <w:br w:type="page"/>
      </w:r>
    </w:p>
    <w:p>
      <w:pPr>
        <w:pStyle w:val="2"/>
        <w:numPr>
          <w:ilvl w:val="0"/>
          <w:numId w:val="1"/>
        </w:numPr>
        <w:spacing w:before="156" w:beforeLines="50" w:after="468" w:afterLines="150" w:line="360" w:lineRule="auto"/>
        <w:jc w:val="both"/>
        <w:rPr>
          <w:rFonts w:ascii="Times New Roman" w:hAnsi="Times New Roman" w:cs="Times New Roman"/>
        </w:rPr>
      </w:pPr>
      <w:bookmarkStart w:id="3" w:name="_Toc2715"/>
      <w:r>
        <w:rPr>
          <w:rFonts w:ascii="Times New Roman" w:hAnsi="Times New Roman" w:cs="Times New Roman"/>
        </w:rPr>
        <w:t>The critical evaluation of Tesla’s marketing activity</w:t>
      </w:r>
      <w:bookmarkEnd w:id="3"/>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part investigates whether marketing activities within Tesla were effective by giving sound justification. Typical facts arising from marketing activities, including the concept and importance of marketing, the macro and micro marketing environment, marketing media, marketing target, and marketing success, are thoroughly and critically considered. </w:t>
      </w:r>
    </w:p>
    <w:p>
      <w:pPr>
        <w:pStyle w:val="3"/>
        <w:numPr>
          <w:ilvl w:val="1"/>
          <w:numId w:val="1"/>
        </w:numPr>
        <w:spacing w:before="156" w:beforeLines="50" w:after="468" w:afterLines="150" w:line="360" w:lineRule="auto"/>
        <w:jc w:val="both"/>
        <w:rPr>
          <w:rStyle w:val="46"/>
          <w:rFonts w:ascii="Times New Roman" w:hAnsi="Times New Roman" w:cs="Times New Roman"/>
          <w:i w:val="0"/>
          <w:iCs w:val="0"/>
          <w:color w:val="2F5597" w:themeColor="accent1" w:themeShade="BF"/>
        </w:rPr>
      </w:pPr>
      <w:bookmarkStart w:id="4" w:name="_Toc22110"/>
      <w:r>
        <w:rPr>
          <w:rStyle w:val="46"/>
          <w:rFonts w:ascii="Times New Roman" w:hAnsi="Times New Roman" w:cs="Times New Roman"/>
          <w:i w:val="0"/>
          <w:iCs w:val="0"/>
          <w:color w:val="2F5597" w:themeColor="accent1" w:themeShade="BF"/>
        </w:rPr>
        <w:t>The concept and importance of marketing</w:t>
      </w:r>
      <w:bookmarkEnd w:id="4"/>
      <w:r>
        <w:rPr>
          <w:rStyle w:val="46"/>
          <w:rFonts w:ascii="Times New Roman" w:hAnsi="Times New Roman" w:cs="Times New Roman"/>
          <w:i w:val="0"/>
          <w:iCs w:val="0"/>
          <w:color w:val="2F5597" w:themeColor="accent1" w:themeShade="BF"/>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Defined by the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{"citationID":"QpW4Zg9S","properties":{"formattedCitation":"(American Marketing Association, 2020)","plainCitation":"(American Marketing Association, 2020)","noteIndex":0},"citationItems":[{"id":2384,"uris":["http://zotero.org/users/local/MDmHQm0z/items/Q6DMYDC8"],"itemData":{"id":2384,"type":"post-weblog","abstract":"What Is Marketing? The AMA’s definitions of marketing and marketing research are reviewed and reapproved/modified regularly by a panel of five scholars","container-title":"American Marketing Association","language":"en-US","title":"Definitions of Marketing","URL":"https://www.ama.org/the-definition-of-marketing-what-is-marketing/","author":[{"family":"American Marketing Association","given":""}],"accessed":{"date-parts":[["2024",1,7]]},"issued":{"date-parts":[["2020"]]},"citation-key":"americanmarketingassociationDefinitionsMarketing2020"}}],"schema":"https://github.com/citation-style-language/schema/raw/master/csl-citation.json"}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American Marketing Association (2020)</w:t>
      </w:r>
      <w:r>
        <w:rPr>
          <w:rFonts w:ascii="Times New Roman" w:hAnsi="Times New Roman" w:cs="Times New Roman"/>
          <w:sz w:val="24"/>
          <w:szCs w:val="24"/>
        </w:rPr>
        <w:fldChar w:fldCharType="end"/>
      </w:r>
      <w:r>
        <w:rPr>
          <w:rFonts w:ascii="Times New Roman" w:hAnsi="Times New Roman" w:cs="Times New Roman"/>
          <w:sz w:val="24"/>
          <w:szCs w:val="24"/>
        </w:rPr>
        <w:t>, marketing is “t</w:t>
      </w:r>
      <w:r>
        <w:rPr>
          <w:rFonts w:ascii="Times New Roman" w:hAnsi="Times New Roman" w:cs="Times New Roman"/>
          <w:i/>
          <w:iCs/>
          <w:sz w:val="24"/>
          <w:szCs w:val="24"/>
        </w:rPr>
        <w:t>he process of planning and executing the conception, pricing, promotion and distribution of ideas, goods and services to create exchanges that satisfy individual and organisational goals</w:t>
      </w:r>
      <w:r>
        <w:rPr>
          <w:rFonts w:ascii="Times New Roman" w:hAnsi="Times New Roman" w:cs="Times New Roman"/>
          <w:sz w:val="24"/>
          <w:szCs w:val="24"/>
        </w:rPr>
        <w:t xml:space="preserve">.” As such, organizations regardless of type and size engage in marketing management to develop knowledge of the marketing environment, define the target market, develop a marketing strategy, design marketing tactics, and monitor and control marketing results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{"citationID":"U6y26nUZ","properties":{"formattedCitation":"(Wilson, 2010)","plainCitation":"(Wilson, 2010)","noteIndex":0},"citationItems":[{"id":2386,"uris":["http://zotero.org/users/local/MDmHQm0z/items/7JJPW7PL"],"itemData":{"id":2386,"type":"book","ISBN":"0-08-091212-5","publisher":"Routledge","title":"Strategic marketing planning","author":[{"family":"Wilson","given":"Richard MS"}],"issued":{"date-parts":[["2010"]]},"citation-key":"wilsonStrategicMarketingPlanning2010"}}],"schema":"https://github.com/citation-style-language/schema/raw/master/csl-citation.json"}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(Wilson, 2010)</w:t>
      </w:r>
      <w:r>
        <w:rPr>
          <w:rFonts w:ascii="Times New Roman" w:hAnsi="Times New Roman" w:cs="Times New Roman"/>
          <w:sz w:val="24"/>
          <w:szCs w:val="24"/>
        </w:rPr>
        <w:fldChar w:fldCharType="end"/>
      </w:r>
      <w:r>
        <w:rPr>
          <w:rFonts w:ascii="Times New Roman" w:hAnsi="Times New Roman" w:cs="Times New Roman"/>
          <w:sz w:val="24"/>
          <w:szCs w:val="24"/>
        </w:rPr>
        <w:t xml:space="preserve">. The importance of marketing lies in the fact that it communicates the value of products/services provided by companies to customers to carry out a commercial relationship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{"citationID":"GWaeGNF9","properties":{"formattedCitation":"(Homburg et al., 2009)","plainCitation":"(Homburg et al., 2009)","noteIndex":0},"citationItems":[{"id":2387,"uris":["http://zotero.org/users/local/MDmHQm0z/items/FF9TWK37"],"itemData":{"id":2387,"type":"book","ISBN":"0-07-711724-7","publisher":"Springer","title":"Marketing management","author":[{"family":"Homburg","given":"Christian"},{"family":"Kuester","given":"Sabine"},{"family":"Krohmer","given":"Harley"}],"issued":{"date-parts":[["2009"]]},"citation-key":"homburgMarketingManagement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(Homburg et al., 2009)</w:t>
      </w:r>
      <w:r>
        <w:rPr>
          <w:rFonts w:ascii="Times New Roman" w:hAnsi="Times New Roman" w:cs="Times New Roman"/>
          <w:sz w:val="24"/>
          <w:szCs w:val="24"/>
        </w:rPr>
        <w:fldChar w:fldCharType="end"/>
      </w:r>
      <w:r>
        <w:rPr>
          <w:rFonts w:ascii="Times New Roman" w:hAnsi="Times New Roman" w:cs="Times New Roman"/>
          <w:sz w:val="24"/>
          <w:szCs w:val="24"/>
        </w:rPr>
        <w:t xml:space="preserve">. The products/services developed by companies could be exchanged with market values without a functional marketing routine.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has been perceived as a significant component contributing to Tesla’s current market position and brand perception. However, selling, general and administrative (SG&amp;A) expenditures of Tesla, which are composed of personal costs, facility costs, marketing expenses and fees for contract services and litigation, account for only 5% of the total revenues generated by Tesla in 2022, indicating the fact that the costs spend on marketing is even more non-significant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{"citationID":"SXWANlY7","properties":{"formattedCitation":"(Tesla,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xml:space="preserve">. The underlying reason for the non-significant marketing costs can be attributed to Tesla’s reliance on non-conventional marketing approaches. Conventional approaches are mass media-oriented, as they rely on the use of paid placements in mediums, such as newspapers, magazines, and billboards to have a wide but non-differentiated customer reach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{"citationID":"Y5TlSpkc","properties":{"formattedCitation":"(Tellis, 2003)","plainCitation":"(Tellis, 2003)","noteIndex":0},"citationItems":[{"id":2388,"uris":["http://zotero.org/users/local/MDmHQm0z/items/ENQKN96L"],"itemData":{"id":2388,"type":"book","ISBN":"1-4522-6271-3","publisher":"Sage Publications","title":"Effective advertising: Understanding when, how, and why advertising works","author":[{"family":"Tellis","given":"Gerard J"}],"issued":{"date-parts":[["2003"]]},"citation-key":"tellisEffectiveAdvertisingUnderstanding2003"}}],"schema":"https://github.com/citation-style-language/schema/raw/master/csl-citation.json"}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(Tellis, 2003)</w:t>
      </w:r>
      <w:r>
        <w:rPr>
          <w:rFonts w:ascii="Times New Roman" w:hAnsi="Times New Roman" w:cs="Times New Roman"/>
          <w:sz w:val="24"/>
          <w:szCs w:val="24"/>
        </w:rPr>
        <w:fldChar w:fldCharType="end"/>
      </w:r>
      <w:r>
        <w:rPr>
          <w:rFonts w:ascii="Times New Roman" w:hAnsi="Times New Roman" w:cs="Times New Roman"/>
          <w:sz w:val="24"/>
          <w:szCs w:val="24"/>
        </w:rPr>
        <w:t xml:space="preserve">. On the contrary, the non-conventional marketing, employees more creative approach enabled by advanced information and communication technologies to target and influence customers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{"citationID":"vn2Vc7qV","properties":{"formattedCitation":"(Quesenberry, 2020)","plainCitation":"(Quesenberry, 2020)","noteIndex":0},"citationItems":[{"id":2389,"uris":["http://zotero.org/users/local/MDmHQm0z/items/C6KPYJNS"],"itemData":{"id":2389,"type":"book","ISBN":"1-5381-3818-2","publisher":"Rowman &amp; Littlefield Publishers","title":"Social media strategy: Marketing, advertising, and public relations in the consumer revolution","author":[{"family":"Quesenberry","given":"Keith A"}],"issued":{"date-parts":[["2020"]]},"citation-key":"quesenberrySocialMediaStrategy2020"}}],"schema":"https://github.com/citation-style-language/schema/raw/master/csl-citation.json"}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(Quesenberry, 2020)</w:t>
      </w:r>
      <w:r>
        <w:rPr>
          <w:rFonts w:ascii="Times New Roman" w:hAnsi="Times New Roman" w:cs="Times New Roman"/>
          <w:sz w:val="24"/>
          <w:szCs w:val="24"/>
        </w:rPr>
        <w:fldChar w:fldCharType="end"/>
      </w:r>
      <w:r>
        <w:rPr>
          <w:rFonts w:ascii="Times New Roman" w:hAnsi="Times New Roman" w:cs="Times New Roman"/>
          <w:sz w:val="24"/>
          <w:szCs w:val="24"/>
        </w:rPr>
        <w:t xml:space="preserve">. Typical unconventional mechanisms include social media marketing, search engine optimization, influencer partnerships, experiential events, etc. Although there are bare financial costs involved in its marketing, Tesla has invested time and human resources strategically in the above-mentioned non-conventional marketing practices. For instance, the distribution of Tesla’s vehicles is achieved through its website and an international network of company-owned stores. In some markets, Tesla has set up an exhibition room equipped with knowledgeable staff to better educate and inform customers about their products, provide customers with try-on experiences regarding its EVs, and allow for more branded, immersive, and heterogenous customer experience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{"citationID":"5czAQgFX","properties":{"formattedCitation":"(Tesla,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3"/>
        <w:spacing w:before="156" w:beforeLines="50" w:after="468" w:afterLines="150" w:line="360" w:lineRule="auto"/>
        <w:jc w:val="both"/>
        <w:rPr>
          <w:rFonts w:ascii="Times New Roman" w:hAnsi="Times New Roman" w:cs="Times New Roman"/>
        </w:rPr>
      </w:pPr>
      <w:bookmarkStart w:id="5" w:name="_Toc31630"/>
      <w:r>
        <w:rPr>
          <w:rFonts w:ascii="Times New Roman" w:hAnsi="Times New Roman" w:cs="Times New Roman"/>
        </w:rPr>
        <w:t>2.2 Macro and micro environment of Tesla’s marketing environment</w:t>
      </w:r>
      <w:bookmarkEnd w:id="5"/>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Tesla’s marketing strategy is shaped by the continuously evolved macro and micro environment where it operates. Also, by comprehensively evaluating environmental shifts, Tesla can synthesize implicative factors that may affect its future marketing effectiveness. The external environment of Tesla is composed of the macro and micro environment, respectively evaluated by using the PEST and Porter’s five forces model. </w:t>
      </w:r>
    </w:p>
    <w:p>
      <w:pPr>
        <w:pStyle w:val="4"/>
        <w:spacing w:before="156" w:beforeLines="50" w:after="468" w:afterLines="150" w:line="360" w:lineRule="auto"/>
        <w:jc w:val="both"/>
        <w:rPr>
          <w:rFonts w:ascii="Times New Roman" w:hAnsi="Times New Roman" w:cs="Times New Roman"/>
        </w:rPr>
      </w:pPr>
      <w:bookmarkStart w:id="6" w:name="_Toc5122"/>
      <w:r>
        <w:rPr>
          <w:rFonts w:ascii="Times New Roman" w:hAnsi="Times New Roman" w:cs="Times New Roman"/>
        </w:rPr>
        <w:t>2.2.1 Macro marketing environment</w:t>
      </w:r>
      <w:bookmarkEnd w:id="6"/>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PEST, standing for political, economic, social, and technological, captures factors presented on the political-social-economic context level that are usually beyond the managerial reach of Tesla but could affect how Tesla shall shape its marketing strategies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{"citationID":"L4cnQZsp","properties":{"formattedCitation":"(Ho, 2014)","plainCitation":"(Ho, 2014)","noteIndex":0},"citationItems":[{"id":2390,"uris":["http://zotero.org/users/local/MDmHQm0z/items/BDQSJXCU"],"itemData":{"id":2390,"type":"article-journal","container-title":"European academic research","issue":"5","journalAbbreviation":"European academic research","page":"6478-6492","title":"Formulation of a systemic PEST analysis for strategic analysis","volume":"2","author":[{"family":"Ho","given":"Joseph Kim-Keung"}],"issued":{"date-parts":[["2014"]]},"citation-key":"hoFormulationSystemicPEST2014"}}],"schema":"https://github.com/citation-style-language/schema/raw/master/csl-citation.json"}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(Ho, 2014)</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Political:</w:t>
      </w:r>
      <w:r>
        <w:rPr>
          <w:rFonts w:ascii="Times New Roman" w:hAnsi="Times New Roman" w:cs="Times New Roman"/>
          <w:sz w:val="24"/>
          <w:szCs w:val="24"/>
        </w:rPr>
        <w:t xml:space="preserve"> Governments across jurisdiction has provided a wide range of supportive policies for the development of new energy vehicles, typically financial subsidies, and tax exemption, hoping that the consumption and production of new energy vehicles will gradually shift increase driven by policies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{"citationID":"yNjy5AE6","properties":{"formattedCitation":"(Su et al., 2021)","plainCitation":"(Su et al., 2021)","noteIndex":0},"citationItems":[{"id":2391,"uris":["http://zotero.org/users/local/MDmHQm0z/items/T4I8NB5F"],"itemData":{"id":2391,"type":"article-journal","container-title":"Journal of Environmental Management","ISSN":"0301-4797","journalAbbreviation":"Journal of Environmental Management","note":"publisher: Elsevier","page":"113348","title":"Can new energy vehicles help to achieve carbon neutrality targets?","volume":"297","author":[{"family":"Su","given":"Chi-Wei"},{"family":"Yuan","given":"Xi"},{"family":"Tao","given":"Ran"},{"family":"Umar","given":"Muhammad"}],"issued":{"date-parts":[["2021"]]},"citation-key":"suCanNewEnergy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(Su et al., 2021)</w:t>
      </w:r>
      <w:r>
        <w:rPr>
          <w:rFonts w:ascii="Times New Roman" w:hAnsi="Times New Roman" w:cs="Times New Roman"/>
          <w:sz w:val="24"/>
          <w:szCs w:val="24"/>
        </w:rPr>
        <w:fldChar w:fldCharType="end"/>
      </w:r>
      <w:r>
        <w:rPr>
          <w:rFonts w:ascii="Times New Roman" w:hAnsi="Times New Roman" w:cs="Times New Roman"/>
          <w:sz w:val="24"/>
          <w:szCs w:val="24"/>
        </w:rPr>
        <w:t xml:space="preserve">. However, some financial subsidies have phased out since 2022, especially China, propelling the industry to enter a new development stage that is driven by the market demands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{"citationID":"EqMP5dtx","properties":{"formattedCitation":"(Ma et al., 2023; Wu et al., 2023)","plainCitation":"(Ma et al., 2023; Wu et al., 2023)","noteIndex":0},"citationItems":[{"id":2394,"uris":["http://zotero.org/users/local/MDmHQm0z/items/63QH8DPQ"],"itemData":{"id":2394,"type":"article-journal","container-title":"Applied Energy","ISSN":"0306-2619","journalAbbreviation":"Applied Energy","note":"publisher: Elsevier","page":"120524","title":"Impact of dual credit policy on new energy vehicles technology innovation with information asymmetry","volume":"332","author":[{"family":"Ma","given":"Miaomiao"},{"family":"Meng","given":"Weidong"},{"family":"Li","given":"Yuyu"},{"family":"Huang","given":"Bo"}],"issued":{"date-parts":[["2023"]]},"citation-key":"maImpactDualCredit2023"}},{"id":2392,"uris":["http://zotero.org/users/local/MDmHQm0z/items/YZX5YXGN"],"itemData":{"id":2392,"type":"article-journal","container-title":"Renewable and Sustainable Energy Reviews","ISSN":"1364-0321","journalAbbreviation":"Renewable and Sustainable Energy Reviews","note":"publisher: Elsevier","page":"113242","title":"Public attitudes and sentiments towards new energy vehicles in China: A text mining approach","volume":"178","author":[{"family":"Wu","given":"Zezhou"},{"family":"He","given":"Qiufeng"},{"family":"Li","given":"Jiarun"},{"family":"Bi","given":"Guoqiang"},{"family":"Antwi-Afari","given":"Maxwell Fordjour"}],"issued":{"date-parts":[["2023"]]},"citation-key":"wuPublicAttitudesSentiments2023"}}],"schema":"https://github.com/citation-style-language/schema/raw/master/csl-citation.json"}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(Ma et al., 2023; Wu et al., 2023)</w:t>
      </w:r>
      <w:r>
        <w:rPr>
          <w:rFonts w:ascii="Times New Roman" w:hAnsi="Times New Roman" w:cs="Times New Roman"/>
          <w:sz w:val="24"/>
          <w:szCs w:val="24"/>
        </w:rPr>
        <w:fldChar w:fldCharType="end"/>
      </w:r>
      <w:r>
        <w:rPr>
          <w:rFonts w:ascii="Times New Roman" w:hAnsi="Times New Roman" w:cs="Times New Roman"/>
          <w:sz w:val="24"/>
          <w:szCs w:val="24"/>
        </w:rPr>
        <w:t xml:space="preserve">. While, despite the phase-out of financial supports, industrial policies still play a fundamental role to channel all kinds of different resources to the industry, supporting the growth momentum of the industry in the macro level. </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 xml:space="preserve">Economics: </w:t>
      </w:r>
      <w:r>
        <w:rPr>
          <w:rFonts w:ascii="Times New Roman" w:hAnsi="Times New Roman" w:cs="Times New Roman"/>
          <w:sz w:val="24"/>
          <w:szCs w:val="24"/>
        </w:rPr>
        <w:t xml:space="preserve">In 2023, the global economy showed a weak recovery, but maintained a certain degree of resilience. The economic outlook report recently released by the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{"citationID":"CR8WWcTW","properties":{"formattedCitation":"(International Monetary Fund, 2023)","plainCitation":"(International Monetary Fund, 2023)","noteIndex":0},"citationItems":[{"id":2395,"uris":["http://zotero.org/users/local/MDmHQm0z/items/8X5SZSGR"],"itemData":{"id":2395,"type":"webpage","title":"World Economic Outlook, October 2023: Navigating Global Divergences","URL":"https://www.imf.org/en/Publications/WEO/Issues/2023/10/10/world-economic-outlook-october-2023","author":[{"family":"International Monetary Fund","given":""}],"accessed":{"date-parts":[["2024",1,7]]},"issued":{"date-parts":[["2023"]]},"citation-key":"internationalmonetaryfundWorldEconomicOutlook2023"}}],"schema":"https://github.com/citation-style-language/schema/raw/master/csl-citation.json"}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International Monetary Fund (2023)</w:t>
      </w:r>
      <w:r>
        <w:rPr>
          <w:rFonts w:ascii="Times New Roman" w:hAnsi="Times New Roman" w:cs="Times New Roman"/>
          <w:sz w:val="24"/>
          <w:szCs w:val="24"/>
        </w:rPr>
        <w:fldChar w:fldCharType="end"/>
      </w:r>
      <w:r>
        <w:rPr>
          <w:rFonts w:ascii="Times New Roman" w:hAnsi="Times New Roman" w:cs="Times New Roman"/>
          <w:sz w:val="24"/>
          <w:szCs w:val="24"/>
        </w:rPr>
        <w:t xml:space="preserve"> projects that the global gross domestic product (GDP) growth rate will be 2.9 per cent in 2023, and that global economic growth will remain moderate. It is not easy for the global economy to maintain moderate growth despite setbacks in the context of the lingering impact of the COVID-19 epidemic, intensifying geopolitical conflicts, complex changes in the international situation and high inflation in many countries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{"citationID":"B2DmTU5s","properties":{"formattedCitation":"(The Economist, 2023)","plainCitation":"(The Economist, 2023)","noteIndex":0},"citationItems":[{"id":2397,"uris":["http://zotero.org/users/local/MDmHQm0z/items/GJC7B4Q4"],"itemData":{"id":2397,"type":"webpage","title":"The World Ahead 2024 from The Economist","URL":"https://www.economist.com/the-world-ahead-2024?utm_medium=cpc.adword.pd&amp;utm_source=google&amp;utm_campaign=a.24worldahead&amp;utm_content=conversion.content.anonymous&amp;utm_medium=cpc.adword.pd&amp;utm_source=google&amp;ppccampaignID=13742798847&amp;ppcadID=142717226389&amp;ppcgclID=Cj0KCQiAtOmsBhCnARIsAGPa5yb7VtQOHLPJ4ZFnpykebDXviMubtG2gb34OAso5C1t3WjGxkY5YyioaAhKEEALw_wcB&amp;gad_source=1&amp;gclid=Cj0KCQiAtOmsBhCnARIsAGPa5yb7VtQOHLPJ4ZFnpykebDXviMubtG2gb34OAso5C1t3WjGxkY5YyioaAhKEEALw_wcB&amp;gclsrc=aw.ds","author":[{"family":"The Economist","given":""}],"accessed":{"date-parts":[["2024",1,7]]},"issued":{"date-parts":[["2023"]]},"citation-key":"theeconomistWorldAhead20242023"}}],"schema":"https://github.com/citation-style-language/schema/raw/master/csl-citation.json"}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(The Economist, 2023)</w:t>
      </w:r>
      <w:r>
        <w:rPr>
          <w:rFonts w:ascii="Times New Roman" w:hAnsi="Times New Roman" w:cs="Times New Roman"/>
          <w:sz w:val="24"/>
          <w:szCs w:val="24"/>
        </w:rPr>
        <w:fldChar w:fldCharType="end"/>
      </w:r>
      <w:r>
        <w:rPr>
          <w:rFonts w:ascii="Times New Roman" w:hAnsi="Times New Roman" w:cs="Times New Roman"/>
          <w:sz w:val="24"/>
          <w:szCs w:val="24"/>
        </w:rPr>
        <w:t xml:space="preserve">. The retrained economic growth has made consumers more sensitive to prices and underscored the relevancy of affordability in EVs. </w:t>
      </w:r>
    </w:p>
    <w:p>
      <w:pPr>
        <w:spacing w:before="156" w:beforeLines="50" w:after="468" w:afterLines="150" w:line="360" w:lineRule="auto"/>
        <w:jc w:val="both"/>
        <w:rPr>
          <w:rFonts w:ascii="Times New Roman" w:hAnsi="Times New Roman" w:cs="Times New Roman"/>
          <w:sz w:val="24"/>
          <w:szCs w:val="24"/>
          <w:lang w:val="fr-FR"/>
        </w:rPr>
      </w:pPr>
      <w:r>
        <w:rPr>
          <w:rStyle w:val="45"/>
          <w:rFonts w:ascii="Times New Roman" w:hAnsi="Times New Roman" w:cs="Times New Roman"/>
          <w:sz w:val="24"/>
          <w:szCs w:val="24"/>
        </w:rPr>
        <w:t xml:space="preserve">Social: </w:t>
      </w:r>
      <w:r>
        <w:rPr>
          <w:rFonts w:ascii="Times New Roman" w:hAnsi="Times New Roman" w:cs="Times New Roman"/>
          <w:sz w:val="24"/>
          <w:szCs w:val="24"/>
        </w:rPr>
        <w:t xml:space="preserve">Accompanied by the gradual maturity of technology and the increasing abundance of products, the market is quietly moving towards a "market-driven" era of multiple drivers. These changes mean that the user's product selection space is expanding at a high speed, and products with different price points, body forms, and market positioning have been launched one after another; at the same time, the diversified needs and differentiated preferences of users have been gradually stimulated and rapidly transmitted in the market, which effectively promotes the industry to maintain a high speed of benign development. The trend of younger new energy vehicle owners is emerging. Overall, the average age of new energy vehicle consumers is relatively young, mainly ranging from 25 to 45. On the one hand, the specific social-demographical group is curious about differentiated high-tech and new experiences and is willing to pay a premium; meanwhile, this group focuses on whether the design of new energy vehicles is fashionable, trendy and individualistic; on the other hand, the group prefers to attain authentic and genuine information from official channels, as they perceive self-organized information are more trustworthy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{"citationID":"TOFvmNki","properties":{"formattedCitation":"(Chen et al., 2019; Lou et al., 2017; Z. Yang et al., 2023)","plainCitation":"(Chen et al., 2019; Lou et al., 2017; Z. Yang et al., 2023)","noteIndex":0},"citationItems":[{"id":2401,"uris":["http://zotero.org/users/local/MDmHQm0z/items/YHVHDGM6"],"itemData":{"id":2401,"type":"article-journal","container-title":"Journal of Cleaner Production","ISSN":"0959-6526","journalAbbreviation":"Journal of Cleaner Production","note":"publisher: Elsevier","page":"700-708","title":"Exploring purchase intentions of new energy vehicles: From the perspective of frugality and the concept of “mianzi”","volume":"230","author":[{"family":"Chen","given":"Kai"},{"family":"Ren","given":"Chaoran"},{"family":"Gu","given":"Rong"},{"family":"Zhang","given":"Pingdan"}],"issued":{"date-pa</w:instrText>
      </w:r>
      <w:r>
        <w:rPr>
          <w:rFonts w:ascii="Times New Roman" w:hAnsi="Times New Roman" w:cs="Times New Roman"/>
          <w:sz w:val="24"/>
          <w:szCs w:val="24"/>
          <w:lang w:val="fr-FR"/>
        </w:rPr>
        <w:instrText xml:space="preserve">rts":[["2019"]]},"citation-key":"chenExploringPurchaseIntentions2019"}},{"id":2400,"uris":["http://zotero.org/users/local/MDmHQm0z/items/867JSVAF"],"itemData":{"id":2400,"type":"article-journal","container-title":"Energy Procedia","ISSN":"1876-6102","journalAbbreviation":"Energy Procedia","note":"publisher: Elsevier","page":"2187-2193","title":"Customers’ attitude on new energy vehicles’ policies and policy impact on customers’ purchase intention","volume":"105","author":[{"family":"Lou","given":"Yiping"},{"family":"Wang","given":"Wenhuan"},{"family":"Yang","given":"Xiaoguang"}],"issued":{"date-parts":[["2017"]]},"citation-key":"louCustomersAttitudeNew2017"}},{"id":2399,"uris":["http://zotero.org/users/local/MDmHQm0z/items/YZ9AGNXK"],"itemData":{"id":2399,"type":"article-journal","container-title":"International Journal of Production Economics","ISSN":"0925-5273","journalAbbreviation":"International Journal of Production Economics","note":"publisher: Elsevier","page":"109003","title":"Supporting personalized new energy vehicle purchase decision-making: Customer reviews and product recommendation platform","volume":"265","author":[{"family":"Yang","given":"Zaoli"},{"family":"Li","given":"Qin"},{"family":"Charles","given":"Vincent"},{"family":"Xu","given":"Bing"},{"family":"Gupta","given":"Shivam"}],"issued":{"date-parts":[["2023"]]},"citation-key":"yangSupportingPersonalizedNew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lang w:val="fr-FR"/>
        </w:rPr>
        <w:t>(Chen et al., 2019; Lou et al., 2017; Z. Yang et al., 2023)</w:t>
      </w:r>
      <w:r>
        <w:rPr>
          <w:rFonts w:ascii="Times New Roman" w:hAnsi="Times New Roman" w:cs="Times New Roman"/>
          <w:sz w:val="24"/>
          <w:szCs w:val="24"/>
        </w:rPr>
        <w:fldChar w:fldCharType="end"/>
      </w:r>
      <w:r>
        <w:rPr>
          <w:rFonts w:ascii="Times New Roman" w:hAnsi="Times New Roman" w:cs="Times New Roman"/>
          <w:sz w:val="24"/>
          <w:szCs w:val="24"/>
          <w:lang w:val="fr-FR"/>
        </w:rPr>
        <w:t>.</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 xml:space="preserve">Technological: </w:t>
      </w:r>
      <w:r>
        <w:rPr>
          <w:rFonts w:ascii="Times New Roman" w:hAnsi="Times New Roman" w:cs="Times New Roman"/>
          <w:sz w:val="24"/>
          <w:szCs w:val="24"/>
        </w:rPr>
        <w:t xml:space="preserve">Enhancing digital capabilities also helps to reach new heights in precision marketing, opening new growth opportunities for companies. Specifically, investments in digital capabilities are providing new ways to detect and help respond to changing market conditions in a more precise and relevant way. Marketing is no longer just about reaching as many customers as possible, but also about reaching specific them with designed marketing contents with precision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{"citationID":"3tvC2meA","properties":{"formattedCitation":"(X. Yang et al., 2021)","plainCitation":"(X. Yang et al., 2021)","noteIndex":0},"citationItems":[{"id":2402,"uris":["http://zotero.org/users/local/MDmHQm0z/items/78EM7MVR"],"itemData":{"id":2402,"type":"article-journal","container-title":"Journal of Organizational and End User Computing (JOEUC)","issue":"4","journalAbbreviation":"Journal of Organizational and End User Computing (JOEUC)","note":"publisher: IGI Global","page":"209-219","title":"Application of artificial intelligence in precision marketing","volume":"33","author":[{"family":"Yang","given":"Xue"},{"family":"Li","given":"Haowen"},{"family":"Ni","given":"Likun"},{"family":"Li","given":"Teng"}],"issued":{"date-parts":[["2021"]]},"citation-key":"yangApplicationArtificialIntelligence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(Yang et al., 2021)</w:t>
      </w:r>
      <w:r>
        <w:rPr>
          <w:rFonts w:ascii="Times New Roman" w:hAnsi="Times New Roman" w:cs="Times New Roman"/>
          <w:sz w:val="24"/>
          <w:szCs w:val="24"/>
        </w:rPr>
        <w:fldChar w:fldCharType="end"/>
      </w:r>
      <w:r>
        <w:rPr>
          <w:rFonts w:ascii="Times New Roman" w:hAnsi="Times New Roman" w:cs="Times New Roman"/>
          <w:sz w:val="24"/>
          <w:szCs w:val="24"/>
        </w:rPr>
        <w:t xml:space="preserve">. Notably, customer segmentation group types evolve, making dynamic segmentation critical. However, through AI and machine learning, combined with experimental methods and a culture of learning from testing, brands can dynamically adapt their marketing strategies and messaging to changing consumer behaviour. While AI and other algorithms will greatly enhance the ability of companies to personalise their services, they should also be combined with other human-centric approaches (such as behavioural science or ethnography) to build a complete picture of the customer and reveal the marketing value behind the data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{"citationID":"LaPTRGfG","properties":{"formattedCitation":"(Chandra et al., 2022; Nair &amp; Gupta, 2021)","plainCitation":"(Chandra et al., 2022; Nair &amp; Gupta, 2021)","noteIndex":0},"citationItems":[{"id":2403,"uris":["http://zotero.org/users/local/MDmHQm0z/items/UG7LJ6UN"],"itemData":{"id":2403,"type":"article-journal","container-title":"Psychology &amp; Marketing","ISSN":"0742-6046","issue":"8","journalAbbreviation":"Psychology &amp; Marketing","note":"publisher: Wiley Online Library","page":"1529-1562","title":"Personalization in personalized marketing: Trends and ways forward","volume":"39","author":[{"family":"Chandra","given":"Shobhana"},{"family":"Verma","given":"Sanjeev"},{"family":"Lim","given":"Weng Marc"},{"family":"Kumar","given":"Satish"},{"family":"Donthu","given":"Naveen"}],"issued":{"date-parts":[["2022"]]},"citation-key":"chandraPersonalizationPersonalizedMarketing2022"}},{"id":2405,"uris":["http://zotero.org/users/local/MDmHQm0z/items/A5GQFFN9"],"itemData":{"id":2405,"type":"article-journal","container-title":"World Journal of Entrepreneurship, Management and Sustainable Development","ISSN":"2042-5961","issue":"3","journalAbbreviation":"World Journal of Entrepreneurship, Management and Sustainable Development","note":"publisher: Emerald Publishing Limited","page":"318-328","title":"Application of AI technology in modern digital marketing environment","volume":"17","author":[{"family":"Nair","given":"Kiran"},{"family":"Gupta","given":"Ruchi"}],"issued":{"date-parts":[["2021"]]},"citation-key":"nairApplicationAITechnology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(Chandra et al., 2022; Nair &amp; Gupta, 2021)</w:t>
      </w:r>
      <w:r>
        <w:rPr>
          <w:rFonts w:ascii="Times New Roman" w:hAnsi="Times New Roman" w:cs="Times New Roman"/>
          <w:sz w:val="24"/>
          <w:szCs w:val="24"/>
        </w:rPr>
        <w:fldChar w:fldCharType="end"/>
      </w:r>
      <w:r>
        <w:rPr>
          <w:rFonts w:ascii="Times New Roman" w:hAnsi="Times New Roman" w:cs="Times New Roman"/>
          <w:sz w:val="24"/>
          <w:szCs w:val="24"/>
        </w:rPr>
        <w:t>.</w:t>
      </w:r>
    </w:p>
    <w:p>
      <w:pPr>
        <w:spacing w:after="312" w:afterLines="100" w:line="360" w:lineRule="auto"/>
        <w:jc w:val="both"/>
        <w:rPr>
          <w:rFonts w:ascii="Times New Roman" w:hAnsi="Times New Roman" w:cs="Times New Roman"/>
        </w:rPr>
      </w:pPr>
      <w:r>
        <w:rPr>
          <w:rFonts w:ascii="Times New Roman" w:hAnsi="Times New Roman" w:cs="Times New Roman"/>
        </w:rPr>
        <w:t xml:space="preserve">Table 2: PEST analysis </w:t>
      </w:r>
    </w:p>
    <w:p>
      <w:pPr>
        <w:spacing w:after="312" w:afterLines="100" w:line="360" w:lineRule="auto"/>
        <w:jc w:val="both"/>
        <w:rPr>
          <w:rFonts w:ascii="Times New Roman" w:hAnsi="Times New Roman" w:cs="Times New Roman"/>
        </w:rPr>
      </w:pPr>
      <w:r>
        <w:rPr>
          <w:rFonts w:ascii="Times New Roman" w:hAnsi="Times New Roman" w:cs="Times New Roman"/>
        </w:rPr>
        <w:t xml:space="preserve">Source: own summary </w:t>
      </w:r>
    </w:p>
    <w:tbl>
      <w:tblPr>
        <w:tblStyle w:val="56"/>
        <w:tblW w:w="8359" w:type="dxa"/>
        <w:tblInd w:w="0" w:type="dxa"/>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Layout w:type="autofit"/>
        <w:tblCellMar>
          <w:top w:w="0" w:type="dxa"/>
          <w:left w:w="108" w:type="dxa"/>
          <w:bottom w:w="0" w:type="dxa"/>
          <w:right w:w="108" w:type="dxa"/>
        </w:tblCellMar>
      </w:tblPr>
      <w:tblGrid>
        <w:gridCol w:w="1465"/>
        <w:gridCol w:w="6894"/>
      </w:tblGrid>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tcBorders>
              <w:top w:val="single" w:color="A5A5A5" w:themeColor="accent3" w:sz="4" w:space="0"/>
              <w:left w:val="single" w:color="A5A5A5" w:themeColor="accent3" w:sz="4" w:space="0"/>
              <w:bottom w:val="single" w:color="A5A5A5" w:themeColor="accent3" w:sz="4" w:space="0"/>
              <w:right w:val="nil"/>
              <w:insideH w:val="single" w:sz="4" w:space="0"/>
              <w:insideV w:val="nil"/>
            </w:tcBorders>
            <w:shd w:val="clear" w:color="auto" w:fill="A5A5A5" w:themeFill="accent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Aspect</w:t>
            </w:r>
          </w:p>
        </w:tc>
        <w:tc>
          <w:tcPr>
            <w:tcW w:w="6894" w:type="dxa"/>
            <w:tcBorders>
              <w:top w:val="single" w:color="A5A5A5" w:themeColor="accent3" w:sz="4" w:space="0"/>
              <w:bottom w:val="single" w:color="A5A5A5" w:themeColor="accent3" w:sz="4" w:space="0"/>
              <w:right w:val="single" w:color="A5A5A5" w:themeColor="accent3" w:sz="4" w:space="0"/>
              <w:insideH w:val="single" w:sz="4" w:space="0"/>
              <w:insideV w:val="nil"/>
            </w:tcBorders>
            <w:shd w:val="clear" w:color="auto" w:fill="A5A5A5" w:themeFill="accent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Summary</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Political</w:t>
            </w:r>
          </w:p>
        </w:tc>
        <w:tc>
          <w:tcPr>
            <w:tcW w:w="6894"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The shift from subsidies to direct market competition for NEVs. Example: US EV subsidies in IRA.</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Economic</w:t>
            </w:r>
          </w:p>
        </w:tc>
        <w:tc>
          <w:tcPr>
            <w:tcW w:w="6894" w:type="dxa"/>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The global economy shows a weak but resilient recovery; GDP growth at 2.9%. Emphasis on EV affordability.</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Social</w:t>
            </w:r>
          </w:p>
        </w:tc>
        <w:tc>
          <w:tcPr>
            <w:tcW w:w="6894"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NEV market diversifying; trend towards younger consumers with a preference for high-tech, stylish EVs.</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0" w:type="auto"/>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Technological</w:t>
            </w:r>
          </w:p>
        </w:tc>
        <w:tc>
          <w:tcPr>
            <w:tcW w:w="6894" w:type="dxa"/>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Advancements in digital marketing and AI; focus on micro-segmentation and personalized services.</w:t>
            </w:r>
          </w:p>
        </w:tc>
      </w:tr>
    </w:tbl>
    <w:p>
      <w:pPr>
        <w:pStyle w:val="4"/>
        <w:spacing w:before="156" w:beforeLines="50" w:after="468" w:afterLines="150" w:line="360" w:lineRule="auto"/>
        <w:jc w:val="both"/>
        <w:rPr>
          <w:rFonts w:ascii="Times New Roman" w:hAnsi="Times New Roman" w:cs="Times New Roman"/>
        </w:rPr>
      </w:pPr>
      <w:bookmarkStart w:id="7" w:name="_Toc3662"/>
      <w:r>
        <w:rPr>
          <w:rFonts w:ascii="Times New Roman" w:hAnsi="Times New Roman" w:cs="Times New Roman"/>
        </w:rPr>
        <w:t>2.2.2 Micro environment analysis</w:t>
      </w:r>
      <w:bookmarkEnd w:id="7"/>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micro-environment analysis is performed using Porter’s five analyses that analyze the industrial competitive landscape by focusing on five dominant forces, including threats of entrants, threats of substitutes, bargaining power of buyers, bargaining power of suppliers, and competitive rivalry. </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Bargaining power of suppliers:</w:t>
      </w:r>
      <w:r>
        <w:rPr>
          <w:rFonts w:ascii="Times New Roman" w:hAnsi="Times New Roman" w:cs="Times New Roman"/>
          <w:sz w:val="24"/>
          <w:szCs w:val="24"/>
        </w:rPr>
        <w:t xml:space="preserve"> Tesla has been famous for its vertically integrated business model but maintains most of its value chain activities the house, to reduce dependence on the hardware and software from external third-party suppliers, compared to conventional automotive businesses that only concentrate on the research and design, and final assembly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{"citationID":"voUfgnaa","properties":{"formattedCitation":"(Rimmer, 2018)","plainCitation":"(Rimmer, 2018)","noteIndex":0},"citationItems":[{"id":2406,"uris":["http://zotero.org/users/local/MDmHQm0z/items/PAYLNZNP"],"itemData":{"id":2406,"type":"book","ISBN":"981132154X","publisher":"Springer","title":"Elon musk’s open innovation: Tesla, intellectual property, and climate change","author":[{"family":"Rimmer","given":"Matthew"}],"issued":{"date-parts":[["2018"]]},"citation-key":"rimmerElonMuskOpen2018"}}],"schema":"https://github.com/citation-style-language/schema/raw/master/csl-citation.json"}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(Rimmer, 2018)</w:t>
      </w:r>
      <w:r>
        <w:rPr>
          <w:rFonts w:ascii="Times New Roman" w:hAnsi="Times New Roman" w:cs="Times New Roman"/>
          <w:sz w:val="24"/>
          <w:szCs w:val="24"/>
        </w:rPr>
        <w:fldChar w:fldCharType="end"/>
      </w:r>
      <w:r>
        <w:rPr>
          <w:rFonts w:ascii="Times New Roman" w:hAnsi="Times New Roman" w:cs="Times New Roman"/>
          <w:sz w:val="24"/>
          <w:szCs w:val="24"/>
        </w:rPr>
        <w:t xml:space="preserve">. From battery production to autonomous driving software, Tesla has developed proprietary technologies to reduce outsourcing, thereby weakening the bargaining power of suppliers. </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Bargaining power of buyers:</w:t>
      </w:r>
      <w:r>
        <w:rPr>
          <w:rFonts w:ascii="Times New Roman" w:hAnsi="Times New Roman" w:cs="Times New Roman"/>
          <w:sz w:val="24"/>
          <w:szCs w:val="24"/>
        </w:rPr>
        <w:t xml:space="preserve"> the EV market is filled with extensive brands regionally and internationally, and threats from traditional automobiles significantly. The economic downturn makes customers increasingly price-sensitive. To switch from one brand to another, customers do not have to pay any costs of switching. The bargaining power of customers is further enhanced by the fact that most EV offerings on the market are homogenous with similar appearance design, performance specifications, and technological advancements.</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 xml:space="preserve">Threats from new entrants: </w:t>
      </w:r>
      <w:r>
        <w:rPr>
          <w:rFonts w:ascii="Times New Roman" w:hAnsi="Times New Roman" w:cs="Times New Roman"/>
          <w:sz w:val="24"/>
          <w:szCs w:val="24"/>
        </w:rPr>
        <w:t xml:space="preserve">the EV industry requires sufficient knowledge in research and development to enter, as well as extensive financial capital to establish the production and distribution network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{"citationID":"DO5w2AVp","properties":{"formattedCitation":"(Pilkington &amp; Dyerson, 2006)","plainCitation":"(Pilkington &amp; Dyerson, 2006)","noteIndex":0},"citationItems":[{"id":2407,"uris":["http://zotero.org/users/local/MDmHQm0z/items/M67VT69J"],"itemData":{"id":2407,"type":"article-journal","container-title":"European Journal of Innovation Management","ISSN":"1460-1060","issue":"1","journalAbbreviation":"European Journal of Innovation Management","note":"publisher: Emerald Group Publishing Limited","page":"79-91","title":"Innovation in disruptive regulatory environments: A patent study of electric vehicle technology development","volume":"9","author":[{"family":"Pilkington","given":"Alan"},{"family":"Dyerson","given":"Romano"}],"issued":{"date-parts":[["2006"]]},"citation-key":"pilkingtonInnovationDisruptiveRegulatory2006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(Pilkington &amp; Dyerson, 2006)</w:t>
      </w:r>
      <w:r>
        <w:rPr>
          <w:rFonts w:ascii="Times New Roman" w:hAnsi="Times New Roman" w:cs="Times New Roman"/>
          <w:sz w:val="24"/>
          <w:szCs w:val="24"/>
        </w:rPr>
        <w:fldChar w:fldCharType="end"/>
      </w:r>
      <w:r>
        <w:rPr>
          <w:rFonts w:ascii="Times New Roman" w:hAnsi="Times New Roman" w:cs="Times New Roman"/>
          <w:sz w:val="24"/>
          <w:szCs w:val="24"/>
        </w:rPr>
        <w:t>. Otherwise, it would be extremely difficult for new entrants to realize economies of scale and would be weeded by incumbents rapidly.</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 xml:space="preserve">Threats from substitutes: </w:t>
      </w:r>
      <w:r>
        <w:rPr>
          <w:rFonts w:ascii="Times New Roman" w:hAnsi="Times New Roman" w:cs="Times New Roman"/>
          <w:sz w:val="24"/>
          <w:szCs w:val="24"/>
        </w:rPr>
        <w:t>EVs can be easily replaced by traditional vehicles, public transportation, and the sharing economy, which are perceived as a more affordable alternative. Under the fact that the economic downturn will constrain the consumption power of customers, the attractiveness of these alternative options will be enhanced.</w:t>
      </w:r>
    </w:p>
    <w:p>
      <w:pPr>
        <w:spacing w:before="156" w:beforeLines="50" w:after="468" w:afterLines="150" w:line="360" w:lineRule="auto"/>
        <w:jc w:val="both"/>
        <w:rPr>
          <w:rFonts w:ascii="Times New Roman" w:hAnsi="Times New Roman" w:cs="Times New Roman"/>
          <w:sz w:val="24"/>
          <w:szCs w:val="24"/>
        </w:rPr>
      </w:pPr>
      <w:r>
        <w:rPr>
          <w:rStyle w:val="45"/>
          <w:rFonts w:ascii="Times New Roman" w:hAnsi="Times New Roman" w:cs="Times New Roman"/>
          <w:sz w:val="24"/>
          <w:szCs w:val="24"/>
        </w:rPr>
        <w:t>Competitive rivalry:</w:t>
      </w:r>
      <w:r>
        <w:rPr>
          <w:rFonts w:ascii="Times New Roman" w:hAnsi="Times New Roman" w:cs="Times New Roman"/>
          <w:sz w:val="24"/>
          <w:szCs w:val="24"/>
        </w:rPr>
        <w:t xml:space="preserve"> The global EV market is showing exponential growth. In 2022, more than 10 million EVs were sold and about 14 per cent of global new car sales were EVs, up from about 9 per cent in 2021. And of these, China is once again the frontrunner, with about 60 per cent of global EV sales. Globally more than half of all EVs are now on the road in China, which has now exceeded its 2025 sales target for new energy vehicles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{"citationID":"O8Kc1GQj","properties":{"formattedCitation":"(Lin, 2024)","plainCitation":"(Lin, 2024)","noteIndex":0},"citationItems":[{"id":2409,"uris":["http://zotero.org/users/local/MDmHQm0z/items/TGWY63H7"],"itemData":{"id":2409,"type":"article-magazine","abstract":"More than half of the electric vehicles (EVs) on roads worldwide are found in China. In 2022, new EV sales in China grew by 82%, and the country provided 35% of global EV exports. While the U.S., Norway, and other Scandinavian nations were early adopters of EVs, and Germany and Japan have long been automotive powerhouses, their EV markets have lagged in mass market adoption compared to China. How did China get to this point? What can companies looking to scale up their innovations learn from their approach? This article outlines three key reasons for the growth of China’s EV sector: experimenting in adjacent industries, encouraging operational solutions, and doubling down on core technology.","container-title":"Harvard Business Review","ISSN":"0017-8012","note":"section: Operations strategy","source":"hbr.org","title":"3 Drivers of China’s Booming Electric Vehicle Market","URL":"https://hbr.org/2024/01/3-drivers-of-chinas-booming-electric-vehicle-market","author":[{"family":"Lin","given":"Chengyi"}],"accessed":{"date-parts":[["2024",1,7]]},"issued":{"date-parts":[["2024",1,3]]},"citation-key":"linDriversChinaBooming2024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(Lin, 2024)</w:t>
      </w:r>
      <w:r>
        <w:rPr>
          <w:rFonts w:ascii="Times New Roman" w:hAnsi="Times New Roman" w:cs="Times New Roman"/>
          <w:sz w:val="24"/>
          <w:szCs w:val="24"/>
        </w:rPr>
        <w:fldChar w:fldCharType="end"/>
      </w:r>
      <w:r>
        <w:rPr>
          <w:rFonts w:ascii="Times New Roman" w:hAnsi="Times New Roman" w:cs="Times New Roman"/>
          <w:sz w:val="24"/>
          <w:szCs w:val="24"/>
        </w:rPr>
        <w:t>. Market trends and policy efforts in major automotive markets support a bright outlook for EV sales. According to the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{"citationID":"czHIWAdt","properties":{"formattedCitation":"(International Energy Agency, 2023)","plainCitation":"(International Energy Agency, 2023)","noteIndex":0},"citationItems":[{"id":2412,"uris":["http://zotero.org/users/local/MDmHQm0z/items/XQIFWAXQ"],"itemData":{"id":2412,"type":"webpage","abstract":"Global Energy and Climate Model - Analysis and key findings. A report by the International Energy Agency.","container-title":"IEA","language":"en-GB","title":"Stated Policies Scenario (STEPS) – Global Energy and Climate Model – Analysis","URL":"https://www.iea.org/reports/global-energy-and-climate-model/stated-policies-scenario-steps","author":[{"family":"International Energy Agency","given":""}],"accessed":{"date-parts":[["2024",1,7]]},"issued":{"date-parts":[["2023"]]},"citation-key":"internationalenergyagencyStatedPoliciesScenario2023"}}],"schema":"https://github.com/citation-style-language/schema/raw/master/csl-citation.json"}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 xml:space="preserve"> International Energy Agency' (2023)</w:t>
      </w:r>
      <w:r>
        <w:rPr>
          <w:rFonts w:ascii="Times New Roman" w:hAnsi="Times New Roman" w:cs="Times New Roman"/>
          <w:sz w:val="24"/>
          <w:szCs w:val="24"/>
        </w:rPr>
        <w:fldChar w:fldCharType="end"/>
      </w:r>
      <w:r>
        <w:rPr>
          <w:rFonts w:ascii="Times New Roman" w:hAnsi="Times New Roman" w:cs="Times New Roman"/>
          <w:sz w:val="24"/>
          <w:szCs w:val="24"/>
        </w:rPr>
        <w:t xml:space="preserve">'s (IEA) Scenarios for Policy Provision (STEPS), the outlook for the global share of EV sales will increase to 35 per cent by 2030 from less than 25 per cent previously, based on existing policies and clear targets. Tesla facing fierce competition from brands such as BYD, SAIC, Toyota, Mercedes-Benz, Ford, Volkswagen, etc. </w:t>
      </w:r>
    </w:p>
    <w:p>
      <w:pPr>
        <w:spacing w:before="156" w:beforeLines="50" w:after="468" w:afterLines="150" w:line="360" w:lineRule="auto"/>
        <w:jc w:val="both"/>
        <w:rPr>
          <w:rFonts w:ascii="Times New Roman" w:hAnsi="Times New Roman" w:cs="Times New Roman"/>
          <w:sz w:val="24"/>
          <w:szCs w:val="24"/>
        </w:rPr>
      </w:pPr>
    </w:p>
    <w:p>
      <w:pPr>
        <w:spacing w:after="312" w:afterLines="100" w:line="360" w:lineRule="auto"/>
        <w:jc w:val="both"/>
        <w:rPr>
          <w:rFonts w:ascii="Times New Roman" w:hAnsi="Times New Roman" w:cs="Times New Roman"/>
        </w:rPr>
      </w:pPr>
      <w:r>
        <w:rPr>
          <w:rFonts w:ascii="Times New Roman" w:hAnsi="Times New Roman" w:cs="Times New Roman"/>
        </w:rPr>
        <w:t>Table 3: Porter’s five forces</w:t>
      </w:r>
    </w:p>
    <w:p>
      <w:pPr>
        <w:spacing w:after="312" w:afterLines="100" w:line="360" w:lineRule="auto"/>
        <w:jc w:val="both"/>
        <w:rPr>
          <w:rFonts w:ascii="Times New Roman" w:hAnsi="Times New Roman" w:cs="Times New Roman"/>
        </w:rPr>
      </w:pPr>
      <w:r>
        <w:rPr>
          <w:rFonts w:ascii="Times New Roman" w:hAnsi="Times New Roman" w:cs="Times New Roman"/>
        </w:rPr>
        <w:t>Source: own summary</w:t>
      </w:r>
    </w:p>
    <w:tbl>
      <w:tblPr>
        <w:tblStyle w:val="56"/>
        <w:tblW w:w="8217" w:type="dxa"/>
        <w:tblInd w:w="0" w:type="dxa"/>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Layout w:type="autofit"/>
        <w:tblCellMar>
          <w:top w:w="0" w:type="dxa"/>
          <w:left w:w="108" w:type="dxa"/>
          <w:bottom w:w="0" w:type="dxa"/>
          <w:right w:w="108" w:type="dxa"/>
        </w:tblCellMar>
      </w:tblPr>
      <w:tblGrid>
        <w:gridCol w:w="2521"/>
        <w:gridCol w:w="5696"/>
      </w:tblGrid>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tcBorders>
              <w:top w:val="single" w:color="A5A5A5" w:themeColor="accent3" w:sz="4" w:space="0"/>
              <w:left w:val="single" w:color="A5A5A5" w:themeColor="accent3" w:sz="4" w:space="0"/>
              <w:bottom w:val="single" w:color="A5A5A5" w:themeColor="accent3" w:sz="4" w:space="0"/>
              <w:right w:val="nil"/>
              <w:insideH w:val="single" w:sz="4" w:space="0"/>
              <w:insideV w:val="nil"/>
            </w:tcBorders>
            <w:shd w:val="clear" w:color="auto" w:fill="A5A5A5" w:themeFill="accent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Factor</w:t>
            </w:r>
          </w:p>
        </w:tc>
        <w:tc>
          <w:tcPr>
            <w:tcW w:w="5696" w:type="dxa"/>
            <w:tcBorders>
              <w:top w:val="single" w:color="A5A5A5" w:themeColor="accent3" w:sz="4" w:space="0"/>
              <w:bottom w:val="single" w:color="A5A5A5" w:themeColor="accent3" w:sz="4" w:space="0"/>
              <w:right w:val="single" w:color="A5A5A5" w:themeColor="accent3" w:sz="4" w:space="0"/>
              <w:insideH w:val="single" w:sz="4" w:space="0"/>
              <w:insideV w:val="nil"/>
            </w:tcBorders>
            <w:shd w:val="clear" w:color="auto" w:fill="A5A5A5" w:themeFill="accent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Summary</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val="0"/>
                <w:bCs w:val="0"/>
                <w:color w:val="374151"/>
              </w:rPr>
              <w:t>Supplier Power</w:t>
            </w:r>
          </w:p>
        </w:tc>
        <w:tc>
          <w:tcPr>
            <w:tcW w:w="5696"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Low, due to Tesla's vertical integration and proprietary tech.</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Buyer Power</w:t>
            </w:r>
          </w:p>
        </w:tc>
        <w:tc>
          <w:tcPr>
            <w:tcW w:w="5696" w:type="dxa"/>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High, due to market competition and low switching costs.</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New Entrant Threat</w:t>
            </w:r>
          </w:p>
        </w:tc>
        <w:tc>
          <w:tcPr>
            <w:tcW w:w="5696"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Low, due to high entry barriers in R&amp;D and capital.</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Substitute Threat</w:t>
            </w:r>
          </w:p>
        </w:tc>
        <w:tc>
          <w:tcPr>
            <w:tcW w:w="5696" w:type="dxa"/>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High, from traditional vehicles and alternative transport.</w:t>
            </w:r>
          </w:p>
        </w:tc>
      </w:tr>
      <w:tr>
        <w:tblPrEx>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CellMar>
            <w:top w:w="0" w:type="dxa"/>
            <w:left w:w="108" w:type="dxa"/>
            <w:bottom w:w="0" w:type="dxa"/>
            <w:right w:w="108" w:type="dxa"/>
          </w:tblCellMar>
        </w:tblPrEx>
        <w:tc>
          <w:tcPr>
            <w:tcW w:w="2521" w:type="dxa"/>
            <w:shd w:val="clear" w:color="auto" w:fill="ECECEC" w:themeFill="accent3" w:themeFillTint="33"/>
          </w:tcPr>
          <w:p>
            <w:pPr>
              <w:spacing w:after="312" w:afterLines="100" w:line="360" w:lineRule="auto"/>
              <w:jc w:val="both"/>
              <w:rPr>
                <w:rFonts w:ascii="Times New Roman" w:hAnsi="Times New Roman" w:eastAsia="宋体" w:cs="Times New Roman"/>
                <w:b/>
                <w:bCs/>
                <w:color w:val="374151"/>
              </w:rPr>
            </w:pPr>
            <w:r>
              <w:rPr>
                <w:rFonts w:ascii="Times New Roman" w:hAnsi="Times New Roman" w:eastAsia="宋体" w:cs="Times New Roman"/>
                <w:b/>
                <w:bCs/>
                <w:color w:val="374151"/>
              </w:rPr>
              <w:t>Competitive Rivalry</w:t>
            </w:r>
          </w:p>
        </w:tc>
        <w:tc>
          <w:tcPr>
            <w:tcW w:w="5696" w:type="dxa"/>
            <w:shd w:val="clear" w:color="auto" w:fill="ECECEC" w:themeFill="accent3" w:themeFillTint="33"/>
          </w:tcPr>
          <w:p>
            <w:pPr>
              <w:spacing w:after="312" w:afterLines="100" w:line="360" w:lineRule="auto"/>
              <w:jc w:val="both"/>
              <w:rPr>
                <w:rFonts w:ascii="Times New Roman" w:hAnsi="Times New Roman" w:eastAsia="宋体" w:cs="Times New Roman"/>
                <w:color w:val="374151"/>
              </w:rPr>
            </w:pPr>
            <w:r>
              <w:rPr>
                <w:rFonts w:ascii="Times New Roman" w:hAnsi="Times New Roman" w:eastAsia="宋体" w:cs="Times New Roman"/>
                <w:color w:val="374151"/>
              </w:rPr>
              <w:t>High, in a rapidly growing global EV market.</w:t>
            </w:r>
          </w:p>
        </w:tc>
      </w:tr>
    </w:tbl>
    <w:p>
      <w:pPr>
        <w:spacing w:before="156" w:beforeLines="50" w:after="468" w:afterLines="150" w:line="360" w:lineRule="auto"/>
        <w:jc w:val="both"/>
        <w:rPr>
          <w:rFonts w:ascii="Times New Roman" w:hAnsi="Times New Roman" w:cs="Times New Roman"/>
        </w:rPr>
      </w:pPr>
    </w:p>
    <w:p>
      <w:pPr>
        <w:pStyle w:val="3"/>
        <w:spacing w:before="156" w:beforeLines="50" w:after="468" w:afterLines="150" w:line="360" w:lineRule="auto"/>
        <w:jc w:val="both"/>
        <w:rPr>
          <w:rFonts w:ascii="Times New Roman" w:hAnsi="Times New Roman" w:cs="Times New Roman"/>
        </w:rPr>
      </w:pPr>
      <w:bookmarkStart w:id="8" w:name="_Toc357"/>
      <w:r>
        <w:rPr>
          <w:rFonts w:ascii="Times New Roman" w:hAnsi="Times New Roman" w:cs="Times New Roman"/>
        </w:rPr>
        <w:t>2.3 Change management strategies</w:t>
      </w:r>
      <w:bookmarkEnd w:id="8"/>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Compared to traditional businesses, Tesla’s marketing strategies are characterized by its reliance on non-conventional channels organized and initiated by itself, reducing than use of paid mediums. Relatively young consumers of the EV sector want to effectively acquire what they can understand from official channels, and deduce their reasonable needs from their understanding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{"citationID":"5gYIi2qW","properties":{"formattedCitation":"(Roland Berger, 2022)","plainCitation":"(Roland Berger, 2022)","noteIndex":0},"citationItems":[{"id":2414,"uris":["http://zotero.org/users/local/MDmHQm0z/items/J3QIM7U9"],"itemData":{"id":2414,"type":"report","title":"New energy vehicles consumer insights","URL":"https://www.rolandberger.com/publications/publication_pdf/EV-Consumer-Report.pdf","author":[{"family":"Roland Berger","given":""}],"issued":{"date-parts":[["2022"]]},"citation-key":"rolandbergerNewEnergyVehicles2022"}}],"schema":"https://github.com/citation-style-language/schema/raw/master/csl-citation.json"}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(Roland Berger, 2022)</w:t>
      </w:r>
      <w:r>
        <w:rPr>
          <w:rFonts w:ascii="Times New Roman" w:hAnsi="Times New Roman" w:cs="Times New Roman"/>
          <w:sz w:val="24"/>
          <w:szCs w:val="24"/>
        </w:rPr>
        <w:fldChar w:fldCharType="end"/>
      </w:r>
      <w:r>
        <w:rPr>
          <w:rFonts w:ascii="Times New Roman" w:hAnsi="Times New Roman" w:cs="Times New Roman"/>
          <w:sz w:val="24"/>
          <w:szCs w:val="24"/>
        </w:rPr>
        <w:t xml:space="preserve">. Most EV enterprises, especially the new car-making forces, are focusing on the communication and education of this type of users, and are using more sincere and easy-to-understand ways to transform the language of technology into marketing techniques, effectively delivering the "excitement" of EV products to potential users, cultivating their understanding and knowledge of the technology, and using the social content of users for effective secondary dissemination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{"citationID":"QHsdHbxp","properties":{"formattedCitation":"(Hertzke et al., 2017)","plainCitation":"(Hertzke et al., 2017)","noteIndex":0},"citationItems":[{"id":2415,"uris":["http://zotero.org/users/local/MDmHQm0z/items/MT2RKVSL"],"itemData":{"id":2415,"type":"report","title":"Dynamics in the global electric-vehicle market","URL":"https://www.mckinsey.de/~/media/McKinsey/Industries/Automotive%20and%20Assembly/Our%20Insights/Dynamics%20in%20the%20global%20electric%20vehicle%20market/Dynamics-in-the-global-electric-vehicle-market.pdf","author":[{"family":"Hertzke","given":"Patrick"},{"family":"Müller","given":"Nicolai"},{"family":"Schenk","given":"Stephanie"}],"issued":{"date-parts":[["2017"]]},"citation-key":"hertzkeDynamicsGlobalElectricvehicle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(Hertzke et al., 2017)</w:t>
      </w:r>
      <w:r>
        <w:rPr>
          <w:rFonts w:ascii="Times New Roman" w:hAnsi="Times New Roman" w:cs="Times New Roman"/>
          <w:sz w:val="24"/>
          <w:szCs w:val="24"/>
        </w:rPr>
        <w:fldChar w:fldCharType="end"/>
      </w:r>
      <w:r>
        <w:rPr>
          <w:rFonts w:ascii="Times New Roman" w:hAnsi="Times New Roman" w:cs="Times New Roman"/>
          <w:sz w:val="24"/>
          <w:szCs w:val="24"/>
        </w:rPr>
        <w:t>. The self-organized and non-conventional channels are particularly effective in communicating and engaging with the relatively young consumer base who prefer authentic and straightforward information from the official channel. The user's social content is used for effective secondary dissemination on social media through direct engagement, which further implies the brand’s reach and impact, ushering in the power of consumer advocacy and referral.</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exploration of the non-conventional channel is its direct sale model under which Tesla bypasses traditional dealerships to set up showrooms and galleries in leading markets to directly educate customers through knowledgeable experts in EVs. The specific approach provides not only readable information about Tesla’s offerings but also hands-on experiences regarding the promoted value propositions. As of the fourth quarter of 2022, Tesla has 764 sales and service centres around the world, selling directly to consumers and providing after-sales services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{"citationID":"39QYjcOp","properties":{"formattedCitation":"(Tesla,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xml:space="preserve">. In the era of rapid development of the Internet and digital economy, Tesla adopts a direct sales model, making full use of digital technology to eliminate middlemen, using sales centres combined with online sales instead of dealerships, and selling cars to customers through online purchasing, showroom test drives and online purchasing, with a purchase mode of pre-ordering before manufacturing, which improves the customer's purchasing experience and the reliability of the products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{"citationID":"LxJh4w9G","properties":{"formattedCitation":"(Andersen et al., 2017)","plainCitation":"(Andersen et al., 2017)","noteIndex":0},"citationItems":[{"id":2416,"uris":["http://zotero.org/users/local/MDmHQm0z/items/53XHRWQC"],"itemData":{"id":2416,"type":"report","publisher":"Boston Consulting Group","title":"What Automakers Can Learn from the Tesla Phenomenon","URL":"http://boston-consulting-group-brightspot.s3.amazonaws.com/img-src/BCG-What-Automakers-Can-Learn-from-Tesla-May-2016_tcm9-61989.pdf","author":[{"family":"Andersen","given":"Michelle"},{"family":"Dauner","given":"Thomas"},{"family":"Lang","given":"Nikolaus"},{"family":"Palme","given":"Thomas"}],"issued":{"date-parts":[["2017"]]},"citation-key":"andersenWhatAutomakersCan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(Andersen et al., 2017)</w:t>
      </w:r>
      <w:r>
        <w:rPr>
          <w:rFonts w:ascii="Times New Roman" w:hAnsi="Times New Roman" w:cs="Times New Roman"/>
          <w:sz w:val="24"/>
          <w:szCs w:val="24"/>
        </w:rPr>
        <w:fldChar w:fldCharType="end"/>
      </w:r>
      <w:r>
        <w:rPr>
          <w:rFonts w:ascii="Times New Roman" w:hAnsi="Times New Roman" w:cs="Times New Roman"/>
          <w:sz w:val="24"/>
          <w:szCs w:val="24"/>
        </w:rPr>
        <w:t xml:space="preserve">. Also, Tesla directly engages with leading media outlets to accumulate greater exposure. These unconventional methods are featured its low cost, represented by the non-significant spending on marketing activities. </w:t>
      </w:r>
    </w:p>
    <w:p>
      <w:pPr>
        <w:pStyle w:val="3"/>
        <w:spacing w:before="156" w:beforeLines="50" w:after="468" w:afterLines="150" w:line="360" w:lineRule="auto"/>
        <w:jc w:val="both"/>
        <w:rPr>
          <w:rFonts w:ascii="Times New Roman" w:hAnsi="Times New Roman" w:cs="Times New Roman"/>
        </w:rPr>
      </w:pPr>
      <w:bookmarkStart w:id="9" w:name="_Toc15193"/>
      <w:r>
        <w:rPr>
          <w:rFonts w:ascii="Times New Roman" w:hAnsi="Times New Roman" w:cs="Times New Roman"/>
        </w:rPr>
        <w:t>2.4 Target market, media selection, and measure of success</w:t>
      </w:r>
      <w:bookmarkEnd w:id="9"/>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Tesla focuses on the mid-to-high-end market and adopts a skimming pricing strategy, with higher pricing for new products to highlight the high quality, advanced technology and differentiated attributes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{"citationID":"8L37CDVG","properties":{"formattedCitation":"(Du &amp; Li, 2021)","plainCitation":"(Du &amp; Li, 2021)","noteIndex":0},"citationItems":[{"id":2417,"uris":["http://zotero.org/users/local/MDmHQm0z/items/QBPBI9QZ"],"itemData":{"id":2417,"type":"paper-conference","event-title":"2021 3rd International Conference on Economic Management and Cultural Industry (ICEMCI 2021)","ISBN":"94-6239-483-0","page":"1679-1687","publisher":"Atlantis Press","title":"Analysis of Tesla’s Marketing Strategy in China","author":[{"family":"Du","given":"Xiaofei"},{"family":"Li","given":"Bingcan"}],"issued":{"date-parts":[["2021"]]},"citation-key":"duAnalysisTeslaMarketing2021"}}],"schema":"https://github.com/citation-style-language/schema/raw/master/csl-citation.json"}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(Du &amp; Li, 2021)</w:t>
      </w:r>
      <w:r>
        <w:rPr>
          <w:rFonts w:ascii="Times New Roman" w:hAnsi="Times New Roman" w:cs="Times New Roman"/>
          <w:sz w:val="24"/>
          <w:szCs w:val="24"/>
        </w:rPr>
        <w:fldChar w:fldCharType="end"/>
      </w:r>
      <w:r>
        <w:rPr>
          <w:rFonts w:ascii="Times New Roman" w:hAnsi="Times New Roman" w:cs="Times New Roman"/>
          <w:sz w:val="24"/>
          <w:szCs w:val="24"/>
        </w:rPr>
        <w:t xml:space="preserve">. Tesla's product development plan tends to set up a brand image by holding high in the early stage and enhancing market penetration by sinking the price in the later stage. In addition, Tesla sets different price grades according to the configuration and performance differences of the models, and consumers can choose different models and optional accessories according to their needs and budgets to achieve personalised pricing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{"citationID":"VocuODSZ","properties":{"formattedCitation":"(Perkins &amp; Murmann, 2018)","plainCitation":"(Perkins &amp; Murmann, 2018)","noteIndex":0},"citationItems":[{"id":2419,"uris":["http://zotero.org/users/local/MDmHQm0z/items/A3YJ7G3Z"],"itemData":{"id":2419,"type":"article-journal","abstract":"After reading Jacobides, MacDuffie, and Tae (2016), the success of Tesla in launching a new automobile company in a crowded sector puzzled us. Jacobides, MacDuffie, and Tae (2016) had convinced us that developing the capabilities to become the manufacturer of a complete, safe automobile system would be quite difficult. Since the establishment of the dominant design for the auto in the 1920s, the industry has operated on the premise of massive economies of scale. Original equipment manufacturers’ (OEMs) role in taking responsibility for the legal liability of the whole automobile, combined with their extensive supply and marketing chains, has ensured they remained dominant in the sector despite some missteps with modularisation and outsourcing efforts (Jacobides, MacDuffie, &amp; Tae, 2016; Schulze, MacDuffie, &amp; Taube, 2015). No major component supplier has succeeded in forward integrating into becoming an OEM and no new entrants have challenged the dominance of the incumbent OEMs since the earliest days of the auto industry (Jacobides &amp; MacDuffie, 2013).","container-title":"Management and Organization Review","DOI":"10.1017/mor.2018.31","ISSN":"1740-8776, 1740-8784","issue":"3","language":"en","note":"publisher: Cambridge University Press","page":"471-480","source":"Cambridge University Press","title":"What Does the Success of Tesla Mean for the Future Dynamics in the Global Automobile Sector?","volume":"14","author":[{"family":"Perkins","given":"Greg"},{"family":"Murmann","given":"Johann Peter"}],"issued":{"date-parts":[["2018",9]]},"citation-key":"perkinsWhatDoesSuccess2018"}}],"schema":"https://github.com/citation-style-language/schema/raw/master/csl-citation.json"}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(Perkins &amp; Murmann, 2018)</w:t>
      </w:r>
      <w:r>
        <w:rPr>
          <w:rFonts w:ascii="Times New Roman" w:hAnsi="Times New Roman" w:cs="Times New Roman"/>
          <w:sz w:val="24"/>
          <w:szCs w:val="24"/>
        </w:rPr>
        <w:fldChar w:fldCharType="end"/>
      </w:r>
      <w:r>
        <w:rPr>
          <w:rFonts w:ascii="Times New Roman" w:hAnsi="Times New Roman" w:cs="Times New Roman"/>
          <w:sz w:val="24"/>
          <w:szCs w:val="24"/>
        </w:rPr>
        <w:t xml:space="preserve">. Tesla is also good at using a price reduction strategy, which is related to technological progress, policy support and the economy of scale effect. For example, Tesla actively uses government environmental subsidies and incentives to provide more attractive conditions for car purchases and reduce consumer purchase costs. Take Tesla Model 3 as an example, Tesla has adjusted the price of its products many times to improve the competitiveness of its products and attract more consumers.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to focusing on the development and operation of its core products, Tesla also provides comprehensive additional product services, offering potential customers test-driving experiences through showrooms, providing used battery recycling services and establishing free charging stations. In addition, with the help of digital technology, Tesla has developed special mobile applications to provide consumers with convenient services and information to understand product information, find charging stations, control vehicle status, etc., and promote service transformation and upgrading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{"citationID":"vSC1xZYO","properties":{"formattedCitation":"(Tesla,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Through product innovation and differentiation strategies, Tesla has established a unique brand image and features and enhanced its brand competitive advantage and market influence.</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As indicated, Tesla relies on the self-organized direct-sale channel, its own websites and social media platforms for marketing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{"citationID":"EMzLPtBh","properties":{"formattedCitation":"(Tesla, 2023)","plainCitation":"(Tesla, 2023)","noteIndex":0},"citationItems":[{"id":2381,"uris":["http://zotero.org/users/local/MDmHQm0z/items/ADMP2ZCH"],"itemData":{"id":2381,"type":"report","title":"Tesla annual report 2022","URL":"https://ir.tesla.com/","author":[{"family":"Tesla","given":""}],"issued":{"date-parts":[["2023"]]},"citation-key":"teslaTeslaAnnualReport2023"}}],"schema":"https://github.com/citation-style-language/schema/raw/master/csl-citation.json"}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(Tesla, 2023)</w:t>
      </w:r>
      <w:r>
        <w:rPr>
          <w:rFonts w:ascii="Times New Roman" w:hAnsi="Times New Roman" w:cs="Times New Roman"/>
          <w:sz w:val="24"/>
          <w:szCs w:val="24"/>
        </w:rPr>
        <w:fldChar w:fldCharType="end"/>
      </w:r>
      <w:r>
        <w:rPr>
          <w:rFonts w:ascii="Times New Roman" w:hAnsi="Times New Roman" w:cs="Times New Roman"/>
          <w:sz w:val="24"/>
          <w:szCs w:val="24"/>
        </w:rPr>
        <w:t>. The specific one relied on by Tesla is social media platforms, media coverage initiated by itself through public relations and by others through presses. Tesla has accumulated 21.45 followers on the X platform (previously known as Twitter). By regularly updating key product information, Tesla can keep customers among other stakeholders informed. The fact that the platform is owned by the leader of Tesla Elon Musk makes it a highly cost-effective choice but also creates a personal and authentic relationship with the audience.</w:t>
      </w:r>
    </w:p>
    <w:p>
      <w:pPr>
        <w:spacing w:after="312" w:afterLines="100" w:line="360" w:lineRule="auto"/>
        <w:jc w:val="both"/>
        <w:rPr>
          <w:rFonts w:ascii="Times New Roman" w:hAnsi="Times New Roman" w:cs="Times New Roman"/>
        </w:rPr>
      </w:pPr>
      <w:r>
        <w:rPr>
          <w:rFonts w:ascii="Times New Roman" w:hAnsi="Times New Roman" w:cs="Times New Roman"/>
        </w:rPr>
        <w:drawing>
          <wp:inline distT="0" distB="0" distL="0" distR="0">
            <wp:extent cx="4178300" cy="2935605"/>
            <wp:effectExtent l="19050" t="19050" r="12700" b="17145"/>
            <wp:docPr id="8280782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78279" name="图片 1"/>
                    <pic:cNvPicPr>
                      <a:picLocks noChangeAspect="1"/>
                    </pic:cNvPicPr>
                  </pic:nvPicPr>
                  <pic:blipFill>
                    <a:blip r:embed="rId9"/>
                    <a:srcRect b="1963"/>
                    <a:stretch>
                      <a:fillRect/>
                    </a:stretch>
                  </pic:blipFill>
                  <pic:spPr>
                    <a:xfrm>
                      <a:off x="0" y="0"/>
                      <a:ext cx="4190340" cy="2943859"/>
                    </a:xfrm>
                    <a:prstGeom prst="rect">
                      <a:avLst/>
                    </a:prstGeom>
                    <a:ln>
                      <a:solidFill>
                        <a:schemeClr val="tx1"/>
                      </a:solidFill>
                    </a:ln>
                  </pic:spPr>
                </pic:pic>
              </a:graphicData>
            </a:graphic>
          </wp:inline>
        </w:drawing>
      </w:r>
    </w:p>
    <w:p>
      <w:pPr>
        <w:spacing w:after="312" w:afterLines="100" w:line="360" w:lineRule="auto"/>
        <w:jc w:val="both"/>
        <w:rPr>
          <w:rFonts w:ascii="Times New Roman" w:hAnsi="Times New Roman" w:cs="Times New Roman"/>
        </w:rPr>
      </w:pPr>
      <w:r>
        <w:rPr>
          <w:rFonts w:ascii="Times New Roman" w:hAnsi="Times New Roman" w:cs="Times New Roman"/>
        </w:rPr>
        <w:t xml:space="preserve">Figure 1: The front page of Tesla’s Twitter account </w:t>
      </w:r>
    </w:p>
    <w:p>
      <w:pPr>
        <w:spacing w:after="312" w:afterLines="100" w:line="360" w:lineRule="auto"/>
        <w:jc w:val="both"/>
        <w:rPr>
          <w:rFonts w:ascii="Times New Roman" w:hAnsi="Times New Roman" w:cs="Times New Roman"/>
        </w:rPr>
      </w:pPr>
      <w:r>
        <w:rPr>
          <w:rFonts w:ascii="Times New Roman" w:hAnsi="Times New Roman" w:cs="Times New Roman"/>
        </w:rPr>
        <w:t xml:space="preserve">Source: Twitter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The advantage of social media and content marketing lies in its ability to respond quickly to market demand. Tesla connects with potential and existing customers through social media (such as Twitter, Facebook, and Instagram, etc.), online advertising and content marketing (producing and distributing high-quality, valuable content, such as blog posts, short videos, press releases, etc.), and through its interaction with consumers, Tesla conveys brand value, product features and industry trends to increase brand awareness and influence. At the same time, the costs saved in performing marketing activities can allow Tesla to maintain its cost leadership among industries, allowing it to produce more affordable offerings while pursuing differentiation. The hybrid strategy allows Tesla to outperform its peers in the fierce competition, especially during the economic downturn when customers are getting more price-sensitive. </w:t>
      </w:r>
    </w:p>
    <w:p>
      <w:pPr>
        <w:rPr>
          <w:rFonts w:hint="eastAsia" w:ascii="Times New Roman" w:hAnsi="Times New Roman" w:cs="Times New Roman"/>
          <w:sz w:val="24"/>
          <w:szCs w:val="24"/>
        </w:rPr>
      </w:pPr>
      <w:r>
        <w:rPr>
          <w:rFonts w:ascii="Times New Roman" w:hAnsi="Times New Roman" w:cs="Times New Roman"/>
          <w:sz w:val="24"/>
          <w:szCs w:val="24"/>
        </w:rPr>
        <w:br w:type="page"/>
      </w:r>
    </w:p>
    <w:p>
      <w:pPr>
        <w:pStyle w:val="2"/>
        <w:numPr>
          <w:ilvl w:val="0"/>
          <w:numId w:val="1"/>
        </w:numPr>
        <w:spacing w:before="156" w:beforeLines="50" w:after="468" w:afterLines="150" w:line="360" w:lineRule="auto"/>
        <w:jc w:val="both"/>
        <w:rPr>
          <w:rFonts w:ascii="Times New Roman" w:hAnsi="Times New Roman" w:cs="Times New Roman"/>
        </w:rPr>
      </w:pPr>
      <w:bookmarkStart w:id="10" w:name="_Toc26686"/>
      <w:r>
        <w:rPr>
          <w:rFonts w:ascii="Times New Roman" w:hAnsi="Times New Roman" w:cs="Times New Roman"/>
        </w:rPr>
        <w:t>The conclusions addressing the shortcomings of Tesla’s marketing strategy</w:t>
      </w:r>
      <w:bookmarkEnd w:id="10"/>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The above critical analysis of Tesla’s marketing strategies indicates that Tesla has heavily relied on non-convention channels to directly engage with its consumers. The non-conventional instruments are vital in establishing brand awareness and driving sales while saving expenditures on marketing, although some notable shortcomings could impede the long-term effectiveness of the marketing strategies.</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As competition in the new energy vehicle market intensifies, new energy vehicle companies are faced with the challenge of increasing brand building costs. Under the constant drive of policies and development directions, BMW, Mercedes-Benz, Volkswagen and other companies that are competitive in the traditional fuel vehicle sector have started to transform, market competition is becoming increasingly fierce, new energy vehicle companies are facing competitors from all over the world, and consumers are more likely to switch to other brands or products, companies need to invest more resources in branding and improve brand influence by providing superior product quality, excellent customer service and personalised marketing strategies to increase customer loyalty and maintain ongoing customer relationships to enhance brand influence. In addition, companies need to take competitors into account when formulating their marketing strategies and invest more resources in market research and competitor analyses, making marketing management more difficult.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same time, the use of the Internet and social media has changed people's consumption habits and the main way they search for product information. In the age of social media, consumers have more diverse channels for obtaining information, and word-of-mouth information on social media is more ubiquitous and diverse than in traditional media, with information of varying quality. Consumers are free to post comments, evaluations, and experience sharing on social media platforms, which makes negative word-of-mouth information likely to become more prominent and proliferate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{"citationID":"zyfNfFb1","properties":{"formattedCitation":"(Tuten, 2023)","plainCitation":"(Tuten, 2023)","noteIndex":0},"citationItems":[{"id":2426,"uris":["http://zotero.org/users/local/MDmHQm0z/items/CDKIWH7D"],"itemData":{"id":2426,"type":"book","ISBN":"978-1-5296-2572-1","publisher":"SAGE Publications","title":"Social Media Marketing","URL":"https://books.google.se/books?id=zITCEAAAQBAJ","author":[{"family":"Tuten","given":"T.L."}],"issued":{"date-parts":[["2023"]]},"citation-key":"tutenSocialMediaMarketing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(Tuten, 2023)</w:t>
      </w:r>
      <w:r>
        <w:rPr>
          <w:rFonts w:ascii="Times New Roman" w:hAnsi="Times New Roman" w:cs="Times New Roman"/>
          <w:sz w:val="24"/>
          <w:szCs w:val="24"/>
        </w:rPr>
        <w:fldChar w:fldCharType="end"/>
      </w:r>
      <w:r>
        <w:rPr>
          <w:rFonts w:ascii="Times New Roman" w:hAnsi="Times New Roman" w:cs="Times New Roman"/>
          <w:sz w:val="24"/>
          <w:szCs w:val="24"/>
        </w:rPr>
        <w:t>. In addition, online information spreads very quickly and is difficult to control. It is difficult for companies to monitor and control comment information on social media platforms in real-time. Negative word-of-mouth information may be detrimental to the brand image and reputation of a company to a certain extent, and even if Tesla is aware of the existence of negative word-of-mouth information, it is still challenging for Tesla to take action promptly to respond to it and resolve it.</w:t>
      </w:r>
    </w:p>
    <w:p>
      <w:pPr>
        <w:rPr>
          <w:rFonts w:hint="eastAsia" w:ascii="Times New Roman" w:hAnsi="Times New Roman" w:cs="Times New Roman"/>
          <w:sz w:val="24"/>
          <w:szCs w:val="24"/>
        </w:rPr>
      </w:pPr>
      <w:r>
        <w:rPr>
          <w:rFonts w:ascii="Times New Roman" w:hAnsi="Times New Roman" w:cs="Times New Roman"/>
          <w:sz w:val="24"/>
          <w:szCs w:val="24"/>
        </w:rPr>
        <w:br w:type="page"/>
      </w:r>
    </w:p>
    <w:p>
      <w:pPr>
        <w:pStyle w:val="2"/>
        <w:numPr>
          <w:ilvl w:val="0"/>
          <w:numId w:val="1"/>
        </w:numPr>
        <w:spacing w:before="156" w:beforeLines="50" w:after="468" w:afterLines="150" w:line="360" w:lineRule="auto"/>
        <w:jc w:val="both"/>
        <w:rPr>
          <w:rFonts w:ascii="Times New Roman" w:hAnsi="Times New Roman" w:cs="Times New Roman"/>
        </w:rPr>
      </w:pPr>
      <w:bookmarkStart w:id="11" w:name="_Toc21501"/>
      <w:r>
        <w:rPr>
          <w:rFonts w:ascii="Times New Roman" w:hAnsi="Times New Roman" w:cs="Times New Roman"/>
        </w:rPr>
        <w:t>The recommendations to improve Tesla’s marketing effectiveness</w:t>
      </w:r>
      <w:bookmarkEnd w:id="11"/>
      <w:r>
        <w:rPr>
          <w:rFonts w:ascii="Times New Roman" w:hAnsi="Times New Roman" w:cs="Times New Roman"/>
        </w:rPr>
        <w:t xml:space="preserve">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Traditional automakers will benefit by amplifying their brand equity, which in turn will drive loyalty, which is much more economical compared to the cost of acquiring new customers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{"citationID":"v0ZxzVZl","properties":{"formattedCitation":"(Bry\\uc0\\u322{}a et al., 2023; Rezvani et al., 2015)","plainCitation":"(Bryła et al., 2023; Rezvani et al., 2015)","noteIndex":0},"citationItems":[{"id":2422,"uris":["http://zotero.org/users/local/MDmHQm0z/items/7PWAIJEG"],"itemData":{"id":2422,"type":"article-journal","abstract":"Electric vehicle (EV) disposition may challenge serious environmental issues such as excessive dependence on oil, especially in the transport sector. Despite this understanding, the adoption intention has been disappointing to date. This review tries to present a comprehensive overview of the methodologies, theories, and variables used in 57 peer-reviewed articles published between 2015 and 2022 covering the main forms of consumer adoption of EVs, consisting of purchase as well as behavioral and usage intentions. Governments may stimulate consumer adoption of EVs with exemptions on roadway tolls, convenient access to charging infrastructures, and tax and economic incentives considering energy trading and vehicle sharing. Second, it is important to create intensive awareness revolving around the EV segment. Furthermore, respecting and understanding consumer preferences would also pave the way for the success of EV acceptance. Finally, consumers’ risk–benefit belief while adopting new technology will play a significant role in choosing an EV in the future, while the biggest barriers to adopting EV will be consumers’ lack of confidence in EV performance, safety standard measures, and range per charge.","container-title":"Energies","DOI":"10.3390/en16010205","ISSN":"1996-1073","issue":"1","language":"en","license":"http://creativecommons.org/licenses/by/3.0/","note":"number: 1\npublisher: Multidisciplinary Digital Publishing Institute","page":"205","source":"www.mdpi.com","title":"Consumer Adoption of Electric Vehicles: A Systematic Literature Review","title-short":"Consumer Adoption of Electric Vehicles","volume":"16","author":[{"family":"Bryła","given":"Paweł"},{"family":"Chatterjee","given":"Shuvam"},{"family":"Ciabiada-Bryła","given":"Beata"}],"issued":{"date-parts":[["2023",1]]},"citation-key":"brylaConsumerAdoptionElectric2023"}},{"id":2424,"uris":["http://zotero.org/users/local/MDmHQm0z/items/33M9PME4"],"itemData":{"id":2424,"type":"article-journal","abstract":"In spite of the purported positive environmental consequences of electrifying the light duty vehicle fleet, the number of electric vehicles (EVs) in use is still insignificant. One reason for the modest adoption figures is that the mass acceptance of EVs to a large extent is reliant on consumers’ perception of EVs. This paper presents a comprehensive overview of the drivers for and barriers against consumer adoption of plug-in EVs, as well as an overview of the theoretical perspectives that have been utilized for understanding consumer intentions and adoption behavior towards EVs. In addition, we identify gaps and limitations in existing research and suggest areas in which future research would be able to contribute.","container-title":"Transportation Research Part D: Transport and Environment","DOI":"10.1016/j.trd.2014.10.010","ISSN":"1361-9209","journalAbbreviation":"Transportation Research Part D: Transport and Environment","page":"122-136","source":"ScienceDirect","title":"Advances in consumer electric vehicle adoption research: A review and research agenda","title-short":"Advances in consumer electric vehicle adoption research","volume":"34","author":[{"family":"Rezvani","given":"Zeinab"},{"family":"Jansson","given":"Johan"},{"family":"Bodin","given":"Jan"}],"issued":{"date-parts":[["2015",1,1]]},"citation-key":"rezvaniAdvancesConsumerElectric2015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(Bryła et al., 2023; Rezvani et al., 2015)</w:t>
      </w:r>
      <w:r>
        <w:rPr>
          <w:rFonts w:ascii="Times New Roman" w:hAnsi="Times New Roman" w:cs="Times New Roman"/>
          <w:sz w:val="24"/>
          <w:szCs w:val="24"/>
        </w:rPr>
        <w:fldChar w:fldCharType="end"/>
      </w:r>
      <w:r>
        <w:rPr>
          <w:rFonts w:ascii="Times New Roman" w:hAnsi="Times New Roman" w:cs="Times New Roman"/>
          <w:sz w:val="24"/>
          <w:szCs w:val="24"/>
        </w:rPr>
        <w:t xml:space="preserve">. Based on the above analysis, the part aims to provide some actionable recommendations to facilitate Tesla's achieving greater marketing effectiveness. </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Given the cost efficiency of social media platforms, Tesla shall invest more resources and competencies in enhancing its social media presence. Tesla can be more responsive and flexible to market shfits through social media marketing, establish connections with potential and existing customers, promote products and services, enhance brand reputation and brand loyalty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{"citationID":"v3eVAXma","properties":{"formattedCitation":"(Tuten, 2023)","plainCitation":"(Tuten, 2023)","noteIndex":0},"citationItems":[{"id":2426,"uris":["http://zotero.org/users/local/MDmHQm0z/items/CDKIWH7D"],"itemData":{"id":2426,"type":"book","ISBN":"978-1-5296-2572-1","publisher":"SAGE Publications","title":"Social Media Marketing","URL":"https://books.google.se/books?id=zITCEAAAQBAJ","author":[{"family":"Tuten","given":"T.L."}],"issued":{"date-parts":[["2023"]]},"citation-key":"tutenSocialMediaMarketing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(Tuten, 2023)</w:t>
      </w:r>
      <w:r>
        <w:rPr>
          <w:rFonts w:ascii="Times New Roman" w:hAnsi="Times New Roman" w:cs="Times New Roman"/>
          <w:sz w:val="24"/>
          <w:szCs w:val="24"/>
        </w:rPr>
        <w:fldChar w:fldCharType="end"/>
      </w:r>
      <w:r>
        <w:rPr>
          <w:rFonts w:ascii="Times New Roman" w:hAnsi="Times New Roman" w:cs="Times New Roman"/>
          <w:sz w:val="24"/>
          <w:szCs w:val="24"/>
        </w:rPr>
        <w:t>. However, rather than solely relying on social media, Tesla should make full use of digital media and social media platforms, such as search engine optimization, key opinion leader influencer cooperation, to increase the outreach its marketing endeavors. This can be implemented by generating original and creative content according to platform features, suc has short video content in TikTok, to showcase its differentiated technological innovations and appearance design, to attract the attention and interest of users and expand the brand's influence. In addition, feedback and data across media platforms can be collected by Tesla in real time, enabled by information and communication technologies such as artificial intelligence, to analyse users' needs and preferences precisely, provide personalised marketing information, customize product.</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Given on the uncontrollability of the unconventional marketing as customers are content generators, Tesla should realise the importance of electronic word of mouth (IWOM) to the corporate brand image and establish an electronic IWOM monitoring and feedback mechanism. On the one hand, Tesla can track and analyse information related to the company and its products on channels such as social media platforms, online forums, review, and rating websites, etc., of course, with consent from users. By monitoring and analysing users' feedback, opinions, and comments in real-time, Tesla can keep abreast of consumers' views on the quality of its products, after-sales service, and usage experience, etc., and take targeted measures to improve its products and services. Secondly, Tesla should actively participate in social media to interact and share information and advantages about its products with consumers and establish a feedback mechanism to actively respond to negative word-of-mouth and complaints from users, as well as focus on public relations marketing to improve public awareness of the company, guide and cultivate positive word-of-mouth, and enhance user satisfaction and loyalty.</w:t>
      </w:r>
    </w:p>
    <w:p>
      <w:pPr>
        <w:spacing w:before="156" w:beforeLines="50" w:after="468" w:afterLines="150" w:line="360" w:lineRule="auto"/>
        <w:jc w:val="both"/>
        <w:rPr>
          <w:rFonts w:ascii="Times New Roman" w:hAnsi="Times New Roman" w:cs="Times New Roman"/>
          <w:sz w:val="24"/>
          <w:szCs w:val="24"/>
        </w:rPr>
      </w:pPr>
      <w:r>
        <w:rPr>
          <w:rFonts w:ascii="Times New Roman" w:hAnsi="Times New Roman" w:cs="Times New Roman"/>
          <w:sz w:val="24"/>
          <w:szCs w:val="24"/>
        </w:rPr>
        <w:t xml:space="preserve">Both recommendations can be achieved through integrating technological advancements such as AI mentioned in the PEST analysis. Certain financial investments are expected but shall be within the capacity of Tesla given its financial strengths. Based on the above recommendations, it is suggested the budget from the marketing and other related administrative functions to raise from 5% in 2022 to 10% to deploy the suggested marketing endeavors. </w:t>
      </w:r>
    </w:p>
    <w:p>
      <w:pPr>
        <w:spacing w:before="156" w:beforeLines="50" w:after="468" w:afterLines="150" w:line="360" w:lineRule="auto"/>
        <w:jc w:val="both"/>
        <w:rPr>
          <w:rFonts w:ascii="Times New Roman" w:hAnsi="Times New Roman" w:cs="Times New Roman"/>
          <w:sz w:val="24"/>
          <w:szCs w:val="24"/>
        </w:rPr>
      </w:pPr>
    </w:p>
    <w:p>
      <w:pPr>
        <w:spacing w:before="156" w:beforeLines="50" w:after="468" w:afterLines="150" w:line="360" w:lineRule="auto"/>
        <w:jc w:val="both"/>
        <w:rPr>
          <w:rFonts w:ascii="Times New Roman" w:hAnsi="Times New Roman" w:cs="Times New Roman"/>
          <w:sz w:val="24"/>
          <w:szCs w:val="24"/>
        </w:rPr>
      </w:pPr>
    </w:p>
    <w:p>
      <w:pPr>
        <w:spacing w:before="156" w:beforeLines="50" w:after="468" w:afterLines="150" w:line="360" w:lineRule="auto"/>
        <w:jc w:val="both"/>
        <w:rPr>
          <w:rFonts w:ascii="Times New Roman" w:hAnsi="Times New Roman" w:cs="Times New Roman"/>
          <w:sz w:val="24"/>
          <w:szCs w:val="24"/>
        </w:rPr>
      </w:pPr>
    </w:p>
    <w:p>
      <w:pPr>
        <w:spacing w:before="156" w:beforeLines="50" w:after="468" w:afterLines="150" w:line="360" w:lineRule="auto"/>
        <w:rPr>
          <w:rFonts w:ascii="Times New Roman" w:hAnsi="Times New Roman" w:cs="Times New Roman"/>
          <w:sz w:val="24"/>
          <w:szCs w:val="24"/>
        </w:rPr>
      </w:pPr>
      <w:r>
        <w:rPr>
          <w:rFonts w:ascii="Times New Roman" w:hAnsi="Times New Roman" w:cs="Times New Roman"/>
          <w:sz w:val="24"/>
          <w:szCs w:val="24"/>
        </w:rPr>
        <w:br w:type="page"/>
      </w:r>
    </w:p>
    <w:p>
      <w:pPr>
        <w:pStyle w:val="2"/>
        <w:spacing w:before="156" w:beforeLines="50" w:after="468" w:afterLines="150" w:line="360" w:lineRule="auto"/>
        <w:rPr>
          <w:rFonts w:ascii="Times New Roman" w:hAnsi="Times New Roman" w:cs="Times New Roman"/>
        </w:rPr>
      </w:pPr>
      <w:bookmarkStart w:id="12" w:name="_Toc29033"/>
      <w:r>
        <w:rPr>
          <w:rFonts w:ascii="Times New Roman" w:hAnsi="Times New Roman" w:cs="Times New Roman"/>
        </w:rPr>
        <w:t>Reference List</w:t>
      </w:r>
      <w:bookmarkEnd w:id="12"/>
      <w:r>
        <w:rPr>
          <w:rFonts w:ascii="Times New Roman" w:hAnsi="Times New Roman" w:cs="Times New Roman"/>
        </w:rPr>
        <w:t xml:space="preserve"> </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rPr>
        <w:fldChar w:fldCharType="begin"/>
      </w:r>
      <w:r>
        <w:rPr>
          <w:rFonts w:ascii="Times New Roman" w:hAnsi="Times New Roman" w:cs="Times New Roman"/>
        </w:rPr>
        <w:instrText xml:space="preserve"> ADDIN ZOTERO_BIBL {"uncited":[],"omitted":[],"custom":[]} CSL_BIBLIOGRAPHY </w:instrText>
      </w:r>
      <w:r>
        <w:rPr>
          <w:rFonts w:ascii="Times New Roman" w:hAnsi="Times New Roman" w:cs="Times New Roman"/>
        </w:rPr>
        <w:fldChar w:fldCharType="separate"/>
      </w:r>
      <w:r>
        <w:rPr>
          <w:rFonts w:ascii="Times New Roman" w:hAnsi="Times New Roman" w:cs="Times New Roman"/>
          <w:sz w:val="24"/>
        </w:rPr>
        <w:t xml:space="preserve">American Marketing Association. (2020). Definitions of Marketing. </w:t>
      </w:r>
      <w:r>
        <w:rPr>
          <w:rFonts w:ascii="Times New Roman" w:hAnsi="Times New Roman" w:cs="Times New Roman"/>
          <w:i/>
          <w:iCs/>
          <w:sz w:val="24"/>
        </w:rPr>
        <w:t>American Marketing Association</w:t>
      </w:r>
      <w:r>
        <w:rPr>
          <w:rFonts w:ascii="Times New Roman" w:hAnsi="Times New Roman" w:cs="Times New Roman"/>
          <w:sz w:val="24"/>
        </w:rPr>
        <w:t>. https://www.ama.org/the-definition-of-marketing-what-is-marketing/</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Andersen, M., Dauner, T., Lang, N., &amp; Palme, T. (2017). </w:t>
      </w:r>
      <w:r>
        <w:rPr>
          <w:rFonts w:ascii="Times New Roman" w:hAnsi="Times New Roman" w:cs="Times New Roman"/>
          <w:i/>
          <w:iCs/>
          <w:sz w:val="24"/>
        </w:rPr>
        <w:t>What Automakers Can Learn from the Tesla Phenomenon</w:t>
      </w:r>
      <w:r>
        <w:rPr>
          <w:rFonts w:ascii="Times New Roman" w:hAnsi="Times New Roman" w:cs="Times New Roman"/>
          <w:sz w:val="24"/>
        </w:rPr>
        <w:t>. Boston Consulting Group. http://boston-consulting-group-brightspot.s3.amazonaws.com/img-src/BCG-What-Automakers-Can-Learn-from-Tesla-May-2016_tcm9-61989.pdf</w:t>
      </w:r>
    </w:p>
    <w:p>
      <w:pPr>
        <w:pStyle w:val="61"/>
        <w:spacing w:before="156" w:beforeLines="50" w:after="468" w:afterLines="150" w:line="360" w:lineRule="auto"/>
        <w:ind w:left="0" w:firstLine="0"/>
        <w:rPr>
          <w:rFonts w:ascii="Times New Roman" w:hAnsi="Times New Roman" w:cs="Times New Roman"/>
          <w:sz w:val="24"/>
          <w:lang w:val="fr-FR"/>
        </w:rPr>
      </w:pPr>
      <w:r>
        <w:rPr>
          <w:rFonts w:ascii="Times New Roman" w:hAnsi="Times New Roman" w:cs="Times New Roman"/>
          <w:sz w:val="24"/>
        </w:rPr>
        <w:t xml:space="preserve">Bryła, P., Chatterjee, S., &amp; Ciabiada-Bryła, B. (2023). Consumer Adoption of Electric Vehicles: A Systematic Literature Review. </w:t>
      </w:r>
      <w:r>
        <w:rPr>
          <w:rFonts w:ascii="Times New Roman" w:hAnsi="Times New Roman" w:cs="Times New Roman"/>
          <w:i/>
          <w:iCs/>
          <w:sz w:val="24"/>
          <w:lang w:val="fr-FR"/>
        </w:rPr>
        <w:t>Energies</w:t>
      </w:r>
      <w:r>
        <w:rPr>
          <w:rFonts w:ascii="Times New Roman" w:hAnsi="Times New Roman" w:cs="Times New Roman"/>
          <w:sz w:val="24"/>
          <w:lang w:val="fr-FR"/>
        </w:rPr>
        <w:t xml:space="preserve">, </w:t>
      </w:r>
      <w:r>
        <w:rPr>
          <w:rFonts w:ascii="Times New Roman" w:hAnsi="Times New Roman" w:cs="Times New Roman"/>
          <w:i/>
          <w:iCs/>
          <w:sz w:val="24"/>
          <w:lang w:val="fr-FR"/>
        </w:rPr>
        <w:t>16</w:t>
      </w:r>
      <w:r>
        <w:rPr>
          <w:rFonts w:ascii="Times New Roman" w:hAnsi="Times New Roman" w:cs="Times New Roman"/>
          <w:sz w:val="24"/>
          <w:lang w:val="fr-FR"/>
        </w:rPr>
        <w:t>(1), Article 1. https://doi.org/10.3390/en16010205</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lang w:val="fr-FR"/>
        </w:rPr>
        <w:t xml:space="preserve">Chandra, S., Verma, S., Lim, W. M., Kumar, S., &amp; Donthu, N. (2022). </w:t>
      </w:r>
      <w:r>
        <w:rPr>
          <w:rFonts w:ascii="Times New Roman" w:hAnsi="Times New Roman" w:cs="Times New Roman"/>
          <w:sz w:val="24"/>
        </w:rPr>
        <w:t xml:space="preserve">Personalization in personalized marketing: Trends and ways forward. </w:t>
      </w:r>
      <w:r>
        <w:rPr>
          <w:rFonts w:ascii="Times New Roman" w:hAnsi="Times New Roman" w:cs="Times New Roman"/>
          <w:i/>
          <w:iCs/>
          <w:sz w:val="24"/>
        </w:rPr>
        <w:t>Psychology &amp; Marketing</w:t>
      </w:r>
      <w:r>
        <w:rPr>
          <w:rFonts w:ascii="Times New Roman" w:hAnsi="Times New Roman" w:cs="Times New Roman"/>
          <w:sz w:val="24"/>
        </w:rPr>
        <w:t xml:space="preserve">, </w:t>
      </w:r>
      <w:r>
        <w:rPr>
          <w:rFonts w:ascii="Times New Roman" w:hAnsi="Times New Roman" w:cs="Times New Roman"/>
          <w:i/>
          <w:iCs/>
          <w:sz w:val="24"/>
        </w:rPr>
        <w:t>39</w:t>
      </w:r>
      <w:r>
        <w:rPr>
          <w:rFonts w:ascii="Times New Roman" w:hAnsi="Times New Roman" w:cs="Times New Roman"/>
          <w:sz w:val="24"/>
        </w:rPr>
        <w:t>(8), 1529–1562.</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Chen, K., Ren, C., Gu, R., &amp; Zhang, P. (2019). Exploring purchase intentions of new energy vehicles: From the perspective of frugality and the concept of “mianzi”. </w:t>
      </w:r>
      <w:r>
        <w:rPr>
          <w:rFonts w:ascii="Times New Roman" w:hAnsi="Times New Roman" w:cs="Times New Roman"/>
          <w:i/>
          <w:iCs/>
          <w:sz w:val="24"/>
        </w:rPr>
        <w:t>Journal of Cleaner Production</w:t>
      </w:r>
      <w:r>
        <w:rPr>
          <w:rFonts w:ascii="Times New Roman" w:hAnsi="Times New Roman" w:cs="Times New Roman"/>
          <w:sz w:val="24"/>
        </w:rPr>
        <w:t xml:space="preserve">, </w:t>
      </w:r>
      <w:r>
        <w:rPr>
          <w:rFonts w:ascii="Times New Roman" w:hAnsi="Times New Roman" w:cs="Times New Roman"/>
          <w:i/>
          <w:iCs/>
          <w:sz w:val="24"/>
        </w:rPr>
        <w:t>230</w:t>
      </w:r>
      <w:r>
        <w:rPr>
          <w:rFonts w:ascii="Times New Roman" w:hAnsi="Times New Roman" w:cs="Times New Roman"/>
          <w:sz w:val="24"/>
        </w:rPr>
        <w:t>, 700–708.</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Du, X., &amp; Li, B. (2021). </w:t>
      </w:r>
      <w:r>
        <w:rPr>
          <w:rFonts w:ascii="Times New Roman" w:hAnsi="Times New Roman" w:cs="Times New Roman"/>
          <w:i/>
          <w:iCs/>
          <w:sz w:val="24"/>
        </w:rPr>
        <w:t>Analysis of Tesla’s Marketing Strategy in China</w:t>
      </w:r>
      <w:r>
        <w:rPr>
          <w:rFonts w:ascii="Times New Roman" w:hAnsi="Times New Roman" w:cs="Times New Roman"/>
          <w:sz w:val="24"/>
        </w:rPr>
        <w:t>. 1679–1687.</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Financial Times. (2024). </w:t>
      </w:r>
      <w:r>
        <w:rPr>
          <w:rFonts w:ascii="Times New Roman" w:hAnsi="Times New Roman" w:cs="Times New Roman"/>
          <w:i/>
          <w:iCs/>
          <w:sz w:val="24"/>
        </w:rPr>
        <w:t>Tesla overtaken by China’s BYD as world’s biggest EV maker</w:t>
      </w:r>
      <w:r>
        <w:rPr>
          <w:rFonts w:ascii="Times New Roman" w:hAnsi="Times New Roman" w:cs="Times New Roman"/>
          <w:sz w:val="24"/>
        </w:rPr>
        <w:t>. https://www.ft.com/content/716c9b0b-d8cd-491a-a91b-d70c1e540797</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Hertzke, P., Müller, N., &amp; Schenk, S. (2017). </w:t>
      </w:r>
      <w:r>
        <w:rPr>
          <w:rFonts w:ascii="Times New Roman" w:hAnsi="Times New Roman" w:cs="Times New Roman"/>
          <w:i/>
          <w:iCs/>
          <w:sz w:val="24"/>
        </w:rPr>
        <w:t>Dynamics in the global electric-vehicle market</w:t>
      </w:r>
      <w:r>
        <w:rPr>
          <w:rFonts w:ascii="Times New Roman" w:hAnsi="Times New Roman" w:cs="Times New Roman"/>
          <w:sz w:val="24"/>
        </w:rPr>
        <w:t>. https://www.mckinsey.de/~/media/McKinsey/Industries/Automotive%20and%20Assembly/Our%20Insights/Dynamics%20in%20the%20global%20electric%20vehicle%20market/Dynamics-in-the-global-electric-vehicle-market.pdf</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Ho, J. K.-K. (2014). Formulation of a systemic PEST analysis for strategic analysis. </w:t>
      </w:r>
      <w:r>
        <w:rPr>
          <w:rFonts w:ascii="Times New Roman" w:hAnsi="Times New Roman" w:cs="Times New Roman"/>
          <w:i/>
          <w:iCs/>
          <w:sz w:val="24"/>
        </w:rPr>
        <w:t>European Academic Research</w:t>
      </w:r>
      <w:r>
        <w:rPr>
          <w:rFonts w:ascii="Times New Roman" w:hAnsi="Times New Roman" w:cs="Times New Roman"/>
          <w:sz w:val="24"/>
        </w:rPr>
        <w:t xml:space="preserve">, </w:t>
      </w:r>
      <w:r>
        <w:rPr>
          <w:rFonts w:ascii="Times New Roman" w:hAnsi="Times New Roman" w:cs="Times New Roman"/>
          <w:i/>
          <w:iCs/>
          <w:sz w:val="24"/>
        </w:rPr>
        <w:t>2</w:t>
      </w:r>
      <w:r>
        <w:rPr>
          <w:rFonts w:ascii="Times New Roman" w:hAnsi="Times New Roman" w:cs="Times New Roman"/>
          <w:sz w:val="24"/>
        </w:rPr>
        <w:t>(5), 6478–6492.</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Homburg, C., Kuester, S., &amp; Krohmer, H. (2009). </w:t>
      </w:r>
      <w:r>
        <w:rPr>
          <w:rFonts w:ascii="Times New Roman" w:hAnsi="Times New Roman" w:cs="Times New Roman"/>
          <w:i/>
          <w:iCs/>
          <w:sz w:val="24"/>
        </w:rPr>
        <w:t>Marketing management</w:t>
      </w:r>
      <w:r>
        <w:rPr>
          <w:rFonts w:ascii="Times New Roman" w:hAnsi="Times New Roman" w:cs="Times New Roman"/>
          <w:sz w:val="24"/>
        </w:rPr>
        <w:t>. Springer.</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International Energy Agency. (2023). </w:t>
      </w:r>
      <w:r>
        <w:rPr>
          <w:rFonts w:ascii="Times New Roman" w:hAnsi="Times New Roman" w:cs="Times New Roman"/>
          <w:i/>
          <w:iCs/>
          <w:sz w:val="24"/>
        </w:rPr>
        <w:t>Stated Policies Scenario (STEPS) – Global Energy and Climate Model – Analysis</w:t>
      </w:r>
      <w:r>
        <w:rPr>
          <w:rFonts w:ascii="Times New Roman" w:hAnsi="Times New Roman" w:cs="Times New Roman"/>
          <w:sz w:val="24"/>
        </w:rPr>
        <w:t>. IEA. https://www.iea.org/reports/global-energy-and-climate-model/stated-policies-scenario-steps</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International Monetary Fund. (2023). </w:t>
      </w:r>
      <w:r>
        <w:rPr>
          <w:rFonts w:ascii="Times New Roman" w:hAnsi="Times New Roman" w:cs="Times New Roman"/>
          <w:i/>
          <w:iCs/>
          <w:sz w:val="24"/>
        </w:rPr>
        <w:t>World Economic Outlook, October 2023: Navigating Global Divergences</w:t>
      </w:r>
      <w:r>
        <w:rPr>
          <w:rFonts w:ascii="Times New Roman" w:hAnsi="Times New Roman" w:cs="Times New Roman"/>
          <w:sz w:val="24"/>
        </w:rPr>
        <w:t>. https://www.imf.org/en/Publications/WEO/Issues/2023/10/10/world-economic-outlook-october-2023</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Lin, C. (2024, January 3). 3 Drivers of China’s Booming Electric Vehicle Market. </w:t>
      </w:r>
      <w:r>
        <w:rPr>
          <w:rFonts w:ascii="Times New Roman" w:hAnsi="Times New Roman" w:cs="Times New Roman"/>
          <w:i/>
          <w:iCs/>
          <w:sz w:val="24"/>
        </w:rPr>
        <w:t>Harvard Business Review</w:t>
      </w:r>
      <w:r>
        <w:rPr>
          <w:rFonts w:ascii="Times New Roman" w:hAnsi="Times New Roman" w:cs="Times New Roman"/>
          <w:sz w:val="24"/>
        </w:rPr>
        <w:t>. https://hbr.org/2024/01/3-drivers-of-chinas-booming-electric-vehicle-market</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lang w:val="fr-FR"/>
        </w:rPr>
        <w:t xml:space="preserve">Lou, Y., Wang, W., &amp; Yang, X. (2017). </w:t>
      </w:r>
      <w:r>
        <w:rPr>
          <w:rFonts w:ascii="Times New Roman" w:hAnsi="Times New Roman" w:cs="Times New Roman"/>
          <w:sz w:val="24"/>
        </w:rPr>
        <w:t xml:space="preserve">Customers’ attitude on new energy vehicles’ policies and policy impact on customers’ purchase intention. </w:t>
      </w:r>
      <w:r>
        <w:rPr>
          <w:rFonts w:ascii="Times New Roman" w:hAnsi="Times New Roman" w:cs="Times New Roman"/>
          <w:i/>
          <w:iCs/>
          <w:sz w:val="24"/>
        </w:rPr>
        <w:t>Energy Procedia</w:t>
      </w:r>
      <w:r>
        <w:rPr>
          <w:rFonts w:ascii="Times New Roman" w:hAnsi="Times New Roman" w:cs="Times New Roman"/>
          <w:sz w:val="24"/>
        </w:rPr>
        <w:t xml:space="preserve">, </w:t>
      </w:r>
      <w:r>
        <w:rPr>
          <w:rFonts w:ascii="Times New Roman" w:hAnsi="Times New Roman" w:cs="Times New Roman"/>
          <w:i/>
          <w:iCs/>
          <w:sz w:val="24"/>
        </w:rPr>
        <w:t>105</w:t>
      </w:r>
      <w:r>
        <w:rPr>
          <w:rFonts w:ascii="Times New Roman" w:hAnsi="Times New Roman" w:cs="Times New Roman"/>
          <w:sz w:val="24"/>
        </w:rPr>
        <w:t>, 2187–2193.</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Ma, M., Meng, W., Li, Y., &amp; Huang, B. (2023). Impact of dual credit policy on new energy vehicles technology innovation with information asymmetry. </w:t>
      </w:r>
      <w:r>
        <w:rPr>
          <w:rFonts w:ascii="Times New Roman" w:hAnsi="Times New Roman" w:cs="Times New Roman"/>
          <w:i/>
          <w:iCs/>
          <w:sz w:val="24"/>
        </w:rPr>
        <w:t>Applied Energy</w:t>
      </w:r>
      <w:r>
        <w:rPr>
          <w:rFonts w:ascii="Times New Roman" w:hAnsi="Times New Roman" w:cs="Times New Roman"/>
          <w:sz w:val="24"/>
        </w:rPr>
        <w:t xml:space="preserve">, </w:t>
      </w:r>
      <w:r>
        <w:rPr>
          <w:rFonts w:ascii="Times New Roman" w:hAnsi="Times New Roman" w:cs="Times New Roman"/>
          <w:i/>
          <w:iCs/>
          <w:sz w:val="24"/>
        </w:rPr>
        <w:t>332</w:t>
      </w:r>
      <w:r>
        <w:rPr>
          <w:rFonts w:ascii="Times New Roman" w:hAnsi="Times New Roman" w:cs="Times New Roman"/>
          <w:sz w:val="24"/>
        </w:rPr>
        <w:t>, 120524.</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Nair, K., &amp; Gupta, R. (2021). Application of AI technology in modern digital marketing environment. </w:t>
      </w:r>
      <w:r>
        <w:rPr>
          <w:rFonts w:ascii="Times New Roman" w:hAnsi="Times New Roman" w:cs="Times New Roman"/>
          <w:i/>
          <w:iCs/>
          <w:sz w:val="24"/>
        </w:rPr>
        <w:t>World Journal of Entrepreneurship, Management and Sustainable Development</w:t>
      </w:r>
      <w:r>
        <w:rPr>
          <w:rFonts w:ascii="Times New Roman" w:hAnsi="Times New Roman" w:cs="Times New Roman"/>
          <w:sz w:val="24"/>
        </w:rPr>
        <w:t xml:space="preserve">, </w:t>
      </w:r>
      <w:r>
        <w:rPr>
          <w:rFonts w:ascii="Times New Roman" w:hAnsi="Times New Roman" w:cs="Times New Roman"/>
          <w:i/>
          <w:iCs/>
          <w:sz w:val="24"/>
        </w:rPr>
        <w:t>17</w:t>
      </w:r>
      <w:r>
        <w:rPr>
          <w:rFonts w:ascii="Times New Roman" w:hAnsi="Times New Roman" w:cs="Times New Roman"/>
          <w:sz w:val="24"/>
        </w:rPr>
        <w:t>(3), 318–328.</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Perkins, G., &amp; Murmann, J. P. (2018). What Does the Success of Tesla Mean for the Future Dynamics in the Global Automobile Sector? </w:t>
      </w:r>
      <w:r>
        <w:rPr>
          <w:rFonts w:ascii="Times New Roman" w:hAnsi="Times New Roman" w:cs="Times New Roman"/>
          <w:i/>
          <w:iCs/>
          <w:sz w:val="24"/>
        </w:rPr>
        <w:t>Management and Organization Review</w:t>
      </w:r>
      <w:r>
        <w:rPr>
          <w:rFonts w:ascii="Times New Roman" w:hAnsi="Times New Roman" w:cs="Times New Roman"/>
          <w:sz w:val="24"/>
        </w:rPr>
        <w:t xml:space="preserve">, </w:t>
      </w:r>
      <w:r>
        <w:rPr>
          <w:rFonts w:ascii="Times New Roman" w:hAnsi="Times New Roman" w:cs="Times New Roman"/>
          <w:i/>
          <w:iCs/>
          <w:sz w:val="24"/>
        </w:rPr>
        <w:t>14</w:t>
      </w:r>
      <w:r>
        <w:rPr>
          <w:rFonts w:ascii="Times New Roman" w:hAnsi="Times New Roman" w:cs="Times New Roman"/>
          <w:sz w:val="24"/>
        </w:rPr>
        <w:t>(3), 471–480. https://doi.org/10.1017/mor.2018.31</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Pilkington, A., &amp; Dyerson, R. (2006). Innovation in disruptive regulatory environments: A patent study of electric vehicle technology development. </w:t>
      </w:r>
      <w:r>
        <w:rPr>
          <w:rFonts w:ascii="Times New Roman" w:hAnsi="Times New Roman" w:cs="Times New Roman"/>
          <w:i/>
          <w:iCs/>
          <w:sz w:val="24"/>
        </w:rPr>
        <w:t>European Journal of Innovation Management</w:t>
      </w:r>
      <w:r>
        <w:rPr>
          <w:rFonts w:ascii="Times New Roman" w:hAnsi="Times New Roman" w:cs="Times New Roman"/>
          <w:sz w:val="24"/>
        </w:rPr>
        <w:t xml:space="preserve">, </w:t>
      </w:r>
      <w:r>
        <w:rPr>
          <w:rFonts w:ascii="Times New Roman" w:hAnsi="Times New Roman" w:cs="Times New Roman"/>
          <w:i/>
          <w:iCs/>
          <w:sz w:val="24"/>
        </w:rPr>
        <w:t>9</w:t>
      </w:r>
      <w:r>
        <w:rPr>
          <w:rFonts w:ascii="Times New Roman" w:hAnsi="Times New Roman" w:cs="Times New Roman"/>
          <w:sz w:val="24"/>
        </w:rPr>
        <w:t>(1), 79–91.</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Quesenberry, K. A. (2020). </w:t>
      </w:r>
      <w:r>
        <w:rPr>
          <w:rFonts w:ascii="Times New Roman" w:hAnsi="Times New Roman" w:cs="Times New Roman"/>
          <w:i/>
          <w:iCs/>
          <w:sz w:val="24"/>
        </w:rPr>
        <w:t>Social media strategy: Marketing, advertising, and public relations in the consumer revolution</w:t>
      </w:r>
      <w:r>
        <w:rPr>
          <w:rFonts w:ascii="Times New Roman" w:hAnsi="Times New Roman" w:cs="Times New Roman"/>
          <w:sz w:val="24"/>
        </w:rPr>
        <w:t>. Rowman &amp; Littlefield Publishers.</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Rezvani, Z., Jansson, J., &amp; Bodin, J. (2015). Advances in consumer electric vehicle adoption research: A review and research agenda. </w:t>
      </w:r>
      <w:r>
        <w:rPr>
          <w:rFonts w:ascii="Times New Roman" w:hAnsi="Times New Roman" w:cs="Times New Roman"/>
          <w:i/>
          <w:iCs/>
          <w:sz w:val="24"/>
        </w:rPr>
        <w:t>Transportation Research Part D: Transport and Environment</w:t>
      </w:r>
      <w:r>
        <w:rPr>
          <w:rFonts w:ascii="Times New Roman" w:hAnsi="Times New Roman" w:cs="Times New Roman"/>
          <w:sz w:val="24"/>
        </w:rPr>
        <w:t xml:space="preserve">, </w:t>
      </w:r>
      <w:r>
        <w:rPr>
          <w:rFonts w:ascii="Times New Roman" w:hAnsi="Times New Roman" w:cs="Times New Roman"/>
          <w:i/>
          <w:iCs/>
          <w:sz w:val="24"/>
        </w:rPr>
        <w:t>34</w:t>
      </w:r>
      <w:r>
        <w:rPr>
          <w:rFonts w:ascii="Times New Roman" w:hAnsi="Times New Roman" w:cs="Times New Roman"/>
          <w:sz w:val="24"/>
        </w:rPr>
        <w:t>, 122–136. https://doi.org/10.1016/j.trd.2014.10.010</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Rimmer, M. (2018). </w:t>
      </w:r>
      <w:r>
        <w:rPr>
          <w:rFonts w:ascii="Times New Roman" w:hAnsi="Times New Roman" w:cs="Times New Roman"/>
          <w:i/>
          <w:iCs/>
          <w:sz w:val="24"/>
        </w:rPr>
        <w:t>Elon musk’s open innovation: Tesla, intellectual property, and climate change</w:t>
      </w:r>
      <w:r>
        <w:rPr>
          <w:rFonts w:ascii="Times New Roman" w:hAnsi="Times New Roman" w:cs="Times New Roman"/>
          <w:sz w:val="24"/>
        </w:rPr>
        <w:t>. Springer.</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Roland Berger. (2022). </w:t>
      </w:r>
      <w:r>
        <w:rPr>
          <w:rFonts w:ascii="Times New Roman" w:hAnsi="Times New Roman" w:cs="Times New Roman"/>
          <w:i/>
          <w:iCs/>
          <w:sz w:val="24"/>
        </w:rPr>
        <w:t>New energy vehicles consumer insights</w:t>
      </w:r>
      <w:r>
        <w:rPr>
          <w:rFonts w:ascii="Times New Roman" w:hAnsi="Times New Roman" w:cs="Times New Roman"/>
          <w:sz w:val="24"/>
        </w:rPr>
        <w:t>. https://www.rolandberger.com/publications/publication_pdf/EV-Consumer-Report.pdf</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lang w:val="fr-FR"/>
        </w:rPr>
        <w:t xml:space="preserve">Su, C.-W., Yuan, X., Tao, R., &amp; Umar, M. (2021). </w:t>
      </w:r>
      <w:r>
        <w:rPr>
          <w:rFonts w:ascii="Times New Roman" w:hAnsi="Times New Roman" w:cs="Times New Roman"/>
          <w:sz w:val="24"/>
        </w:rPr>
        <w:t xml:space="preserve">Can new energy vehicles help to achieve carbon neutrality targets? </w:t>
      </w:r>
      <w:r>
        <w:rPr>
          <w:rFonts w:ascii="Times New Roman" w:hAnsi="Times New Roman" w:cs="Times New Roman"/>
          <w:i/>
          <w:iCs/>
          <w:sz w:val="24"/>
        </w:rPr>
        <w:t>Journal of Environmental Management</w:t>
      </w:r>
      <w:r>
        <w:rPr>
          <w:rFonts w:ascii="Times New Roman" w:hAnsi="Times New Roman" w:cs="Times New Roman"/>
          <w:sz w:val="24"/>
        </w:rPr>
        <w:t xml:space="preserve">, </w:t>
      </w:r>
      <w:r>
        <w:rPr>
          <w:rFonts w:ascii="Times New Roman" w:hAnsi="Times New Roman" w:cs="Times New Roman"/>
          <w:i/>
          <w:iCs/>
          <w:sz w:val="24"/>
        </w:rPr>
        <w:t>297</w:t>
      </w:r>
      <w:r>
        <w:rPr>
          <w:rFonts w:ascii="Times New Roman" w:hAnsi="Times New Roman" w:cs="Times New Roman"/>
          <w:sz w:val="24"/>
        </w:rPr>
        <w:t>, 113348.</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Tellis, G. J. (2003). </w:t>
      </w:r>
      <w:r>
        <w:rPr>
          <w:rFonts w:ascii="Times New Roman" w:hAnsi="Times New Roman" w:cs="Times New Roman"/>
          <w:i/>
          <w:iCs/>
          <w:sz w:val="24"/>
        </w:rPr>
        <w:t>Effective advertising: Understanding when, how, and why advertising works</w:t>
      </w:r>
      <w:r>
        <w:rPr>
          <w:rFonts w:ascii="Times New Roman" w:hAnsi="Times New Roman" w:cs="Times New Roman"/>
          <w:sz w:val="24"/>
        </w:rPr>
        <w:t>. Sage Publications.</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Tesla. (2023). </w:t>
      </w:r>
      <w:r>
        <w:rPr>
          <w:rFonts w:ascii="Times New Roman" w:hAnsi="Times New Roman" w:cs="Times New Roman"/>
          <w:i/>
          <w:iCs/>
          <w:sz w:val="24"/>
        </w:rPr>
        <w:t>Tesla annual report 2022</w:t>
      </w:r>
      <w:r>
        <w:rPr>
          <w:rFonts w:ascii="Times New Roman" w:hAnsi="Times New Roman" w:cs="Times New Roman"/>
          <w:sz w:val="24"/>
        </w:rPr>
        <w:t>. https://ir.tesla.com/</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The Economist. (2023). </w:t>
      </w:r>
      <w:r>
        <w:rPr>
          <w:rFonts w:ascii="Times New Roman" w:hAnsi="Times New Roman" w:cs="Times New Roman"/>
          <w:i/>
          <w:iCs/>
          <w:sz w:val="24"/>
        </w:rPr>
        <w:t>The World Ahead 2024 from The Economist</w:t>
      </w:r>
      <w:r>
        <w:rPr>
          <w:rFonts w:ascii="Times New Roman" w:hAnsi="Times New Roman" w:cs="Times New Roman"/>
          <w:sz w:val="24"/>
        </w:rPr>
        <w:t>. https://www.economist.com/the-world-ahead-2024?utm_medium=cpc.adword.pd&amp;utm_source=google&amp;utm_campaign=a.24worldahead&amp;utm_content=conversion.content.anonymous&amp;utm_medium=cpc.adword.pd&amp;utm_source=google&amp;ppccampaignID=13742798847&amp;ppcadID=142717226389&amp;ppcgclID=Cj0KCQiAtOmsBhCnARIsAGPa5yb7VtQOHLPJ4ZFnpykebDXviMubtG2gb34OAso5C1t3WjGxkY5YyioaAhKEEALw_wcB&amp;gad_source=1&amp;gclid=Cj0KCQiAtOmsBhCnARIsAGPa5yb7VtQOHLPJ4ZFnpykebDXviMubtG2gb34OAso5C1t3WjGxkY5YyioaAhKEEALw_wcB&amp;gclsrc=aw.ds</w:t>
      </w:r>
    </w:p>
    <w:p>
      <w:pPr>
        <w:pStyle w:val="61"/>
        <w:spacing w:before="156" w:beforeLines="50" w:after="468" w:afterLines="150" w:line="360" w:lineRule="auto"/>
        <w:ind w:left="0" w:firstLine="0"/>
        <w:rPr>
          <w:rFonts w:ascii="Times New Roman" w:hAnsi="Times New Roman" w:cs="Times New Roman"/>
          <w:sz w:val="24"/>
          <w:lang w:val="fr-FR"/>
        </w:rPr>
      </w:pPr>
      <w:r>
        <w:rPr>
          <w:rFonts w:ascii="Times New Roman" w:hAnsi="Times New Roman" w:cs="Times New Roman"/>
          <w:sz w:val="24"/>
        </w:rPr>
        <w:t xml:space="preserve">Tuten, T. L. (2023). </w:t>
      </w:r>
      <w:r>
        <w:rPr>
          <w:rFonts w:ascii="Times New Roman" w:hAnsi="Times New Roman" w:cs="Times New Roman"/>
          <w:i/>
          <w:iCs/>
          <w:sz w:val="24"/>
        </w:rPr>
        <w:t>Social Media Marketing</w:t>
      </w:r>
      <w:r>
        <w:rPr>
          <w:rFonts w:ascii="Times New Roman" w:hAnsi="Times New Roman" w:cs="Times New Roman"/>
          <w:sz w:val="24"/>
        </w:rPr>
        <w:t xml:space="preserve">. </w:t>
      </w:r>
      <w:r>
        <w:rPr>
          <w:rFonts w:ascii="Times New Roman" w:hAnsi="Times New Roman" w:cs="Times New Roman"/>
          <w:sz w:val="24"/>
          <w:lang w:val="fr-FR"/>
        </w:rPr>
        <w:t>SAGE Publications. https://books.google.se/books?id=zITCEAAAQBAJ</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Wilson, R. M. (2010). </w:t>
      </w:r>
      <w:r>
        <w:rPr>
          <w:rFonts w:ascii="Times New Roman" w:hAnsi="Times New Roman" w:cs="Times New Roman"/>
          <w:i/>
          <w:iCs/>
          <w:sz w:val="24"/>
        </w:rPr>
        <w:t>Strategic marketing planning</w:t>
      </w:r>
      <w:r>
        <w:rPr>
          <w:rFonts w:ascii="Times New Roman" w:hAnsi="Times New Roman" w:cs="Times New Roman"/>
          <w:sz w:val="24"/>
        </w:rPr>
        <w:t>. Routledge.</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Wu, Z., He, Q., Li, J., Bi, G., &amp; Antwi-Afari, M. F. (2023). Public attitudes and sentiments towards new energy vehicles in China: A text mining approach. </w:t>
      </w:r>
      <w:r>
        <w:rPr>
          <w:rFonts w:ascii="Times New Roman" w:hAnsi="Times New Roman" w:cs="Times New Roman"/>
          <w:i/>
          <w:iCs/>
          <w:sz w:val="24"/>
        </w:rPr>
        <w:t>Renewable and Sustainable Energy Reviews</w:t>
      </w:r>
      <w:r>
        <w:rPr>
          <w:rFonts w:ascii="Times New Roman" w:hAnsi="Times New Roman" w:cs="Times New Roman"/>
          <w:sz w:val="24"/>
        </w:rPr>
        <w:t xml:space="preserve">, </w:t>
      </w:r>
      <w:r>
        <w:rPr>
          <w:rFonts w:ascii="Times New Roman" w:hAnsi="Times New Roman" w:cs="Times New Roman"/>
          <w:i/>
          <w:iCs/>
          <w:sz w:val="24"/>
        </w:rPr>
        <w:t>178</w:t>
      </w:r>
      <w:r>
        <w:rPr>
          <w:rFonts w:ascii="Times New Roman" w:hAnsi="Times New Roman" w:cs="Times New Roman"/>
          <w:sz w:val="24"/>
        </w:rPr>
        <w:t>, 113242.</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Yang, X., Li, H., Ni, L., &amp; Li, T. (2021). Application of artificial intelligence in precision marketing. </w:t>
      </w:r>
      <w:r>
        <w:rPr>
          <w:rFonts w:ascii="Times New Roman" w:hAnsi="Times New Roman" w:cs="Times New Roman"/>
          <w:i/>
          <w:iCs/>
          <w:sz w:val="24"/>
        </w:rPr>
        <w:t>Journal of Organizational and End User Computing (JOEUC)</w:t>
      </w:r>
      <w:r>
        <w:rPr>
          <w:rFonts w:ascii="Times New Roman" w:hAnsi="Times New Roman" w:cs="Times New Roman"/>
          <w:sz w:val="24"/>
        </w:rPr>
        <w:t xml:space="preserve">, </w:t>
      </w:r>
      <w:r>
        <w:rPr>
          <w:rFonts w:ascii="Times New Roman" w:hAnsi="Times New Roman" w:cs="Times New Roman"/>
          <w:i/>
          <w:iCs/>
          <w:sz w:val="24"/>
        </w:rPr>
        <w:t>33</w:t>
      </w:r>
      <w:r>
        <w:rPr>
          <w:rFonts w:ascii="Times New Roman" w:hAnsi="Times New Roman" w:cs="Times New Roman"/>
          <w:sz w:val="24"/>
        </w:rPr>
        <w:t>(4), 209–219.</w:t>
      </w:r>
    </w:p>
    <w:p>
      <w:pPr>
        <w:pStyle w:val="61"/>
        <w:spacing w:before="156" w:beforeLines="50" w:after="468" w:afterLines="150" w:line="360" w:lineRule="auto"/>
        <w:ind w:left="0" w:firstLine="0"/>
        <w:rPr>
          <w:rFonts w:ascii="Times New Roman" w:hAnsi="Times New Roman" w:cs="Times New Roman"/>
          <w:sz w:val="24"/>
        </w:rPr>
      </w:pPr>
      <w:r>
        <w:rPr>
          <w:rFonts w:ascii="Times New Roman" w:hAnsi="Times New Roman" w:cs="Times New Roman"/>
          <w:sz w:val="24"/>
        </w:rPr>
        <w:t xml:space="preserve">Yang, Z., Li, Q., Charles, V., Xu, B., &amp; Gupta, S. (2023). Supporting personalized new energy vehicle purchase decision-making: Customer reviews and product recommendation platform. </w:t>
      </w:r>
      <w:r>
        <w:rPr>
          <w:rFonts w:ascii="Times New Roman" w:hAnsi="Times New Roman" w:cs="Times New Roman"/>
          <w:i/>
          <w:iCs/>
          <w:sz w:val="24"/>
        </w:rPr>
        <w:t>International Journal of Production Economics</w:t>
      </w:r>
      <w:r>
        <w:rPr>
          <w:rFonts w:ascii="Times New Roman" w:hAnsi="Times New Roman" w:cs="Times New Roman"/>
          <w:sz w:val="24"/>
        </w:rPr>
        <w:t xml:space="preserve">, </w:t>
      </w:r>
      <w:r>
        <w:rPr>
          <w:rFonts w:ascii="Times New Roman" w:hAnsi="Times New Roman" w:cs="Times New Roman"/>
          <w:i/>
          <w:iCs/>
          <w:sz w:val="24"/>
        </w:rPr>
        <w:t>265</w:t>
      </w:r>
      <w:r>
        <w:rPr>
          <w:rFonts w:ascii="Times New Roman" w:hAnsi="Times New Roman" w:cs="Times New Roman"/>
          <w:sz w:val="24"/>
        </w:rPr>
        <w:t>, 109003.</w:t>
      </w:r>
    </w:p>
    <w:p>
      <w:pPr>
        <w:spacing w:before="156" w:beforeLines="50" w:after="468" w:afterLines="150" w:line="360" w:lineRule="auto"/>
        <w:rPr>
          <w:rFonts w:hint="eastAsia" w:ascii="Times New Roman" w:hAnsi="Times New Roman" w:cs="Times New Roman"/>
          <w:sz w:val="24"/>
          <w:szCs w:val="24"/>
        </w:rPr>
      </w:pPr>
      <w:r>
        <w:rPr>
          <w:rFonts w:ascii="Times New Roman" w:hAnsi="Times New Roman" w:cs="Times New Roman"/>
          <w:sz w:val="24"/>
          <w:szCs w:val="24"/>
        </w:rPr>
        <w:fldChar w:fldCharType="end"/>
      </w:r>
    </w:p>
    <w:sectPr>
      <w:footerReference r:id="rId6"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37918656"/>
      <w:docPartObj>
        <w:docPartGallery w:val="autotext"/>
      </w:docPartObj>
    </w:sdtPr>
    <w:sdtContent>
      <w:p>
        <w:pPr>
          <w:pStyle w:val="13"/>
          <w:jc w:val="right"/>
        </w:pPr>
        <w:r>
          <w:fldChar w:fldCharType="begin"/>
        </w:r>
        <w:r>
          <w:instrText xml:space="preserve">PAGE   \* MERGEFORMAT</w:instrText>
        </w:r>
        <w:r>
          <w:fldChar w:fldCharType="separate"/>
        </w:r>
        <w:r>
          <w:rPr>
            <w:lang w:val="zh-CN"/>
          </w:rPr>
          <w:t>2</w:t>
        </w:r>
        <w:r>
          <w:fldChar w:fldCharType="end"/>
        </w:r>
      </w:p>
    </w:sdtContent>
  </w:sdt>
  <w:p>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64" w:lineRule="auto"/>
      </w:pPr>
      <w:r>
        <w:separator/>
      </w:r>
    </w:p>
  </w:footnote>
  <w:footnote w:type="continuationSeparator" w:id="3">
    <w:p>
      <w:pPr>
        <w:spacing w:before="0" w:after="0" w:line="264" w:lineRule="auto"/>
      </w:pPr>
      <w:r>
        <w:continuationSeparator/>
      </w:r>
    </w:p>
  </w:footnote>
  <w:footnote w:id="0">
    <w:p>
      <w:pPr>
        <w:pStyle w:val="17"/>
        <w:rPr>
          <w:rFonts w:hint="eastAsia"/>
        </w:rPr>
      </w:pPr>
      <w:r>
        <w:rPr>
          <w:rStyle w:val="26"/>
        </w:rPr>
        <w:footnoteRef/>
      </w:r>
      <w:r>
        <w:t xml:space="preserve"> </w:t>
      </w:r>
      <w:r>
        <w:fldChar w:fldCharType="begin"/>
      </w:r>
      <w:r>
        <w:instrText xml:space="preserve"> HYPERLINK "https://advantage.marketline.com/" </w:instrText>
      </w:r>
      <w:r>
        <w:fldChar w:fldCharType="separate"/>
      </w:r>
      <w:r>
        <w:rPr>
          <w:rStyle w:val="25"/>
        </w:rPr>
        <w:t>https://advantage.marketline.com/</w:t>
      </w:r>
      <w:r>
        <w:rPr>
          <w:rStyle w:val="25"/>
        </w:rPr>
        <w:fldChar w:fldCharType="end"/>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D75C52"/>
    <w:multiLevelType w:val="multilevel"/>
    <w:tmpl w:val="4AD75C52"/>
    <w:lvl w:ilvl="0" w:tentative="0">
      <w:start w:val="1"/>
      <w:numFmt w:val="decimal"/>
      <w:lvlText w:val="%1."/>
      <w:lvlJc w:val="left"/>
      <w:pPr>
        <w:ind w:left="360" w:hanging="360"/>
      </w:pPr>
      <w:rPr>
        <w:rFonts w:hint="default"/>
      </w:rPr>
    </w:lvl>
    <w:lvl w:ilvl="1" w:tentative="0">
      <w:start w:val="1"/>
      <w:numFmt w:val="decimal"/>
      <w:isLgl/>
      <w:lvlText w:val="%1.%2"/>
      <w:lvlJc w:val="left"/>
      <w:pPr>
        <w:ind w:left="432" w:hanging="432"/>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TA3Nzc2NjY3MzMyMjZW0lEKTi0uzszPAykwqgUAyq1QXCwAAAA="/>
    <w:docVar w:name="commondata" w:val="eyJoZGlkIjoiZTU0ZDdmMmJlM2U3NTA0ODY0ZmM0NzM5ZmJjNGUyNDMifQ=="/>
  </w:docVars>
  <w:rsids>
    <w:rsidRoot w:val="00815135"/>
    <w:rsid w:val="0001436E"/>
    <w:rsid w:val="00041118"/>
    <w:rsid w:val="00043D0E"/>
    <w:rsid w:val="0012103C"/>
    <w:rsid w:val="001E361A"/>
    <w:rsid w:val="001E6B2B"/>
    <w:rsid w:val="00292B2F"/>
    <w:rsid w:val="003315CE"/>
    <w:rsid w:val="004D22A9"/>
    <w:rsid w:val="00535ABA"/>
    <w:rsid w:val="00545CE5"/>
    <w:rsid w:val="00575151"/>
    <w:rsid w:val="00603EF4"/>
    <w:rsid w:val="006424C5"/>
    <w:rsid w:val="00643FA0"/>
    <w:rsid w:val="006703D6"/>
    <w:rsid w:val="00685CDF"/>
    <w:rsid w:val="006B5B12"/>
    <w:rsid w:val="00700544"/>
    <w:rsid w:val="00703AD1"/>
    <w:rsid w:val="00762467"/>
    <w:rsid w:val="007E3752"/>
    <w:rsid w:val="00815135"/>
    <w:rsid w:val="009F4B7B"/>
    <w:rsid w:val="00B81C20"/>
    <w:rsid w:val="00B94D03"/>
    <w:rsid w:val="00BE6FDA"/>
    <w:rsid w:val="00D3688B"/>
    <w:rsid w:val="00E638EF"/>
    <w:rsid w:val="00E83DAF"/>
    <w:rsid w:val="00F07B44"/>
    <w:rsid w:val="2EED3881"/>
    <w:rsid w:val="63DC45A7"/>
    <w:rsid w:val="685104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20" w:line="264" w:lineRule="auto"/>
    </w:pPr>
    <w:rPr>
      <w:rFonts w:asciiTheme="minorHAnsi" w:hAnsiTheme="minorHAnsi" w:eastAsiaTheme="minorEastAsia" w:cstheme="minorBidi"/>
      <w:sz w:val="21"/>
      <w:szCs w:val="21"/>
      <w:lang w:val="en-US" w:eastAsia="zh-CN" w:bidi="ar-SA"/>
    </w:rPr>
  </w:style>
  <w:style w:type="paragraph" w:styleId="2">
    <w:name w:val="heading 1"/>
    <w:basedOn w:val="1"/>
    <w:next w:val="1"/>
    <w:link w:val="31"/>
    <w:autoRedefine/>
    <w:qFormat/>
    <w:uiPriority w:val="9"/>
    <w:pPr>
      <w:keepNext/>
      <w:keepLines/>
      <w:pBdr>
        <w:bottom w:val="single" w:color="4472C4" w:themeColor="accent1" w:sz="4" w:space="1"/>
      </w:pBdr>
      <w:spacing w:before="400" w:after="40" w:line="240" w:lineRule="auto"/>
      <w:outlineLvl w:val="0"/>
    </w:pPr>
    <w:rPr>
      <w:rFonts w:asciiTheme="majorHAnsi" w:hAnsiTheme="majorHAnsi" w:eastAsiaTheme="majorEastAsia" w:cstheme="majorBidi"/>
      <w:color w:val="2F5597" w:themeColor="accent1" w:themeShade="BF"/>
      <w:sz w:val="36"/>
      <w:szCs w:val="36"/>
    </w:rPr>
  </w:style>
  <w:style w:type="paragraph" w:styleId="3">
    <w:name w:val="heading 2"/>
    <w:basedOn w:val="1"/>
    <w:next w:val="1"/>
    <w:link w:val="29"/>
    <w:autoRedefine/>
    <w:unhideWhenUsed/>
    <w:qFormat/>
    <w:uiPriority w:val="9"/>
    <w:pPr>
      <w:keepNext/>
      <w:keepLines/>
      <w:spacing w:before="160" w:after="0" w:line="240" w:lineRule="auto"/>
      <w:outlineLvl w:val="1"/>
    </w:pPr>
    <w:rPr>
      <w:rFonts w:asciiTheme="majorHAnsi" w:hAnsiTheme="majorHAnsi" w:eastAsiaTheme="majorEastAsia" w:cstheme="majorBidi"/>
      <w:color w:val="2F5597" w:themeColor="accent1" w:themeShade="BF"/>
      <w:sz w:val="28"/>
      <w:szCs w:val="28"/>
    </w:rPr>
  </w:style>
  <w:style w:type="paragraph" w:styleId="4">
    <w:name w:val="heading 3"/>
    <w:basedOn w:val="1"/>
    <w:next w:val="1"/>
    <w:link w:val="32"/>
    <w:autoRedefine/>
    <w:unhideWhenUsed/>
    <w:qFormat/>
    <w:uiPriority w:val="9"/>
    <w:pPr>
      <w:keepNext/>
      <w:keepLines/>
      <w:spacing w:before="80" w:after="0" w:line="240" w:lineRule="auto"/>
      <w:outlineLvl w:val="2"/>
    </w:pPr>
    <w:rPr>
      <w:rFonts w:asciiTheme="majorHAnsi" w:hAnsiTheme="majorHAnsi" w:eastAsiaTheme="majorEastAsia" w:cstheme="majorBidi"/>
      <w:color w:val="404040" w:themeColor="text1" w:themeTint="BF"/>
      <w:sz w:val="26"/>
      <w:szCs w:val="26"/>
      <w14:textFill>
        <w14:solidFill>
          <w14:schemeClr w14:val="tx1">
            <w14:lumMod w14:val="75000"/>
            <w14:lumOff w14:val="25000"/>
          </w14:schemeClr>
        </w14:solidFill>
      </w14:textFill>
    </w:rPr>
  </w:style>
  <w:style w:type="paragraph" w:styleId="5">
    <w:name w:val="heading 4"/>
    <w:basedOn w:val="1"/>
    <w:next w:val="1"/>
    <w:link w:val="33"/>
    <w:autoRedefine/>
    <w:semiHidden/>
    <w:unhideWhenUsed/>
    <w:qFormat/>
    <w:uiPriority w:val="9"/>
    <w:pPr>
      <w:keepNext/>
      <w:keepLines/>
      <w:spacing w:before="80" w:after="0"/>
      <w:outlineLvl w:val="3"/>
    </w:pPr>
    <w:rPr>
      <w:rFonts w:asciiTheme="majorHAnsi" w:hAnsiTheme="majorHAnsi" w:eastAsiaTheme="majorEastAsia" w:cstheme="majorBidi"/>
      <w:sz w:val="24"/>
      <w:szCs w:val="24"/>
    </w:rPr>
  </w:style>
  <w:style w:type="paragraph" w:styleId="6">
    <w:name w:val="heading 5"/>
    <w:basedOn w:val="1"/>
    <w:next w:val="1"/>
    <w:link w:val="34"/>
    <w:autoRedefine/>
    <w:semiHidden/>
    <w:unhideWhenUsed/>
    <w:qFormat/>
    <w:uiPriority w:val="9"/>
    <w:pPr>
      <w:keepNext/>
      <w:keepLines/>
      <w:spacing w:before="80" w:after="0"/>
      <w:outlineLvl w:val="4"/>
    </w:pPr>
    <w:rPr>
      <w:rFonts w:asciiTheme="majorHAnsi" w:hAnsiTheme="majorHAnsi" w:eastAsiaTheme="majorEastAsia" w:cstheme="majorBidi"/>
      <w:i/>
      <w:iCs/>
      <w:sz w:val="22"/>
      <w:szCs w:val="22"/>
    </w:rPr>
  </w:style>
  <w:style w:type="paragraph" w:styleId="7">
    <w:name w:val="heading 6"/>
    <w:basedOn w:val="1"/>
    <w:next w:val="1"/>
    <w:link w:val="35"/>
    <w:autoRedefine/>
    <w:semiHidden/>
    <w:unhideWhenUsed/>
    <w:qFormat/>
    <w:uiPriority w:val="9"/>
    <w:pPr>
      <w:keepNext/>
      <w:keepLines/>
      <w:spacing w:before="80" w:after="0"/>
      <w:outlineLvl w:val="5"/>
    </w:pPr>
    <w:rPr>
      <w:rFonts w:asciiTheme="majorHAnsi" w:hAnsiTheme="majorHAnsi" w:eastAsiaTheme="majorEastAsia" w:cstheme="majorBidi"/>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6"/>
    <w:autoRedefine/>
    <w:semiHidden/>
    <w:unhideWhenUsed/>
    <w:qFormat/>
    <w:uiPriority w:val="9"/>
    <w:pPr>
      <w:keepNext/>
      <w:keepLines/>
      <w:spacing w:before="80" w:after="0"/>
      <w:outlineLvl w:val="6"/>
    </w:pPr>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7"/>
    <w:autoRedefine/>
    <w:semiHidden/>
    <w:unhideWhenUsed/>
    <w:qFormat/>
    <w:uiPriority w:val="9"/>
    <w:pPr>
      <w:keepNext/>
      <w:keepLines/>
      <w:spacing w:before="80" w:after="0"/>
      <w:outlineLvl w:val="7"/>
    </w:pPr>
    <w:rPr>
      <w:rFonts w:asciiTheme="majorHAnsi" w:hAnsiTheme="majorHAnsi" w:eastAsiaTheme="majorEastAsia" w:cstheme="majorBidi"/>
      <w:smallCaps/>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8"/>
    <w:autoRedefine/>
    <w:semiHidden/>
    <w:unhideWhenUsed/>
    <w:qFormat/>
    <w:uiPriority w:val="9"/>
    <w:pPr>
      <w:keepNext/>
      <w:keepLines/>
      <w:spacing w:before="80" w:after="0"/>
      <w:outlineLvl w:val="8"/>
    </w:pPr>
    <w:rPr>
      <w:rFonts w:asciiTheme="majorHAnsi" w:hAnsiTheme="majorHAnsi" w:eastAsiaTheme="majorEastAsia" w:cstheme="majorBidi"/>
      <w:i/>
      <w:iCs/>
      <w:smallCaps/>
      <w:color w:val="595959" w:themeColor="text1" w:themeTint="A6"/>
      <w14:textFill>
        <w14:solidFill>
          <w14:schemeClr w14:val="tx1">
            <w14:lumMod w14:val="65000"/>
            <w14:lumOff w14:val="35000"/>
          </w14:schemeClr>
        </w14:solidFill>
      </w14:textFill>
    </w:rPr>
  </w:style>
  <w:style w:type="character" w:default="1" w:styleId="22">
    <w:name w:val="Default Paragraph Font"/>
    <w:autoRedefine/>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11">
    <w:name w:val="caption"/>
    <w:basedOn w:val="1"/>
    <w:next w:val="1"/>
    <w:autoRedefine/>
    <w:semiHidden/>
    <w:unhideWhenUsed/>
    <w:qFormat/>
    <w:uiPriority w:val="35"/>
    <w:pPr>
      <w:spacing w:line="240" w:lineRule="auto"/>
    </w:pPr>
    <w:rPr>
      <w:b/>
      <w:bCs/>
      <w:color w:val="404040" w:themeColor="text1" w:themeTint="BF"/>
      <w:sz w:val="20"/>
      <w:szCs w:val="20"/>
      <w14:textFill>
        <w14:solidFill>
          <w14:schemeClr w14:val="tx1">
            <w14:lumMod w14:val="75000"/>
            <w14:lumOff w14:val="25000"/>
          </w14:schemeClr>
        </w14:solidFill>
      </w14:textFill>
    </w:rPr>
  </w:style>
  <w:style w:type="paragraph" w:styleId="12">
    <w:name w:val="toc 3"/>
    <w:basedOn w:val="1"/>
    <w:next w:val="1"/>
    <w:autoRedefine/>
    <w:unhideWhenUsed/>
    <w:qFormat/>
    <w:uiPriority w:val="39"/>
    <w:pPr>
      <w:ind w:left="840" w:leftChars="400"/>
    </w:pPr>
  </w:style>
  <w:style w:type="paragraph" w:styleId="13">
    <w:name w:val="footer"/>
    <w:basedOn w:val="1"/>
    <w:link w:val="28"/>
    <w:autoRedefine/>
    <w:unhideWhenUsed/>
    <w:qFormat/>
    <w:uiPriority w:val="99"/>
    <w:pPr>
      <w:tabs>
        <w:tab w:val="center" w:pos="4153"/>
        <w:tab w:val="right" w:pos="8306"/>
      </w:tabs>
      <w:snapToGrid w:val="0"/>
    </w:pPr>
    <w:rPr>
      <w:sz w:val="18"/>
      <w:szCs w:val="18"/>
    </w:rPr>
  </w:style>
  <w:style w:type="paragraph" w:styleId="14">
    <w:name w:val="header"/>
    <w:basedOn w:val="1"/>
    <w:link w:val="27"/>
    <w:autoRedefine/>
    <w:unhideWhenUsed/>
    <w:qFormat/>
    <w:uiPriority w:val="99"/>
    <w:pPr>
      <w:tabs>
        <w:tab w:val="center" w:pos="4153"/>
        <w:tab w:val="right" w:pos="8306"/>
      </w:tabs>
      <w:snapToGrid w:val="0"/>
      <w:jc w:val="center"/>
    </w:pPr>
    <w:rPr>
      <w:sz w:val="18"/>
      <w:szCs w:val="18"/>
    </w:rPr>
  </w:style>
  <w:style w:type="paragraph" w:styleId="15">
    <w:name w:val="toc 1"/>
    <w:basedOn w:val="1"/>
    <w:next w:val="1"/>
    <w:autoRedefine/>
    <w:unhideWhenUsed/>
    <w:qFormat/>
    <w:uiPriority w:val="39"/>
  </w:style>
  <w:style w:type="paragraph" w:styleId="16">
    <w:name w:val="Subtitle"/>
    <w:basedOn w:val="1"/>
    <w:next w:val="1"/>
    <w:link w:val="40"/>
    <w:autoRedefine/>
    <w:qFormat/>
    <w:uiPriority w:val="11"/>
    <w:pPr>
      <w:spacing w:after="240" w:line="240" w:lineRule="auto"/>
    </w:pPr>
    <w:rPr>
      <w:rFonts w:asciiTheme="majorHAnsi" w:hAnsiTheme="majorHAnsi" w:eastAsiaTheme="majorEastAsia" w:cstheme="majorBidi"/>
      <w:color w:val="404040" w:themeColor="text1" w:themeTint="BF"/>
      <w:sz w:val="30"/>
      <w:szCs w:val="30"/>
      <w14:textFill>
        <w14:solidFill>
          <w14:schemeClr w14:val="tx1">
            <w14:lumMod w14:val="75000"/>
            <w14:lumOff w14:val="25000"/>
          </w14:schemeClr>
        </w14:solidFill>
      </w14:textFill>
    </w:rPr>
  </w:style>
  <w:style w:type="paragraph" w:styleId="17">
    <w:name w:val="footnote text"/>
    <w:basedOn w:val="1"/>
    <w:link w:val="59"/>
    <w:autoRedefine/>
    <w:semiHidden/>
    <w:unhideWhenUsed/>
    <w:qFormat/>
    <w:uiPriority w:val="99"/>
    <w:pPr>
      <w:snapToGrid w:val="0"/>
    </w:pPr>
    <w:rPr>
      <w:sz w:val="18"/>
      <w:szCs w:val="18"/>
    </w:rPr>
  </w:style>
  <w:style w:type="paragraph" w:styleId="18">
    <w:name w:val="toc 2"/>
    <w:basedOn w:val="1"/>
    <w:next w:val="1"/>
    <w:autoRedefine/>
    <w:unhideWhenUsed/>
    <w:qFormat/>
    <w:uiPriority w:val="39"/>
    <w:pPr>
      <w:tabs>
        <w:tab w:val="right" w:leader="dot" w:pos="10456"/>
      </w:tabs>
      <w:ind w:left="420" w:leftChars="200"/>
    </w:pPr>
  </w:style>
  <w:style w:type="paragraph" w:styleId="19">
    <w:name w:val="Title"/>
    <w:basedOn w:val="1"/>
    <w:next w:val="1"/>
    <w:link w:val="39"/>
    <w:autoRedefine/>
    <w:qFormat/>
    <w:uiPriority w:val="10"/>
    <w:pPr>
      <w:spacing w:after="0" w:line="240" w:lineRule="auto"/>
      <w:contextualSpacing/>
    </w:pPr>
    <w:rPr>
      <w:rFonts w:asciiTheme="majorHAnsi" w:hAnsiTheme="majorHAnsi" w:eastAsiaTheme="majorEastAsia" w:cstheme="majorBidi"/>
      <w:color w:val="2F5597" w:themeColor="accent1" w:themeShade="BF"/>
      <w:spacing w:val="-7"/>
      <w:sz w:val="80"/>
      <w:szCs w:val="80"/>
    </w:rPr>
  </w:style>
  <w:style w:type="table" w:styleId="21">
    <w:name w:val="Table Grid"/>
    <w:basedOn w:val="20"/>
    <w:autoRedefine/>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22"/>
    <w:rPr>
      <w:b/>
      <w:bCs/>
    </w:rPr>
  </w:style>
  <w:style w:type="character" w:styleId="24">
    <w:name w:val="Emphasis"/>
    <w:basedOn w:val="22"/>
    <w:autoRedefine/>
    <w:qFormat/>
    <w:uiPriority w:val="20"/>
    <w:rPr>
      <w:i/>
      <w:iCs/>
    </w:rPr>
  </w:style>
  <w:style w:type="character" w:styleId="25">
    <w:name w:val="Hyperlink"/>
    <w:basedOn w:val="22"/>
    <w:autoRedefine/>
    <w:unhideWhenUsed/>
    <w:qFormat/>
    <w:uiPriority w:val="99"/>
    <w:rPr>
      <w:color w:val="0563C1" w:themeColor="hyperlink"/>
      <w:u w:val="single"/>
      <w14:textFill>
        <w14:solidFill>
          <w14:schemeClr w14:val="hlink"/>
        </w14:solidFill>
      </w14:textFill>
    </w:rPr>
  </w:style>
  <w:style w:type="character" w:styleId="26">
    <w:name w:val="footnote reference"/>
    <w:basedOn w:val="22"/>
    <w:autoRedefine/>
    <w:semiHidden/>
    <w:unhideWhenUsed/>
    <w:qFormat/>
    <w:uiPriority w:val="99"/>
    <w:rPr>
      <w:vertAlign w:val="superscript"/>
    </w:rPr>
  </w:style>
  <w:style w:type="character" w:customStyle="1" w:styleId="27">
    <w:name w:val="页眉 字符"/>
    <w:basedOn w:val="22"/>
    <w:link w:val="14"/>
    <w:autoRedefine/>
    <w:qFormat/>
    <w:uiPriority w:val="99"/>
    <w:rPr>
      <w:sz w:val="18"/>
      <w:szCs w:val="18"/>
      <w:lang w:val="en-GB"/>
    </w:rPr>
  </w:style>
  <w:style w:type="character" w:customStyle="1" w:styleId="28">
    <w:name w:val="页脚 字符"/>
    <w:basedOn w:val="22"/>
    <w:link w:val="13"/>
    <w:autoRedefine/>
    <w:qFormat/>
    <w:uiPriority w:val="99"/>
    <w:rPr>
      <w:sz w:val="18"/>
      <w:szCs w:val="18"/>
      <w:lang w:val="en-GB"/>
    </w:rPr>
  </w:style>
  <w:style w:type="character" w:customStyle="1" w:styleId="29">
    <w:name w:val="标题 2 字符"/>
    <w:basedOn w:val="22"/>
    <w:link w:val="3"/>
    <w:autoRedefine/>
    <w:qFormat/>
    <w:uiPriority w:val="9"/>
    <w:rPr>
      <w:rFonts w:asciiTheme="majorHAnsi" w:hAnsiTheme="majorHAnsi" w:eastAsiaTheme="majorEastAsia" w:cstheme="majorBidi"/>
      <w:color w:val="2F5597" w:themeColor="accent1" w:themeShade="BF"/>
      <w:sz w:val="28"/>
      <w:szCs w:val="28"/>
    </w:rPr>
  </w:style>
  <w:style w:type="paragraph" w:styleId="30">
    <w:name w:val="List Paragraph"/>
    <w:basedOn w:val="1"/>
    <w:autoRedefine/>
    <w:qFormat/>
    <w:uiPriority w:val="34"/>
    <w:pPr>
      <w:ind w:firstLine="420" w:firstLineChars="200"/>
    </w:pPr>
  </w:style>
  <w:style w:type="character" w:customStyle="1" w:styleId="31">
    <w:name w:val="标题 1 字符"/>
    <w:basedOn w:val="22"/>
    <w:link w:val="2"/>
    <w:autoRedefine/>
    <w:qFormat/>
    <w:uiPriority w:val="9"/>
    <w:rPr>
      <w:rFonts w:asciiTheme="majorHAnsi" w:hAnsiTheme="majorHAnsi" w:eastAsiaTheme="majorEastAsia" w:cstheme="majorBidi"/>
      <w:color w:val="2F5597" w:themeColor="accent1" w:themeShade="BF"/>
      <w:sz w:val="36"/>
      <w:szCs w:val="36"/>
    </w:rPr>
  </w:style>
  <w:style w:type="character" w:customStyle="1" w:styleId="32">
    <w:name w:val="标题 3 字符"/>
    <w:basedOn w:val="22"/>
    <w:link w:val="4"/>
    <w:autoRedefine/>
    <w:qFormat/>
    <w:uiPriority w:val="9"/>
    <w:rPr>
      <w:rFonts w:asciiTheme="majorHAnsi" w:hAnsiTheme="majorHAnsi" w:eastAsiaTheme="majorEastAsia" w:cstheme="majorBidi"/>
      <w:color w:val="404040" w:themeColor="text1" w:themeTint="BF"/>
      <w:sz w:val="26"/>
      <w:szCs w:val="26"/>
      <w14:textFill>
        <w14:solidFill>
          <w14:schemeClr w14:val="tx1">
            <w14:lumMod w14:val="75000"/>
            <w14:lumOff w14:val="25000"/>
          </w14:schemeClr>
        </w14:solidFill>
      </w14:textFill>
    </w:rPr>
  </w:style>
  <w:style w:type="character" w:customStyle="1" w:styleId="33">
    <w:name w:val="标题 4 字符"/>
    <w:basedOn w:val="22"/>
    <w:link w:val="5"/>
    <w:autoRedefine/>
    <w:semiHidden/>
    <w:qFormat/>
    <w:uiPriority w:val="9"/>
    <w:rPr>
      <w:rFonts w:asciiTheme="majorHAnsi" w:hAnsiTheme="majorHAnsi" w:eastAsiaTheme="majorEastAsia" w:cstheme="majorBidi"/>
      <w:sz w:val="24"/>
      <w:szCs w:val="24"/>
    </w:rPr>
  </w:style>
  <w:style w:type="character" w:customStyle="1" w:styleId="34">
    <w:name w:val="标题 5 字符"/>
    <w:basedOn w:val="22"/>
    <w:link w:val="6"/>
    <w:autoRedefine/>
    <w:semiHidden/>
    <w:qFormat/>
    <w:uiPriority w:val="9"/>
    <w:rPr>
      <w:rFonts w:asciiTheme="majorHAnsi" w:hAnsiTheme="majorHAnsi" w:eastAsiaTheme="majorEastAsia" w:cstheme="majorBidi"/>
      <w:i/>
      <w:iCs/>
      <w:sz w:val="22"/>
      <w:szCs w:val="22"/>
    </w:rPr>
  </w:style>
  <w:style w:type="character" w:customStyle="1" w:styleId="35">
    <w:name w:val="标题 6 字符"/>
    <w:basedOn w:val="22"/>
    <w:link w:val="7"/>
    <w:autoRedefine/>
    <w:semiHidden/>
    <w:qFormat/>
    <w:uiPriority w:val="9"/>
    <w:rPr>
      <w:rFonts w:asciiTheme="majorHAnsi" w:hAnsiTheme="maj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6">
    <w:name w:val="标题 7 字符"/>
    <w:basedOn w:val="22"/>
    <w:link w:val="8"/>
    <w:autoRedefine/>
    <w:semiHidden/>
    <w:qFormat/>
    <w:uiPriority w:val="9"/>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7">
    <w:name w:val="标题 8 字符"/>
    <w:basedOn w:val="22"/>
    <w:link w:val="9"/>
    <w:autoRedefine/>
    <w:semiHidden/>
    <w:qFormat/>
    <w:uiPriority w:val="9"/>
    <w:rPr>
      <w:rFonts w:asciiTheme="majorHAnsi" w:hAnsiTheme="majorHAnsi" w:eastAsiaTheme="majorEastAsia" w:cstheme="majorBidi"/>
      <w:smallCaps/>
      <w:color w:val="595959" w:themeColor="text1" w:themeTint="A6"/>
      <w14:textFill>
        <w14:solidFill>
          <w14:schemeClr w14:val="tx1">
            <w14:lumMod w14:val="65000"/>
            <w14:lumOff w14:val="35000"/>
          </w14:schemeClr>
        </w14:solidFill>
      </w14:textFill>
    </w:rPr>
  </w:style>
  <w:style w:type="character" w:customStyle="1" w:styleId="38">
    <w:name w:val="标题 9 字符"/>
    <w:basedOn w:val="22"/>
    <w:link w:val="10"/>
    <w:autoRedefine/>
    <w:semiHidden/>
    <w:qFormat/>
    <w:uiPriority w:val="9"/>
    <w:rPr>
      <w:rFonts w:asciiTheme="majorHAnsi" w:hAnsiTheme="majorHAnsi" w:eastAsiaTheme="majorEastAsia" w:cstheme="majorBidi"/>
      <w:i/>
      <w:iCs/>
      <w:smallCaps/>
      <w:color w:val="595959" w:themeColor="text1" w:themeTint="A6"/>
      <w14:textFill>
        <w14:solidFill>
          <w14:schemeClr w14:val="tx1">
            <w14:lumMod w14:val="65000"/>
            <w14:lumOff w14:val="35000"/>
          </w14:schemeClr>
        </w14:solidFill>
      </w14:textFill>
    </w:rPr>
  </w:style>
  <w:style w:type="character" w:customStyle="1" w:styleId="39">
    <w:name w:val="标题 字符"/>
    <w:basedOn w:val="22"/>
    <w:link w:val="19"/>
    <w:autoRedefine/>
    <w:qFormat/>
    <w:uiPriority w:val="10"/>
    <w:rPr>
      <w:rFonts w:asciiTheme="majorHAnsi" w:hAnsiTheme="majorHAnsi" w:eastAsiaTheme="majorEastAsia" w:cstheme="majorBidi"/>
      <w:color w:val="2F5597" w:themeColor="accent1" w:themeShade="BF"/>
      <w:spacing w:val="-7"/>
      <w:sz w:val="80"/>
      <w:szCs w:val="80"/>
    </w:rPr>
  </w:style>
  <w:style w:type="character" w:customStyle="1" w:styleId="40">
    <w:name w:val="副标题 字符"/>
    <w:basedOn w:val="22"/>
    <w:link w:val="16"/>
    <w:autoRedefine/>
    <w:qFormat/>
    <w:uiPriority w:val="11"/>
    <w:rPr>
      <w:rFonts w:asciiTheme="majorHAnsi" w:hAnsiTheme="majorHAnsi" w:eastAsiaTheme="majorEastAsia" w:cstheme="majorBidi"/>
      <w:color w:val="404040" w:themeColor="text1" w:themeTint="BF"/>
      <w:sz w:val="30"/>
      <w:szCs w:val="30"/>
      <w14:textFill>
        <w14:solidFill>
          <w14:schemeClr w14:val="tx1">
            <w14:lumMod w14:val="75000"/>
            <w14:lumOff w14:val="25000"/>
          </w14:schemeClr>
        </w14:solidFill>
      </w14:textFill>
    </w:rPr>
  </w:style>
  <w:style w:type="paragraph" w:styleId="41">
    <w:name w:val="No Spacing"/>
    <w:autoRedefine/>
    <w:qFormat/>
    <w:uiPriority w:val="1"/>
    <w:pPr>
      <w:spacing w:after="0" w:line="240" w:lineRule="auto"/>
    </w:pPr>
    <w:rPr>
      <w:rFonts w:asciiTheme="minorHAnsi" w:hAnsiTheme="minorHAnsi" w:eastAsiaTheme="minorEastAsia" w:cstheme="minorBidi"/>
      <w:sz w:val="21"/>
      <w:szCs w:val="21"/>
      <w:lang w:val="en-US" w:eastAsia="zh-CN" w:bidi="ar-SA"/>
    </w:rPr>
  </w:style>
  <w:style w:type="paragraph" w:styleId="42">
    <w:name w:val="Quote"/>
    <w:basedOn w:val="1"/>
    <w:next w:val="1"/>
    <w:link w:val="43"/>
    <w:autoRedefine/>
    <w:qFormat/>
    <w:uiPriority w:val="29"/>
    <w:pPr>
      <w:spacing w:before="240" w:after="240" w:line="252" w:lineRule="auto"/>
      <w:ind w:left="864" w:right="864"/>
      <w:jc w:val="center"/>
    </w:pPr>
    <w:rPr>
      <w:i/>
      <w:iCs/>
    </w:rPr>
  </w:style>
  <w:style w:type="character" w:customStyle="1" w:styleId="43">
    <w:name w:val="引用 字符"/>
    <w:basedOn w:val="22"/>
    <w:link w:val="42"/>
    <w:autoRedefine/>
    <w:qFormat/>
    <w:uiPriority w:val="29"/>
    <w:rPr>
      <w:i/>
      <w:iCs/>
    </w:rPr>
  </w:style>
  <w:style w:type="paragraph" w:styleId="44">
    <w:name w:val="Intense Quote"/>
    <w:basedOn w:val="1"/>
    <w:next w:val="1"/>
    <w:link w:val="45"/>
    <w:autoRedefine/>
    <w:qFormat/>
    <w:uiPriority w:val="30"/>
    <w:pPr>
      <w:spacing w:before="100" w:beforeAutospacing="1" w:after="240"/>
      <w:ind w:left="864" w:right="864"/>
      <w:jc w:val="center"/>
    </w:pPr>
    <w:rPr>
      <w:rFonts w:asciiTheme="majorHAnsi" w:hAnsiTheme="majorHAnsi" w:eastAsiaTheme="majorEastAsia" w:cstheme="majorBidi"/>
      <w:color w:val="4472C4" w:themeColor="accent1"/>
      <w:sz w:val="28"/>
      <w:szCs w:val="28"/>
      <w14:textFill>
        <w14:solidFill>
          <w14:schemeClr w14:val="accent1"/>
        </w14:solidFill>
      </w14:textFill>
    </w:rPr>
  </w:style>
  <w:style w:type="character" w:customStyle="1" w:styleId="45">
    <w:name w:val="明显引用 字符"/>
    <w:basedOn w:val="22"/>
    <w:link w:val="44"/>
    <w:autoRedefine/>
    <w:qFormat/>
    <w:uiPriority w:val="30"/>
    <w:rPr>
      <w:rFonts w:asciiTheme="majorHAnsi" w:hAnsiTheme="majorHAnsi" w:eastAsiaTheme="majorEastAsia" w:cstheme="majorBidi"/>
      <w:color w:val="4472C4" w:themeColor="accent1"/>
      <w:sz w:val="28"/>
      <w:szCs w:val="28"/>
      <w14:textFill>
        <w14:solidFill>
          <w14:schemeClr w14:val="accent1"/>
        </w14:solidFill>
      </w14:textFill>
    </w:rPr>
  </w:style>
  <w:style w:type="character" w:customStyle="1" w:styleId="46">
    <w:name w:val="Subtle Emphasis"/>
    <w:basedOn w:val="22"/>
    <w:autoRedefine/>
    <w:qFormat/>
    <w:uiPriority w:val="19"/>
    <w:rPr>
      <w:i/>
      <w:iCs/>
      <w:color w:val="595959" w:themeColor="text1" w:themeTint="A6"/>
      <w14:textFill>
        <w14:solidFill>
          <w14:schemeClr w14:val="tx1">
            <w14:lumMod w14:val="65000"/>
            <w14:lumOff w14:val="35000"/>
          </w14:schemeClr>
        </w14:solidFill>
      </w14:textFill>
    </w:rPr>
  </w:style>
  <w:style w:type="character" w:customStyle="1" w:styleId="47">
    <w:name w:val="Intense Emphasis"/>
    <w:basedOn w:val="22"/>
    <w:autoRedefine/>
    <w:qFormat/>
    <w:uiPriority w:val="21"/>
    <w:rPr>
      <w:b/>
      <w:bCs/>
      <w:i/>
      <w:iCs/>
    </w:rPr>
  </w:style>
  <w:style w:type="character" w:customStyle="1" w:styleId="48">
    <w:name w:val="Subtle Reference"/>
    <w:basedOn w:val="22"/>
    <w:autoRedefine/>
    <w:qFormat/>
    <w:uiPriority w:val="31"/>
    <w:rPr>
      <w:smallCaps/>
      <w:color w:val="404040" w:themeColor="text1" w:themeTint="BF"/>
      <w14:textFill>
        <w14:solidFill>
          <w14:schemeClr w14:val="tx1">
            <w14:lumMod w14:val="75000"/>
            <w14:lumOff w14:val="25000"/>
          </w14:schemeClr>
        </w14:solidFill>
      </w14:textFill>
    </w:rPr>
  </w:style>
  <w:style w:type="character" w:customStyle="1" w:styleId="49">
    <w:name w:val="Intense Reference"/>
    <w:basedOn w:val="22"/>
    <w:autoRedefine/>
    <w:qFormat/>
    <w:uiPriority w:val="32"/>
    <w:rPr>
      <w:b/>
      <w:bCs/>
      <w:smallCaps/>
      <w:u w:val="single"/>
    </w:rPr>
  </w:style>
  <w:style w:type="character" w:customStyle="1" w:styleId="50">
    <w:name w:val="Book Title"/>
    <w:basedOn w:val="22"/>
    <w:autoRedefine/>
    <w:qFormat/>
    <w:uiPriority w:val="33"/>
    <w:rPr>
      <w:b/>
      <w:bCs/>
      <w:smallCaps/>
    </w:rPr>
  </w:style>
  <w:style w:type="paragraph" w:customStyle="1" w:styleId="51">
    <w:name w:val="TOC Heading"/>
    <w:basedOn w:val="2"/>
    <w:next w:val="1"/>
    <w:autoRedefine/>
    <w:unhideWhenUsed/>
    <w:qFormat/>
    <w:uiPriority w:val="39"/>
    <w:pPr>
      <w:outlineLvl w:val="9"/>
    </w:pPr>
  </w:style>
  <w:style w:type="table" w:customStyle="1" w:styleId="52">
    <w:name w:val="Grid Table 3"/>
    <w:basedOn w:val="20"/>
    <w:autoRedefine/>
    <w:qFormat/>
    <w:uiPriority w:val="48"/>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53">
    <w:name w:val="Grid Table 1 Light"/>
    <w:basedOn w:val="20"/>
    <w:autoRedefine/>
    <w:qFormat/>
    <w:uiPriority w:val="46"/>
    <w:pPr>
      <w:spacing w:after="0" w:line="240" w:lineRule="auto"/>
    </w:p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table" w:customStyle="1" w:styleId="54">
    <w:name w:val="Grid Table 2"/>
    <w:basedOn w:val="20"/>
    <w:autoRedefine/>
    <w:qFormat/>
    <w:uiPriority w:val="47"/>
    <w:pPr>
      <w:spacing w:after="0" w:line="240" w:lineRule="auto"/>
    </w:pPr>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55">
    <w:name w:val="Grid Table 1 Light Accent 1"/>
    <w:basedOn w:val="20"/>
    <w:autoRedefine/>
    <w:qFormat/>
    <w:uiPriority w:val="46"/>
    <w:pPr>
      <w:spacing w:after="0" w:line="240" w:lineRule="auto"/>
    </w:pPr>
    <w:tblPr>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cPr>
        <w:tcBorders>
          <w:bottom w:val="single" w:color="8EAADB" w:themeColor="accent1" w:themeTint="99" w:sz="12" w:space="0"/>
        </w:tcBorders>
      </w:tcPr>
    </w:tblStylePr>
    <w:tblStylePr w:type="lastRow">
      <w:rPr>
        <w:b/>
        <w:bCs/>
      </w:rPr>
      <w:tcPr>
        <w:tcBorders>
          <w:top w:val="double" w:color="8EAADB" w:themeColor="accent1" w:themeTint="99" w:sz="2" w:space="0"/>
        </w:tcBorders>
      </w:tcPr>
    </w:tblStylePr>
    <w:tblStylePr w:type="firstCol">
      <w:rPr>
        <w:b/>
        <w:bCs/>
      </w:rPr>
    </w:tblStylePr>
    <w:tblStylePr w:type="lastCol">
      <w:rPr>
        <w:b/>
        <w:bCs/>
      </w:rPr>
    </w:tblStylePr>
  </w:style>
  <w:style w:type="table" w:customStyle="1" w:styleId="56">
    <w:name w:val="Grid Table 4 Accent 3"/>
    <w:basedOn w:val="20"/>
    <w:autoRedefine/>
    <w:qFormat/>
    <w:uiPriority w:val="49"/>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57">
    <w:name w:val="Grid Table 4 Accent 1"/>
    <w:basedOn w:val="20"/>
    <w:autoRedefine/>
    <w:qFormat/>
    <w:uiPriority w:val="49"/>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58">
    <w:name w:val="Grid Table 4 Accent 5"/>
    <w:basedOn w:val="20"/>
    <w:autoRedefine/>
    <w:qFormat/>
    <w:uiPriority w:val="49"/>
    <w:pPr>
      <w:spacing w:after="0" w:line="240" w:lineRule="auto"/>
    </w:pPr>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cPr>
        <w:tcBorders>
          <w:top w:val="double" w:color="5B9BD5" w:themeColor="accent5"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character" w:customStyle="1" w:styleId="59">
    <w:name w:val="脚注文本 字符"/>
    <w:basedOn w:val="22"/>
    <w:link w:val="17"/>
    <w:autoRedefine/>
    <w:semiHidden/>
    <w:qFormat/>
    <w:uiPriority w:val="99"/>
    <w:rPr>
      <w:sz w:val="18"/>
      <w:szCs w:val="18"/>
    </w:rPr>
  </w:style>
  <w:style w:type="character" w:customStyle="1" w:styleId="60">
    <w:name w:val="Unresolved Mention"/>
    <w:basedOn w:val="22"/>
    <w:autoRedefine/>
    <w:semiHidden/>
    <w:unhideWhenUsed/>
    <w:qFormat/>
    <w:uiPriority w:val="99"/>
    <w:rPr>
      <w:color w:val="605E5C"/>
      <w:shd w:val="clear" w:color="auto" w:fill="E1DFDD"/>
    </w:rPr>
  </w:style>
  <w:style w:type="paragraph" w:customStyle="1" w:styleId="61">
    <w:name w:val="Bibliography"/>
    <w:basedOn w:val="1"/>
    <w:next w:val="1"/>
    <w:autoRedefine/>
    <w:unhideWhenUsed/>
    <w:qFormat/>
    <w:uiPriority w:val="37"/>
    <w:pPr>
      <w:spacing w:after="0" w:line="480" w:lineRule="auto"/>
      <w:ind w:left="720" w:hanging="720"/>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43375-1462-4EB6-B1F9-0FE3B9F92BCB}">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10228</Words>
  <Characters>58302</Characters>
  <Lines>485</Lines>
  <Paragraphs>136</Paragraphs>
  <TotalTime>4</TotalTime>
  <ScaleCrop>false</ScaleCrop>
  <LinksUpToDate>false</LinksUpToDate>
  <CharactersWithSpaces>68394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2024-01-07T18:44:00Z</dcterms:created>
  <dc:creator>Wei Shanshan</dc:creator>
  <cp:lastModifiedBy>@</cp:lastModifiedBy>
  <dcterms:modified xsi:type="dcterms:W3CDTF">2024-01-07T21:05:33Z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1aa87d53bebd41d563f104b1920e343b33835fa9cff009b21c1b093625aea28b</vt:lpwstr>
  </property>
  <property fmtid="{D5CDD505-2E9C-101B-9397-08002B2CF9AE}" pid="3" name="ZOTERO_PREF_1">
    <vt:lpwstr>&lt;data data-version="3" zotero-version="6.0.30"&gt;&lt;session id="gWUWRZYu"/&gt;&lt;style id="http://www.zotero.org/styles/apa" locale="en-GB" hasBibliography="1" bibliographyStyleHasBeenSet="1"/&gt;&lt;prefs&gt;&lt;pref name="fieldType" value="Field"/&gt;&lt;/prefs&gt;&lt;/data&gt;</vt:lpwstr>
  </property>
  <property fmtid="{D5CDD505-2E9C-101B-9397-08002B2CF9AE}" pid="4" name="KSOProductBuildVer">
    <vt:lpwstr>2052-12.1.0.16120</vt:lpwstr>
  </property>
  <property fmtid="{D5CDD505-2E9C-101B-9397-08002B2CF9AE}" pid="5" name="ICV">
    <vt:lpwstr>F99DE74251EC449DB6BF2BF3B906025F_13</vt:lpwstr>
  </property>
</Properties>
</file>