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68DE650" w:rsidR="7908378C" w:rsidRDefault="7908378C" w:rsidP="33572C6E">
            <w:pPr>
              <w:ind w:right="237"/>
              <w:rPr>
                <w:b/>
                <w:bCs/>
                <w:color w:val="auto"/>
                <w:sz w:val="32"/>
                <w:szCs w:val="32"/>
              </w:rPr>
            </w:pPr>
            <w:r w:rsidRPr="33572C6E">
              <w:rPr>
                <w:b/>
                <w:bCs/>
                <w:color w:val="auto"/>
                <w:sz w:val="32"/>
                <w:szCs w:val="32"/>
              </w:rPr>
              <w:t>Learner name: __</w:t>
            </w:r>
            <w:r w:rsidR="00E91727">
              <w:rPr>
                <w:b/>
                <w:bCs/>
                <w:color w:val="auto"/>
                <w:sz w:val="32"/>
                <w:szCs w:val="32"/>
              </w:rPr>
              <w:t>Elin Pendlington-Bowen</w:t>
            </w:r>
            <w:r w:rsidRPr="33572C6E">
              <w:rPr>
                <w:b/>
                <w:bCs/>
                <w:color w:val="auto"/>
                <w:sz w:val="32"/>
                <w:szCs w:val="32"/>
              </w:rPr>
              <w:t>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D44E428" w:rsidR="7908378C" w:rsidRDefault="7908378C" w:rsidP="33572C6E">
            <w:pPr>
              <w:ind w:right="237"/>
              <w:rPr>
                <w:b/>
                <w:bCs/>
                <w:color w:val="auto"/>
                <w:sz w:val="32"/>
                <w:szCs w:val="32"/>
              </w:rPr>
            </w:pPr>
            <w:r w:rsidRPr="33572C6E">
              <w:rPr>
                <w:b/>
                <w:bCs/>
                <w:color w:val="auto"/>
                <w:sz w:val="32"/>
                <w:szCs w:val="32"/>
              </w:rPr>
              <w:t>____________</w:t>
            </w:r>
            <w:r w:rsidR="00E91727">
              <w:t xml:space="preserve"> </w:t>
            </w:r>
            <w:r w:rsidR="00E91727" w:rsidRPr="00E91727">
              <w:rPr>
                <w:b/>
                <w:bCs/>
                <w:color w:val="auto"/>
                <w:sz w:val="32"/>
                <w:szCs w:val="32"/>
              </w:rPr>
              <w:t>2222257</w:t>
            </w:r>
            <w:r w:rsidR="00E91727" w:rsidRPr="00E91727">
              <w:rPr>
                <w:b/>
                <w:bCs/>
                <w:color w:val="auto"/>
                <w:sz w:val="32"/>
                <w:szCs w:val="32"/>
              </w:rPr>
              <w:t xml:space="preserve"> </w:t>
            </w:r>
            <w:r w:rsidRPr="33572C6E">
              <w:rPr>
                <w:b/>
                <w:bCs/>
                <w:color w:val="auto"/>
                <w:sz w:val="32"/>
                <w:szCs w:val="32"/>
              </w:rPr>
              <w:t>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CB1A479"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lastRenderedPageBreak/>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C2735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bookmarkStart w:id="0" w:name="_Hlk164866695"/>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bookmarkEnd w:id="0"/>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D8987AC" w14:textId="77777777" w:rsidR="001A3850" w:rsidRDefault="001A3850" w:rsidP="5B843AF0">
      <w:pPr>
        <w:ind w:right="237"/>
        <w:jc w:val="both"/>
        <w:rPr>
          <w:rFonts w:eastAsia="Arial"/>
          <w:b/>
          <w:bCs/>
          <w:color w:val="000000" w:themeColor="text1"/>
          <w:sz w:val="24"/>
          <w:szCs w:val="24"/>
        </w:rPr>
      </w:pPr>
    </w:p>
    <w:p w14:paraId="1C4A3EC7" w14:textId="77777777" w:rsidR="001A3850" w:rsidRPr="00321EC2" w:rsidRDefault="001A3850" w:rsidP="001A3850">
      <w:pPr>
        <w:rPr>
          <w:rFonts w:ascii="Times New Roman" w:hAnsi="Times New Roman" w:cs="Times New Roman"/>
          <w:color w:val="auto"/>
        </w:rPr>
      </w:pPr>
      <w:r>
        <w:rPr>
          <w:rFonts w:ascii="Times New Roman" w:hAnsi="Times New Roman" w:cs="Times New Roman"/>
        </w:rPr>
        <w:t>As per section 93 (4) of the Police Act 1997, serious crime can be described as an offence which involves violence, is conducted by a large number of individuals in the commission of the same offence, or an offence which may impose a sentence of over three years or more on an individual with no previous convictions. Serious crime is considered by many to have a greater impact on the emotional wellbeing of victims (Rose, Nadler &amp; Clark, 2006) and tends to carry a heavier imprisonment sentence. Public opinion leans towards harsher sentences for crimes which have a greater impact on the victim (Hills &amp; Thompson, 2000). This places the interests and wellbeing of the victim as an important factor to consider, particularly during serious investigations, and it can pose challenges for police forces who have not always provided the correct support to victims.</w:t>
      </w:r>
    </w:p>
    <w:p w14:paraId="675718A8" w14:textId="77777777" w:rsidR="001A3850" w:rsidRDefault="001A3850" w:rsidP="001A3850">
      <w:pPr>
        <w:rPr>
          <w:rFonts w:ascii="Times New Roman" w:hAnsi="Times New Roman" w:cs="Times New Roman"/>
        </w:rPr>
      </w:pPr>
      <w:r>
        <w:rPr>
          <w:rFonts w:ascii="Times New Roman" w:hAnsi="Times New Roman" w:cs="Times New Roman"/>
        </w:rPr>
        <w:t xml:space="preserve">This essay will be discussing a serious and complex investigation in which I played a significant role. I will discuss and critically evaluate my performance in supporting vulnerable individuals and victims throughout the investigation, and the adaptive nature of changing approaches to suit the needs of those involved and the impact that has. </w:t>
      </w:r>
    </w:p>
    <w:p w14:paraId="1359BFFF" w14:textId="77777777" w:rsidR="001A3850" w:rsidRDefault="001A3850" w:rsidP="001A3850">
      <w:pPr>
        <w:rPr>
          <w:rFonts w:ascii="Times New Roman" w:hAnsi="Times New Roman" w:cs="Times New Roman"/>
        </w:rPr>
      </w:pPr>
    </w:p>
    <w:p w14:paraId="752760BE" w14:textId="77777777" w:rsidR="001A3850" w:rsidRDefault="001A3850" w:rsidP="001A3850">
      <w:pPr>
        <w:rPr>
          <w:rFonts w:ascii="Times New Roman" w:hAnsi="Times New Roman" w:cs="Times New Roman"/>
        </w:rPr>
      </w:pPr>
      <w:r>
        <w:rPr>
          <w:rFonts w:ascii="Times New Roman" w:hAnsi="Times New Roman" w:cs="Times New Roman"/>
        </w:rPr>
        <w:t>Due to confidentiality restrictions, specific content will be omitted from this account.</w:t>
      </w:r>
    </w:p>
    <w:p w14:paraId="02B74154" w14:textId="77777777" w:rsidR="001A3850" w:rsidRDefault="001A3850" w:rsidP="001A3850">
      <w:pPr>
        <w:rPr>
          <w:rFonts w:ascii="Times New Roman" w:hAnsi="Times New Roman" w:cs="Times New Roman"/>
        </w:rPr>
      </w:pPr>
    </w:p>
    <w:p w14:paraId="4B51E0FF" w14:textId="77777777" w:rsidR="001A3850" w:rsidRDefault="001A3850" w:rsidP="001A3850">
      <w:pPr>
        <w:rPr>
          <w:rFonts w:ascii="Times New Roman" w:hAnsi="Times New Roman" w:cs="Times New Roman"/>
        </w:rPr>
      </w:pPr>
      <w:r>
        <w:rPr>
          <w:rFonts w:ascii="Times New Roman" w:hAnsi="Times New Roman" w:cs="Times New Roman"/>
        </w:rPr>
        <w:t>Reports were made of a serious stabbing in the sector I was covering. I was working with my team in the Criminal Investigation Department (CID) at the time, and as we prepared to attend the incident, we were informed via our airwaves that the victim was declared deceased. The seriousness of the case had escalated to a murder investigation, and the priority was now entirely focused on preserving and achieving the best evidence. From this day onwards I was abstracted from my usual duties in CID to the Major Crime Investigation Team (MCIT) to continue assisting with this investigation.</w:t>
      </w:r>
    </w:p>
    <w:p w14:paraId="1F317A4C" w14:textId="77777777" w:rsidR="001A3850" w:rsidRDefault="001A3850" w:rsidP="001A3850">
      <w:pPr>
        <w:rPr>
          <w:rFonts w:ascii="Times New Roman" w:hAnsi="Times New Roman" w:cs="Times New Roman"/>
        </w:rPr>
      </w:pPr>
    </w:p>
    <w:p w14:paraId="482D700E" w14:textId="77777777" w:rsidR="001A3850" w:rsidRDefault="001A3850" w:rsidP="001A3850">
      <w:pPr>
        <w:rPr>
          <w:rFonts w:ascii="Times New Roman" w:hAnsi="Times New Roman" w:cs="Times New Roman"/>
        </w:rPr>
      </w:pPr>
      <w:r>
        <w:rPr>
          <w:rFonts w:ascii="Times New Roman" w:hAnsi="Times New Roman" w:cs="Times New Roman"/>
        </w:rPr>
        <w:t xml:space="preserve">From an investigation standpoint the incident was relatively straightforward, however the wider circumstances around the murder were complex from the beginning. The offence took place inside the victim’s address, where many family members also resided and several of them were present during the incident, including a minor with a neurodevelopmental condition (a minor refers to a child under the age of 18). Those present were key witnesses to this investigation, however it was also important to consider that they were traumatised by the incident and being family members to the deceased made them victims in their own right. </w:t>
      </w:r>
    </w:p>
    <w:p w14:paraId="123096A4" w14:textId="77777777" w:rsidR="001A3850" w:rsidRDefault="001A3850" w:rsidP="001A3850">
      <w:pPr>
        <w:rPr>
          <w:rFonts w:ascii="Times New Roman" w:hAnsi="Times New Roman" w:cs="Times New Roman"/>
        </w:rPr>
      </w:pPr>
    </w:p>
    <w:p w14:paraId="6D0FC4FA" w14:textId="77777777" w:rsidR="001A3850" w:rsidRDefault="001A3850" w:rsidP="001A3850">
      <w:pPr>
        <w:rPr>
          <w:rFonts w:ascii="Times New Roman" w:hAnsi="Times New Roman" w:cs="Times New Roman"/>
        </w:rPr>
      </w:pPr>
      <w:r>
        <w:rPr>
          <w:rFonts w:ascii="Times New Roman" w:hAnsi="Times New Roman" w:cs="Times New Roman"/>
        </w:rPr>
        <w:lastRenderedPageBreak/>
        <w:t xml:space="preserve">The Victim Code of Practice (VCP) was introduced in 2006 under the </w:t>
      </w:r>
      <w:r w:rsidRPr="0027450B">
        <w:rPr>
          <w:rFonts w:ascii="Times New Roman" w:hAnsi="Times New Roman" w:cs="Times New Roman"/>
        </w:rPr>
        <w:t>Domestic Violence, Crime and Victims Act 2004</w:t>
      </w:r>
      <w:r>
        <w:rPr>
          <w:rFonts w:ascii="Times New Roman" w:hAnsi="Times New Roman" w:cs="Times New Roman"/>
        </w:rPr>
        <w:t xml:space="preserve">. The VCP was established in order to protect and strengthen the rights of victims of crime during an investigation by highlighting twelve over-arching rights. The VCP sets out the minimum standard of service that victims are entitled to. It also states that those who are vulnerable, intimidated, persistently targeted, a victim of serious crime or a close relative of a victim of serious crime, are entitled to an enhanced service. An enhanced service requires victims to be updated within 1 day of a relevant investigation update and entitles victims to special measures when providing evidence. For example, in this case some of the victims were considered vulnerable due to their age and disability, and others were regarded as intimidated due to the nature of the offence committed. I previously referred to how, as investigators, our priority was to achieve the best evidence in this case, and the victim’s code comes into this by outlining the need for special measures. </w:t>
      </w:r>
    </w:p>
    <w:p w14:paraId="11049BE4" w14:textId="77777777" w:rsidR="001A3850" w:rsidRDefault="001A3850" w:rsidP="001A3850">
      <w:pPr>
        <w:rPr>
          <w:rFonts w:ascii="Times New Roman" w:hAnsi="Times New Roman" w:cs="Times New Roman"/>
        </w:rPr>
      </w:pPr>
    </w:p>
    <w:p w14:paraId="78DD310C" w14:textId="77777777" w:rsidR="001A3850" w:rsidRDefault="001A3850" w:rsidP="001A3850">
      <w:pPr>
        <w:rPr>
          <w:rFonts w:ascii="Times New Roman" w:hAnsi="Times New Roman" w:cs="Times New Roman"/>
        </w:rPr>
      </w:pPr>
      <w:r>
        <w:rPr>
          <w:rFonts w:ascii="Times New Roman" w:hAnsi="Times New Roman" w:cs="Times New Roman"/>
        </w:rPr>
        <w:t xml:space="preserve">Special measures (SM) were introduced by the </w:t>
      </w:r>
      <w:r w:rsidRPr="00353E50">
        <w:rPr>
          <w:rFonts w:ascii="Times New Roman" w:eastAsiaTheme="minorHAnsi" w:hAnsi="Times New Roman" w:cs="Times New Roman"/>
          <w:color w:val="auto"/>
          <w:sz w:val="22"/>
          <w:szCs w:val="22"/>
        </w:rPr>
        <w:t>Youth Justice and Criminal Evidence Act 1999</w:t>
      </w:r>
      <w:r>
        <w:rPr>
          <w:rFonts w:ascii="Times New Roman" w:hAnsi="Times New Roman" w:cs="Times New Roman"/>
        </w:rPr>
        <w:t xml:space="preserve"> to support victims of crime entitled to an enhanced service with providing the best possible evidence. The introduction of SM recognised that a vulnerable victim’s ability to provide their best evidence may be hindered by stress and anxiety.  </w:t>
      </w:r>
      <w:r w:rsidRPr="002934FF">
        <w:rPr>
          <w:rFonts w:ascii="Times New Roman" w:hAnsi="Times New Roman" w:cs="Times New Roman"/>
        </w:rPr>
        <w:t>Norris &amp; Kaniasty</w:t>
      </w:r>
      <w:r>
        <w:rPr>
          <w:rFonts w:ascii="Times New Roman" w:hAnsi="Times New Roman" w:cs="Times New Roman"/>
        </w:rPr>
        <w:t xml:space="preserve"> (</w:t>
      </w:r>
      <w:r w:rsidRPr="002934FF">
        <w:rPr>
          <w:rFonts w:ascii="Times New Roman" w:hAnsi="Times New Roman" w:cs="Times New Roman"/>
        </w:rPr>
        <w:t>1991)</w:t>
      </w:r>
      <w:r>
        <w:rPr>
          <w:rFonts w:ascii="Times New Roman" w:hAnsi="Times New Roman" w:cs="Times New Roman"/>
        </w:rPr>
        <w:t>, found that victims of violent crime were particularly affected by psychological distress in a study using self-report methods. Furthermore, eyewitness testimony is vulnerable to the effects of stress due to the impact it has on memory recall (</w:t>
      </w:r>
      <w:r w:rsidRPr="000A5FF5">
        <w:rPr>
          <w:rFonts w:ascii="Times New Roman" w:hAnsi="Times New Roman" w:cs="Times New Roman"/>
        </w:rPr>
        <w:t>Marr</w:t>
      </w:r>
      <w:r>
        <w:rPr>
          <w:rFonts w:ascii="Times New Roman" w:hAnsi="Times New Roman" w:cs="Times New Roman"/>
        </w:rPr>
        <w:t>,</w:t>
      </w:r>
      <w:r w:rsidRPr="000A5FF5">
        <w:rPr>
          <w:rFonts w:ascii="Times New Roman" w:hAnsi="Times New Roman" w:cs="Times New Roman"/>
        </w:rPr>
        <w:t xml:space="preserve"> Otgaar,</w:t>
      </w:r>
      <w:r>
        <w:rPr>
          <w:rFonts w:ascii="Times New Roman" w:hAnsi="Times New Roman" w:cs="Times New Roman"/>
        </w:rPr>
        <w:t xml:space="preserve"> </w:t>
      </w:r>
      <w:r w:rsidRPr="000A5FF5">
        <w:rPr>
          <w:rFonts w:ascii="Times New Roman" w:hAnsi="Times New Roman" w:cs="Times New Roman"/>
        </w:rPr>
        <w:t>Sauerland</w:t>
      </w:r>
      <w:r>
        <w:rPr>
          <w:rFonts w:ascii="Times New Roman" w:hAnsi="Times New Roman" w:cs="Times New Roman"/>
        </w:rPr>
        <w:t xml:space="preserve">, </w:t>
      </w:r>
      <w:r w:rsidRPr="000A5FF5">
        <w:rPr>
          <w:rFonts w:ascii="Times New Roman" w:hAnsi="Times New Roman" w:cs="Times New Roman"/>
        </w:rPr>
        <w:t>Quaedflieg,</w:t>
      </w:r>
      <w:r>
        <w:rPr>
          <w:rFonts w:ascii="Times New Roman" w:hAnsi="Times New Roman" w:cs="Times New Roman"/>
        </w:rPr>
        <w:t xml:space="preserve"> &amp; </w:t>
      </w:r>
      <w:r w:rsidRPr="000A5FF5">
        <w:rPr>
          <w:rFonts w:ascii="Times New Roman" w:hAnsi="Times New Roman" w:cs="Times New Roman"/>
        </w:rPr>
        <w:t>Hope</w:t>
      </w:r>
      <w:r>
        <w:rPr>
          <w:rFonts w:ascii="Times New Roman" w:hAnsi="Times New Roman" w:cs="Times New Roman"/>
        </w:rPr>
        <w:t xml:space="preserve">, 2020). An inconsistent or incorrect account from a victim due to stress factors may unfairly jeopardise their evidence and become an undermining factor during trial. In this case, the victims had to provide an eyewitness account of an extremely violent crime, and it was important to ensure that any stress around providing evidence was reduced. I used the guidance outlined by VPS to offer one victim an Achieving Best Evidence interview (ABE) in place of taking a statement to record their account. </w:t>
      </w:r>
    </w:p>
    <w:p w14:paraId="58AF948A" w14:textId="77777777" w:rsidR="001A3850" w:rsidRDefault="001A3850" w:rsidP="001A3850">
      <w:pPr>
        <w:rPr>
          <w:rFonts w:ascii="Times New Roman" w:hAnsi="Times New Roman" w:cs="Times New Roman"/>
        </w:rPr>
      </w:pPr>
    </w:p>
    <w:p w14:paraId="62E263A6" w14:textId="77777777" w:rsidR="001A3850" w:rsidRDefault="001A3850" w:rsidP="001A3850">
      <w:pPr>
        <w:rPr>
          <w:rFonts w:ascii="Times New Roman" w:hAnsi="Times New Roman" w:cs="Times New Roman"/>
        </w:rPr>
      </w:pPr>
      <w:r>
        <w:rPr>
          <w:rFonts w:ascii="Times New Roman" w:hAnsi="Times New Roman" w:cs="Times New Roman"/>
        </w:rPr>
        <w:t xml:space="preserve">There are four phases to directing an ABE: building rapport; free narrative account; questions around the account; closing. The purpose of the ABE interview is to reduce the pressure of having to give evidence in court and avoid cross-examination by the defence. Nevertheless, the interview itself can still pose challenges for victims. A poorly conducted ABE can also harm evidence through substandard and misleading questioning techniques (Brewer &amp; Douglas, 2019). This risk can be mitigated by carefully planning the interview (Richardson, 2022), however challenging time restrictions in high pressured cases can be limiting in circumstances where other risks need to be prioritised, e.g. outstanding suspects that may pose a risk to the public. An initial account taken from the victim may be rushed in order to gain important intelligence, and this may contradict any further account given in interview which would need to be carefully explored and explained to reduce causing any undermining factors at </w:t>
      </w:r>
      <w:r w:rsidRPr="00321EC2">
        <w:rPr>
          <w:rFonts w:ascii="Times New Roman" w:hAnsi="Times New Roman" w:cs="Times New Roman"/>
          <w:color w:val="auto"/>
        </w:rPr>
        <w:t>trial</w:t>
      </w:r>
      <w:r>
        <w:rPr>
          <w:rFonts w:ascii="Times New Roman" w:hAnsi="Times New Roman" w:cs="Times New Roman"/>
        </w:rPr>
        <w:t xml:space="preserve">. </w:t>
      </w:r>
      <w:r w:rsidRPr="00321EC2">
        <w:rPr>
          <w:rFonts w:ascii="Times New Roman" w:hAnsi="Times New Roman" w:cs="Times New Roman"/>
          <w:color w:val="auto"/>
        </w:rPr>
        <w:t>Moreover</w:t>
      </w:r>
      <w:r>
        <w:rPr>
          <w:rFonts w:ascii="Times New Roman" w:hAnsi="Times New Roman" w:cs="Times New Roman"/>
        </w:rPr>
        <w:t xml:space="preserve">, this is why competent training methods are delivered to those conducting such interviews. </w:t>
      </w:r>
    </w:p>
    <w:p w14:paraId="35EE7CA8" w14:textId="77777777" w:rsidR="001A3850" w:rsidRDefault="001A3850" w:rsidP="001A3850">
      <w:pPr>
        <w:rPr>
          <w:rFonts w:ascii="Times New Roman" w:hAnsi="Times New Roman" w:cs="Times New Roman"/>
        </w:rPr>
      </w:pPr>
    </w:p>
    <w:p w14:paraId="2215B844" w14:textId="77777777" w:rsidR="001A3850" w:rsidRDefault="001A3850" w:rsidP="001A3850">
      <w:pPr>
        <w:rPr>
          <w:rFonts w:ascii="Times New Roman" w:hAnsi="Times New Roman" w:cs="Times New Roman"/>
        </w:rPr>
      </w:pPr>
      <w:r>
        <w:rPr>
          <w:rFonts w:ascii="Times New Roman" w:hAnsi="Times New Roman" w:cs="Times New Roman"/>
        </w:rPr>
        <w:t>In this case, I was not personally ABE trained. However, I assisted with planning the interview and monitored the interview while taking notes. I noticed issues when my colleague was leading the ABE interview during the rapport phase of the process. The victim’s family were not first language English speakers and as per the VCP were entitled to be understood and so the services of an interpreter were utilised. Though there may have been a number of different factors at play, the interviewee seemed reluctant towards the interviewer’s attempts to build rapport. This may have been due to the exhaustion they were experiencing due to their recent trauma, or perhaps there were cultural differences in which both the interviewee and interviewer were expectant of different social norms. However, it seemed that the interviewer’s choice of language did not always translate well or deliver their message effectively. From observation it would seem that avoiding using figures of speech and highly technical words may benefit situations whereby an interpreter is required.</w:t>
      </w:r>
    </w:p>
    <w:p w14:paraId="63AD4457" w14:textId="77777777" w:rsidR="001A3850" w:rsidRDefault="001A3850" w:rsidP="001A3850">
      <w:pPr>
        <w:rPr>
          <w:rFonts w:ascii="Times New Roman" w:hAnsi="Times New Roman" w:cs="Times New Roman"/>
        </w:rPr>
      </w:pPr>
    </w:p>
    <w:p w14:paraId="364ABDD4" w14:textId="77777777" w:rsidR="001A3850" w:rsidRDefault="001A3850" w:rsidP="001A3850">
      <w:pPr>
        <w:rPr>
          <w:rFonts w:ascii="Times New Roman" w:hAnsi="Times New Roman" w:cs="Times New Roman"/>
        </w:rPr>
      </w:pPr>
      <w:r>
        <w:rPr>
          <w:rFonts w:ascii="Times New Roman" w:hAnsi="Times New Roman" w:cs="Times New Roman"/>
        </w:rPr>
        <w:t xml:space="preserve">The Equality Act (2010) does not reference language as a protected characteristic, and the services of the Criminal Justice System inadequately caters to languages other than English, and additionally Welsh which is protected by legislation (Hunter et al., 2022). It is important that those who speak an alternative language to English are not unfairly disadvantaged during an investigation due to this, which is why the VCP sets to protect those by outlining the need for victims to be understood, citing the need for interpreters where appropriate. It is imperative that officers try to assist this process where possible so that victim’s voices are heard regardless of the challenges presented by the translation process. Suggestions by Howes (2017) indicates that officers may mitigate some of these challenges by better preparing and briefing the interpreter thoroughly and by checking any difficult or infrequently used words prior to the interview. In this case, I believe that my colleague and I could have aided the process by properly informing the interpreter of the circumstances beforehand due to the upsetting and disturbing nature of the case. This appears to be a simple, yet significant oversight, however it was clearly overlooked due to the stress, pressures and fatigue we experienced. This signifies the importance of taking time to reflect on each part of the planning and preparation process when conducting ABE interviews and </w:t>
      </w:r>
      <w:r>
        <w:rPr>
          <w:rFonts w:ascii="Times New Roman" w:hAnsi="Times New Roman" w:cs="Times New Roman"/>
        </w:rPr>
        <w:lastRenderedPageBreak/>
        <w:t xml:space="preserve">indicates some of the limitations that can be presented by ABE interviews and their impact if not effectively delivered. </w:t>
      </w:r>
    </w:p>
    <w:p w14:paraId="6C613F89" w14:textId="77777777" w:rsidR="001A3850" w:rsidRDefault="001A3850" w:rsidP="001A3850">
      <w:pPr>
        <w:rPr>
          <w:rFonts w:ascii="Times New Roman" w:hAnsi="Times New Roman" w:cs="Times New Roman"/>
        </w:rPr>
      </w:pPr>
    </w:p>
    <w:p w14:paraId="69CF5C95" w14:textId="77777777" w:rsidR="001A3850" w:rsidRDefault="001A3850" w:rsidP="001A3850">
      <w:pPr>
        <w:rPr>
          <w:rFonts w:ascii="Times New Roman" w:hAnsi="Times New Roman" w:cs="Times New Roman"/>
        </w:rPr>
      </w:pPr>
      <w:r>
        <w:rPr>
          <w:rFonts w:ascii="Times New Roman" w:hAnsi="Times New Roman" w:cs="Times New Roman"/>
        </w:rPr>
        <w:t>An approach I believe worked particularly well with the victims in this investigation was the implementation of the Family Liaison Officer (FLO) to work with the bereft family. I quickly learnt how important the FLO was in communicating with the family and gathering the best evidence from them. The role of the FLO is primarily to be an investigator and gather evidence from the family for the investigation, whist also being a consistent point of contact and sensitively supporting them through it (Brookman, 2023). Through trying to arrange statements from wider members of the family it became clear that they would only trust information given to them through the FLO. Indeed, one family member referred to his exhaustion with being asked the same question several times, by serval different people, he asked me to re-visit any further request through the FLO. I ensured from this moment that this request was delivered to the senior investigators of this case, and continued to work with the FLO with any further enquiry I was tasked with.</w:t>
      </w:r>
    </w:p>
    <w:p w14:paraId="531FBD09" w14:textId="77777777" w:rsidR="001A3850" w:rsidRDefault="001A3850" w:rsidP="001A3850">
      <w:pPr>
        <w:rPr>
          <w:rFonts w:ascii="Times New Roman" w:hAnsi="Times New Roman" w:cs="Times New Roman"/>
        </w:rPr>
      </w:pPr>
    </w:p>
    <w:p w14:paraId="03A3D43F" w14:textId="21E0834F" w:rsidR="001A3850" w:rsidRDefault="001A3850" w:rsidP="001A3850">
      <w:pPr>
        <w:rPr>
          <w:rFonts w:ascii="Times New Roman" w:hAnsi="Times New Roman" w:cs="Times New Roman"/>
        </w:rPr>
      </w:pPr>
      <w:r>
        <w:rPr>
          <w:rFonts w:ascii="Times New Roman" w:hAnsi="Times New Roman" w:cs="Times New Roman"/>
        </w:rPr>
        <w:t xml:space="preserve">FLOs were routinely introduced after the case of Stephen Lawrence (Brookman, 2023). Lawrence was brutally murdered in a racially motivated attack in 1993. An inquiry lead by Sir William Macpherson in 1999 concluded that there had been systemic failures by the police during the investigation, including with the treatment of Lawrence’s family. The family were treated with a lack of respect and were not provided with the updates they were entitled to. Secondary victimisation may arise in such cases where the victim or the victim’s family are not treated with the sensitivity they require. Secondary victimisation occurs when the victim is harmed and further traumatised by the actions of the investigation, rather than the direct impact of the offence (Pemberton &amp; Mulder, 2023). </w:t>
      </w:r>
      <w:r w:rsidRPr="00321EC2">
        <w:rPr>
          <w:rFonts w:ascii="Times New Roman" w:hAnsi="Times New Roman" w:cs="Times New Roman"/>
        </w:rPr>
        <w:t>Gekoski</w:t>
      </w:r>
      <w:r>
        <w:rPr>
          <w:rFonts w:ascii="Times New Roman" w:hAnsi="Times New Roman" w:cs="Times New Roman"/>
        </w:rPr>
        <w:t xml:space="preserve">, </w:t>
      </w:r>
      <w:r w:rsidRPr="00321EC2">
        <w:rPr>
          <w:rFonts w:ascii="Times New Roman" w:hAnsi="Times New Roman" w:cs="Times New Roman"/>
        </w:rPr>
        <w:t>Adler, and Gray</w:t>
      </w:r>
      <w:r>
        <w:rPr>
          <w:rFonts w:ascii="Times New Roman" w:hAnsi="Times New Roman" w:cs="Times New Roman"/>
        </w:rPr>
        <w:t xml:space="preserve"> (2013) discuss how secondary victimisation can be reduced by improving communication between the investigation and the victim. Evidence based policing focuses on the practice of using evidence to inform decision-making and to influence current policing policies (College of Policing, 2024) Thus if the principles of </w:t>
      </w:r>
      <w:r>
        <w:rPr>
          <w:rFonts w:ascii="Times New Roman" w:hAnsi="Times New Roman" w:cs="Times New Roman"/>
        </w:rPr>
        <w:t>evidence-based</w:t>
      </w:r>
      <w:r>
        <w:rPr>
          <w:rFonts w:ascii="Times New Roman" w:hAnsi="Times New Roman" w:cs="Times New Roman"/>
        </w:rPr>
        <w:t xml:space="preserve"> policing are applied in this case, it is reasonable to use available research and learnings from historic cases to inform practice and actions taken. Meaning, that the use of an FLO appeared to be an appropriate tool in supporting the family from both an </w:t>
      </w:r>
      <w:r>
        <w:rPr>
          <w:rFonts w:ascii="Times New Roman" w:hAnsi="Times New Roman" w:cs="Times New Roman"/>
        </w:rPr>
        <w:t>evidence-based</w:t>
      </w:r>
      <w:r>
        <w:rPr>
          <w:rFonts w:ascii="Times New Roman" w:hAnsi="Times New Roman" w:cs="Times New Roman"/>
        </w:rPr>
        <w:t xml:space="preserve"> perspective and from my own observations and experiences.</w:t>
      </w:r>
    </w:p>
    <w:p w14:paraId="3F121D6C" w14:textId="77777777" w:rsidR="001A3850" w:rsidRDefault="001A3850" w:rsidP="001A3850">
      <w:pPr>
        <w:rPr>
          <w:rFonts w:ascii="Times New Roman" w:hAnsi="Times New Roman" w:cs="Times New Roman"/>
        </w:rPr>
      </w:pPr>
    </w:p>
    <w:p w14:paraId="34FF9C57" w14:textId="3203E427" w:rsidR="001A3850" w:rsidRDefault="001A3850" w:rsidP="001A3850">
      <w:pPr>
        <w:rPr>
          <w:rFonts w:ascii="Times New Roman" w:hAnsi="Times New Roman" w:cs="Times New Roman"/>
        </w:rPr>
      </w:pPr>
      <w:r>
        <w:rPr>
          <w:rFonts w:ascii="Times New Roman" w:hAnsi="Times New Roman" w:cs="Times New Roman"/>
        </w:rPr>
        <w:t xml:space="preserve">In conclusion, this case was a complex and challenging case in which many approaches were used to support the family of the victim, who as per the VCP, were victims of crime due to their relation to the victim. I evaluated which methods I believed proved useful in supporting the family, and their benefits and limitations. From such evaluations, I can conclude that </w:t>
      </w:r>
      <w:r>
        <w:rPr>
          <w:rFonts w:ascii="Times New Roman" w:hAnsi="Times New Roman" w:cs="Times New Roman"/>
        </w:rPr>
        <w:t>evidence-based</w:t>
      </w:r>
      <w:r>
        <w:rPr>
          <w:rFonts w:ascii="Times New Roman" w:hAnsi="Times New Roman" w:cs="Times New Roman"/>
        </w:rPr>
        <w:t xml:space="preserve"> policing is invaluable in informing future policy to the treatment of victims and should be carefully considered, particularly in cases of a sensitive nature. It is important to limit any further risk of harm to victims that may arise </w:t>
      </w:r>
      <w:r>
        <w:rPr>
          <w:rFonts w:ascii="Times New Roman" w:hAnsi="Times New Roman" w:cs="Times New Roman"/>
        </w:rPr>
        <w:t>from</w:t>
      </w:r>
      <w:r>
        <w:rPr>
          <w:rFonts w:ascii="Times New Roman" w:hAnsi="Times New Roman" w:cs="Times New Roman"/>
        </w:rPr>
        <w:t xml:space="preserve"> the nature of the investigation at hand and be conscious of the risk of secondary victimisation. Overall, I believe I was successful in supporting the victims of this investigation while referring to the guidance and policy available to me as an investigator. </w:t>
      </w:r>
    </w:p>
    <w:p w14:paraId="7BFC620B" w14:textId="77777777" w:rsidR="001A3850" w:rsidRPr="00E676F7" w:rsidRDefault="001A3850"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66521DE2" w:rsidR="00A221AB" w:rsidRDefault="001A3850" w:rsidP="00211695">
      <w:pPr>
        <w:overflowPunct/>
        <w:autoSpaceDE/>
        <w:autoSpaceDN/>
        <w:adjustRightInd/>
        <w:textAlignment w:val="auto"/>
        <w:rPr>
          <w:b/>
          <w:bCs/>
          <w:sz w:val="24"/>
          <w:szCs w:val="24"/>
        </w:rPr>
      </w:pPr>
      <w:r>
        <w:rPr>
          <w:b/>
          <w:bCs/>
          <w:sz w:val="24"/>
          <w:szCs w:val="24"/>
        </w:rPr>
        <w:t>Word count: 1898</w:t>
      </w: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6FD3FB64" w14:textId="77777777" w:rsidR="000A7D87" w:rsidRDefault="000A7D87" w:rsidP="00211695">
      <w:pPr>
        <w:overflowPunct/>
        <w:autoSpaceDE/>
        <w:autoSpaceDN/>
        <w:adjustRightInd/>
        <w:textAlignment w:val="auto"/>
        <w:rPr>
          <w:b/>
          <w:bCs/>
          <w:sz w:val="24"/>
          <w:szCs w:val="24"/>
        </w:rPr>
      </w:pPr>
    </w:p>
    <w:p w14:paraId="2A6800B6" w14:textId="77777777" w:rsidR="000A7D87" w:rsidRPr="000A7D87" w:rsidRDefault="000A7D87" w:rsidP="00211695">
      <w:pPr>
        <w:overflowPunct/>
        <w:autoSpaceDE/>
        <w:autoSpaceDN/>
        <w:adjustRightInd/>
        <w:textAlignment w:val="auto"/>
        <w:rPr>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bookmarkStart w:id="1" w:name="_Hlk165205612"/>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bookmarkEnd w:id="1"/>
    </w:tbl>
    <w:p w14:paraId="0CB19F61" w14:textId="22B7350E" w:rsidR="0FF883D4" w:rsidRDefault="0FF883D4" w:rsidP="0FF883D4">
      <w:pPr>
        <w:ind w:right="237"/>
        <w:jc w:val="both"/>
        <w:rPr>
          <w:color w:val="000000" w:themeColor="text1"/>
          <w:sz w:val="24"/>
          <w:szCs w:val="24"/>
        </w:rPr>
      </w:pPr>
    </w:p>
    <w:p w14:paraId="1505BB66" w14:textId="29BBCF7A" w:rsidR="0FF883D4" w:rsidRDefault="009B1892" w:rsidP="0FF883D4">
      <w:pPr>
        <w:ind w:right="237"/>
        <w:jc w:val="both"/>
        <w:rPr>
          <w:color w:val="000000" w:themeColor="text1"/>
          <w:sz w:val="24"/>
          <w:szCs w:val="24"/>
        </w:rPr>
      </w:pPr>
      <w:r>
        <w:rPr>
          <w:color w:val="000000" w:themeColor="text1"/>
          <w:sz w:val="24"/>
          <w:szCs w:val="24"/>
        </w:rPr>
        <w:t xml:space="preserve"> </w:t>
      </w: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38169EF" w14:textId="77777777" w:rsidR="001A3850" w:rsidRDefault="001A3850" w:rsidP="009370AE">
      <w:pPr>
        <w:ind w:right="237"/>
        <w:jc w:val="both"/>
        <w:rPr>
          <w:b/>
          <w:bCs/>
          <w:color w:val="000000" w:themeColor="text1"/>
          <w:sz w:val="28"/>
          <w:szCs w:val="28"/>
        </w:rPr>
      </w:pPr>
    </w:p>
    <w:p w14:paraId="15F790D8" w14:textId="77777777" w:rsidR="001A3850" w:rsidRPr="007B4A1F" w:rsidRDefault="001A3850" w:rsidP="001A3850">
      <w:pPr>
        <w:rPr>
          <w:rFonts w:ascii="Times New Roman" w:hAnsi="Times New Roman" w:cs="Times New Roman"/>
        </w:rPr>
      </w:pPr>
      <w:r>
        <w:rPr>
          <w:rFonts w:ascii="Times New Roman" w:hAnsi="Times New Roman" w:cs="Times New Roman"/>
        </w:rPr>
        <w:t xml:space="preserve">In this essay I will discuss a complex investigation in which I was the officer in charge (OIC). I will critically evaluate the processes I employed and the fast-track actions that I utilised. I will evaluate the support I provided to the victim of the investigation and reflect upon how I managed my own personal attitudes and values in relation to this. </w:t>
      </w:r>
    </w:p>
    <w:p w14:paraId="557C688A" w14:textId="77777777" w:rsidR="001A3850" w:rsidRDefault="001A3850" w:rsidP="001A3850">
      <w:pPr>
        <w:rPr>
          <w:rFonts w:ascii="Times New Roman" w:hAnsi="Times New Roman" w:cs="Times New Roman"/>
        </w:rPr>
      </w:pPr>
    </w:p>
    <w:p w14:paraId="20C34735" w14:textId="77777777" w:rsidR="001A3850" w:rsidRDefault="001A3850" w:rsidP="001A3850">
      <w:pPr>
        <w:rPr>
          <w:rFonts w:ascii="Times New Roman" w:hAnsi="Times New Roman" w:cs="Times New Roman"/>
        </w:rPr>
      </w:pPr>
      <w:r>
        <w:rPr>
          <w:rFonts w:ascii="Times New Roman" w:hAnsi="Times New Roman" w:cs="Times New Roman"/>
        </w:rPr>
        <w:t>A report was made by an elderly male stating he had paid men to cut down a tree in his garden. He described that he originally paid a small sum of money for the tree to be cut down, although he was pressurised into doing so in the first place. The men convinced him that the tree and surrounding plants in his garden were infected by a virus and needed further treatment, leading to him paying a total sum of thirty thousand pounds which took place over a period of months. The men recently demanded a further fee of ten thousand pounds, which is when the victim finally decided to contact the police.</w:t>
      </w:r>
    </w:p>
    <w:p w14:paraId="7E8F8442" w14:textId="77777777" w:rsidR="001A3850" w:rsidRDefault="001A3850" w:rsidP="001A3850">
      <w:pPr>
        <w:rPr>
          <w:rFonts w:ascii="Times New Roman" w:hAnsi="Times New Roman" w:cs="Times New Roman"/>
        </w:rPr>
      </w:pPr>
    </w:p>
    <w:p w14:paraId="62D1C72B" w14:textId="77777777" w:rsidR="001A3850" w:rsidRDefault="001A3850" w:rsidP="001A3850">
      <w:pPr>
        <w:rPr>
          <w:rFonts w:ascii="Times New Roman" w:hAnsi="Times New Roman" w:cs="Times New Roman"/>
        </w:rPr>
      </w:pPr>
      <w:r>
        <w:rPr>
          <w:rFonts w:ascii="Times New Roman" w:hAnsi="Times New Roman" w:cs="Times New Roman"/>
        </w:rPr>
        <w:t xml:space="preserve">My initial response to this report was to speak to the victim to gather more facts surrounding the circumstances of the work undertaken and establish what, if any, offences had been committed. I was directed to do so by the National Decision Making model (NDM), which is a tool used by those in policing to aid with decision making by providing a framework that focuses on reflection and reminds the user of important areas of consideration in </w:t>
      </w:r>
      <w:r>
        <w:rPr>
          <w:rFonts w:ascii="Times New Roman" w:hAnsi="Times New Roman" w:cs="Times New Roman"/>
        </w:rPr>
        <w:lastRenderedPageBreak/>
        <w:t xml:space="preserve">policing. The NDM was introduced in 2012, influenced by the Police Conduct Regulations (2012). The decision-making framework is centred on the code of </w:t>
      </w:r>
      <w:r w:rsidRPr="00563448">
        <w:rPr>
          <w:rFonts w:ascii="Times New Roman" w:hAnsi="Times New Roman" w:cs="Times New Roman"/>
        </w:rPr>
        <w:t xml:space="preserve">ethics and lists a cycle of five steps; </w:t>
      </w:r>
      <w:r w:rsidRPr="00563448">
        <w:rPr>
          <w:rFonts w:ascii="Times New Roman" w:hAnsi="Times New Roman" w:cs="Times New Roman"/>
          <w:sz w:val="22"/>
          <w:szCs w:val="22"/>
        </w:rPr>
        <w:t>to gather information and intelligence</w:t>
      </w:r>
      <w:r w:rsidRPr="00563448">
        <w:rPr>
          <w:rFonts w:ascii="Times New Roman" w:hAnsi="Times New Roman" w:cs="Times New Roman"/>
        </w:rPr>
        <w:t>,</w:t>
      </w:r>
      <w:r w:rsidRPr="00563448">
        <w:rPr>
          <w:rFonts w:ascii="Times New Roman" w:hAnsi="Times New Roman" w:cs="Times New Roman"/>
          <w:sz w:val="22"/>
          <w:szCs w:val="22"/>
        </w:rPr>
        <w:t xml:space="preserve"> to assess threat, risk and develop a working strategy</w:t>
      </w:r>
      <w:r w:rsidRPr="00563448">
        <w:rPr>
          <w:rFonts w:ascii="Times New Roman" w:hAnsi="Times New Roman" w:cs="Times New Roman"/>
        </w:rPr>
        <w:t>,</w:t>
      </w:r>
      <w:r w:rsidRPr="00563448">
        <w:rPr>
          <w:rFonts w:ascii="Times New Roman" w:hAnsi="Times New Roman" w:cs="Times New Roman"/>
          <w:sz w:val="22"/>
          <w:szCs w:val="22"/>
        </w:rPr>
        <w:t xml:space="preserve"> to consider powers and policy</w:t>
      </w:r>
      <w:r w:rsidRPr="00563448">
        <w:rPr>
          <w:rFonts w:ascii="Times New Roman" w:hAnsi="Times New Roman" w:cs="Times New Roman"/>
        </w:rPr>
        <w:t>,</w:t>
      </w:r>
      <w:r w:rsidRPr="00563448">
        <w:rPr>
          <w:rFonts w:ascii="Times New Roman" w:hAnsi="Times New Roman" w:cs="Times New Roman"/>
          <w:sz w:val="22"/>
          <w:szCs w:val="22"/>
        </w:rPr>
        <w:t xml:space="preserve"> to identify options and contingencies</w:t>
      </w:r>
      <w:r w:rsidRPr="00563448">
        <w:rPr>
          <w:rFonts w:ascii="Times New Roman" w:hAnsi="Times New Roman" w:cs="Times New Roman"/>
        </w:rPr>
        <w:t>, and</w:t>
      </w:r>
      <w:r w:rsidRPr="00563448">
        <w:rPr>
          <w:rFonts w:ascii="Times New Roman" w:hAnsi="Times New Roman" w:cs="Times New Roman"/>
          <w:sz w:val="22"/>
          <w:szCs w:val="22"/>
        </w:rPr>
        <w:t xml:space="preserve"> to take action and review what happened.</w:t>
      </w:r>
      <w:r>
        <w:rPr>
          <w:rFonts w:ascii="Times New Roman" w:hAnsi="Times New Roman" w:cs="Times New Roman"/>
        </w:rPr>
        <w:t xml:space="preserve"> As per the first stage of the NDM, I was encouraged to gather as much information as I could from the victim’s account so that I could begin to plan the best initial course of fast-track actions.</w:t>
      </w:r>
    </w:p>
    <w:p w14:paraId="24D2ABBE" w14:textId="77777777" w:rsidR="001A3850" w:rsidRDefault="001A3850" w:rsidP="001A3850">
      <w:pPr>
        <w:rPr>
          <w:rFonts w:ascii="Times New Roman" w:hAnsi="Times New Roman" w:cs="Times New Roman"/>
        </w:rPr>
      </w:pPr>
      <w:r>
        <w:rPr>
          <w:rFonts w:ascii="Times New Roman" w:hAnsi="Times New Roman" w:cs="Times New Roman"/>
        </w:rPr>
        <w:t xml:space="preserve">Two males knocked on the door of the victim’s address and asked whether he wished to have his tree cut back. The victim initially declined, however the males declared that they would check his tree in any case, and without invitation, allowed themselves into his garden to inspect the tree. The victim relented and paid the men in cash to cut it back. The two male suspects established an authoritarian and intimidating routine over the victim and continued to return to his address, seeking money for further unnecessary work which was never completed. The males did not reveal their true names during the course of their interactions with the victim. </w:t>
      </w:r>
    </w:p>
    <w:p w14:paraId="44FCAE08" w14:textId="77777777" w:rsidR="001A3850" w:rsidRDefault="001A3850" w:rsidP="001A3850">
      <w:pPr>
        <w:rPr>
          <w:rFonts w:ascii="Times New Roman" w:hAnsi="Times New Roman" w:cs="Times New Roman"/>
        </w:rPr>
      </w:pPr>
    </w:p>
    <w:p w14:paraId="411359D0" w14:textId="77777777" w:rsidR="001A3850" w:rsidRDefault="001A3850" w:rsidP="001A3850">
      <w:pPr>
        <w:rPr>
          <w:rFonts w:ascii="Times New Roman" w:hAnsi="Times New Roman" w:cs="Times New Roman"/>
        </w:rPr>
      </w:pPr>
      <w:r>
        <w:rPr>
          <w:rFonts w:ascii="Times New Roman" w:hAnsi="Times New Roman" w:cs="Times New Roman"/>
        </w:rPr>
        <w:t xml:space="preserve">From this information I was able to establish that I was to investigate an offence of Fraud under section two of the Fraud Act (2006). The points to prove for this offence were met as the suspects “dishonestly made false representations” by insisting unneeded work was required through promising to deliver a service that they never provided, and did so in order to “make a gain for themselves” financially (Fraud Act, 2006).  </w:t>
      </w:r>
    </w:p>
    <w:p w14:paraId="435F0297" w14:textId="77777777" w:rsidR="001A3850" w:rsidRDefault="001A3850" w:rsidP="001A3850">
      <w:pPr>
        <w:rPr>
          <w:rFonts w:ascii="Times New Roman" w:hAnsi="Times New Roman" w:cs="Times New Roman"/>
        </w:rPr>
      </w:pPr>
    </w:p>
    <w:p w14:paraId="1E694679" w14:textId="77777777" w:rsidR="001A3850" w:rsidRDefault="001A3850" w:rsidP="001A3850">
      <w:pPr>
        <w:rPr>
          <w:rFonts w:ascii="Times New Roman" w:hAnsi="Times New Roman" w:cs="Times New Roman"/>
        </w:rPr>
      </w:pPr>
      <w:r>
        <w:rPr>
          <w:rFonts w:ascii="Times New Roman" w:hAnsi="Times New Roman" w:cs="Times New Roman"/>
        </w:rPr>
        <w:t xml:space="preserve">It became clear that the victim was not entirely sure if an offence had taken place, or whether he was indeed a victim. The victim was advised to contact the police after an employee at the bank became suspicious by the frequent number of cash withdrawals he was making; however, he was reluctant to do so as he did not consider himself a victim and blamed himself for the events that took place. However, the financial and emotional impact had clearly caused him significant suffering in the months past. Through gathering further information, I came to understand that the victim was the target of rouge traders who appeared to pray on his specific vulnerabilities, namely that he was isolated and elderly, and thus less able to receive help from a support network. </w:t>
      </w:r>
    </w:p>
    <w:p w14:paraId="59E0BF98" w14:textId="77777777" w:rsidR="001A3850" w:rsidRDefault="001A3850" w:rsidP="001A3850">
      <w:pPr>
        <w:rPr>
          <w:rFonts w:ascii="Times New Roman" w:hAnsi="Times New Roman" w:cs="Times New Roman"/>
        </w:rPr>
      </w:pPr>
    </w:p>
    <w:p w14:paraId="47C1557E" w14:textId="77777777" w:rsidR="001A3850" w:rsidRDefault="001A3850" w:rsidP="001A3850">
      <w:pPr>
        <w:rPr>
          <w:rFonts w:ascii="Times New Roman" w:hAnsi="Times New Roman" w:cs="Times New Roman"/>
        </w:rPr>
      </w:pPr>
      <w:r>
        <w:rPr>
          <w:rFonts w:ascii="Times New Roman" w:hAnsi="Times New Roman" w:cs="Times New Roman"/>
        </w:rPr>
        <w:t>A victim of fraud may experience myriad of different reactions due to the impact of the crime (</w:t>
      </w:r>
      <w:r w:rsidRPr="00934435">
        <w:rPr>
          <w:rFonts w:ascii="Times New Roman" w:hAnsi="Times New Roman" w:cs="Times New Roman"/>
        </w:rPr>
        <w:t>Button, Lewis</w:t>
      </w:r>
      <w:r>
        <w:rPr>
          <w:rFonts w:ascii="Times New Roman" w:hAnsi="Times New Roman" w:cs="Times New Roman"/>
        </w:rPr>
        <w:t xml:space="preserve">, &amp; </w:t>
      </w:r>
      <w:r w:rsidRPr="00934435">
        <w:rPr>
          <w:rFonts w:ascii="Times New Roman" w:hAnsi="Times New Roman" w:cs="Times New Roman"/>
        </w:rPr>
        <w:t>Tapley</w:t>
      </w:r>
      <w:r>
        <w:rPr>
          <w:rFonts w:ascii="Times New Roman" w:hAnsi="Times New Roman" w:cs="Times New Roman"/>
        </w:rPr>
        <w:t>, 2012). A study conducted by</w:t>
      </w:r>
      <w:r w:rsidRPr="00766CE3">
        <w:rPr>
          <w:rFonts w:ascii="Times New Roman" w:hAnsi="Times New Roman" w:cs="Times New Roman"/>
        </w:rPr>
        <w:t xml:space="preserve"> Junger</w:t>
      </w:r>
      <w:r>
        <w:rPr>
          <w:rFonts w:ascii="Times New Roman" w:hAnsi="Times New Roman" w:cs="Times New Roman"/>
        </w:rPr>
        <w:t xml:space="preserve">, </w:t>
      </w:r>
      <w:r w:rsidRPr="00766CE3">
        <w:rPr>
          <w:rFonts w:ascii="Times New Roman" w:hAnsi="Times New Roman" w:cs="Times New Roman"/>
        </w:rPr>
        <w:t>Koning</w:t>
      </w:r>
      <w:r>
        <w:rPr>
          <w:rFonts w:ascii="Times New Roman" w:hAnsi="Times New Roman" w:cs="Times New Roman"/>
        </w:rPr>
        <w:t xml:space="preserve">, </w:t>
      </w:r>
      <w:r w:rsidRPr="00766CE3">
        <w:rPr>
          <w:rFonts w:ascii="Times New Roman" w:hAnsi="Times New Roman" w:cs="Times New Roman"/>
        </w:rPr>
        <w:t>Hartel</w:t>
      </w:r>
      <w:r>
        <w:rPr>
          <w:rFonts w:ascii="Times New Roman" w:hAnsi="Times New Roman" w:cs="Times New Roman"/>
        </w:rPr>
        <w:t xml:space="preserve"> and </w:t>
      </w:r>
      <w:r w:rsidRPr="00766CE3">
        <w:rPr>
          <w:rFonts w:ascii="Times New Roman" w:hAnsi="Times New Roman" w:cs="Times New Roman"/>
        </w:rPr>
        <w:t>Veldkamp</w:t>
      </w:r>
      <w:r>
        <w:rPr>
          <w:rFonts w:ascii="Times New Roman" w:hAnsi="Times New Roman" w:cs="Times New Roman"/>
        </w:rPr>
        <w:t xml:space="preserve"> (2013), found that victims of fraud often focused on strategies to avoid deception which may lead to further victimisation, possibly making them vulnerable to becoming repeat victims. In this case, the victim had already been targeted multiple times and was considered a repeat victim under the Victim’s Code of Practice (VCP)(2006). The VCP was introduced to strengthen the rights of victims in investigations and highlight those most vulnerable and in need of support.</w:t>
      </w:r>
    </w:p>
    <w:p w14:paraId="5EF98BD4" w14:textId="77777777" w:rsidR="001A3850" w:rsidRDefault="001A3850" w:rsidP="001A3850">
      <w:pPr>
        <w:rPr>
          <w:rFonts w:ascii="Times New Roman" w:hAnsi="Times New Roman" w:cs="Times New Roman"/>
        </w:rPr>
      </w:pPr>
      <w:r>
        <w:rPr>
          <w:rFonts w:ascii="Times New Roman" w:hAnsi="Times New Roman" w:cs="Times New Roman"/>
        </w:rPr>
        <w:t>As per the second phase of the NDM I assessed the threat, risk, and harm to the victim. I ensured that rigorous safeguarding was in place to prevent the suspects from returning by applying preventative measures to minimise the risk of repeat victimisation. I liaised with neighbourhood officers to set up local patrols near to the victim’s home address and ensured that the victim was being visited twice a week by neighbourhood officers to provide reassurance. I also referred him to Victim Support to arrange security and surveillance at his property to deter any further offenders. As per the VCP, I ensured to update the victim with in twenty-four hours of any development in the case.</w:t>
      </w:r>
    </w:p>
    <w:p w14:paraId="0B50C9E0" w14:textId="77777777" w:rsidR="001A3850" w:rsidRDefault="001A3850" w:rsidP="001A3850">
      <w:pPr>
        <w:rPr>
          <w:rFonts w:ascii="Times New Roman" w:hAnsi="Times New Roman" w:cs="Times New Roman"/>
        </w:rPr>
      </w:pPr>
    </w:p>
    <w:p w14:paraId="267621AE" w14:textId="77777777" w:rsidR="001A3850" w:rsidRDefault="001A3850" w:rsidP="001A3850">
      <w:pPr>
        <w:rPr>
          <w:rFonts w:ascii="Times New Roman" w:hAnsi="Times New Roman" w:cs="Times New Roman"/>
        </w:rPr>
      </w:pPr>
      <w:r>
        <w:rPr>
          <w:rFonts w:ascii="Times New Roman" w:hAnsi="Times New Roman" w:cs="Times New Roman"/>
        </w:rPr>
        <w:t>In the past, victims of fraud were treated less seriously by police, media and the Criminal Justice System (CJS)(Levi &amp; Pithouse, 1992). I wanted to ensure that the victim was aware of the severity of the crime in the eyes of the police and that the police would respond accordingly. I had to be careful to consider my own attitudes while interacting with the victim. Research indicates that police perception of victims can be influenced by the character and presentation of the victim, with officers showing more empathy to victims who appear more innocent (</w:t>
      </w:r>
      <w:r w:rsidRPr="00735110">
        <w:rPr>
          <w:rFonts w:ascii="Times New Roman" w:hAnsi="Times New Roman" w:cs="Times New Roman"/>
        </w:rPr>
        <w:t xml:space="preserve">Eliasson </w:t>
      </w:r>
      <w:r>
        <w:rPr>
          <w:rFonts w:ascii="Times New Roman" w:hAnsi="Times New Roman" w:cs="Times New Roman"/>
        </w:rPr>
        <w:t>&amp;</w:t>
      </w:r>
      <w:r w:rsidRPr="00735110">
        <w:rPr>
          <w:rFonts w:ascii="Times New Roman" w:hAnsi="Times New Roman" w:cs="Times New Roman"/>
        </w:rPr>
        <w:t xml:space="preserve"> DeHart</w:t>
      </w:r>
      <w:r>
        <w:rPr>
          <w:rFonts w:ascii="Times New Roman" w:hAnsi="Times New Roman" w:cs="Times New Roman"/>
        </w:rPr>
        <w:t>, 2023). At the time, I was finding myself questioning as to why the report was not made sooner and why the victim continued to repeatedly hand-over large amounts of cash for unmet promises of work. I reminded myself that as an investigator it was my role to remain impartial in line with the Code of Ethics (CoE). The CoE states that investigators must remain “</w:t>
      </w:r>
      <w:r w:rsidRPr="00967DEF">
        <w:rPr>
          <w:rFonts w:ascii="Times New Roman" w:hAnsi="Times New Roman" w:cs="Times New Roman"/>
        </w:rPr>
        <w:t>unprejudiced, fair and objective</w:t>
      </w:r>
      <w:r>
        <w:rPr>
          <w:rFonts w:ascii="Times New Roman" w:hAnsi="Times New Roman" w:cs="Times New Roman"/>
        </w:rPr>
        <w:t>” (College of Policing, 2024)</w:t>
      </w:r>
      <w:r w:rsidRPr="00967DEF">
        <w:rPr>
          <w:rFonts w:ascii="Times New Roman" w:hAnsi="Times New Roman" w:cs="Times New Roman"/>
        </w:rPr>
        <w:t xml:space="preserve">. </w:t>
      </w:r>
      <w:r>
        <w:rPr>
          <w:rFonts w:ascii="Times New Roman" w:hAnsi="Times New Roman" w:cs="Times New Roman"/>
        </w:rPr>
        <w:t xml:space="preserve">Though asking such questions may be reasonable, it was important not to allow my personal opinions to influence my actions and decision-making during the investigation. </w:t>
      </w:r>
    </w:p>
    <w:p w14:paraId="0E9B82EA" w14:textId="77777777" w:rsidR="001A3850" w:rsidRDefault="001A3850" w:rsidP="001A3850">
      <w:pPr>
        <w:rPr>
          <w:rFonts w:ascii="Times New Roman" w:hAnsi="Times New Roman" w:cs="Times New Roman"/>
        </w:rPr>
      </w:pPr>
    </w:p>
    <w:p w14:paraId="1CF6C5A3" w14:textId="64B59F34" w:rsidR="001A3850" w:rsidRDefault="001A3850" w:rsidP="001A3850">
      <w:pPr>
        <w:rPr>
          <w:rFonts w:ascii="Times New Roman" w:hAnsi="Times New Roman" w:cs="Times New Roman"/>
        </w:rPr>
      </w:pPr>
      <w:r>
        <w:rPr>
          <w:rFonts w:ascii="Times New Roman" w:hAnsi="Times New Roman" w:cs="Times New Roman"/>
        </w:rPr>
        <w:t>It was particularly crucial to review my use of language while interacting with the victim. Any use of victim blaming language may have deterred the victim from cooperating with the investigation and caused him to avoid reporting any further offences</w:t>
      </w:r>
      <w:r>
        <w:rPr>
          <w:rFonts w:ascii="Times New Roman" w:hAnsi="Times New Roman" w:cs="Times New Roman"/>
          <w:color w:val="auto"/>
        </w:rPr>
        <w:t>.</w:t>
      </w:r>
      <w:r w:rsidRPr="00836290">
        <w:rPr>
          <w:rFonts w:ascii="Times New Roman" w:hAnsi="Times New Roman" w:cs="Times New Roman"/>
          <w:color w:val="FF0000"/>
        </w:rPr>
        <w:t xml:space="preserve"> </w:t>
      </w:r>
      <w:r>
        <w:rPr>
          <w:rFonts w:ascii="Times New Roman" w:hAnsi="Times New Roman" w:cs="Times New Roman"/>
        </w:rPr>
        <w:t xml:space="preserve">Fraud victims in particular can be sensitive to feelings of shame, guilt and isolation after the offence (Cross, 2014), thus highlighting the importance of treating the victim with dignity. Furthermore, I personally took pity on the victim and upon reflection I had immediate empathy for his situation due to his age and vulnerability. However, I was conscious that while it was vital to display empathy towards the victim, it was important not be over-bearing with my expression of it. I did not wish to display attitudes of infantilisation which may have been disempowering and patronising. The elderly are particularly susceptible to </w:t>
      </w:r>
      <w:r>
        <w:rPr>
          <w:rFonts w:ascii="Times New Roman" w:hAnsi="Times New Roman" w:cs="Times New Roman"/>
        </w:rPr>
        <w:lastRenderedPageBreak/>
        <w:t xml:space="preserve">being treated as a homogenous group and having others speak towards them with child-like undertones (Marson &amp; Powell, 2014). Reflecting and being self-aware of any possible unconscious bias I might hold against each victim I deal with helps to mitigate any involuntary reflex I might have to treat them a certain way based off a characteristic or trait they hold. As an investigator, it is imperative to build a good rapport with the victim to provide the best possible service to ensure that as much information as possible can be gained to ensure the case is investigated thoroughly and expeditiously. </w:t>
      </w:r>
    </w:p>
    <w:p w14:paraId="4208C53F" w14:textId="77777777" w:rsidR="001A3850" w:rsidRDefault="001A3850" w:rsidP="001A3850">
      <w:pPr>
        <w:rPr>
          <w:rFonts w:ascii="Times New Roman" w:hAnsi="Times New Roman" w:cs="Times New Roman"/>
        </w:rPr>
      </w:pPr>
    </w:p>
    <w:p w14:paraId="6583E337" w14:textId="77777777" w:rsidR="001A3850" w:rsidRDefault="001A3850" w:rsidP="001A3850">
      <w:pPr>
        <w:rPr>
          <w:rFonts w:ascii="Times New Roman" w:hAnsi="Times New Roman" w:cs="Times New Roman"/>
        </w:rPr>
      </w:pPr>
      <w:r>
        <w:rPr>
          <w:rFonts w:ascii="Times New Roman" w:hAnsi="Times New Roman" w:cs="Times New Roman"/>
        </w:rPr>
        <w:t>Unconscious bias is described as an involuntary belief or preference that we are not aware of (Fiarman, 2016). Unconscious bias can influence decision-making (</w:t>
      </w:r>
      <w:r w:rsidRPr="00EB2E47">
        <w:rPr>
          <w:rFonts w:ascii="Times New Roman" w:hAnsi="Times New Roman" w:cs="Times New Roman"/>
        </w:rPr>
        <w:t>Önyargı</w:t>
      </w:r>
      <w:r>
        <w:rPr>
          <w:rFonts w:ascii="Times New Roman" w:hAnsi="Times New Roman" w:cs="Times New Roman"/>
        </w:rPr>
        <w:t xml:space="preserve"> &amp; </w:t>
      </w:r>
      <w:r w:rsidRPr="00EB2E47">
        <w:rPr>
          <w:rFonts w:ascii="Times New Roman" w:hAnsi="Times New Roman" w:cs="Times New Roman"/>
        </w:rPr>
        <w:t>Önemi</w:t>
      </w:r>
      <w:r>
        <w:rPr>
          <w:rFonts w:ascii="Times New Roman" w:hAnsi="Times New Roman" w:cs="Times New Roman"/>
        </w:rPr>
        <w:t>, 2022) which may pose challenges for investigators when applying impartiality. Biases and poor-decision making can jeopardize not only the victim’s confidence, but the efficacy of the investigation and its outcomes. The College of Policing (2023) recommends that all investigative decisions should be recorded in a “</w:t>
      </w:r>
      <w:r w:rsidRPr="00BA47A5">
        <w:rPr>
          <w:rFonts w:ascii="Times New Roman" w:hAnsi="Times New Roman" w:cs="Times New Roman"/>
        </w:rPr>
        <w:t>clear and objective way with supporting rationale</w:t>
      </w:r>
      <w:r>
        <w:rPr>
          <w:rFonts w:ascii="Times New Roman" w:hAnsi="Times New Roman" w:cs="Times New Roman"/>
        </w:rPr>
        <w:t xml:space="preserve">”, to promote sound decision making and impartiality. Though this is objectively a useful and practical approach to recording and considering decisions in an investigation, however, the application of this practice must be done with an investigative mindset to be effective. </w:t>
      </w:r>
    </w:p>
    <w:p w14:paraId="0FB0B350" w14:textId="77777777" w:rsidR="001A3850" w:rsidRDefault="001A3850" w:rsidP="001A3850">
      <w:pPr>
        <w:rPr>
          <w:rFonts w:ascii="Times New Roman" w:hAnsi="Times New Roman" w:cs="Times New Roman"/>
        </w:rPr>
      </w:pPr>
    </w:p>
    <w:p w14:paraId="08DBC0FC" w14:textId="77777777" w:rsidR="001A3850" w:rsidRDefault="001A3850" w:rsidP="001A3850">
      <w:pPr>
        <w:rPr>
          <w:rFonts w:ascii="Times New Roman" w:hAnsi="Times New Roman" w:cs="Times New Roman"/>
        </w:rPr>
      </w:pPr>
      <w:r>
        <w:rPr>
          <w:rFonts w:ascii="Times New Roman" w:hAnsi="Times New Roman" w:cs="Times New Roman"/>
        </w:rPr>
        <w:t xml:space="preserve">A report set out by the National Centre for Policing Excellence (2005) sets out the investigative mindset in five stages: </w:t>
      </w:r>
      <w:r w:rsidRPr="009925EB">
        <w:rPr>
          <w:rFonts w:ascii="Times New Roman" w:hAnsi="Times New Roman" w:cs="Times New Roman"/>
        </w:rPr>
        <w:t>“understanding the source of material,” “planning and preparation,” “examination,” “recording and collation,” and “evaluation”</w:t>
      </w:r>
      <w:r>
        <w:rPr>
          <w:rFonts w:ascii="Times New Roman" w:hAnsi="Times New Roman" w:cs="Times New Roman"/>
        </w:rPr>
        <w:t>. An investigative mindset and good decision making tends to improve with experience (</w:t>
      </w:r>
      <w:r w:rsidRPr="004324E8">
        <w:rPr>
          <w:rFonts w:ascii="Times New Roman" w:hAnsi="Times New Roman" w:cs="Times New Roman"/>
        </w:rPr>
        <w:t>Fahsing</w:t>
      </w:r>
      <w:r>
        <w:rPr>
          <w:rFonts w:ascii="Times New Roman" w:hAnsi="Times New Roman" w:cs="Times New Roman"/>
        </w:rPr>
        <w:t xml:space="preserve"> &amp;</w:t>
      </w:r>
      <w:r w:rsidRPr="004324E8">
        <w:rPr>
          <w:rFonts w:ascii="Times New Roman" w:hAnsi="Times New Roman" w:cs="Times New Roman"/>
        </w:rPr>
        <w:t xml:space="preserve"> Ask</w:t>
      </w:r>
      <w:r>
        <w:rPr>
          <w:rFonts w:ascii="Times New Roman" w:hAnsi="Times New Roman" w:cs="Times New Roman"/>
        </w:rPr>
        <w:t>, 2013), therefore as an inexperienced investigator myself it was especially important to plan and prepare my investigation while seeking the advice and skills of others with more experience. I ensured that I sought the guidance from my supervisor to when moving forward in each step of the investigation, remembering to record my decision making and evaluate the appropriateness of each action taken. Additionally, I ensured that I appropriately recorded all enquiries made and actions taken throughout the course of the investigation in the Investigation Management Document (IMD). The Criminal Procedure and Investigations Act (1996), sets the standards and procedures that officers are to follow in an investigation, requiring that all information is ‘recorded’, ‘retained’ and ‘revealed’ to the prosecution. I complied with this act by utilising the IMD from the beginning.</w:t>
      </w:r>
    </w:p>
    <w:p w14:paraId="71872A82" w14:textId="77777777" w:rsidR="001A3850" w:rsidRDefault="001A3850" w:rsidP="001A3850">
      <w:pPr>
        <w:rPr>
          <w:rFonts w:ascii="Times New Roman" w:hAnsi="Times New Roman" w:cs="Times New Roman"/>
        </w:rPr>
      </w:pPr>
    </w:p>
    <w:p w14:paraId="6976A872" w14:textId="77777777" w:rsidR="001A3850" w:rsidRDefault="001A3850" w:rsidP="001A3850">
      <w:pPr>
        <w:rPr>
          <w:rFonts w:ascii="Times New Roman" w:hAnsi="Times New Roman" w:cs="Times New Roman"/>
        </w:rPr>
      </w:pPr>
      <w:r>
        <w:rPr>
          <w:rFonts w:ascii="Times New Roman" w:hAnsi="Times New Roman" w:cs="Times New Roman"/>
        </w:rPr>
        <w:t xml:space="preserve">Nevertheless, the importance of thorough decision-making became more apparent after evaluating the possible missteps I took at the beginning of the investigation. When the report was initially made, I was eager to rush through possible golden hour enquiries due to believing that positive action must be delivered immediately. Golden hour principles refer to the period immediately after an offence is reported whereby positive action is taken to ensure that no evidential material is lost or destroyed, increasing the likelihood of identifying a suspect (College of Policing, 2013). Some enquiries were completed effectively at initial attendance, e.g. complainant statement, house to house, CCTV, etc. However, I believe that I missed opportunities by rushing other enquiries. For example, I knew I was going to complete enquiries into the phone number used by the suspect to contact the victim. Subscriber checks can be completed to hopefully identify a name and address leading to a possible suspect. In an attempt to safeguard the victim, I decided that the most appropriate action was to contact the number used to inform the suspect not to continue contacting the victim with requests for money. This caused the suspect to destroy evidence which could have been used in the investigation. As per the final stage of the NDM, I have reflected on this action taken and decided that I could have planned and prepared more effectively. Upon reflection, I had already ensured that safeguarding measures were in place, and perhaps preserving evidence was more appropriate at this stage. If I were to plan this enquiry again, I would consider advising the victim to block the suspect’s number and contact the police should they attend his address again. I would devise an appropriate arrest strategy in place so that any apprehension of a suspect would be implemented to obtain the best evidence. </w:t>
      </w:r>
    </w:p>
    <w:p w14:paraId="08291AEC" w14:textId="77777777" w:rsidR="001A3850" w:rsidRDefault="001A3850" w:rsidP="001A3850">
      <w:pPr>
        <w:rPr>
          <w:rFonts w:ascii="Times New Roman" w:hAnsi="Times New Roman" w:cs="Times New Roman"/>
        </w:rPr>
      </w:pPr>
    </w:p>
    <w:p w14:paraId="2BFA8CBA" w14:textId="77777777" w:rsidR="001A3850" w:rsidRDefault="001A3850" w:rsidP="001A3850">
      <w:pPr>
        <w:rPr>
          <w:rFonts w:ascii="Times New Roman" w:hAnsi="Times New Roman" w:cs="Times New Roman"/>
        </w:rPr>
      </w:pPr>
      <w:r>
        <w:rPr>
          <w:rFonts w:ascii="Times New Roman" w:hAnsi="Times New Roman" w:cs="Times New Roman"/>
        </w:rPr>
        <w:t xml:space="preserve">In conclusion, I believe I delivered good support to the victim in this investigation by implementing sufficient safeguarding measures. I believe I managed my own personal values and attitudes well by considering any unconscious biases I may hold, and by doing so I managed to build rapport and trust with the victim which aided initial enquiries in the investigation. I believe my initial enquiries were mostly conducted effectively, however I need to continue my investigative development by reflecting upon the fast-track actions taken and continuing to seek advice in planning investigations until I gain more experience. </w:t>
      </w:r>
    </w:p>
    <w:p w14:paraId="28E28AE7" w14:textId="77777777" w:rsidR="001A3850" w:rsidRDefault="001A3850" w:rsidP="009370AE">
      <w:pPr>
        <w:ind w:right="237"/>
        <w:jc w:val="both"/>
        <w:rPr>
          <w:b/>
          <w:bCs/>
          <w:color w:val="000000" w:themeColor="text1"/>
          <w:sz w:val="28"/>
          <w:szCs w:val="28"/>
        </w:rPr>
      </w:pPr>
    </w:p>
    <w:p w14:paraId="5F79612C" w14:textId="4E91C753" w:rsidR="009370AE" w:rsidRDefault="009370AE" w:rsidP="009370AE">
      <w:pPr>
        <w:ind w:right="237"/>
        <w:jc w:val="both"/>
        <w:rPr>
          <w:b/>
          <w:bCs/>
          <w:color w:val="000000" w:themeColor="text1"/>
          <w:sz w:val="28"/>
          <w:szCs w:val="28"/>
        </w:rPr>
      </w:pPr>
    </w:p>
    <w:p w14:paraId="49989C09" w14:textId="09F63638" w:rsidR="009370AE" w:rsidRDefault="001A3850" w:rsidP="009370AE">
      <w:pPr>
        <w:ind w:right="237"/>
        <w:jc w:val="both"/>
        <w:rPr>
          <w:b/>
          <w:bCs/>
          <w:color w:val="000000" w:themeColor="text1"/>
          <w:sz w:val="28"/>
          <w:szCs w:val="28"/>
        </w:rPr>
      </w:pPr>
      <w:r>
        <w:rPr>
          <w:b/>
          <w:bCs/>
          <w:color w:val="000000" w:themeColor="text1"/>
          <w:sz w:val="28"/>
          <w:szCs w:val="28"/>
        </w:rPr>
        <w:t>Word count: 2019</w:t>
      </w:r>
    </w:p>
    <w:p w14:paraId="2A391527" w14:textId="6C9AECF4" w:rsidR="001A3850" w:rsidRDefault="00747729" w:rsidP="009370AE">
      <w:pPr>
        <w:ind w:right="237"/>
        <w:jc w:val="both"/>
        <w:rPr>
          <w:b/>
          <w:bCs/>
          <w:color w:val="000000" w:themeColor="text1"/>
          <w:sz w:val="28"/>
          <w:szCs w:val="28"/>
        </w:rPr>
      </w:pPr>
      <w:r>
        <w:rPr>
          <w:b/>
          <w:bCs/>
          <w:color w:val="000000" w:themeColor="text1"/>
          <w:sz w:val="28"/>
          <w:szCs w:val="28"/>
        </w:rPr>
        <w:lastRenderedPageBreak/>
        <w:br/>
        <w:t>Bibliography:</w:t>
      </w:r>
    </w:p>
    <w:p w14:paraId="3E9D69F1" w14:textId="77777777" w:rsidR="00C27353" w:rsidRDefault="00C27353" w:rsidP="009370AE">
      <w:pPr>
        <w:ind w:right="237"/>
        <w:jc w:val="both"/>
        <w:rPr>
          <w:b/>
          <w:bCs/>
          <w:color w:val="000000" w:themeColor="text1"/>
          <w:sz w:val="28"/>
          <w:szCs w:val="28"/>
        </w:rPr>
      </w:pPr>
    </w:p>
    <w:p w14:paraId="061B4D28" w14:textId="77777777" w:rsidR="00C27353" w:rsidRDefault="00C27353" w:rsidP="00C27353">
      <w:r>
        <w:t>Britain., G. (2015). Code of practice for victims of crime : presented to Parliament pursuant to section 33 of the Domestic Violence, Crime and Victims Act 2004. London: Ministry Of Justice.</w:t>
      </w:r>
    </w:p>
    <w:p w14:paraId="606BAB4E" w14:textId="77777777" w:rsidR="00C27353" w:rsidRDefault="00C27353" w:rsidP="00C27353">
      <w:r>
        <w:t>Brewer, N. and Amy Bradfield Douglass (2019). Psychological Science and the Law. Guilford Publications.</w:t>
      </w:r>
    </w:p>
    <w:p w14:paraId="1D97BCE2" w14:textId="77777777" w:rsidR="00C27353" w:rsidRDefault="00C27353" w:rsidP="00C27353">
      <w:r>
        <w:t>Brookman, F. (2023). Stephen Lawrence: how family liaison officers became an integral part of policing in the wake of his murder. [online] The Conversation. Available at: https://theconversation.com/stephen-lawrence-how-family-liaison-officers-became-an-integral-part-of-policing-in-the-wake-of-his-murder-200203.</w:t>
      </w:r>
    </w:p>
    <w:p w14:paraId="6135F301" w14:textId="77777777" w:rsidR="00C27353" w:rsidRDefault="00C27353" w:rsidP="00C27353"/>
    <w:p w14:paraId="6DB86373" w14:textId="77777777" w:rsidR="00C27353" w:rsidRDefault="00C27353" w:rsidP="00C27353">
      <w:pPr>
        <w:rPr>
          <w:i/>
          <w:iCs/>
        </w:rPr>
      </w:pPr>
      <w:r w:rsidRPr="002B5DE1">
        <w:rPr>
          <w:i/>
          <w:iCs/>
        </w:rPr>
        <w:t>Equality Act 2010</w:t>
      </w:r>
    </w:p>
    <w:p w14:paraId="55CC16CE" w14:textId="77777777" w:rsidR="00C27353" w:rsidRDefault="00C27353" w:rsidP="00C27353">
      <w:pPr>
        <w:rPr>
          <w:i/>
          <w:iCs/>
        </w:rPr>
      </w:pPr>
    </w:p>
    <w:p w14:paraId="1193C98F" w14:textId="77777777" w:rsidR="00C27353" w:rsidRPr="00517E3D" w:rsidRDefault="00C27353" w:rsidP="00C27353">
      <w:pPr>
        <w:rPr>
          <w:i/>
          <w:iCs/>
        </w:rPr>
      </w:pPr>
      <w:r w:rsidRPr="00517E3D">
        <w:rPr>
          <w:i/>
          <w:iCs/>
        </w:rPr>
        <w:t>Gekoski, A., Gray, J.M. and Adler, J.R. (2012). Interviewing women bereaved by homicide: assessing the impact of trauma-focused research. Psychology, Crime &amp; Law, 18(2), pp.177–189. doi:https://doi.org/10.1080/10683161003718692.</w:t>
      </w:r>
    </w:p>
    <w:p w14:paraId="6DA83BED" w14:textId="77777777" w:rsidR="00C27353" w:rsidRPr="00517E3D" w:rsidRDefault="00C27353" w:rsidP="00C27353">
      <w:pPr>
        <w:rPr>
          <w:i/>
          <w:iCs/>
        </w:rPr>
      </w:pPr>
    </w:p>
    <w:p w14:paraId="6A0FF027" w14:textId="77777777" w:rsidR="00C27353" w:rsidRDefault="00C27353" w:rsidP="00C27353">
      <w:pPr>
        <w:rPr>
          <w:i/>
          <w:iCs/>
        </w:rPr>
      </w:pPr>
      <w:r w:rsidRPr="00517E3D">
        <w:rPr>
          <w:i/>
          <w:iCs/>
        </w:rPr>
        <w:t>‌</w:t>
      </w:r>
    </w:p>
    <w:p w14:paraId="007CE828" w14:textId="77777777" w:rsidR="00C27353" w:rsidRPr="00517E3D" w:rsidRDefault="00C27353" w:rsidP="00C27353">
      <w:pPr>
        <w:rPr>
          <w:i/>
          <w:iCs/>
        </w:rPr>
      </w:pPr>
      <w:r w:rsidRPr="00517E3D">
        <w:rPr>
          <w:i/>
          <w:iCs/>
        </w:rPr>
        <w:t>Home Office (1999). The Stephen Lawrence Inquiry. [online] GOV.UK. Available at: https://www.gov.uk/government/publications/the-stephen-lawrence-inquiry.</w:t>
      </w:r>
    </w:p>
    <w:p w14:paraId="52E2EDCB" w14:textId="77777777" w:rsidR="00C27353" w:rsidRPr="00517E3D" w:rsidRDefault="00C27353" w:rsidP="00C27353">
      <w:pPr>
        <w:rPr>
          <w:i/>
          <w:iCs/>
        </w:rPr>
      </w:pPr>
    </w:p>
    <w:p w14:paraId="66C9657A" w14:textId="77777777" w:rsidR="00C27353" w:rsidRDefault="00C27353" w:rsidP="00C27353">
      <w:pPr>
        <w:rPr>
          <w:i/>
          <w:iCs/>
        </w:rPr>
      </w:pPr>
      <w:r w:rsidRPr="00517E3D">
        <w:rPr>
          <w:i/>
          <w:iCs/>
        </w:rPr>
        <w:t>‌</w:t>
      </w:r>
    </w:p>
    <w:p w14:paraId="5746F1BB" w14:textId="77777777" w:rsidR="00C27353" w:rsidRPr="002B5DE1" w:rsidRDefault="00C27353" w:rsidP="00C27353">
      <w:pPr>
        <w:rPr>
          <w:i/>
          <w:iCs/>
        </w:rPr>
      </w:pPr>
    </w:p>
    <w:p w14:paraId="57B468CD" w14:textId="77777777" w:rsidR="00C27353" w:rsidRDefault="00C27353" w:rsidP="00C27353">
      <w:r>
        <w:t>‌Hunter, G., Bhardwa, B., Dinisman, T., Moroz, A., Anastassiou, A., Lynall, A. and Giles, E. (n.d.). Language barriers in the criminal justice system Summary. [online] Available at: https://www.victimsupport.org.uk/wp-content/uploads/2022/03/Language-barriers-in-cjs_Summary.pdf.</w:t>
      </w:r>
    </w:p>
    <w:p w14:paraId="3F256075" w14:textId="77777777" w:rsidR="00C27353" w:rsidRDefault="00C27353" w:rsidP="00C27353"/>
    <w:p w14:paraId="17F23622" w14:textId="77777777" w:rsidR="00C27353" w:rsidRPr="00517E3D" w:rsidRDefault="00C27353" w:rsidP="00C27353">
      <w:pPr>
        <w:rPr>
          <w:b/>
          <w:bCs/>
        </w:rPr>
      </w:pPr>
    </w:p>
    <w:p w14:paraId="421370B9" w14:textId="77777777" w:rsidR="00C27353" w:rsidRDefault="00C27353" w:rsidP="00C27353">
      <w:r w:rsidRPr="002B5DE1">
        <w:t>Hills, A.M. and Thomson, D.M. (1999) ‘Should victim impact influence sentences? understanding the community’s justice reasoning’, Behavioral Sciences &amp;amp; the Law, 17(5), pp. 661–671. doi:10.1002/(sici)1099-0798(199923)17:5&amp;lt;661::aid-bsl369&amp;gt;3.0.co;2-n.</w:t>
      </w:r>
    </w:p>
    <w:p w14:paraId="7ED82FC9" w14:textId="77777777" w:rsidR="00C27353" w:rsidRDefault="00C27353" w:rsidP="00C27353"/>
    <w:p w14:paraId="46AE3645" w14:textId="77777777" w:rsidR="00C27353" w:rsidRDefault="00C27353" w:rsidP="00C27353">
      <w:r>
        <w:t>Pemberton, A. and Mulder, E. (2023). Bringing injustice back in: Secondary victimization as epistemic injustice. Criminology &amp; Criminal Justice, 0(0). doi:https://doi.org/10.1177/17488958231181345.</w:t>
      </w:r>
    </w:p>
    <w:p w14:paraId="2464BF79" w14:textId="77777777" w:rsidR="00C27353" w:rsidRDefault="00C27353" w:rsidP="00C27353"/>
    <w:p w14:paraId="48124698" w14:textId="77777777" w:rsidR="00C27353" w:rsidRDefault="00C27353" w:rsidP="00C27353">
      <w:r>
        <w:t>‌</w:t>
      </w:r>
    </w:p>
    <w:p w14:paraId="002B138F" w14:textId="77777777" w:rsidR="00C27353" w:rsidRDefault="00C27353" w:rsidP="00C27353">
      <w:r>
        <w:t>‌</w:t>
      </w:r>
      <w:hyperlink r:id="rId15" w:history="1">
        <w:r>
          <w:rPr>
            <w:rStyle w:val="Hyperlink"/>
          </w:rPr>
          <w:t>The Police (Conduct) Regulations 2012 (legislation.gov.uk)</w:t>
        </w:r>
      </w:hyperlink>
    </w:p>
    <w:p w14:paraId="0F99FC5D" w14:textId="77777777" w:rsidR="00C27353" w:rsidRDefault="00C27353" w:rsidP="00C27353"/>
    <w:p w14:paraId="21734418" w14:textId="77777777" w:rsidR="00C27353" w:rsidRDefault="00C27353" w:rsidP="00C27353"/>
    <w:p w14:paraId="5E08196D" w14:textId="77777777" w:rsidR="00C27353" w:rsidRDefault="00C27353" w:rsidP="00C27353">
      <w:r>
        <w:t>Kathleen Richardson PhD submission (rewrite) (hud.ac.uk)</w:t>
      </w:r>
    </w:p>
    <w:p w14:paraId="77C44C4D" w14:textId="77777777" w:rsidR="00C27353" w:rsidRDefault="00C27353" w:rsidP="00C27353"/>
    <w:p w14:paraId="40B020C8" w14:textId="77777777" w:rsidR="00C27353" w:rsidRPr="002B5DE1" w:rsidRDefault="00C27353" w:rsidP="00C27353">
      <w:pPr>
        <w:rPr>
          <w:i/>
          <w:iCs/>
        </w:rPr>
      </w:pPr>
      <w:r w:rsidRPr="002B5DE1">
        <w:rPr>
          <w:i/>
          <w:iCs/>
        </w:rPr>
        <w:t>Norris, F.H. and Kaniasty, K. (1991). The Psychological Experience of Crime: A Test of the Mediating Role of Beliefs in Explaining the Distress of Victims. Journal of Social and Clinical Psychology, 10(3), pp.239–261. doi:https://doi.org/10.1521/jscp.1991.10.3.239.</w:t>
      </w:r>
    </w:p>
    <w:p w14:paraId="3FE66768" w14:textId="77777777" w:rsidR="00C27353" w:rsidRPr="002B5DE1" w:rsidRDefault="00C27353" w:rsidP="00C27353">
      <w:pPr>
        <w:rPr>
          <w:i/>
          <w:iCs/>
        </w:rPr>
      </w:pPr>
    </w:p>
    <w:p w14:paraId="0519D6F4" w14:textId="77777777" w:rsidR="00C27353" w:rsidRDefault="00C27353" w:rsidP="00C27353">
      <w:pPr>
        <w:rPr>
          <w:i/>
          <w:iCs/>
        </w:rPr>
      </w:pPr>
      <w:r w:rsidRPr="002B5DE1">
        <w:rPr>
          <w:i/>
          <w:iCs/>
        </w:rPr>
        <w:t>‌</w:t>
      </w:r>
    </w:p>
    <w:p w14:paraId="4B57FDC5" w14:textId="77777777" w:rsidR="00C27353" w:rsidRDefault="00C27353" w:rsidP="00C27353">
      <w:r w:rsidRPr="002B5DE1">
        <w:rPr>
          <w:i/>
          <w:iCs/>
        </w:rPr>
        <w:t>Police Act 1997</w:t>
      </w:r>
      <w:r w:rsidRPr="002B5DE1">
        <w:t xml:space="preserve"> </w:t>
      </w:r>
      <w:r>
        <w:t>[online] [accessed 20</w:t>
      </w:r>
      <w:r w:rsidRPr="002B5DE1">
        <w:rPr>
          <w:vertAlign w:val="superscript"/>
        </w:rPr>
        <w:t>th</w:t>
      </w:r>
      <w:r>
        <w:t xml:space="preserve"> April 2024] </w:t>
      </w:r>
    </w:p>
    <w:p w14:paraId="09AF5213" w14:textId="77777777" w:rsidR="00C27353" w:rsidRDefault="00C27353" w:rsidP="00C27353"/>
    <w:p w14:paraId="25EC5EC6" w14:textId="77777777" w:rsidR="00C27353" w:rsidRDefault="00C27353" w:rsidP="00C27353">
      <w:r w:rsidRPr="002B5DE1">
        <w:t>Rose, M.R., Nadler, J. and Clark, J. (2006). Appropriately Upset? Emotion Norms and Perceptions of Crime Victims. Law and Human Behavior, 30(2), pp.203–219. doi:https://doi.org/10.1007/s10979-006-9030-3.</w:t>
      </w:r>
    </w:p>
    <w:p w14:paraId="77FC8A6C" w14:textId="77777777" w:rsidR="00C27353" w:rsidRDefault="00C27353" w:rsidP="00C27353"/>
    <w:p w14:paraId="2E574FCA" w14:textId="77777777" w:rsidR="00C27353" w:rsidRPr="002B5DE1" w:rsidRDefault="00C27353" w:rsidP="00C27353">
      <w:pPr>
        <w:rPr>
          <w:i/>
          <w:iCs/>
        </w:rPr>
      </w:pPr>
      <w:r w:rsidRPr="002B5DE1">
        <w:rPr>
          <w:i/>
          <w:iCs/>
        </w:rPr>
        <w:t xml:space="preserve">Youth Justice and Criminal Evidence Act 1999 </w:t>
      </w:r>
    </w:p>
    <w:p w14:paraId="669CCA47" w14:textId="77777777" w:rsidR="00C27353" w:rsidRDefault="00C27353" w:rsidP="00C27353">
      <w:r>
        <w:t xml:space="preserve">Victims’ Code of Practice. (n.d.). Available at: </w:t>
      </w:r>
      <w:hyperlink r:id="rId16" w:history="1">
        <w:r w:rsidRPr="0026408F">
          <w:rPr>
            <w:rStyle w:val="Hyperlink"/>
          </w:rPr>
          <w:t>https://assets.production.copweb.aws.college.police.uk/s3fs-public/2021-03/victims-code-enhanced-rights-vips-250321.pdf</w:t>
        </w:r>
      </w:hyperlink>
      <w:r>
        <w:t>.</w:t>
      </w:r>
    </w:p>
    <w:p w14:paraId="2808F417" w14:textId="77777777" w:rsidR="00C27353" w:rsidRDefault="00C27353" w:rsidP="00C27353"/>
    <w:p w14:paraId="7A88D837" w14:textId="77777777" w:rsidR="00C27353" w:rsidRDefault="00C27353" w:rsidP="00C27353">
      <w:hyperlink r:id="rId17" w:history="1">
        <w:r>
          <w:rPr>
            <w:rStyle w:val="Hyperlink"/>
          </w:rPr>
          <w:t>National decision model | College of Policing</w:t>
        </w:r>
      </w:hyperlink>
      <w:r>
        <w:t xml:space="preserve"> </w:t>
      </w:r>
    </w:p>
    <w:p w14:paraId="6EDBA938" w14:textId="77777777" w:rsidR="00C27353" w:rsidRDefault="00C27353" w:rsidP="00C27353">
      <w:hyperlink r:id="rId18" w:history="1">
        <w:r>
          <w:rPr>
            <w:rStyle w:val="Hyperlink"/>
          </w:rPr>
          <w:t>Fraud Act 2006 (legislation.gov.uk)</w:t>
        </w:r>
      </w:hyperlink>
    </w:p>
    <w:p w14:paraId="7BF7B144" w14:textId="77777777" w:rsidR="00C27353" w:rsidRDefault="00C27353" w:rsidP="00C27353">
      <w:r w:rsidRPr="00517E3D">
        <w:t>The making of an expert detective: The role of experience in English and Norwegian police officers’ investigative decision-making. (apa.org)</w:t>
      </w:r>
    </w:p>
    <w:p w14:paraId="68587B81" w14:textId="77777777" w:rsidR="00C27353" w:rsidRDefault="00C27353" w:rsidP="00C27353">
      <w:r w:rsidRPr="00305867">
        <w:t>Button, M, Lewis, C &amp; Tapley, J 2009, </w:t>
      </w:r>
      <w:r w:rsidRPr="00305867">
        <w:rPr>
          <w:i/>
          <w:iCs/>
        </w:rPr>
        <w:t>Fraud typologies and the victims of fraud: literature review</w:t>
      </w:r>
      <w:r w:rsidRPr="00305867">
        <w:t>. National Fraud Authority, London.</w:t>
      </w:r>
    </w:p>
    <w:p w14:paraId="2587032B" w14:textId="77777777" w:rsidR="00C27353" w:rsidRDefault="00C27353" w:rsidP="00C27353">
      <w:r w:rsidRPr="00517E3D">
        <w:t>Not a victimless crime: The impact of fraud on individual victims and their families | Security Journal (springer.com)</w:t>
      </w:r>
    </w:p>
    <w:p w14:paraId="47915366" w14:textId="77777777" w:rsidR="00C27353" w:rsidRDefault="00C27353" w:rsidP="00C27353">
      <w:r w:rsidRPr="00517E3D">
        <w:t>Frontiers | In their own words: deception detection by victims and near victims of fraud (frontiersin.org)</w:t>
      </w:r>
    </w:p>
    <w:p w14:paraId="2D395489" w14:textId="77777777" w:rsidR="00C27353" w:rsidRDefault="00C27353" w:rsidP="00C27353"/>
    <w:p w14:paraId="0B6CD581" w14:textId="77777777" w:rsidR="00C27353" w:rsidRDefault="00C27353" w:rsidP="00C27353">
      <w:r w:rsidRPr="008E088A">
        <w:t>Levi, M., Pithouse, A. (1992). The Victims of Fraud. In: Downes, D. (eds) Unravelling Criminal Justice. Palgrave Macmillan, London. https://doi.org/10.1007/978-1-349-22044-1_10</w:t>
      </w:r>
    </w:p>
    <w:p w14:paraId="69475F26" w14:textId="77777777" w:rsidR="00C27353" w:rsidRDefault="00C27353" w:rsidP="00C27353"/>
    <w:p w14:paraId="721A11DD" w14:textId="77777777" w:rsidR="00C27353" w:rsidRDefault="00C27353" w:rsidP="00C27353">
      <w:hyperlink r:id="rId19" w:history="1">
        <w:r>
          <w:rPr>
            <w:rStyle w:val="Hyperlink"/>
          </w:rPr>
          <w:t>Police+Officers+Empathy+Toward+Victims_20230323.pdf</w:t>
        </w:r>
      </w:hyperlink>
      <w:r>
        <w:t xml:space="preserve"> </w:t>
      </w:r>
    </w:p>
    <w:p w14:paraId="6D2C3C0D" w14:textId="77777777" w:rsidR="00C27353" w:rsidRDefault="00C27353" w:rsidP="00C27353"/>
    <w:p w14:paraId="5508A6CC" w14:textId="77777777" w:rsidR="00C27353" w:rsidRDefault="00C27353" w:rsidP="00C27353">
      <w:hyperlink r:id="rId20" w:history="1">
        <w:r>
          <w:rPr>
            <w:rStyle w:val="Hyperlink"/>
          </w:rPr>
          <w:t>Goffman and the Infantilization of Elderly Persons: A Theory in Development 41 Journal of Sociology and Social Welfare 2014 (heinonline.org)</w:t>
        </w:r>
      </w:hyperlink>
    </w:p>
    <w:p w14:paraId="47F3C57D" w14:textId="77777777" w:rsidR="00C27353" w:rsidRDefault="00C27353" w:rsidP="00C27353"/>
    <w:p w14:paraId="6DEC1D08" w14:textId="77777777" w:rsidR="00C27353" w:rsidRDefault="00C27353" w:rsidP="00C27353">
      <w:hyperlink r:id="rId21" w:anchor=":~:text=This%20value%20links%20to%20the,being%20unprejudiced%2C%20fair%20and%20objective." w:history="1">
        <w:r>
          <w:rPr>
            <w:rStyle w:val="Hyperlink"/>
          </w:rPr>
          <w:t>Impartiality - College of Policing</w:t>
        </w:r>
      </w:hyperlink>
    </w:p>
    <w:p w14:paraId="1622A6D5" w14:textId="77777777" w:rsidR="00C27353" w:rsidRDefault="00C27353" w:rsidP="00C27353"/>
    <w:p w14:paraId="4A66F4A6" w14:textId="77777777" w:rsidR="00C27353" w:rsidRDefault="00C27353" w:rsidP="00C27353">
      <w:hyperlink r:id="rId22" w:history="1">
        <w:r>
          <w:rPr>
            <w:rStyle w:val="Hyperlink"/>
          </w:rPr>
          <w:t>Unconscious-Bias_Ed-Leadership.pdf (responsiveclassroom.org)</w:t>
        </w:r>
      </w:hyperlink>
    </w:p>
    <w:p w14:paraId="6AC451C7" w14:textId="77777777" w:rsidR="00C27353" w:rsidRDefault="00C27353" w:rsidP="00C27353"/>
    <w:p w14:paraId="08823875" w14:textId="77777777" w:rsidR="00C27353" w:rsidRDefault="00C27353" w:rsidP="00C27353">
      <w:hyperlink r:id="rId23" w:history="1">
        <w:r>
          <w:rPr>
            <w:rStyle w:val="Hyperlink"/>
          </w:rPr>
          <w:t>cap_14_03_14_en.pdf (cappsy.org)</w:t>
        </w:r>
      </w:hyperlink>
    </w:p>
    <w:p w14:paraId="06BC890B" w14:textId="77777777" w:rsidR="00C27353" w:rsidRDefault="00C27353" w:rsidP="00C27353"/>
    <w:p w14:paraId="09E228BE" w14:textId="77777777" w:rsidR="00C27353" w:rsidRDefault="00C27353" w:rsidP="00C27353">
      <w:hyperlink r:id="rId24" w:history="1">
        <w:r>
          <w:rPr>
            <w:rStyle w:val="Hyperlink"/>
          </w:rPr>
          <w:t>“You’re not alone”: the use of peer support groups for fraud victims: Journal of Human Behavior in the Social Environment: Vol 29, No 5 (tandfonline.com)</w:t>
        </w:r>
      </w:hyperlink>
    </w:p>
    <w:p w14:paraId="4441A7E9" w14:textId="77777777" w:rsidR="00C27353" w:rsidRDefault="00C27353" w:rsidP="00C27353"/>
    <w:p w14:paraId="25D379E7" w14:textId="77777777" w:rsidR="00C27353" w:rsidRDefault="00C27353" w:rsidP="00C27353">
      <w:hyperlink r:id="rId25" w:history="1">
        <w:r>
          <w:rPr>
            <w:rStyle w:val="Hyperlink"/>
          </w:rPr>
          <w:t>Guidance to Missing Persons (college.police.uk)</w:t>
        </w:r>
      </w:hyperlink>
    </w:p>
    <w:p w14:paraId="3CF847BE" w14:textId="77777777" w:rsidR="00C27353" w:rsidRDefault="00C27353" w:rsidP="00C27353"/>
    <w:p w14:paraId="1BE5200A" w14:textId="77777777" w:rsidR="00C27353" w:rsidRDefault="00C27353" w:rsidP="00C27353">
      <w:hyperlink r:id="rId26" w:history="1">
        <w:r>
          <w:rPr>
            <w:rStyle w:val="Hyperlink"/>
          </w:rPr>
          <w:t>Decision Making and Decisional Tipping Points in Homicide Investigations: An Interview Study of British and Norwegian Detectives - Fahsing - 2013 - Journal of Investigative Psychology and Offender Profiling - Wiley Online Library</w:t>
        </w:r>
      </w:hyperlink>
    </w:p>
    <w:p w14:paraId="400AD535" w14:textId="77777777" w:rsidR="00C27353" w:rsidRDefault="00C27353" w:rsidP="00C27353"/>
    <w:p w14:paraId="7AA22738" w14:textId="77777777" w:rsidR="00C27353" w:rsidRDefault="00C27353" w:rsidP="00C27353">
      <w:hyperlink r:id="rId27" w:anchor=":~:text=The%20golden%20hour%20is%20the,%2C%20damaged%2C%20altered%20or%20destroyed." w:history="1">
        <w:r>
          <w:rPr>
            <w:rStyle w:val="Hyperlink"/>
          </w:rPr>
          <w:t>Investigation process | College of Policing</w:t>
        </w:r>
      </w:hyperlink>
    </w:p>
    <w:p w14:paraId="39C78ECC" w14:textId="77777777" w:rsidR="00C27353" w:rsidRDefault="00C27353" w:rsidP="00C27353"/>
    <w:p w14:paraId="37BE00E6" w14:textId="77777777" w:rsidR="00C27353" w:rsidRDefault="00C27353" w:rsidP="00C27353">
      <w:hyperlink r:id="rId28" w:history="1">
        <w:r>
          <w:rPr>
            <w:rStyle w:val="Hyperlink"/>
          </w:rPr>
          <w:t>Criminal Procedure and Investigations Act 1996 (legislation.gov.uk)</w:t>
        </w:r>
      </w:hyperlink>
    </w:p>
    <w:p w14:paraId="76DFE32E" w14:textId="77777777" w:rsidR="00C27353" w:rsidRDefault="00C27353" w:rsidP="009370AE">
      <w:pPr>
        <w:ind w:right="237"/>
        <w:jc w:val="both"/>
        <w:rPr>
          <w:b/>
          <w:bCs/>
          <w:color w:val="000000" w:themeColor="text1"/>
          <w:sz w:val="28"/>
          <w:szCs w:val="28"/>
        </w:rPr>
      </w:pPr>
    </w:p>
    <w:p w14:paraId="0C9CA3C6" w14:textId="77777777" w:rsidR="00747729" w:rsidRDefault="00747729" w:rsidP="009370AE">
      <w:pPr>
        <w:ind w:right="237"/>
        <w:jc w:val="both"/>
        <w:rPr>
          <w:b/>
          <w:bCs/>
          <w:color w:val="000000" w:themeColor="text1"/>
          <w:sz w:val="28"/>
          <w:szCs w:val="28"/>
        </w:rPr>
      </w:pPr>
    </w:p>
    <w:p w14:paraId="1EEB5D61" w14:textId="77777777" w:rsidR="00747729" w:rsidRPr="009370AE" w:rsidRDefault="00747729" w:rsidP="009370AE">
      <w:pPr>
        <w:ind w:right="237"/>
        <w:jc w:val="both"/>
        <w:rPr>
          <w:b/>
          <w:bCs/>
          <w:color w:val="000000" w:themeColor="text1"/>
          <w:sz w:val="28"/>
          <w:szCs w:val="28"/>
        </w:rPr>
      </w:pPr>
    </w:p>
    <w:p w14:paraId="1ADEFAE5" w14:textId="64D245F2"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C69A94C" w:rsidR="0FF883D4" w:rsidRDefault="5CE196A1" w:rsidP="5CE196A1">
      <w:r w:rsidRPr="5CE196A1">
        <w:rPr>
          <w:rFonts w:eastAsia="Arial"/>
          <w:b/>
          <w:bCs/>
          <w:color w:val="000000" w:themeColor="text1"/>
          <w:sz w:val="24"/>
          <w:szCs w:val="24"/>
        </w:rPr>
        <w:t xml:space="preserve">Signed: </w:t>
      </w:r>
      <w:r w:rsidR="00C27353">
        <w:rPr>
          <w:rFonts w:eastAsia="Arial"/>
          <w:b/>
          <w:bCs/>
          <w:color w:val="000000" w:themeColor="text1"/>
          <w:sz w:val="24"/>
          <w:szCs w:val="24"/>
        </w:rPr>
        <w:t>epb</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2020A4C5" w:rsidR="0FF883D4" w:rsidRDefault="00C27353" w:rsidP="5CE196A1">
      <w:pPr>
        <w:ind w:left="2880" w:right="225" w:firstLine="720"/>
        <w:rPr>
          <w:b/>
          <w:bCs/>
          <w:sz w:val="24"/>
          <w:szCs w:val="24"/>
          <w:lang w:eastAsia="zh-TW"/>
        </w:rPr>
        <w:sectPr w:rsidR="0FF883D4" w:rsidSect="0022001B">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docGrid w:linePitch="272"/>
        </w:sectPr>
      </w:pPr>
      <w:r>
        <w:rPr>
          <w:b/>
          <w:bCs/>
          <w:sz w:val="24"/>
          <w:szCs w:val="24"/>
          <w:lang w:eastAsia="zh-TW"/>
        </w:rPr>
        <w:t>29.04.24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A7D87"/>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3850"/>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47729"/>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1892"/>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353"/>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727"/>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B7734"/>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0A7D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2006/35/contents" TargetMode="External"/><Relationship Id="rId26" Type="http://schemas.openxmlformats.org/officeDocument/2006/relationships/hyperlink" Target="https://onlinelibrary.wiley.com/doi/abs/10.1002/jip.1384" TargetMode="External"/><Relationship Id="rId21" Type="http://schemas.openxmlformats.org/officeDocument/2006/relationships/hyperlink" Target="https://profdev.college.police.uk/competency-values/impartiality/"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library.college.police.uk/docs/acpo/Core-Investigative-Doctrine.pdf"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assets.production.copweb.aws.college.police.uk/s3fs-public/2021-03/victims-code-enhanced-rights-vips-250321.pdf" TargetMode="External"/><Relationship Id="rId20" Type="http://schemas.openxmlformats.org/officeDocument/2006/relationships/hyperlink" Target="https://heinonline.org/HOL/LandingPage?handle=hein.journals/jrlsasw41&amp;div=62&amp;id=&amp;pag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ndfonline.com/doi/abs/10.1080/10911359.2019.1590279" TargetMode="External"/><Relationship Id="rId32" Type="http://schemas.openxmlformats.org/officeDocument/2006/relationships/footer" Target="footer2.xm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legislation.gov.uk/uksi/2012/2632/regulation/3/made" TargetMode="External"/><Relationship Id="rId23" Type="http://schemas.openxmlformats.org/officeDocument/2006/relationships/hyperlink" Target="http://www.cappsy.org/archives/vol14/no3/cap_14_03_14_en.pdf" TargetMode="External"/><Relationship Id="rId28" Type="http://schemas.openxmlformats.org/officeDocument/2006/relationships/hyperlink" Target="https://www.legislation.gov.uk/ukpga/1996/25/content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file:///C:\Users\SWP8481\Downloads\Police+Officers+Empathy+Toward+Victims_20230323.pdf"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responsiveclassroom.org/wp-content/uploads/2017/10/Unconscious-Bias_Ed-Leadership.pdf" TargetMode="External"/><Relationship Id="rId27" Type="http://schemas.openxmlformats.org/officeDocument/2006/relationships/hyperlink" Target="https://www.college.police.uk/app/investigation/investigation-process"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5521</Words>
  <Characters>32884</Characters>
  <Application>Microsoft Office Word</Application>
  <DocSecurity>0</DocSecurity>
  <Lines>274</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Pendlington-Bowen,Elin swp8481</cp:lastModifiedBy>
  <cp:revision>4</cp:revision>
  <cp:lastPrinted>2014-08-26T08:55:00Z</cp:lastPrinted>
  <dcterms:created xsi:type="dcterms:W3CDTF">2024-04-24T14:37:00Z</dcterms:created>
  <dcterms:modified xsi:type="dcterms:W3CDTF">2024-04-29T22:55:00Z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