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rebuchet MS" w:cs="Trebuchet MS" w:hAnsi="Trebuchet MS" w:eastAsia="Trebuchet MS"/>
          <w:caps w:val="0"/>
          <w:smallCaps w:val="0"/>
          <w:strike w:val="0"/>
          <w:dstrike w:val="0"/>
          <w:outline w:val="0"/>
          <w:color w:val="000000"/>
          <w:spacing w:val="0"/>
          <w:kern w:val="0"/>
          <w:position w:val="0"/>
          <w:sz w:val="24"/>
          <w:szCs w:val="24"/>
          <w:u w:val="none" w:color="000000"/>
          <w:vertAlign w:val="baseline"/>
          <w:rtl w:val="0"/>
        </w:rPr>
      </w:pPr>
      <w:r>
        <w:rPr>
          <w:rFonts w:ascii="Georgia" w:cs="Georgia" w:hAnsi="Georgia" w:eastAsia="Georgia"/>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lang w:val="en-US"/>
        </w:rPr>
        <w:t>Undergraduate assignment feedback form</w:t>
      </w:r>
    </w:p>
    <w:p>
      <w:pPr>
        <w:pStyle w:val="Default"/>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lang w:val="en-US"/>
        </w:rPr>
        <w:t>(to be completed by marker)</w:t>
      </w:r>
    </w:p>
    <w:p>
      <w:pPr>
        <w:pStyle w:val="Default"/>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4788"/>
        <w:gridCol w:w="1980"/>
        <w:gridCol w:w="1987"/>
      </w:tblGrid>
      <w:tr>
        <w:tblPrEx>
          <w:shd w:val="clear" w:color="auto" w:fill="ceddeb"/>
        </w:tblPrEx>
        <w:trPr>
          <w:trHeight w:val="70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Student Name:   </w:t>
            </w:r>
            <w:r>
              <w:rPr>
                <w:rFonts w:ascii="Calibri" w:cs="Calibri" w:hAnsi="Calibri" w:eastAsia="Calibri"/>
                <w:i w:val="1"/>
                <w:iCs w:val="1"/>
                <w:sz w:val="30"/>
                <w:szCs w:val="30"/>
                <w:u w:color="000000"/>
                <w:rtl w:val="0"/>
                <w:lang w:val="en-US"/>
              </w:rPr>
              <w:t>MARGARET GALLAGHER</w:t>
            </w:r>
          </w:p>
        </w:tc>
      </w:tr>
      <w:tr>
        <w:tblPrEx>
          <w:shd w:val="clear" w:color="auto" w:fill="ceddeb"/>
        </w:tblPrEx>
        <w:trPr>
          <w:trHeight w:val="17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Module Code: </w:t>
            </w:r>
            <w:r>
              <w:rPr>
                <w:rFonts w:ascii="Calibri" w:cs="Calibri" w:hAnsi="Calibri" w:eastAsia="Calibri"/>
                <w:i w:val="1"/>
                <w:iCs w:val="1"/>
                <w:sz w:val="24"/>
                <w:szCs w:val="24"/>
                <w:u w:color="000000"/>
                <w:rtl w:val="0"/>
                <w:lang w:val="en-US"/>
              </w:rPr>
              <w:t xml:space="preserve"> AHAR6003</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Module title: </w:t>
            </w:r>
            <w:r>
              <w:rPr>
                <w:rFonts w:ascii="Calibri" w:cs="Calibri" w:hAnsi="Calibri" w:eastAsia="Calibri"/>
                <w:i w:val="1"/>
                <w:iCs w:val="1"/>
                <w:sz w:val="24"/>
                <w:szCs w:val="24"/>
                <w:u w:color="000000"/>
                <w:rtl w:val="0"/>
                <w:lang w:val="en-US"/>
              </w:rPr>
              <w:t xml:space="preserve"> Towns, Tombs &amp; Temples</w:t>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Student number:</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    </w:t>
            </w:r>
            <w:r>
              <w:rPr>
                <w:rFonts w:ascii="Calibri" w:cs="Calibri" w:hAnsi="Calibri" w:eastAsia="Calibri"/>
                <w:i w:val="1"/>
                <w:iCs w:val="1"/>
                <w:sz w:val="34"/>
                <w:szCs w:val="34"/>
                <w:u w:color="000000"/>
                <w:rtl w:val="0"/>
                <w:lang w:val="en-US"/>
              </w:rPr>
              <w:t>1502249</w:t>
            </w:r>
          </w:p>
        </w:tc>
      </w:tr>
      <w:tr>
        <w:tblPrEx>
          <w:shd w:val="clear" w:color="auto" w:fill="ceddeb"/>
        </w:tblPrEx>
        <w:trPr>
          <w:trHeight w:val="4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For completion by marker:</w:t>
            </w:r>
          </w:p>
          <w:p>
            <w:pPr>
              <w:pStyle w:val="Body"/>
              <w:spacing w:before="100" w:after="100"/>
              <w:jc w:val="left"/>
              <w:rPr>
                <w:rFonts w:ascii="Calibri" w:cs="Calibri" w:hAnsi="Calibri" w:eastAsia="Calibri"/>
                <w:i w:val="1"/>
                <w:iCs w:val="1"/>
                <w:sz w:val="24"/>
                <w:szCs w:val="24"/>
                <w:u w:color="000000"/>
              </w:rPr>
            </w:pPr>
            <w:r>
              <w:rPr>
                <w:rFonts w:ascii="Calibri" w:cs="Calibri" w:hAnsi="Calibri" w:eastAsia="Calibri"/>
                <w:i w:val="1"/>
                <w:iCs w:val="1"/>
                <w:sz w:val="24"/>
                <w:szCs w:val="24"/>
                <w:u w:color="000000"/>
                <w:rtl w:val="0"/>
                <w:lang w:val="en-US"/>
              </w:rPr>
              <w:t>Comments:</w:t>
            </w: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tl w:val="0"/>
              </w:rPr>
            </w:pPr>
            <w:r>
              <w:rPr>
                <w:rFonts w:ascii="Calibri" w:cs="Calibri" w:hAnsi="Calibri" w:eastAsia="Calibri"/>
                <w:i w:val="1"/>
                <w:iCs w:val="1"/>
                <w:sz w:val="24"/>
                <w:szCs w:val="24"/>
                <w:u w:color="000000"/>
                <w:rtl w:val="0"/>
                <w:lang w:val="en-US"/>
              </w:rPr>
            </w:r>
          </w:p>
        </w:tc>
      </w:tr>
      <w:tr>
        <w:tblPrEx>
          <w:shd w:val="clear" w:color="auto" w:fill="ceddeb"/>
        </w:tblPrEx>
        <w:trPr>
          <w:trHeight w:val="35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Marker</w:t>
            </w:r>
            <w:r>
              <w:rPr>
                <w:rFonts w:ascii="Calibri" w:cs="Calibri" w:hAnsi="Calibri" w:eastAsia="Calibri" w:hint="default"/>
                <w:i w:val="1"/>
                <w:iCs w:val="1"/>
                <w:sz w:val="24"/>
                <w:szCs w:val="24"/>
                <w:u w:color="000000"/>
                <w:rtl w:val="0"/>
                <w:lang w:val="en-US"/>
              </w:rPr>
              <w:t>’</w:t>
            </w:r>
            <w:r>
              <w:rPr>
                <w:rFonts w:ascii="Calibri" w:cs="Calibri" w:hAnsi="Calibri" w:eastAsia="Calibri"/>
                <w:i w:val="1"/>
                <w:iCs w:val="1"/>
                <w:sz w:val="24"/>
                <w:szCs w:val="24"/>
                <w:u w:color="000000"/>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Date:</w:t>
            </w:r>
          </w:p>
        </w:tc>
      </w:tr>
      <w:tr>
        <w:tblPrEx>
          <w:shd w:val="clear" w:color="auto" w:fill="ceddeb"/>
        </w:tblPrEx>
        <w:trPr>
          <w:trHeight w:val="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ind w:left="142"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Provisional mark: </w:t>
            </w:r>
          </w:p>
          <w:p>
            <w:pPr>
              <w:pStyle w:val="Body"/>
              <w:bidi w:val="0"/>
              <w:ind w:left="142" w:right="34" w:firstLine="0"/>
              <w:jc w:val="left"/>
              <w:rPr>
                <w:rtl w:val="0"/>
              </w:rPr>
            </w:pPr>
            <w:r>
              <w:rPr>
                <w:rFonts w:ascii="Calibri" w:cs="Calibri" w:hAnsi="Calibri" w:eastAsia="Calibri"/>
                <w:b w:val="1"/>
                <w:bCs w:val="1"/>
                <w:i w:val="1"/>
                <w:iCs w:val="1"/>
                <w:sz w:val="24"/>
                <w:szCs w:val="24"/>
                <w:u w:color="000000"/>
                <w:rtl w:val="0"/>
                <w:lang w:val="en-US"/>
              </w:rPr>
              <w:t>NB.</w:t>
            </w:r>
            <w:r>
              <w:rPr>
                <w:rFonts w:ascii="Calibri" w:cs="Calibri" w:hAnsi="Calibri" w:eastAsia="Calibri"/>
                <w:i w:val="1"/>
                <w:iCs w:val="1"/>
                <w:sz w:val="24"/>
                <w:szCs w:val="24"/>
                <w:u w:color="000000"/>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108" w:right="0" w:hanging="108"/>
        <w:jc w:val="left"/>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Default"/>
        <w:bidi w:val="0"/>
        <w:spacing w:line="288" w:lineRule="auto"/>
        <w:ind w:left="0" w:right="0" w:firstLine="0"/>
        <w:jc w:val="left"/>
        <w:rPr>
          <w:rFonts w:ascii="Verdana" w:cs="Verdana" w:hAnsi="Verdana" w:eastAsia="Verdana"/>
          <w:sz w:val="24"/>
          <w:szCs w:val="24"/>
          <w:u w:color="000000"/>
          <w:rtl w:val="0"/>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Habitus is, in very simple terms, the things people do in their daily lives.  The day to day, and occasional, but consistent things that are done by individuals, as part of their activities of daily living, and of life - and of being and living within a wider community and civilisation.  Activities that can be enforced, but are usually learned, many unconsciously absorbed from birth, as children observe and are taught the way things are done within their household, and their community.  Some habitus will be standard practice for all, perhaps by rule of law or religious ritual, or dictated by circumstance, while some will be more individualised, depending on context - plus the will and/or the option to develop personal or family practices and behaviours.  Habitus entails not just what people do within different activities and circumstances, but often exactly how they do them - oftentimes right down to particular body movements - for instance, if the habitus is part of a skill, or a cult or religious practice.  These are often actions that people don</w:t>
      </w:r>
      <w:r>
        <w:rPr>
          <w:rFonts w:ascii="Verdana" w:hAnsi="Verdana" w:hint="default"/>
          <w:sz w:val="24"/>
          <w:szCs w:val="24"/>
          <w:rtl w:val="0"/>
          <w:lang w:val="en-US"/>
        </w:rPr>
        <w:t>’</w:t>
      </w:r>
      <w:r>
        <w:rPr>
          <w:rFonts w:ascii="Verdana" w:hAnsi="Verdana"/>
          <w:sz w:val="24"/>
          <w:szCs w:val="24"/>
          <w:rtl w:val="0"/>
          <w:lang w:val="en-US"/>
        </w:rPr>
        <w:t xml:space="preserve">t even think about, as they are so embedded and normalised within daily life, or a particular activity, as to have become almost invisible.  This also can include the choices people make as part of those activities, if the scope to do so is appropriate to the situation - whether the scope is personal or political </w:t>
      </w:r>
      <w:r>
        <w:rPr>
          <w:rFonts w:ascii="Verdana" w:hAnsi="Verdana"/>
          <w:sz w:val="24"/>
          <w:szCs w:val="24"/>
          <w:rtl w:val="0"/>
          <w:lang w:val="fr-FR"/>
        </w:rPr>
        <w:t>(Bordieu 1990)</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This leads to the realisation that this idea of the </w:t>
      </w:r>
      <w:r>
        <w:rPr>
          <w:rFonts w:ascii="Verdana" w:hAnsi="Verdana" w:hint="default"/>
          <w:sz w:val="24"/>
          <w:szCs w:val="24"/>
          <w:rtl w:val="0"/>
          <w:lang w:val="en-US"/>
        </w:rPr>
        <w:t>‘</w:t>
      </w:r>
      <w:r>
        <w:rPr>
          <w:rFonts w:ascii="Verdana" w:hAnsi="Verdana"/>
          <w:sz w:val="24"/>
          <w:szCs w:val="24"/>
          <w:rtl w:val="0"/>
          <w:lang w:val="en-US"/>
        </w:rPr>
        <w:t>what</w:t>
      </w:r>
      <w:r>
        <w:rPr>
          <w:rFonts w:ascii="Verdana" w:hAnsi="Verdana" w:hint="default"/>
          <w:sz w:val="24"/>
          <w:szCs w:val="24"/>
          <w:rtl w:val="0"/>
          <w:lang w:val="en-US"/>
        </w:rPr>
        <w:t xml:space="preserve">’ </w:t>
      </w:r>
      <w:r>
        <w:rPr>
          <w:rFonts w:ascii="Verdana" w:hAnsi="Verdana"/>
          <w:sz w:val="24"/>
          <w:szCs w:val="24"/>
          <w:rtl w:val="0"/>
          <w:lang w:val="en-US"/>
        </w:rPr>
        <w:t xml:space="preserve">and the </w:t>
      </w:r>
      <w:r>
        <w:rPr>
          <w:rFonts w:ascii="Verdana" w:hAnsi="Verdana" w:hint="default"/>
          <w:sz w:val="24"/>
          <w:szCs w:val="24"/>
          <w:rtl w:val="0"/>
          <w:lang w:val="en-US"/>
        </w:rPr>
        <w:t>‘</w:t>
      </w:r>
      <w:r>
        <w:rPr>
          <w:rFonts w:ascii="Verdana" w:hAnsi="Verdana"/>
          <w:sz w:val="24"/>
          <w:szCs w:val="24"/>
          <w:rtl w:val="0"/>
          <w:lang w:val="en-US"/>
        </w:rPr>
        <w:t>how</w:t>
      </w:r>
      <w:r>
        <w:rPr>
          <w:rFonts w:ascii="Verdana" w:hAnsi="Verdana" w:hint="default"/>
          <w:sz w:val="24"/>
          <w:szCs w:val="24"/>
          <w:rtl w:val="0"/>
          <w:lang w:val="en-US"/>
        </w:rPr>
        <w:t xml:space="preserve">’ </w:t>
      </w:r>
      <w:r>
        <w:rPr>
          <w:rFonts w:ascii="Verdana" w:hAnsi="Verdana"/>
          <w:sz w:val="24"/>
          <w:szCs w:val="24"/>
          <w:rtl w:val="0"/>
          <w:lang w:val="en-US"/>
        </w:rPr>
        <w:t xml:space="preserve">people do what they do, must also have a </w:t>
      </w:r>
      <w:r>
        <w:rPr>
          <w:rFonts w:ascii="Verdana" w:hAnsi="Verdana" w:hint="default"/>
          <w:sz w:val="24"/>
          <w:szCs w:val="24"/>
          <w:rtl w:val="0"/>
          <w:lang w:val="en-US"/>
        </w:rPr>
        <w:t>‘</w:t>
      </w:r>
      <w:r>
        <w:rPr>
          <w:rFonts w:ascii="Verdana" w:hAnsi="Verdana"/>
          <w:sz w:val="24"/>
          <w:szCs w:val="24"/>
          <w:rtl w:val="0"/>
          <w:lang w:val="en-US"/>
        </w:rPr>
        <w:t>why</w:t>
      </w:r>
      <w:r>
        <w:rPr>
          <w:rFonts w:ascii="Verdana" w:hAnsi="Verdana" w:hint="default"/>
          <w:sz w:val="24"/>
          <w:szCs w:val="24"/>
          <w:rtl w:val="0"/>
          <w:lang w:val="en-US"/>
        </w:rPr>
        <w:t>’</w:t>
      </w:r>
      <w:r>
        <w:rPr>
          <w:rFonts w:ascii="Verdana" w:hAnsi="Verdana"/>
          <w:sz w:val="24"/>
          <w:szCs w:val="24"/>
          <w:rtl w:val="0"/>
          <w:lang w:val="en-US"/>
        </w:rPr>
        <w:t>, which also helps form the habitus.  There is always a logic embedded within everything: sometimes historical and no longer remembered, sometimes so eminently practical and obvious that it goes without saying.  When attempting to interpret and understand the behaviours of people in past civilisations, it is not really sufficient to solely look at the objective results of archaeological excavations - the idea of: context + object = rationale.  Because maybe it doesn</w:t>
      </w:r>
      <w:r>
        <w:rPr>
          <w:rFonts w:ascii="Verdana" w:hAnsi="Verdana" w:hint="default"/>
          <w:sz w:val="24"/>
          <w:szCs w:val="24"/>
          <w:rtl w:val="0"/>
          <w:lang w:val="en-US"/>
        </w:rPr>
        <w:t>’</w:t>
      </w:r>
      <w:r>
        <w:rPr>
          <w:rFonts w:ascii="Verdana" w:hAnsi="Verdana"/>
          <w:sz w:val="24"/>
          <w:szCs w:val="24"/>
          <w:rtl w:val="0"/>
          <w:lang w:val="en-US"/>
        </w:rPr>
        <w:t>t.  Other things can come into it, from local and regional politics, to the weather and everything in between - or even subsequent events and all that can entail with respect to archaeological sites.  And, of course, also the people themselves and their personal and social history.  Consequently we need to think about human behaviour and its likely causes and motivations, in an effort to shed more light on the possible rationale for what we discover.  It may confirm what we first assumed, but it also may give insight into other possibilities, which can then be explored.</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What people do with their dead is a subject that certainly falls into the area of  habitus, as the activities that surround it can be affected by historical as well as personal and community-related influences.  When considering Alalakh (Tell Atchana), for instance, there is evidence that some of the dead were buried within domestic living spaces during the Bronze Age (Woolley 1953).  For a person living in the West, in the 21st century, this would seem a very strange and unhygienic thing to do, yet it was part of the habitus of some of the people living in Alalakh in the Late Bronze Age, so it certainly deserves consideration.  Comparison with other contemporary sites in the region may also be instructive in helping to suggest what may be the rationale for such a practice - and why it was limited to only one section of the population.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Sir Leonard Woolley was the first person to lead an excavation of the site of Alalakh, from 1937-39 and again, after the second world war, from 1946-49.  Alalakh was located in the Amuq valley, close by the Orontes River in what is now part of southern Turkey.  It was the capital city of the Mukish kingdom and, at different times, had links to Sumer, Babylon, Egypt, the Hittites, the Hurrians and the Mitanni, either as a vassal state or subsumed within an empire, as well as being an active part of the regional trade and communication network, due to its location. It also had creative and trade links into the Mediterranean - with both the Minoans and Cyprus (Woolley 1953).   </w:t>
      </w:r>
    </w:p>
    <w:p>
      <w:pPr>
        <w:pStyle w:val="Body"/>
        <w:rPr>
          <w:rFonts w:ascii="Verdana" w:cs="Verdana" w:hAnsi="Verdana" w:eastAsia="Verdana"/>
          <w:sz w:val="24"/>
          <w:szCs w:val="24"/>
        </w:rPr>
      </w:pPr>
      <w:r>
        <w:rPr>
          <w:rFonts w:ascii="Verdana" w:hAnsi="Verdana"/>
          <w:sz w:val="24"/>
          <w:szCs w:val="24"/>
          <w:rtl w:val="0"/>
          <w:lang w:val="en-US"/>
        </w:rPr>
        <w:t>Woolley excavated seventeen different levels on the site, the earliest date being from the start of the second millennium BC, going through to around the end of the Late Bronze Age.  The evidence he discovered led him to conclude that the palace and surrounding buildings were destroyed and burned to the ground twice, both times after a significant period of prosperity (Evans 2008).  The first time, which fits with Level VII, is thought to be by King Hattusili I of the Hittites, which brought Alalakh into the Hittite Empire.  The second time was at the end of Level IV, and Suppiluliuma I is thought to have been responsible (Yener 2001).  It is also thought that the period between Levels VII and IV, lasting around 100 years, was not a stable or strong period for Alalakh, and that it was at its height during the periods Level VII and Level IV were in functional existence.  Woolley, as well as uncovering many iterations of buildings, from palaces and temples and other public buildings, to both grand and humble houses, also uncovered archives - and evidence of local production of glass, faience, metallurgy, including bronzes and carved ivory (Evans 2008, Yener 2001, 2003).  As a result of all these discoveries, it seems Alalakh was a productive centre of local power for much of its existence.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Woolly did not excavate the entire tell, only a large section at the northern end and, in the process, he uncovered seventeen different building phases, the lowest of which was below the water table when he was excavating.  With respect to burials discovered during these excavations, Woolley reported that:</w:t>
      </w:r>
    </w:p>
    <w:p>
      <w:pPr>
        <w:pStyle w:val="Body"/>
        <w:rPr>
          <w:rFonts w:ascii="Verdana" w:cs="Verdana" w:hAnsi="Verdana" w:eastAsia="Verdana"/>
          <w:sz w:val="24"/>
          <w:szCs w:val="24"/>
        </w:rPr>
      </w:pPr>
      <w:r>
        <w:rPr>
          <w:rFonts w:ascii="Verdana" w:hAnsi="Verdana"/>
          <w:sz w:val="24"/>
          <w:szCs w:val="24"/>
          <w:rtl w:val="0"/>
          <w:lang w:val="en-US"/>
        </w:rPr>
        <w:t>- The earliest burials found under the floors of houses were in Level VIII, which ended around 1790BC.</w:t>
      </w:r>
      <w:r>
        <w:rPr>
          <w:rFonts w:ascii="Verdana" w:hAnsi="Verdana"/>
          <w:b w:val="1"/>
          <w:bCs w:val="1"/>
          <w:sz w:val="24"/>
          <w:szCs w:val="24"/>
          <w:rtl w:val="0"/>
          <w:lang w:val="en-US"/>
        </w:rPr>
        <w:t xml:space="preserve"> </w:t>
      </w:r>
      <w:r>
        <w:rPr>
          <w:rFonts w:ascii="Verdana" w:hAnsi="Verdana"/>
          <w:sz w:val="24"/>
          <w:szCs w:val="24"/>
          <w:rtl w:val="0"/>
          <w:lang w:val="en-US"/>
        </w:rPr>
        <w:t>No under-floor burials were found below this level.</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The occurrence of under-floor burials increased from this level up to Level I, the level at which the highest number of burials were found.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The vast majority were found under the floors, or in the courtyards, of the poorer houses.  He mentions </w:t>
      </w:r>
      <w:r>
        <w:rPr>
          <w:rFonts w:ascii="Verdana" w:hAnsi="Verdana" w:hint="default"/>
          <w:sz w:val="24"/>
          <w:szCs w:val="24"/>
          <w:rtl w:val="0"/>
          <w:lang w:val="en-US"/>
        </w:rPr>
        <w:t>‘</w:t>
      </w:r>
      <w:r>
        <w:rPr>
          <w:rFonts w:ascii="Verdana" w:hAnsi="Verdana"/>
          <w:sz w:val="24"/>
          <w:szCs w:val="24"/>
          <w:rtl w:val="0"/>
          <w:lang w:val="en-US"/>
        </w:rPr>
        <w:t>numerous graves</w:t>
      </w:r>
      <w:r>
        <w:rPr>
          <w:rFonts w:ascii="Verdana" w:hAnsi="Verdana" w:hint="default"/>
          <w:sz w:val="24"/>
          <w:szCs w:val="24"/>
          <w:rtl w:val="0"/>
          <w:lang w:val="en-US"/>
        </w:rPr>
        <w:t>’</w:t>
      </w:r>
      <w:r>
        <w:rPr>
          <w:rFonts w:ascii="Verdana" w:hAnsi="Verdana"/>
          <w:sz w:val="24"/>
          <w:szCs w:val="24"/>
          <w:rtl w:val="0"/>
          <w:lang w:val="en-US"/>
        </w:rPr>
        <w:t>.</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The graves were simple, with no coffins.</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The bodies were clothed and had been laid on their sides, with their hands put up in front of their face and their knees slightly bent.</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Grave goods - personal: </w:t>
      </w:r>
    </w:p>
    <w:p>
      <w:pPr>
        <w:pStyle w:val="Body"/>
        <w:rPr>
          <w:rFonts w:ascii="Verdana" w:cs="Verdana" w:hAnsi="Verdana" w:eastAsia="Verdana"/>
          <w:i w:val="1"/>
          <w:iCs w:val="1"/>
          <w:sz w:val="24"/>
          <w:szCs w:val="24"/>
        </w:rPr>
      </w:pPr>
      <w:r>
        <w:rPr>
          <w:rFonts w:ascii="Verdana" w:cs="Verdana" w:hAnsi="Verdana" w:eastAsia="Verdana"/>
          <w:sz w:val="24"/>
          <w:szCs w:val="24"/>
        </w:rPr>
        <w:tab/>
      </w:r>
      <w:r>
        <w:rPr>
          <w:rFonts w:ascii="Verdana" w:hAnsi="Verdana" w:hint="default"/>
          <w:i w:val="1"/>
          <w:iCs w:val="1"/>
          <w:sz w:val="24"/>
          <w:szCs w:val="24"/>
          <w:rtl w:val="0"/>
          <w:lang w:val="en-US"/>
        </w:rPr>
        <w:t>‘</w:t>
      </w:r>
      <w:r>
        <w:rPr>
          <w:rFonts w:ascii="Verdana" w:hAnsi="Verdana"/>
          <w:i w:val="1"/>
          <w:iCs w:val="1"/>
          <w:sz w:val="24"/>
          <w:szCs w:val="24"/>
          <w:rtl w:val="0"/>
          <w:lang w:val="en-US"/>
        </w:rPr>
        <w:t>by the shoulder we would find one or two pins that had fastened the</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 xml:space="preserve">cloak, there would be finger rings and perhaps a cylinder seal and, with </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 xml:space="preserve">the women, beads and amulets at the neck, with children, knuckle bones </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or, rarely, a clay doll.</w:t>
      </w:r>
      <w:r>
        <w:rPr>
          <w:rFonts w:ascii="Verdana" w:hAnsi="Verdana" w:hint="default"/>
          <w:i w:val="1"/>
          <w:iCs w:val="1"/>
          <w:sz w:val="24"/>
          <w:szCs w:val="24"/>
          <w:rtl w:val="0"/>
          <w:lang w:val="en-US"/>
        </w:rPr>
        <w:t xml:space="preserve">’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Grave goods - other: </w:t>
      </w:r>
    </w:p>
    <w:p>
      <w:pPr>
        <w:pStyle w:val="Body"/>
        <w:rPr>
          <w:rFonts w:ascii="Verdana" w:cs="Verdana" w:hAnsi="Verdana" w:eastAsia="Verdana"/>
          <w:i w:val="1"/>
          <w:iCs w:val="1"/>
          <w:sz w:val="24"/>
          <w:szCs w:val="24"/>
        </w:rPr>
      </w:pPr>
      <w:r>
        <w:rPr>
          <w:rFonts w:ascii="Verdana" w:cs="Verdana" w:hAnsi="Verdana" w:eastAsia="Verdana"/>
          <w:sz w:val="24"/>
          <w:szCs w:val="24"/>
        </w:rPr>
        <w:tab/>
      </w:r>
      <w:r>
        <w:rPr>
          <w:rFonts w:ascii="Verdana" w:hAnsi="Verdana" w:hint="default"/>
          <w:i w:val="1"/>
          <w:iCs w:val="1"/>
          <w:sz w:val="24"/>
          <w:szCs w:val="24"/>
          <w:rtl w:val="0"/>
          <w:lang w:val="en-US"/>
        </w:rPr>
        <w:t>‘</w:t>
      </w:r>
      <w:r>
        <w:rPr>
          <w:rFonts w:ascii="Verdana" w:hAnsi="Verdana"/>
          <w:i w:val="1"/>
          <w:iCs w:val="1"/>
          <w:sz w:val="24"/>
          <w:szCs w:val="24"/>
          <w:rtl w:val="0"/>
          <w:lang w:val="en-US"/>
        </w:rPr>
        <w:t xml:space="preserve">offerings made to the dead, a few clay pots for the food and drink </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required, and that was all.</w:t>
      </w:r>
      <w:r>
        <w:rPr>
          <w:rFonts w:ascii="Verdana" w:hAnsi="Verdana" w:hint="default"/>
          <w:i w:val="1"/>
          <w:iCs w:val="1"/>
          <w:sz w:val="24"/>
          <w:szCs w:val="24"/>
          <w:rtl w:val="0"/>
          <w:lang w:val="en-US"/>
        </w:rPr>
        <w:t xml:space="preserve">’  </w:t>
      </w:r>
    </w:p>
    <w:p>
      <w:pPr>
        <w:pStyle w:val="Body"/>
        <w:rPr>
          <w:rFonts w:ascii="Verdana" w:cs="Verdana" w:hAnsi="Verdana" w:eastAsia="Verdana"/>
          <w:i w:val="1"/>
          <w:iCs w:val="1"/>
          <w:sz w:val="24"/>
          <w:szCs w:val="24"/>
        </w:rPr>
      </w:pPr>
      <w:r>
        <w:rPr>
          <w:rFonts w:ascii="Verdana" w:hAnsi="Verdana"/>
          <w:i w:val="1"/>
          <w:iCs w:val="1"/>
          <w:sz w:val="24"/>
          <w:szCs w:val="24"/>
          <w:rtl w:val="0"/>
          <w:lang w:val="en-US"/>
        </w:rPr>
        <w:t xml:space="preserve">-  </w:t>
      </w:r>
      <w:r>
        <w:rPr>
          <w:rFonts w:ascii="Verdana" w:hAnsi="Verdana"/>
          <w:i w:val="0"/>
          <w:iCs w:val="0"/>
          <w:sz w:val="24"/>
          <w:szCs w:val="24"/>
          <w:rtl w:val="0"/>
          <w:lang w:val="en-US"/>
        </w:rPr>
        <w:t>No weapons were ever found.</w:t>
      </w:r>
      <w:r>
        <w:rPr>
          <w:rFonts w:ascii="Verdana" w:hAnsi="Verdana"/>
          <w:i w:val="1"/>
          <w:iCs w:val="1"/>
          <w:sz w:val="24"/>
          <w:szCs w:val="24"/>
          <w:rtl w:val="0"/>
          <w:lang w:val="en-US"/>
        </w:rPr>
        <w:t xml:space="preserve">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There seemed no care for the directional orientation of the burial or any evidence of religious observance, beyond leaving food for the onward journey into the afterlife.</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Infants were buried in seemingly random locations, in clay jars, and were not cremated.  Woolley notes that cremation was not part of the burial customs in Alalakh in the earlier times.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By Level II the household burials were much more common and they were also being buried underneath the the floors, of many more of the rooms.</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The courtyards also contained rubbish pits and, in houses away from the town walls (where there was external drainage), the pits were also used for sewage, and courtyard burials were also still going on as well.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Towards the end of occupation of Alalakh, at Level I (as believed by Woolley, since disputed - see below, Fink 2010), there was a massive increase in cremation burials.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Almost no burials were found under the more well-off houses, except for some infant burials. </w:t>
      </w:r>
    </w:p>
    <w:p>
      <w:pPr>
        <w:pStyle w:val="Body"/>
        <w:numPr>
          <w:ilvl w:val="0"/>
          <w:numId w:val="2"/>
        </w:numPr>
        <w:rPr>
          <w:rFonts w:ascii="Verdana" w:cs="Verdana" w:hAnsi="Verdana" w:eastAsia="Verdana"/>
          <w:sz w:val="24"/>
          <w:szCs w:val="24"/>
          <w:lang w:val="en-US"/>
        </w:rPr>
      </w:pPr>
      <w:r>
        <w:rPr>
          <w:rFonts w:ascii="Verdana" w:hAnsi="Verdana"/>
          <w:sz w:val="24"/>
          <w:szCs w:val="24"/>
          <w:rtl w:val="0"/>
          <w:lang w:val="en-US"/>
        </w:rPr>
        <w:t xml:space="preserve">None were found at all in the palaces, at any excavation level.  </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Woolley also mentions his belief that the majority of the dead were buried in cemeteries outside the city wall (which he did not discover during his excavations), because the number of bodies found in the houses was not high enough to equate to the estimated population, and the elite classes were not burying their dead in their homes, so had to be using another location.  In 2003, an excavation at the site (Yener et al 2004, Fink 2010), which included areas not touched by Woolley, enabled more a accurate stratigraphy to be suggested and which then shed further light onto the later burials, based on the history of the site at the time.  And, in Area 3, which was part of the new excavations and which uncovered Late Bronze Age evidence, a cemetery site was uncovered.  It contained 10 burials and had evidence of many other burials that had been disturbed or eroded.  Included among the undisturbed burials was:</w:t>
      </w:r>
    </w:p>
    <w:p>
      <w:pPr>
        <w:pStyle w:val="Body"/>
        <w:rPr>
          <w:rFonts w:ascii="Verdana" w:cs="Verdana" w:hAnsi="Verdana" w:eastAsia="Verdana"/>
          <w:i w:val="1"/>
          <w:iCs w:val="1"/>
          <w:sz w:val="24"/>
          <w:szCs w:val="24"/>
        </w:rPr>
      </w:pPr>
      <w:r>
        <w:rPr>
          <w:rFonts w:ascii="Verdana" w:cs="Verdana" w:hAnsi="Verdana" w:eastAsia="Verdana"/>
          <w:sz w:val="24"/>
          <w:szCs w:val="24"/>
          <w:rtl w:val="0"/>
          <w:lang w:val="en-US"/>
        </w:rPr>
        <w:tab/>
        <w:t>‘</w:t>
      </w:r>
      <w:r>
        <w:rPr>
          <w:rFonts w:ascii="Verdana" w:hAnsi="Verdana" w:hint="default"/>
          <w:i w:val="1"/>
          <w:iCs w:val="1"/>
          <w:sz w:val="24"/>
          <w:szCs w:val="24"/>
          <w:rtl w:val="0"/>
          <w:lang w:val="en-US"/>
        </w:rPr>
        <w:t xml:space="preserve">… </w:t>
      </w:r>
      <w:r>
        <w:rPr>
          <w:rFonts w:ascii="Verdana" w:hAnsi="Verdana"/>
          <w:i w:val="1"/>
          <w:iCs w:val="1"/>
          <w:sz w:val="24"/>
          <w:szCs w:val="24"/>
          <w:rtl w:val="0"/>
          <w:lang w:val="en-US"/>
        </w:rPr>
        <w:t xml:space="preserve">a tomb with multiple individuals and special grave goods. This tomb </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had a plastered superstructure on a cobblestone foundation. On the top</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of the tomb were two columns of baked clay tile headstones stacked four</w:t>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high and a row of cobblestones.</w:t>
      </w:r>
      <w:r>
        <w:rPr>
          <w:rFonts w:ascii="Verdana" w:hAnsi="Verdana" w:hint="default"/>
          <w:i w:val="1"/>
          <w:iCs w:val="1"/>
          <w:sz w:val="24"/>
          <w:szCs w:val="24"/>
          <w:rtl w:val="0"/>
          <w:lang w:val="en-US"/>
        </w:rPr>
        <w: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In the tomb was evidence indicating a wooden coffin, and the remains of four individuals, one of which was buried with gold, carnelian, ivory and amber beads as well as gold jewellery &amp; garment decoration, copper and solver pins and high class pottery, including items from Cyprus.  The pottery, along with bones of animals and birds indicated a substantial amount of sustenance was buried with these people.  A vast difference between this and the house burials found by Woolley, and support of his assumption that the more well off individuals in Alalakh were buried in a cemetery.</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The same excavation also discusses some of the house burials mentioned by Woolley (Fink 2010) with a view to understanding the exact timeline.  Some of the later burials Woolley excavated were dug into the walls of one of the houses, House 37A, and also contained Mycenaean pottery, which led him to assume they were from Level I.  However Fink believes that, as with Ugarit, Alalakh went out of existence as a city at the end of Level III - around 1320-13BC - as it was burned and destroyed, never to be rebuilt (Bryce 2014).  Having been a Hittite city during its last stage of existence, it subsequently seems to have been used by the Hittites only as a garrison.  All of what is currently known of the city was destroyed, including the houses.   </w:t>
      </w:r>
    </w:p>
    <w:p>
      <w:pPr>
        <w:pStyle w:val="Body"/>
        <w:rPr>
          <w:rFonts w:ascii="Verdana" w:cs="Verdana" w:hAnsi="Verdana" w:eastAsia="Verdana"/>
          <w:sz w:val="24"/>
          <w:szCs w:val="24"/>
        </w:rPr>
      </w:pPr>
      <w:r>
        <w:rPr>
          <w:rFonts w:ascii="Verdana" w:hAnsi="Verdana"/>
          <w:sz w:val="24"/>
          <w:szCs w:val="24"/>
          <w:rtl w:val="0"/>
          <w:lang w:val="en-US"/>
        </w:rPr>
        <w:t xml:space="preserve">Fink (2010) goes on to say that these house ruins were near a stronghold (Levels II-I) constructed after the city was destroyed, and that the house ruins were subsequently used as a handy location for burials, as many pits were also found, having been dug in preparation for future use.  Gold bars and earrings were also found in room 5 of House 37A, and post-Mitannian (possibly heirloom) cylinder seals, bronze arrow head and bronze pin were also found in the building, so it seems to have been a general burial ground for the garrison and whoever provided for their needs during that time period.   Being so close to the surface, much has been lost due to looting and erosion over the passage of time.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The rationale which might have been key to the habitus of the people who conducted these various burials will be varied and can only be surmised from the evidence available, from both local and wider contexts - death-related and historical.  Gilmour (2002) noted that burials are generally conservative practices due to people acting out beliefs and traditions which have been passed down through generations.  Attempting to continue ancestral practices can therefore be a way of maintaining those traditions in the face of societal change, as well as a way of holding true to the belief of keeping family ties and interactions existing beyond death, something that is also an important emotional bond and support for individuals and families in the face of change.  This resistance to change can include both the mode of burial as well as the rituals and behaviours which surround it - before, during and after.  With respect to the house burials and their variability, this could certainly have been multi-faceted.  Firstly, it appears to have been common practice within the culture of the region (Cooper2006), but not across the entire community.  Woolley himself noted that: </w:t>
      </w:r>
    </w:p>
    <w:p>
      <w:pPr>
        <w:pStyle w:val="Body"/>
        <w:rPr>
          <w:rFonts w:ascii="Verdana" w:cs="Verdana" w:hAnsi="Verdana" w:eastAsia="Verdana"/>
          <w:sz w:val="24"/>
          <w:szCs w:val="24"/>
        </w:rPr>
      </w:pPr>
    </w:p>
    <w:p>
      <w:pPr>
        <w:pStyle w:val="Body"/>
        <w:rPr>
          <w:rFonts w:ascii="Verdana" w:cs="Verdana" w:hAnsi="Verdana" w:eastAsia="Verdana"/>
          <w:i w:val="1"/>
          <w:iCs w:val="1"/>
          <w:sz w:val="24"/>
          <w:szCs w:val="24"/>
        </w:rPr>
      </w:pPr>
      <w:r>
        <w:rPr>
          <w:rFonts w:ascii="Verdana" w:cs="Verdana" w:hAnsi="Verdana" w:eastAsia="Verdana"/>
          <w:sz w:val="24"/>
          <w:szCs w:val="24"/>
        </w:rPr>
        <w:tab/>
      </w:r>
      <w:r>
        <w:rPr>
          <w:rFonts w:ascii="Verdana" w:hAnsi="Verdana" w:hint="default"/>
          <w:i w:val="1"/>
          <w:iCs w:val="1"/>
          <w:sz w:val="24"/>
          <w:szCs w:val="24"/>
          <w:rtl w:val="0"/>
          <w:lang w:val="en-US"/>
        </w:rPr>
        <w:t>‘</w:t>
      </w:r>
      <w:r>
        <w:rPr>
          <w:rFonts w:ascii="Verdana" w:hAnsi="Verdana"/>
          <w:i w:val="1"/>
          <w:iCs w:val="1"/>
          <w:sz w:val="24"/>
          <w:szCs w:val="24"/>
          <w:rtl w:val="0"/>
          <w:lang w:val="en-US"/>
        </w:rPr>
        <w:t xml:space="preserve">The custom of burying people under the floors of their houses is fairly </w:t>
        <w:tab/>
      </w:r>
    </w:p>
    <w:p>
      <w:pPr>
        <w:pStyle w:val="Body"/>
        <w:rPr>
          <w:rFonts w:ascii="Verdana" w:cs="Verdana" w:hAnsi="Verdana" w:eastAsia="Verdana"/>
          <w:i w:val="1"/>
          <w:iCs w:val="1"/>
          <w:sz w:val="24"/>
          <w:szCs w:val="24"/>
        </w:rPr>
      </w:pPr>
      <w:r>
        <w:rPr>
          <w:rFonts w:ascii="Verdana" w:cs="Verdana" w:hAnsi="Verdana" w:eastAsia="Verdana"/>
          <w:i w:val="1"/>
          <w:iCs w:val="1"/>
          <w:sz w:val="24"/>
          <w:szCs w:val="24"/>
          <w:rtl w:val="0"/>
          <w:lang w:val="en-US"/>
        </w:rPr>
        <w:tab/>
        <w:t>common in the Middle East, though by no means universal.</w:t>
      </w:r>
      <w:r>
        <w:rPr>
          <w:rFonts w:ascii="Verdana" w:hAnsi="Verdana" w:hint="default"/>
          <w:i w:val="1"/>
          <w:iCs w:val="1"/>
          <w:sz w:val="24"/>
          <w:szCs w:val="24"/>
          <w:rtl w:val="0"/>
          <w:lang w:val="en-US"/>
        </w:rPr>
        <w:t>’</w:t>
      </w:r>
    </w:p>
    <w:p>
      <w:pPr>
        <w:pStyle w:val="Body"/>
        <w:rPr>
          <w:rFonts w:ascii="Verdana" w:cs="Verdana" w:hAnsi="Verdana" w:eastAsia="Verdana"/>
          <w:i w:val="1"/>
          <w:iCs w:val="1"/>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According to Bunimovitz (1998), there were two categories of burials in the region: foreign and indigenous - and both were variable.  The indigenous burials included cave (multiple), pit (individual) and intramural (individual + infant pot) burials.  The intramural burials were an urban practice in the Middle Bronze Age, which slowly died out over time as the use of extramural cemeteries became a common practice.  Just looking at Alalakh, it would seem that house burials were restricted to simple, single inhumations and infants in clay jars, at least in the earlier levels, and only in poorer homes.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However, in other locations, things appear to have been different.  For instance Tel Megiddo also was found to have intramural burials but what has been excavated is an under-floor tomb beneath a relatively large residential building, containing multiple burials, which have gone through a funerary and commemorative ritual, known to have been practised in the region, which involves commingling of the burials over time and the rearrangement of the remains </w:t>
      </w:r>
      <w:r>
        <w:rPr>
          <w:rFonts w:ascii="Verdana" w:hAnsi="Verdana"/>
          <w:sz w:val="24"/>
          <w:szCs w:val="24"/>
          <w:rtl w:val="0"/>
        </w:rPr>
        <w:t>(Cradic 2017)</w:t>
      </w:r>
      <w:r>
        <w:rPr>
          <w:rFonts w:ascii="Verdana" w:hAnsi="Verdana"/>
          <w:sz w:val="24"/>
          <w:szCs w:val="24"/>
          <w:rtl w:val="0"/>
          <w:lang w:val="en-US"/>
        </w:rPr>
        <w:t xml:space="preserve">.  Certainly this has not been found to have happened in Alalakh.  Whether this is due to not all of Alalakh having been excavated, or because it was not a practice there, at least for the intramural burials, is unknown.  </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So the Alalakh intramural burials appear to be a pragmatic, urban version of a traditional practice.  Ancestral funerary practices did not transfer easily to the urban environment, being based on rural living and its practical options for burial locations: caves or available land </w:t>
      </w:r>
      <w:r>
        <w:rPr>
          <w:rFonts w:ascii="Verdana" w:hAnsi="Verdana"/>
          <w:sz w:val="24"/>
          <w:szCs w:val="24"/>
          <w:rtl w:val="0"/>
        </w:rPr>
        <w:t>(Bunimovitz 1998)</w:t>
      </w:r>
      <w:r>
        <w:rPr>
          <w:rFonts w:ascii="Verdana" w:hAnsi="Verdana"/>
          <w:sz w:val="24"/>
          <w:szCs w:val="24"/>
          <w:rtl w:val="0"/>
          <w:lang w:val="en-US"/>
        </w:rPr>
        <w:t>.  In the absence of these rural burial opportunities there were still urban options, but urban life appears to have produced other forces affecting those options, particularly leading, and relating to burial under the home.  An important one being to have the choice to separate living residents from the practicalities relating to the presence of decomposing bodies close underfoot.  An affordable option for some in Megiddo, but not the poor in Alalakh.  So the issue behind home burial then could be to do with lack of funds needed: for an in-home tomb, or for cemetery space, or for ritual input from others, or the cost of the physical necessities of public burial spaces (tomb building/upkeep, follow-up funerary practices).  Or perhaps it was a class issue - maybe the elites did not want to share their cemetery space with the poor, working class people.</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Probably these people were doing the best they could for their deceased family members, by keeping them close while, at the same time, spending very little, in terms of energy or material goods, on the burial.  Culturally much of the usual funerary practice before, during and after the burial appears to have been aimed at maintaining a connection between the family and its ancestors, initially as individuals and, as time passed, as an amorphous group (Cradic 2017).  Having limited options, due to either financial or social constraints, would necessitate a different means of maintaining that family connection, if that remained important to these people.  In the face of relative poverty, a possible class system and/or separation from traditional means of observance of practice, this would seem likely, as some things still remained the same.  These were still inhumation/pit burials, with the traditional additions of a few small, personal items, cloth or clothing held in place with pins at the shoulder, and some semblance of food and drink for the journey (Woolley 1953).  So this connection with the past was still in place.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But there is no evidence of other, post-burial practices, or of the multiple burials with commingling and handling of remains as part of the posthumous family bonding, that is evident in other burial locations.  Perhaps, instead, the continued presence of the remains within the family</w:t>
      </w:r>
      <w:r>
        <w:rPr>
          <w:rFonts w:ascii="Verdana" w:hAnsi="Verdana" w:hint="default"/>
          <w:sz w:val="24"/>
          <w:szCs w:val="24"/>
          <w:rtl w:val="0"/>
          <w:lang w:val="en-US"/>
        </w:rPr>
        <w:t>’</w:t>
      </w:r>
      <w:r>
        <w:rPr>
          <w:rFonts w:ascii="Verdana" w:hAnsi="Verdana"/>
          <w:sz w:val="24"/>
          <w:szCs w:val="24"/>
          <w:rtl w:val="0"/>
          <w:lang w:val="en-US"/>
        </w:rPr>
        <w:t xml:space="preserve">s living space was accepted as sufficient, in lieu of other options.  And we have no knowledge as to whether there were any personal or ritual practices engaged in, which would take the place of the other, traditional practices, which were either not possible or not practical within the home environment, as there is no material evidence to confirm or deny this possibility.  But, in our society, it is not uncommon to have photographs of deceased family members on display, and to think of them and mentally send thoughts of love and connection at times, particularly, of personal and religious festivals.  Perhaps there was some kind of equivalence within this society as well - but with the knowledge of the physical presence of the remains close by, instead of a picture, as the link.  We cannot know, but it is not beyond the realms of possibility.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We don</w:t>
      </w:r>
      <w:r>
        <w:rPr>
          <w:rFonts w:ascii="Verdana" w:hAnsi="Verdana" w:hint="default"/>
          <w:sz w:val="24"/>
          <w:szCs w:val="24"/>
          <w:rtl w:val="0"/>
          <w:lang w:val="en-US"/>
        </w:rPr>
        <w:t>’</w:t>
      </w:r>
      <w:r>
        <w:rPr>
          <w:rFonts w:ascii="Verdana" w:hAnsi="Verdana"/>
          <w:sz w:val="24"/>
          <w:szCs w:val="24"/>
          <w:rtl w:val="0"/>
          <w:lang w:val="en-US"/>
        </w:rPr>
        <w:t>t know why there were no intramural burials before the time of Level VIII.  The rationale could be as simple as lack of necessity to do so - either because the population was still relatively low and more societally mixed, perhaps sufficiently as to not have the stratification by class or means affecting access to community burial locations.  Or perhaps because they just have not yet been discovered.  Or the population at the time did not have the same burial practices.  Alalakh was not an ancient city.  It was, in terms of the history of many local centres of population, relatively new - so the numbers and mix of the population early on may not have been settled and stable enough for their traditional practices to visibly re-emerge.  Bearing in mind also that, if the population was from a mixture of cultures or locations, there would be a settling in period as, over generations, both the society and its cultural practices found a balance between a disparate past and a shared present.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When considering the later burials, at what has become named as Level III, post the final destruction, there appears to have been a significant change, one which showed its precursors between the Hittites taking over after destroying Level VII, and them again destroying it, leaving only a garrison behind (Fink 2010).  Cremation burials crept into practice after the first destruction and, after the second, when the main population was gone, and only the garrison and those people and services needed to provide for them remained, this practice became much more frequent - up to 50% of burials (Woolley 1953).  It is known that cremation was a frequent Hittite burial practice (Axelsson 2017), so this would seem a logical change to </w:t>
      </w:r>
      <w:r>
        <w:rPr>
          <w:rFonts w:ascii="Verdana" w:hAnsi="Verdana" w:hint="default"/>
          <w:sz w:val="24"/>
          <w:szCs w:val="24"/>
          <w:rtl w:val="0"/>
          <w:lang w:val="en-US"/>
        </w:rPr>
        <w:t>‘</w:t>
      </w:r>
      <w:r>
        <w:rPr>
          <w:rFonts w:ascii="Verdana" w:hAnsi="Verdana"/>
          <w:sz w:val="24"/>
          <w:szCs w:val="24"/>
          <w:rtl w:val="0"/>
          <w:lang w:val="en-US"/>
        </w:rPr>
        <w:t>local</w:t>
      </w:r>
      <w:r>
        <w:rPr>
          <w:rFonts w:ascii="Verdana" w:hAnsi="Verdana" w:hint="default"/>
          <w:sz w:val="24"/>
          <w:szCs w:val="24"/>
          <w:rtl w:val="0"/>
          <w:lang w:val="en-US"/>
        </w:rPr>
        <w:t xml:space="preserve">’ </w:t>
      </w:r>
      <w:r>
        <w:rPr>
          <w:rFonts w:ascii="Verdana" w:hAnsi="Verdana"/>
          <w:sz w:val="24"/>
          <w:szCs w:val="24"/>
          <w:rtl w:val="0"/>
          <w:lang w:val="en-US"/>
        </w:rPr>
        <w:t>burial practice, if there was an increase in the Hittite population within Alalakh after each destruction.</w:t>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Fonts w:ascii="Verdana" w:hAnsi="Verdana"/>
          <w:sz w:val="24"/>
          <w:szCs w:val="24"/>
          <w:rtl w:val="0"/>
          <w:lang w:val="en-US"/>
        </w:rPr>
        <w:t xml:space="preserve">With respect to intramural pot burials of infants, it might be that infants were viewed differently to other deceased relatives within the cultural view of family and connection before and after death.  This is pure supposition, but perhaps this similarity across the rich/poor divide could be because infants were not yet seen as being fully part of the extended family, as they had not yet created a life history within the family.  So they were buried respectfully, but alone, and at home, close to their parents.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Pressure points affecting what becomes habitus arise from so many different parameters - from ancestors to invaders and from pragmatism and poverty to love and loss.  So much to consider in order to learn and understand, but vital that we consider human psychology within the wider theoretical framework, if we are to gain real insight into the heart of habitus.  </w:t>
      </w: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REFERENCES:</w:t>
      </w:r>
    </w:p>
    <w:p>
      <w:pPr>
        <w:pStyle w:val="Default"/>
        <w:bidi w:val="0"/>
        <w:ind w:left="0" w:right="0" w:firstLine="0"/>
        <w:jc w:val="left"/>
        <w:rPr>
          <w:rFonts w:ascii="Verdana" w:cs="Verdana" w:hAnsi="Verdana" w:eastAsia="Verdana"/>
          <w:b w:val="1"/>
          <w:bCs w:val="1"/>
          <w:color w:val="32322e"/>
          <w:sz w:val="24"/>
          <w:szCs w:val="24"/>
          <w:shd w:val="clear" w:color="auto" w:fill="ffffff"/>
          <w:rtl w:val="0"/>
        </w:rPr>
      </w:pPr>
    </w:p>
    <w:p>
      <w:pPr>
        <w:pStyle w:val="Default"/>
        <w:bidi w:val="0"/>
        <w:ind w:left="0" w:right="0" w:firstLine="0"/>
        <w:jc w:val="left"/>
        <w:rPr>
          <w:rFonts w:ascii="Verdana" w:cs="Verdana" w:hAnsi="Verdana" w:eastAsia="Verdana"/>
          <w:color w:val="32322e"/>
          <w:sz w:val="24"/>
          <w:szCs w:val="24"/>
          <w:shd w:val="clear" w:color="auto" w:fill="ffffff"/>
          <w:rtl w:val="0"/>
        </w:rPr>
      </w:pPr>
      <w:r>
        <w:rPr>
          <w:rFonts w:ascii="Verdana" w:hAnsi="Verdana"/>
          <w:color w:val="32322e"/>
          <w:sz w:val="24"/>
          <w:szCs w:val="24"/>
          <w:shd w:val="clear" w:color="auto" w:fill="ffffff"/>
          <w:rtl w:val="0"/>
        </w:rPr>
        <w:t xml:space="preserve">Axelsson, </w:t>
      </w:r>
      <w:r>
        <w:rPr>
          <w:rFonts w:ascii="Verdana" w:hAnsi="Verdana"/>
          <w:color w:val="32322e"/>
          <w:sz w:val="24"/>
          <w:szCs w:val="24"/>
          <w:shd w:val="clear" w:color="auto" w:fill="ffffff"/>
          <w:rtl w:val="0"/>
          <w:lang w:val="en-US"/>
        </w:rPr>
        <w:t>A.,</w:t>
      </w:r>
      <w:r>
        <w:rPr>
          <w:rFonts w:ascii="Verdana" w:hAnsi="Verdana"/>
          <w:color w:val="32322e"/>
          <w:sz w:val="24"/>
          <w:szCs w:val="24"/>
          <w:shd w:val="clear" w:color="auto" w:fill="ffffff"/>
          <w:rtl w:val="0"/>
        </w:rPr>
        <w:t xml:space="preserve"> Lindblom, M</w:t>
      </w:r>
      <w:r>
        <w:rPr>
          <w:rFonts w:ascii="Verdana" w:hAnsi="Verdana"/>
          <w:color w:val="32322e"/>
          <w:sz w:val="24"/>
          <w:szCs w:val="24"/>
          <w:shd w:val="clear" w:color="auto" w:fill="ffffff"/>
          <w:rtl w:val="0"/>
          <w:lang w:val="en-US"/>
        </w:rPr>
        <w:t>. &amp;</w:t>
      </w:r>
      <w:r>
        <w:rPr>
          <w:rFonts w:ascii="Verdana" w:hAnsi="Verdana"/>
          <w:color w:val="32322e"/>
          <w:sz w:val="24"/>
          <w:szCs w:val="24"/>
          <w:shd w:val="clear" w:color="auto" w:fill="ffffff"/>
          <w:rtl w:val="0"/>
          <w:lang w:val="en-US"/>
        </w:rPr>
        <w:t xml:space="preserve"> Kaliff, A</w:t>
      </w:r>
      <w:r>
        <w:rPr>
          <w:rFonts w:ascii="Verdana" w:hAnsi="Verdana"/>
          <w:color w:val="32322e"/>
          <w:sz w:val="24"/>
          <w:szCs w:val="24"/>
          <w:shd w:val="clear" w:color="auto" w:fill="ffffff"/>
          <w:rtl w:val="0"/>
          <w:lang w:val="en-US"/>
        </w:rPr>
        <w:t xml:space="preserve">. 2017. </w:t>
      </w:r>
      <w:r>
        <w:rPr>
          <w:rFonts w:ascii="Verdana" w:hAnsi="Verdana"/>
          <w:i w:val="1"/>
          <w:iCs w:val="1"/>
          <w:color w:val="32322e"/>
          <w:sz w:val="24"/>
          <w:szCs w:val="24"/>
          <w:shd w:val="clear" w:color="auto" w:fill="ffffff"/>
          <w:rtl w:val="0"/>
          <w:lang w:val="en-US"/>
        </w:rPr>
        <w:t>Hittite Mortuary Practices</w:t>
      </w:r>
      <w:r>
        <w:rPr>
          <w:rFonts w:ascii="Verdana" w:hAnsi="Verdana"/>
          <w:color w:val="32322e"/>
          <w:sz w:val="24"/>
          <w:szCs w:val="24"/>
          <w:shd w:val="clear" w:color="auto" w:fill="ffffff"/>
          <w:rtl w:val="0"/>
          <w:lang w:val="en-US"/>
        </w:rPr>
        <w:t>.</w:t>
      </w:r>
      <w:r>
        <w:rPr>
          <w:rFonts w:ascii="Verdana" w:hAnsi="Verdana"/>
          <w:color w:val="32322e"/>
          <w:sz w:val="24"/>
          <w:szCs w:val="24"/>
          <w:shd w:val="clear" w:color="auto" w:fill="ffffff"/>
          <w:rtl w:val="0"/>
          <w:lang w:val="sv-SE"/>
        </w:rPr>
        <w:t xml:space="preserve"> Uppsala universitet, Humanistisk-samh</w:t>
      </w:r>
      <w:r>
        <w:rPr>
          <w:rFonts w:ascii="Verdana" w:hAnsi="Verdana" w:hint="default"/>
          <w:color w:val="32322e"/>
          <w:sz w:val="24"/>
          <w:szCs w:val="24"/>
          <w:shd w:val="clear" w:color="auto" w:fill="ffffff"/>
          <w:rtl w:val="0"/>
        </w:rPr>
        <w:t>ä</w:t>
      </w:r>
      <w:r>
        <w:rPr>
          <w:rFonts w:ascii="Verdana" w:hAnsi="Verdana"/>
          <w:color w:val="32322e"/>
          <w:sz w:val="24"/>
          <w:szCs w:val="24"/>
          <w:shd w:val="clear" w:color="auto" w:fill="ffffff"/>
          <w:rtl w:val="0"/>
          <w:lang w:val="sv-SE"/>
        </w:rPr>
        <w:t>llsvetenskapliga vetenskapsomr</w:t>
      </w:r>
      <w:r>
        <w:rPr>
          <w:rFonts w:ascii="Verdana" w:hAnsi="Verdana" w:hint="default"/>
          <w:color w:val="32322e"/>
          <w:sz w:val="24"/>
          <w:szCs w:val="24"/>
          <w:shd w:val="clear" w:color="auto" w:fill="ffffff"/>
          <w:rtl w:val="0"/>
          <w:lang w:val="da-DK"/>
        </w:rPr>
        <w:t>å</w:t>
      </w:r>
      <w:r>
        <w:rPr>
          <w:rFonts w:ascii="Verdana" w:hAnsi="Verdana"/>
          <w:color w:val="32322e"/>
          <w:sz w:val="24"/>
          <w:szCs w:val="24"/>
          <w:shd w:val="clear" w:color="auto" w:fill="ffffff"/>
          <w:rtl w:val="0"/>
        </w:rPr>
        <w:t>det, Historisk-filosofiska fakulteten, Institutionen f</w:t>
      </w:r>
      <w:r>
        <w:rPr>
          <w:rFonts w:ascii="Verdana" w:hAnsi="Verdana" w:hint="default"/>
          <w:color w:val="32322e"/>
          <w:sz w:val="24"/>
          <w:szCs w:val="24"/>
          <w:shd w:val="clear" w:color="auto" w:fill="ffffff"/>
          <w:rtl w:val="0"/>
          <w:lang w:val="sv-SE"/>
        </w:rPr>
        <w:t>ö</w:t>
      </w:r>
      <w:r>
        <w:rPr>
          <w:rFonts w:ascii="Verdana" w:hAnsi="Verdana"/>
          <w:color w:val="32322e"/>
          <w:sz w:val="24"/>
          <w:szCs w:val="24"/>
          <w:shd w:val="clear" w:color="auto" w:fill="ffffff"/>
          <w:rtl w:val="0"/>
          <w:lang w:val="sv-SE"/>
        </w:rPr>
        <w:t>r arkeologi och antik historia</w:t>
      </w:r>
      <w:r>
        <w:rPr>
          <w:rFonts w:ascii="Verdana" w:hAnsi="Verdana"/>
          <w:color w:val="32322e"/>
          <w:sz w:val="24"/>
          <w:szCs w:val="24"/>
          <w:shd w:val="clear" w:color="auto" w:fill="ffffff"/>
          <w:rtl w:val="0"/>
          <w:lang w:val="en-US"/>
        </w:rPr>
        <w:t>.</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Bourdieu, P. 1990. </w:t>
      </w:r>
      <w:r>
        <w:rPr>
          <w:rFonts w:ascii="Verdana" w:hAnsi="Verdana"/>
          <w:i w:val="1"/>
          <w:iCs w:val="1"/>
          <w:sz w:val="24"/>
          <w:szCs w:val="24"/>
          <w:rtl w:val="0"/>
          <w:lang w:val="en-US"/>
        </w:rPr>
        <w:t>The Logic of Practice</w:t>
      </w:r>
      <w:r>
        <w:rPr>
          <w:rFonts w:ascii="Verdana" w:hAnsi="Verdana"/>
          <w:sz w:val="24"/>
          <w:szCs w:val="24"/>
          <w:rtl w:val="0"/>
          <w:lang w:val="en-US"/>
        </w:rPr>
        <w:t xml:space="preserve">. Cambridge: Polity.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Bryce, T. 2014. </w:t>
      </w:r>
      <w:r>
        <w:rPr>
          <w:rFonts w:ascii="Verdana" w:hAnsi="Verdana"/>
          <w:i w:val="1"/>
          <w:iCs w:val="1"/>
          <w:sz w:val="24"/>
          <w:szCs w:val="24"/>
          <w:rtl w:val="0"/>
          <w:lang w:val="en-US"/>
        </w:rPr>
        <w:t>Ancient Syria</w:t>
      </w:r>
      <w:r>
        <w:rPr>
          <w:rFonts w:ascii="Verdana" w:hAnsi="Verdana"/>
          <w:sz w:val="24"/>
          <w:szCs w:val="24"/>
          <w:rtl w:val="0"/>
          <w:lang w:val="en-US"/>
        </w:rPr>
        <w:t xml:space="preserve">. Oxford: OUP.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Bunimovitz, S. 1998. On the Edge of Empires - Late Bronze Age (1500-1200 BCE), in T.E. Levy (ed). </w:t>
      </w:r>
      <w:r>
        <w:rPr>
          <w:rFonts w:ascii="Verdana" w:hAnsi="Verdana"/>
          <w:i w:val="1"/>
          <w:iCs w:val="1"/>
          <w:sz w:val="24"/>
          <w:szCs w:val="24"/>
          <w:rtl w:val="0"/>
          <w:lang w:val="en-US"/>
        </w:rPr>
        <w:t>The Archaeology of Society in the Holy Land. 320-331.</w:t>
      </w:r>
      <w:r>
        <w:rPr>
          <w:rFonts w:ascii="Verdana" w:hAnsi="Verdana"/>
          <w:sz w:val="24"/>
          <w:szCs w:val="24"/>
          <w:rtl w:val="0"/>
          <w:lang w:val="en-US"/>
        </w:rPr>
        <w:t xml:space="preserve"> London: Leicester University Press.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Casana, J. 2009. Alalakh and the Archaeological Landscape of Mukish: The Political Geography and Population of a Late Bronze Age Kingdom. </w:t>
      </w:r>
      <w:r>
        <w:rPr>
          <w:rFonts w:ascii="Verdana" w:hAnsi="Verdana"/>
          <w:i w:val="1"/>
          <w:iCs w:val="1"/>
          <w:sz w:val="24"/>
          <w:szCs w:val="24"/>
          <w:rtl w:val="0"/>
          <w:lang w:val="en-US"/>
        </w:rPr>
        <w:t>BASOR</w:t>
      </w:r>
      <w:r>
        <w:rPr>
          <w:rFonts w:ascii="Verdana" w:hAnsi="Verdana"/>
          <w:sz w:val="24"/>
          <w:szCs w:val="24"/>
          <w:rtl w:val="0"/>
          <w:lang w:val="en-US"/>
        </w:rPr>
        <w:t xml:space="preserve"> 353: 7-37.</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Cooper, L. 2006. </w:t>
      </w:r>
      <w:r>
        <w:rPr>
          <w:rFonts w:ascii="Verdana" w:hAnsi="Verdana"/>
          <w:i w:val="1"/>
          <w:iCs w:val="1"/>
          <w:sz w:val="24"/>
          <w:szCs w:val="24"/>
          <w:rtl w:val="0"/>
          <w:lang w:val="en-US"/>
        </w:rPr>
        <w:t>Early Urbanism on the Syrian Euphrates</w:t>
      </w:r>
      <w:r>
        <w:rPr>
          <w:rFonts w:ascii="Verdana" w:hAnsi="Verdana"/>
          <w:sz w:val="24"/>
          <w:szCs w:val="24"/>
          <w:rtl w:val="0"/>
          <w:lang w:val="en-US"/>
        </w:rPr>
        <w:t>. New York: Routledge.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Cradic, M.S. 2017. Embodiments of Death: The Funerary Sequence and Commemoration in the Bronze Age Levant. </w:t>
      </w:r>
      <w:r>
        <w:rPr>
          <w:rFonts w:ascii="Verdana" w:hAnsi="Verdana"/>
          <w:i w:val="1"/>
          <w:iCs w:val="1"/>
          <w:sz w:val="24"/>
          <w:szCs w:val="24"/>
          <w:rtl w:val="0"/>
          <w:lang w:val="en-US"/>
        </w:rPr>
        <w:t>BASOR</w:t>
      </w:r>
      <w:r>
        <w:rPr>
          <w:rFonts w:ascii="Verdana" w:hAnsi="Verdana"/>
          <w:sz w:val="24"/>
          <w:szCs w:val="24"/>
          <w:rtl w:val="0"/>
          <w:lang w:val="en-US"/>
        </w:rPr>
        <w:t xml:space="preserve"> 377(2017): 219-48.</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Evans, J.M. The Mitanni State - Alalakh (Tell Atchana). In J. Aruz, L. Benzel &amp; J.M. Evans (eds.). 2008. </w:t>
      </w:r>
      <w:r>
        <w:rPr>
          <w:rFonts w:ascii="Verdana" w:hAnsi="Verdana"/>
          <w:i w:val="1"/>
          <w:iCs w:val="1"/>
          <w:sz w:val="24"/>
          <w:szCs w:val="24"/>
          <w:rtl w:val="0"/>
          <w:lang w:val="en-US"/>
        </w:rPr>
        <w:t>Beyond Babylon</w:t>
      </w:r>
      <w:r>
        <w:rPr>
          <w:rFonts w:ascii="Verdana" w:hAnsi="Verdana"/>
          <w:sz w:val="24"/>
          <w:szCs w:val="24"/>
          <w:rtl w:val="0"/>
          <w:lang w:val="en-US"/>
        </w:rPr>
        <w:t xml:space="preserve">. </w:t>
      </w:r>
      <w:r>
        <w:rPr>
          <w:rFonts w:ascii="Verdana" w:hAnsi="Verdana"/>
          <w:sz w:val="24"/>
          <w:szCs w:val="24"/>
          <w:rtl w:val="0"/>
        </w:rPr>
        <w:t xml:space="preserve">197-198. </w:t>
      </w:r>
      <w:r>
        <w:rPr>
          <w:rFonts w:ascii="Verdana" w:hAnsi="Verdana"/>
          <w:sz w:val="24"/>
          <w:szCs w:val="24"/>
          <w:rtl w:val="0"/>
          <w:lang w:val="en-US"/>
        </w:rPr>
        <w:t>New Haven: Yale University Press.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Fink, A. S. 2010. </w:t>
      </w:r>
      <w:r>
        <w:rPr>
          <w:rFonts w:ascii="Verdana" w:hAnsi="Verdana"/>
          <w:i w:val="1"/>
          <w:iCs w:val="1"/>
          <w:sz w:val="24"/>
          <w:szCs w:val="24"/>
          <w:rtl w:val="0"/>
          <w:lang w:val="en-US"/>
        </w:rPr>
        <w:t>Late Bronze Age Tell Atchana (Alalakh): Stratigraphy, chronology, history.</w:t>
      </w:r>
      <w:r>
        <w:rPr>
          <w:rFonts w:ascii="Verdana" w:hAnsi="Verdana"/>
          <w:sz w:val="24"/>
          <w:szCs w:val="24"/>
          <w:rtl w:val="0"/>
          <w:lang w:val="en-US"/>
        </w:rPr>
        <w:t xml:space="preserve"> Oxford: BAR.</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Gilmour, G. 2002. Foreign Burials in Late Bronze Age Palestine. </w:t>
      </w:r>
      <w:r>
        <w:rPr>
          <w:rFonts w:ascii="Verdana" w:hAnsi="Verdana"/>
          <w:i w:val="1"/>
          <w:iCs w:val="1"/>
          <w:sz w:val="24"/>
          <w:szCs w:val="24"/>
          <w:rtl w:val="0"/>
          <w:lang w:val="en-US"/>
        </w:rPr>
        <w:t>Near Eastern Archaeology</w:t>
      </w:r>
      <w:r>
        <w:rPr>
          <w:rFonts w:ascii="Verdana" w:hAnsi="Verdana"/>
          <w:sz w:val="24"/>
          <w:szCs w:val="24"/>
          <w:rtl w:val="0"/>
          <w:lang w:val="en-US"/>
        </w:rPr>
        <w:t xml:space="preserve"> 65(2): 112-119.</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Hallote, R. 2002. Real and Ideal Identities in Middle Bronze Age Tombs. </w:t>
      </w:r>
      <w:r>
        <w:rPr>
          <w:rFonts w:ascii="Verdana" w:hAnsi="Verdana"/>
          <w:i w:val="1"/>
          <w:iCs w:val="1"/>
          <w:sz w:val="24"/>
          <w:szCs w:val="24"/>
          <w:rtl w:val="0"/>
          <w:lang w:val="en-US"/>
        </w:rPr>
        <w:t>Near Eastern Archaeology</w:t>
      </w:r>
      <w:r>
        <w:rPr>
          <w:rFonts w:ascii="Verdana" w:hAnsi="Verdana"/>
          <w:sz w:val="24"/>
          <w:szCs w:val="24"/>
          <w:rtl w:val="0"/>
          <w:lang w:val="en-US"/>
        </w:rPr>
        <w:t xml:space="preserve"> 65(2): 105-111.</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Woolley, Sir L. 1953. </w:t>
      </w:r>
      <w:r>
        <w:rPr>
          <w:rFonts w:ascii="Verdana" w:hAnsi="Verdana"/>
          <w:i w:val="1"/>
          <w:iCs w:val="1"/>
          <w:sz w:val="24"/>
          <w:szCs w:val="24"/>
          <w:rtl w:val="0"/>
          <w:lang w:val="en-US"/>
        </w:rPr>
        <w:t>A Forgotten Kingdom</w:t>
      </w:r>
      <w:r>
        <w:rPr>
          <w:rFonts w:ascii="Verdana" w:hAnsi="Verdana"/>
          <w:sz w:val="24"/>
          <w:szCs w:val="24"/>
          <w:rtl w:val="0"/>
          <w:lang w:val="en-US"/>
        </w:rPr>
        <w:t xml:space="preserve">. London: Penguin.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Yener, K.A. 2001. Alalakh: A Late Bronze Age Capital in the Amuq Valley, Southern Turkey. </w:t>
      </w:r>
      <w:r>
        <w:rPr>
          <w:rFonts w:ascii="Verdana" w:hAnsi="Verdana"/>
          <w:i w:val="1"/>
          <w:iCs w:val="1"/>
          <w:sz w:val="24"/>
          <w:szCs w:val="24"/>
          <w:rtl w:val="0"/>
          <w:lang w:val="en-US"/>
        </w:rPr>
        <w:t>The Oriental Institute News &amp; Notes</w:t>
      </w:r>
      <w:r>
        <w:rPr>
          <w:rFonts w:ascii="Verdana" w:hAnsi="Verdana"/>
          <w:sz w:val="24"/>
          <w:szCs w:val="24"/>
          <w:rtl w:val="0"/>
          <w:lang w:val="en-US"/>
        </w:rPr>
        <w:t xml:space="preserve"> 169(Spring 2001): 1-6.</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Yener, K.A. 2003. Amuq Valley Regional Projects. </w:t>
      </w:r>
      <w:r>
        <w:rPr>
          <w:rFonts w:ascii="Verdana" w:hAnsi="Verdana"/>
          <w:i w:val="1"/>
          <w:iCs w:val="1"/>
          <w:sz w:val="24"/>
          <w:szCs w:val="24"/>
          <w:rtl w:val="0"/>
          <w:lang w:val="en-US"/>
        </w:rPr>
        <w:t>The Oriental Institute 2002-2003 Annual Report</w:t>
      </w:r>
      <w:r>
        <w:rPr>
          <w:rFonts w:ascii="Verdana" w:hAnsi="Verdana"/>
          <w:sz w:val="24"/>
          <w:szCs w:val="24"/>
          <w:rtl w:val="0"/>
          <w:lang w:val="en-US"/>
        </w:rPr>
        <w:t xml:space="preserve">. </w:t>
      </w:r>
      <w:r>
        <w:rPr>
          <w:rStyle w:val="Hyperlink.0"/>
          <w:rFonts w:ascii="Verdana" w:cs="Verdana" w:hAnsi="Verdana" w:eastAsia="Verdana"/>
          <w:sz w:val="24"/>
          <w:szCs w:val="24"/>
        </w:rPr>
        <w:fldChar w:fldCharType="begin" w:fldLock="0"/>
      </w:r>
      <w:r>
        <w:rPr>
          <w:rStyle w:val="Hyperlink.0"/>
          <w:rFonts w:ascii="Verdana" w:cs="Verdana" w:hAnsi="Verdana" w:eastAsia="Verdana"/>
          <w:sz w:val="24"/>
          <w:szCs w:val="24"/>
        </w:rPr>
        <w:instrText xml:space="preserve"> HYPERLINK "http://oi.chicago.edu/OI/AR/02-03/02-03_AR_TOC.html"</w:instrText>
      </w:r>
      <w:r>
        <w:rPr>
          <w:rStyle w:val="Hyperlink.0"/>
          <w:rFonts w:ascii="Verdana" w:cs="Verdana" w:hAnsi="Verdana" w:eastAsia="Verdana"/>
          <w:sz w:val="24"/>
          <w:szCs w:val="24"/>
        </w:rPr>
        <w:fldChar w:fldCharType="separate" w:fldLock="0"/>
      </w:r>
      <w:r>
        <w:rPr>
          <w:rStyle w:val="Hyperlink.0"/>
          <w:rFonts w:ascii="Verdana" w:hAnsi="Verdana"/>
          <w:sz w:val="24"/>
          <w:szCs w:val="24"/>
          <w:rtl w:val="0"/>
          <w:lang w:val="en-US"/>
        </w:rPr>
        <w:t>http://oi.chicago.edu/OI/AR/02-03/02-03_AR_TOC.html</w:t>
      </w:r>
      <w:r>
        <w:rPr>
          <w:rFonts w:ascii="Verdana" w:cs="Verdana" w:hAnsi="Verdana" w:eastAsia="Verdana"/>
          <w:sz w:val="24"/>
          <w:szCs w:val="24"/>
        </w:rPr>
        <w:fldChar w:fldCharType="end" w:fldLock="0"/>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Yener, K.A., Schloen ,J.D. &amp; Fink, A.S. 2004. Reliving the Legend: The Expedition to Alalakh, 2003. </w:t>
      </w:r>
      <w:r>
        <w:rPr>
          <w:rFonts w:ascii="Verdana" w:hAnsi="Verdana"/>
          <w:i w:val="1"/>
          <w:iCs w:val="1"/>
          <w:sz w:val="24"/>
          <w:szCs w:val="24"/>
          <w:rtl w:val="0"/>
          <w:lang w:val="en-US"/>
        </w:rPr>
        <w:t>The Oriental Institute News and Notes</w:t>
      </w:r>
      <w:r>
        <w:rPr>
          <w:rFonts w:ascii="Verdana" w:hAnsi="Verdana"/>
          <w:sz w:val="24"/>
          <w:szCs w:val="24"/>
          <w:rtl w:val="0"/>
          <w:lang w:val="en-US"/>
        </w:rPr>
        <w:t xml:space="preserve"> 181(Spring 2004): 2-6.</w:t>
      </w:r>
    </w:p>
    <w:p>
      <w:pPr>
        <w:pStyle w:val="Body"/>
        <w:rPr>
          <w:rFonts w:ascii="Verdana" w:cs="Verdana" w:hAnsi="Verdana" w:eastAsia="Verdana"/>
          <w:sz w:val="24"/>
          <w:szCs w:val="24"/>
        </w:rPr>
      </w:pPr>
    </w:p>
    <w:p>
      <w:pPr>
        <w:pStyle w:val="Body"/>
      </w:pPr>
      <w:r>
        <w:rPr>
          <w:rFonts w:ascii="Verdana" w:hAnsi="Verdana"/>
          <w:sz w:val="24"/>
          <w:szCs w:val="24"/>
          <w:rtl w:val="0"/>
          <w:lang w:val="en-US"/>
        </w:rPr>
        <w:t xml:space="preserve">Yener, K.A. 2013. Recent Excavations at Alalakh: Throne Embellishments in Middle Bronze Age Level VII, </w:t>
      </w:r>
      <w:r>
        <w:rPr>
          <w:rFonts w:ascii="Verdana" w:hAnsi="Verdana"/>
          <w:sz w:val="24"/>
          <w:szCs w:val="24"/>
          <w:rtl w:val="0"/>
        </w:rPr>
        <w:t xml:space="preserve">in J. Arus et al (eds.) </w:t>
      </w:r>
      <w:r>
        <w:rPr>
          <w:rFonts w:ascii="Verdana" w:hAnsi="Verdana"/>
          <w:i w:val="1"/>
          <w:iCs w:val="1"/>
          <w:sz w:val="24"/>
          <w:szCs w:val="24"/>
          <w:rtl w:val="0"/>
          <w:lang w:val="en-US"/>
        </w:rPr>
        <w:t xml:space="preserve">Cultures in Contact: From Mesopotamia to the Mediterranean in the Second Milennium BC. </w:t>
      </w:r>
      <w:r>
        <w:rPr>
          <w:rFonts w:ascii="Verdana" w:hAnsi="Verdana"/>
          <w:i w:val="1"/>
          <w:iCs w:val="1"/>
          <w:sz w:val="24"/>
          <w:szCs w:val="24"/>
          <w:rtl w:val="0"/>
          <w:lang w:val="en-US"/>
        </w:rPr>
        <w:t>142-153</w:t>
      </w:r>
      <w:r>
        <w:rPr>
          <w:rFonts w:ascii="Verdana" w:hAnsi="Verdana"/>
          <w:sz w:val="24"/>
          <w:szCs w:val="24"/>
          <w:rtl w:val="0"/>
          <w:lang w:val="en-US"/>
        </w:rPr>
        <w:t xml:space="preserve">. New York:MOMA.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 w:name="Georgia">
    <w:charset w:val="00"/>
    <w:family w:val="roman"/>
    <w:pitch w:val="default"/>
  </w:font>
  <w:font w:name="Trebuchet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Verdana" w:hAnsi="Verdana"/>
        <w:rtl w:val="0"/>
        <w:lang w:val="en-US"/>
      </w:rPr>
      <w:t>Margaret Gallagher</w:t>
    </w:r>
    <w:r>
      <w:rPr>
        <w:rFonts w:ascii="Verdana" w:cs="Verdana" w:hAnsi="Verdana" w:eastAsia="Verdana"/>
      </w:rPr>
      <w:tab/>
    </w:r>
    <w:r>
      <w:rPr>
        <w:rFonts w:ascii="Helvetica Neue" w:cs="Arial Unicode MS" w:hAnsi="Helvetica Neue" w:eastAsia="Arial Unicode MS"/>
        <w:b w:val="0"/>
        <w:bCs w:val="0"/>
        <w:i w:val="0"/>
        <w:iCs w:val="0"/>
        <w:rtl w:val="0"/>
        <w:lang w:val="en-US"/>
      </w:rPr>
      <w:t>AHAR6003 - ESSAY</w:t>
    </w:r>
    <w:r>
      <w:rPr>
        <w:rFonts w:ascii="Verdana" w:cs="Verdana" w:hAnsi="Verdana" w:eastAsia="Verdana"/>
      </w:rPr>
      <w:tab/>
    </w:r>
    <w:r>
      <w:rPr>
        <w:rFonts w:ascii="Helvetica Neue" w:cs="Arial Unicode MS" w:hAnsi="Helvetica Neue" w:eastAsia="Arial Unicode MS"/>
        <w:b w:val="0"/>
        <w:bCs w:val="0"/>
        <w:i w:val="0"/>
        <w:iCs w:val="0"/>
        <w:rtl w:val="0"/>
        <w:lang w:val="en-US"/>
      </w:rPr>
      <w:t>1502249</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vertAlign w:val="baseline"/>
    </w:rPr>
  </w:style>
  <w:style w:type="numbering" w:styleId="Dash">
    <w:name w:val="Dash"/>
    <w:pPr>
      <w:numPr>
        <w:numId w:val="1"/>
      </w:numPr>
    </w:p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