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476F6D" w:rsidRDefault="00DD5969" w:rsidP="00DD5969">
      <w:pPr>
        <w:spacing w:before="212"/>
        <w:jc w:val="center"/>
        <w:rPr>
          <w:rFonts w:asciiTheme="minorBidi" w:hAnsiTheme="minorBidi"/>
          <w:b/>
          <w:sz w:val="56"/>
          <w:szCs w:val="56"/>
        </w:rPr>
      </w:pPr>
      <w:r w:rsidRPr="00476F6D">
        <w:rPr>
          <w:rFonts w:asciiTheme="minorBidi" w:hAnsiTheme="minorBidi"/>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Pr="00476F6D" w:rsidRDefault="00DD5969" w:rsidP="00DD5969">
      <w:pPr>
        <w:spacing w:before="212"/>
        <w:rPr>
          <w:rFonts w:asciiTheme="minorBidi" w:hAnsiTheme="minorBidi"/>
          <w:b/>
          <w:sz w:val="56"/>
        </w:rPr>
      </w:pPr>
    </w:p>
    <w:p w14:paraId="7EE9271E" w14:textId="585A144B" w:rsidR="00DD5969" w:rsidRPr="00476F6D" w:rsidRDefault="00DD5969" w:rsidP="00DD5969">
      <w:pPr>
        <w:spacing w:before="212"/>
        <w:rPr>
          <w:rFonts w:asciiTheme="minorBidi" w:hAnsiTheme="minorBidi"/>
          <w:b/>
          <w:sz w:val="40"/>
          <w:szCs w:val="40"/>
          <w:highlight w:val="yellow"/>
          <w:lang w:val="fr-FR"/>
        </w:rPr>
      </w:pPr>
      <w:r w:rsidRPr="00476F6D">
        <w:rPr>
          <w:rFonts w:asciiTheme="minorBidi" w:hAnsiTheme="minorBidi"/>
          <w:b/>
          <w:bCs/>
          <w:sz w:val="48"/>
          <w:szCs w:val="48"/>
          <w:lang w:val="fr-FR"/>
        </w:rPr>
        <w:t>MODULE CODE:</w:t>
      </w:r>
      <w:r w:rsidR="095D05C6" w:rsidRPr="00476F6D">
        <w:rPr>
          <w:rFonts w:asciiTheme="minorBidi" w:hAnsiTheme="minorBidi"/>
          <w:b/>
          <w:bCs/>
          <w:sz w:val="48"/>
          <w:szCs w:val="48"/>
          <w:lang w:val="fr-FR"/>
        </w:rPr>
        <w:t xml:space="preserve"> </w:t>
      </w:r>
      <w:r w:rsidR="00C07A46" w:rsidRPr="00476F6D">
        <w:rPr>
          <w:rFonts w:asciiTheme="minorBidi" w:hAnsiTheme="minorBidi"/>
          <w:b/>
          <w:bCs/>
          <w:sz w:val="48"/>
          <w:szCs w:val="48"/>
          <w:lang w:val="fr-FR"/>
        </w:rPr>
        <w:t>ECPT600</w:t>
      </w:r>
      <w:r w:rsidR="00620332">
        <w:rPr>
          <w:rFonts w:asciiTheme="minorBidi" w:hAnsiTheme="minorBidi"/>
          <w:b/>
          <w:bCs/>
          <w:sz w:val="48"/>
          <w:szCs w:val="48"/>
          <w:lang w:val="fr-FR"/>
        </w:rPr>
        <w:t>9</w:t>
      </w:r>
    </w:p>
    <w:p w14:paraId="5051A2D5" w14:textId="77777777" w:rsidR="00347EA1" w:rsidRPr="00476F6D" w:rsidRDefault="00347EA1" w:rsidP="00DD5969">
      <w:pPr>
        <w:spacing w:before="212"/>
        <w:rPr>
          <w:rFonts w:asciiTheme="minorBidi" w:hAnsiTheme="minorBidi"/>
          <w:b/>
          <w:sz w:val="48"/>
          <w:szCs w:val="48"/>
          <w:lang w:val="fr-FR"/>
        </w:rPr>
      </w:pPr>
    </w:p>
    <w:p w14:paraId="52D012F0" w14:textId="729AE257" w:rsidR="00347EA1" w:rsidRPr="00476F6D" w:rsidRDefault="00347EA1" w:rsidP="00DD5969">
      <w:pPr>
        <w:spacing w:before="212"/>
        <w:rPr>
          <w:rFonts w:asciiTheme="minorBidi" w:hAnsiTheme="minorBidi"/>
          <w:b/>
          <w:sz w:val="48"/>
          <w:szCs w:val="48"/>
          <w:lang w:val="fr-FR"/>
        </w:rPr>
      </w:pPr>
      <w:r w:rsidRPr="00476F6D">
        <w:rPr>
          <w:rFonts w:asciiTheme="minorBidi" w:hAnsiTheme="minorBidi"/>
          <w:b/>
          <w:sz w:val="48"/>
          <w:szCs w:val="48"/>
          <w:lang w:val="fr-FR"/>
        </w:rPr>
        <w:t>ASSESSMENT COMPONENT:</w:t>
      </w:r>
      <w:r w:rsidR="77A4C21D" w:rsidRPr="00476F6D">
        <w:rPr>
          <w:rFonts w:asciiTheme="minorBidi" w:hAnsiTheme="minorBidi"/>
          <w:b/>
          <w:bCs/>
          <w:sz w:val="48"/>
          <w:szCs w:val="48"/>
          <w:lang w:val="fr-FR"/>
        </w:rPr>
        <w:t xml:space="preserve"> </w:t>
      </w:r>
      <w:r w:rsidR="00644CD6" w:rsidRPr="00476F6D">
        <w:rPr>
          <w:rFonts w:asciiTheme="minorBidi" w:hAnsiTheme="minorBidi"/>
          <w:b/>
          <w:bCs/>
          <w:sz w:val="48"/>
          <w:szCs w:val="48"/>
          <w:lang w:val="fr-FR"/>
        </w:rPr>
        <w:t xml:space="preserve">1 – </w:t>
      </w:r>
      <w:r w:rsidR="00620332">
        <w:rPr>
          <w:rFonts w:asciiTheme="minorBidi" w:hAnsiTheme="minorBidi"/>
          <w:b/>
          <w:bCs/>
          <w:sz w:val="48"/>
          <w:szCs w:val="48"/>
        </w:rPr>
        <w:t>Action Research Project Report</w:t>
      </w:r>
    </w:p>
    <w:p w14:paraId="6AA1A7DC" w14:textId="77777777" w:rsidR="00DD5969" w:rsidRPr="00476F6D" w:rsidRDefault="00DD5969" w:rsidP="00DD5969">
      <w:pPr>
        <w:spacing w:before="7"/>
        <w:jc w:val="center"/>
        <w:rPr>
          <w:rFonts w:asciiTheme="minorBidi" w:hAnsiTheme="minorBidi"/>
          <w:b/>
          <w:sz w:val="44"/>
        </w:rPr>
      </w:pPr>
    </w:p>
    <w:p w14:paraId="7681432B" w14:textId="5912D25E" w:rsidR="00DD5969" w:rsidRPr="00476F6D" w:rsidRDefault="00DD5969" w:rsidP="00DD5969">
      <w:pPr>
        <w:spacing w:before="3"/>
        <w:rPr>
          <w:rFonts w:asciiTheme="minorBidi" w:hAnsiTheme="minorBidi"/>
          <w:b/>
          <w:sz w:val="48"/>
          <w:szCs w:val="48"/>
        </w:rPr>
      </w:pPr>
      <w:r w:rsidRPr="00476F6D">
        <w:rPr>
          <w:rFonts w:asciiTheme="minorBidi" w:hAnsiTheme="minorBidi"/>
          <w:b/>
          <w:sz w:val="48"/>
          <w:szCs w:val="48"/>
        </w:rPr>
        <w:t>STUDENT NAME:</w:t>
      </w:r>
      <w:r w:rsidR="00620332">
        <w:rPr>
          <w:rFonts w:asciiTheme="minorBidi" w:hAnsiTheme="minorBidi"/>
          <w:b/>
          <w:sz w:val="48"/>
          <w:szCs w:val="48"/>
        </w:rPr>
        <w:t xml:space="preserve"> Saskia Stocks</w:t>
      </w:r>
    </w:p>
    <w:p w14:paraId="0D16D138" w14:textId="77777777" w:rsidR="00DD5969" w:rsidRPr="00476F6D" w:rsidRDefault="00DD5969" w:rsidP="00DD5969">
      <w:pPr>
        <w:spacing w:before="3"/>
        <w:rPr>
          <w:rFonts w:asciiTheme="minorBidi" w:hAnsiTheme="minorBidi"/>
          <w:b/>
          <w:sz w:val="48"/>
          <w:szCs w:val="48"/>
        </w:rPr>
      </w:pPr>
    </w:p>
    <w:p w14:paraId="18107AFF" w14:textId="460C42A5" w:rsidR="00DD5969" w:rsidRPr="00476F6D" w:rsidRDefault="00DD5969" w:rsidP="00DD5969">
      <w:pPr>
        <w:spacing w:before="3"/>
        <w:rPr>
          <w:rFonts w:asciiTheme="minorBidi" w:hAnsiTheme="minorBidi"/>
          <w:b/>
          <w:sz w:val="48"/>
          <w:szCs w:val="48"/>
        </w:rPr>
      </w:pPr>
      <w:r w:rsidRPr="00476F6D">
        <w:rPr>
          <w:rFonts w:asciiTheme="minorBidi" w:hAnsiTheme="minorBidi"/>
          <w:b/>
          <w:sz w:val="48"/>
          <w:szCs w:val="48"/>
        </w:rPr>
        <w:t xml:space="preserve">STUDENT </w:t>
      </w:r>
      <w:r w:rsidR="007203C3" w:rsidRPr="00476F6D">
        <w:rPr>
          <w:rFonts w:asciiTheme="minorBidi" w:hAnsiTheme="minorBidi"/>
          <w:b/>
          <w:sz w:val="48"/>
          <w:szCs w:val="48"/>
        </w:rPr>
        <w:t>NUMBER</w:t>
      </w:r>
      <w:r w:rsidRPr="00476F6D">
        <w:rPr>
          <w:rFonts w:asciiTheme="minorBidi" w:hAnsiTheme="minorBidi"/>
          <w:b/>
          <w:sz w:val="48"/>
          <w:szCs w:val="48"/>
        </w:rPr>
        <w:t>:</w:t>
      </w:r>
      <w:r w:rsidR="00620332">
        <w:rPr>
          <w:rFonts w:asciiTheme="minorBidi" w:hAnsiTheme="minorBidi"/>
          <w:b/>
          <w:sz w:val="48"/>
          <w:szCs w:val="48"/>
        </w:rPr>
        <w:t xml:space="preserve"> 1802572</w:t>
      </w:r>
    </w:p>
    <w:p w14:paraId="4FD52B0A" w14:textId="77777777" w:rsidR="00DD5969" w:rsidRPr="00476F6D" w:rsidRDefault="00DD5969" w:rsidP="00347EA1">
      <w:pPr>
        <w:rPr>
          <w:rFonts w:asciiTheme="minorBidi" w:hAnsiTheme="minorBidi"/>
          <w:b/>
          <w:sz w:val="47"/>
        </w:rPr>
      </w:pPr>
    </w:p>
    <w:p w14:paraId="33AC1703" w14:textId="77777777" w:rsidR="00DD5969" w:rsidRPr="00476F6D" w:rsidRDefault="00DD5969" w:rsidP="00DD5969">
      <w:pPr>
        <w:ind w:left="100"/>
        <w:jc w:val="center"/>
        <w:rPr>
          <w:rFonts w:asciiTheme="minorBidi" w:hAnsiTheme="minorBidi"/>
          <w:b/>
          <w:sz w:val="47"/>
        </w:rPr>
      </w:pPr>
    </w:p>
    <w:p w14:paraId="274DD003" w14:textId="77777777" w:rsidR="00DD5969" w:rsidRPr="00476F6D" w:rsidRDefault="00DD5969" w:rsidP="00DD5969">
      <w:pPr>
        <w:ind w:left="100"/>
        <w:rPr>
          <w:rFonts w:asciiTheme="minorBidi" w:hAnsiTheme="minorBidi"/>
          <w:b/>
          <w:sz w:val="47"/>
          <w:szCs w:val="47"/>
        </w:rPr>
      </w:pPr>
    </w:p>
    <w:p w14:paraId="679E7D19" w14:textId="71C4EC0C" w:rsidR="00347EA1" w:rsidRPr="00476F6D" w:rsidRDefault="00347EA1" w:rsidP="00DD5969">
      <w:pPr>
        <w:ind w:left="100"/>
        <w:rPr>
          <w:rFonts w:asciiTheme="minorBidi" w:hAnsiTheme="minorBidi"/>
          <w:b/>
          <w:sz w:val="47"/>
          <w:szCs w:val="47"/>
        </w:rPr>
      </w:pPr>
    </w:p>
    <w:p w14:paraId="66BAA97C" w14:textId="77777777" w:rsidR="00164156" w:rsidRPr="00476F6D" w:rsidRDefault="00164156" w:rsidP="00164156">
      <w:pPr>
        <w:spacing w:after="0" w:line="240" w:lineRule="auto"/>
        <w:ind w:left="90"/>
        <w:jc w:val="both"/>
        <w:textAlignment w:val="baseline"/>
        <w:rPr>
          <w:rFonts w:asciiTheme="minorBidi" w:hAnsiTheme="minorBidi"/>
          <w:b/>
          <w:sz w:val="47"/>
        </w:rPr>
      </w:pPr>
    </w:p>
    <w:p w14:paraId="3157F993" w14:textId="77777777" w:rsidR="00D33868" w:rsidRPr="00476F6D" w:rsidRDefault="00D33868" w:rsidP="00164156">
      <w:pPr>
        <w:spacing w:after="0" w:line="240" w:lineRule="auto"/>
        <w:ind w:left="90"/>
        <w:jc w:val="both"/>
        <w:textAlignment w:val="baseline"/>
        <w:rPr>
          <w:rFonts w:asciiTheme="minorBidi" w:hAnsiTheme="minorBidi"/>
          <w:b/>
          <w:sz w:val="47"/>
        </w:rPr>
      </w:pPr>
    </w:p>
    <w:p w14:paraId="3501826F" w14:textId="77777777" w:rsidR="00D33868" w:rsidRPr="00476F6D" w:rsidRDefault="00D33868" w:rsidP="00164156">
      <w:pPr>
        <w:spacing w:after="0" w:line="240" w:lineRule="auto"/>
        <w:ind w:left="90"/>
        <w:jc w:val="both"/>
        <w:textAlignment w:val="baseline"/>
        <w:rPr>
          <w:rFonts w:asciiTheme="minorBidi" w:hAnsiTheme="minorBidi"/>
          <w:b/>
        </w:rPr>
      </w:pPr>
    </w:p>
    <w:p w14:paraId="5A5D8F07" w14:textId="2204E87E" w:rsidR="00164156" w:rsidRPr="00476F6D" w:rsidRDefault="00164156" w:rsidP="00164156">
      <w:pPr>
        <w:spacing w:after="0" w:line="240" w:lineRule="auto"/>
        <w:ind w:left="90"/>
        <w:jc w:val="both"/>
        <w:textAlignment w:val="baseline"/>
        <w:rPr>
          <w:rFonts w:asciiTheme="minorBidi" w:eastAsia="Times New Roman" w:hAnsiTheme="minorBidi"/>
          <w:color w:val="000000"/>
          <w:kern w:val="0"/>
          <w14:ligatures w14:val="none"/>
        </w:rPr>
      </w:pPr>
      <w:r w:rsidRPr="00476F6D">
        <w:rPr>
          <w:rFonts w:asciiTheme="minorBidi" w:eastAsia="Times New Roman" w:hAnsiTheme="minorBidi"/>
          <w:b/>
          <w:bCs/>
          <w:color w:val="000000"/>
          <w:kern w:val="0"/>
          <w14:ligatures w14:val="none"/>
        </w:rPr>
        <w:t>Use of Generative AI in Assessment</w:t>
      </w:r>
      <w:r w:rsidRPr="00476F6D">
        <w:rPr>
          <w:rFonts w:asciiTheme="minorBidi" w:eastAsia="Times New Roman" w:hAnsiTheme="minorBidi"/>
          <w:color w:val="000000"/>
          <w:kern w:val="0"/>
          <w14:ligatures w14:val="none"/>
        </w:rPr>
        <w:t> </w:t>
      </w:r>
    </w:p>
    <w:p w14:paraId="18E1DECC" w14:textId="77777777" w:rsidR="00164156" w:rsidRPr="00476F6D" w:rsidRDefault="00164156" w:rsidP="00164156">
      <w:pPr>
        <w:spacing w:after="0" w:line="240" w:lineRule="auto"/>
        <w:ind w:left="90"/>
        <w:jc w:val="both"/>
        <w:textAlignment w:val="baseline"/>
        <w:rPr>
          <w:rFonts w:asciiTheme="minorBidi" w:eastAsia="Times New Roman" w:hAnsiTheme="minorBidi"/>
          <w:color w:val="0F4761"/>
          <w:kern w:val="0"/>
          <w14:ligatures w14:val="none"/>
        </w:rPr>
      </w:pPr>
    </w:p>
    <w:p w14:paraId="22953863" w14:textId="77777777" w:rsidR="00110DEC" w:rsidRPr="00476F6D" w:rsidRDefault="00110DEC" w:rsidP="00164156">
      <w:pPr>
        <w:spacing w:after="0" w:line="240" w:lineRule="auto"/>
        <w:ind w:left="90"/>
        <w:jc w:val="both"/>
        <w:textAlignment w:val="baseline"/>
        <w:rPr>
          <w:rFonts w:asciiTheme="minorBidi" w:eastAsia="Times New Roman" w:hAnsiTheme="minorBidi"/>
          <w:color w:val="0F4761"/>
          <w:kern w:val="0"/>
          <w14:ligatures w14:val="none"/>
        </w:rPr>
      </w:pPr>
    </w:p>
    <w:p w14:paraId="5492B16D" w14:textId="77777777" w:rsidR="00164156" w:rsidRPr="00476F6D" w:rsidRDefault="00164156" w:rsidP="00476F6D">
      <w:pPr>
        <w:spacing w:after="0" w:line="240" w:lineRule="auto"/>
        <w:textAlignment w:val="baseline"/>
        <w:rPr>
          <w:rFonts w:asciiTheme="minorBidi" w:eastAsia="Times New Roman" w:hAnsiTheme="minorBidi"/>
          <w:kern w:val="0"/>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6"/>
        <w:gridCol w:w="4898"/>
        <w:gridCol w:w="1306"/>
      </w:tblGrid>
      <w:tr w:rsidR="00164156" w:rsidRPr="00476F6D"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4F5FD200"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847630336"/>
                <w14:checkbox>
                  <w14:checked w14:val="1"/>
                  <w14:checkedState w14:val="2612" w14:font="MS Gothic"/>
                  <w14:uncheckedState w14:val="2610" w14:font="MS Gothic"/>
                </w14:checkbox>
              </w:sdtPr>
              <w:sdtContent>
                <w:r w:rsidR="00644CD6" w:rsidRPr="00476F6D">
                  <w:rPr>
                    <w:rFonts w:ascii="Segoe UI Symbol" w:eastAsia="MS Gothic" w:hAnsi="Segoe UI Symbol" w:cs="Segoe UI Symbol"/>
                    <w:color w:val="000000"/>
                    <w:kern w:val="0"/>
                    <w14:ligatures w14:val="none"/>
                  </w:rPr>
                  <w:t>☒</w:t>
                </w:r>
              </w:sdtContent>
            </w:sdt>
          </w:p>
          <w:p w14:paraId="10B29FE4"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2FACB802" w14:textId="0DB14D4C"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60912764"/>
                <w14:checkbox>
                  <w14:checked w14:val="0"/>
                  <w14:checkedState w14:val="2612" w14:font="MS Gothic"/>
                  <w14:uncheckedState w14:val="2610" w14:font="MS Gothic"/>
                </w14:checkbox>
              </w:sdtPr>
              <w:sdtContent>
                <w:r w:rsidR="00110DEC" w:rsidRPr="00476F6D">
                  <w:rPr>
                    <w:rFonts w:ascii="Segoe UI Symbol" w:eastAsia="MS Gothic" w:hAnsi="Segoe UI Symbol" w:cs="Segoe UI Symbol"/>
                    <w:color w:val="000000"/>
                    <w:kern w:val="0"/>
                    <w14:ligatures w14:val="none"/>
                  </w:rPr>
                  <w:t>☐</w:t>
                </w:r>
              </w:sdtContent>
            </w:sdt>
          </w:p>
        </w:tc>
      </w:tr>
      <w:tr w:rsidR="00164156" w:rsidRPr="00476F6D"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171FAC1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275852430"/>
                <w14:checkbox>
                  <w14:checked w14:val="1"/>
                  <w14:checkedState w14:val="2612" w14:font="MS Gothic"/>
                  <w14:uncheckedState w14:val="2610" w14:font="MS Gothic"/>
                </w14:checkbox>
              </w:sdtPr>
              <w:sdtContent>
                <w:r w:rsidR="00644CD6" w:rsidRPr="00476F6D">
                  <w:rPr>
                    <w:rFonts w:ascii="Segoe UI Symbol" w:eastAsia="MS Gothic" w:hAnsi="Segoe UI Symbol" w:cs="Segoe UI Symbol"/>
                    <w:color w:val="000000"/>
                    <w:kern w:val="0"/>
                    <w14:ligatures w14:val="none"/>
                  </w:rPr>
                  <w:t>☒</w:t>
                </w:r>
              </w:sdtContent>
            </w:sdt>
          </w:p>
          <w:p w14:paraId="38833C16"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39D397BD" w14:textId="1DA4F5E1" w:rsidR="00164156"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47983336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164156" w:rsidRPr="00476F6D"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323D073E"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689367090"/>
                <w14:checkbox>
                  <w14:checked w14:val="1"/>
                  <w14:checkedState w14:val="2612" w14:font="MS Gothic"/>
                  <w14:uncheckedState w14:val="2610" w14:font="MS Gothic"/>
                </w14:checkbox>
              </w:sdtPr>
              <w:sdtContent>
                <w:r w:rsidR="00644CD6" w:rsidRPr="00476F6D">
                  <w:rPr>
                    <w:rFonts w:ascii="Segoe UI Symbol" w:eastAsia="MS Gothic" w:hAnsi="Segoe UI Symbol" w:cs="Segoe UI Symbol"/>
                    <w:color w:val="000000"/>
                    <w:kern w:val="0"/>
                    <w14:ligatures w14:val="none"/>
                  </w:rPr>
                  <w:t>☒</w:t>
                </w:r>
              </w:sdtContent>
            </w:sdt>
          </w:p>
          <w:p w14:paraId="58968DAC"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4383FAE8" w14:textId="22C5ECCF" w:rsidR="00164156"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213177521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164156" w:rsidRPr="00476F6D"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10973699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19D7CEE6"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61EBE517" w14:textId="7442D813" w:rsidR="00164156"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222023032"/>
                <w14:checkbox>
                  <w14:checked w14:val="1"/>
                  <w14:checkedState w14:val="2612" w14:font="MS Gothic"/>
                  <w14:uncheckedState w14:val="2610" w14:font="MS Gothic"/>
                </w14:checkbox>
              </w:sdtPr>
              <w:sdtContent>
                <w:r w:rsidR="00644CD6" w:rsidRPr="00476F6D">
                  <w:rPr>
                    <w:rFonts w:ascii="Segoe UI Symbol" w:eastAsia="MS Gothic" w:hAnsi="Segoe UI Symbol" w:cs="Segoe UI Symbol"/>
                    <w:color w:val="000000"/>
                    <w:kern w:val="0"/>
                    <w14:ligatures w14:val="none"/>
                  </w:rPr>
                  <w:t>☒</w:t>
                </w:r>
              </w:sdtContent>
            </w:sdt>
          </w:p>
        </w:tc>
      </w:tr>
      <w:tr w:rsidR="00164156" w:rsidRPr="00476F6D"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2087532028"/>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7D99E8B3"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192B64FE" w14:textId="13F68AD1" w:rsidR="00164156"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815298599"/>
                <w14:checkbox>
                  <w14:checked w14:val="1"/>
                  <w14:checkedState w14:val="2612" w14:font="MS Gothic"/>
                  <w14:uncheckedState w14:val="2610" w14:font="MS Gothic"/>
                </w14:checkbox>
              </w:sdtPr>
              <w:sdtContent>
                <w:r w:rsidR="00644CD6" w:rsidRPr="00476F6D">
                  <w:rPr>
                    <w:rFonts w:ascii="Segoe UI Symbol" w:eastAsia="MS Gothic" w:hAnsi="Segoe UI Symbol" w:cs="Segoe UI Symbol"/>
                    <w:color w:val="000000"/>
                    <w:kern w:val="0"/>
                    <w14:ligatures w14:val="none"/>
                  </w:rPr>
                  <w:t>☒</w:t>
                </w:r>
              </w:sdtContent>
            </w:sdt>
          </w:p>
        </w:tc>
      </w:tr>
      <w:tr w:rsidR="00164156" w:rsidRPr="00476F6D"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81236331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166EE71E"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1CFE2096" w14:textId="37A536DA" w:rsidR="00164156"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78185361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164156" w:rsidRPr="00476F6D"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For this assessment, you are not allowed to use </w:t>
            </w:r>
            <w:r w:rsidRPr="00476F6D">
              <w:rPr>
                <w:rFonts w:asciiTheme="minorBidi" w:eastAsia="Times New Roman" w:hAnsiTheme="minorBidi"/>
                <w:b/>
                <w:bCs/>
                <w:color w:val="000000"/>
                <w:kern w:val="0"/>
                <w14:ligatures w14:val="none"/>
              </w:rPr>
              <w:t>any</w:t>
            </w:r>
            <w:r w:rsidRPr="00476F6D">
              <w:rPr>
                <w:rFonts w:asciiTheme="minorBidi" w:eastAsia="Times New Roman" w:hAnsiTheme="minorBidi"/>
                <w:color w:val="000000"/>
                <w:kern w:val="0"/>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9232240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52A3BE94" w14:textId="77777777" w:rsidR="00110DEC"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02C0DD63" w14:textId="2B82B29D" w:rsidR="00164156" w:rsidRPr="00476F6D" w:rsidRDefault="00110DEC" w:rsidP="00110DEC">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538934146"/>
                <w14:checkbox>
                  <w14:checked w14:val="1"/>
                  <w14:checkedState w14:val="2612" w14:font="MS Gothic"/>
                  <w14:uncheckedState w14:val="2610" w14:font="MS Gothic"/>
                </w14:checkbox>
              </w:sdtPr>
              <w:sdtContent>
                <w:r w:rsidR="00644CD6" w:rsidRPr="00476F6D">
                  <w:rPr>
                    <w:rFonts w:ascii="Segoe UI Symbol" w:eastAsia="MS Gothic" w:hAnsi="Segoe UI Symbol" w:cs="Segoe UI Symbol"/>
                    <w:color w:val="000000"/>
                    <w:kern w:val="0"/>
                    <w14:ligatures w14:val="none"/>
                  </w:rPr>
                  <w:t>☒</w:t>
                </w:r>
              </w:sdtContent>
            </w:sdt>
          </w:p>
        </w:tc>
      </w:tr>
    </w:tbl>
    <w:p w14:paraId="7811217C" w14:textId="77777777" w:rsidR="00164156" w:rsidRPr="00476F6D" w:rsidRDefault="00164156" w:rsidP="00164156">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kern w:val="0"/>
          <w14:ligatures w14:val="none"/>
        </w:rPr>
        <w:t> </w:t>
      </w:r>
    </w:p>
    <w:p w14:paraId="089435D5" w14:textId="7985499A" w:rsidR="00DD5969" w:rsidRPr="00476F6D" w:rsidRDefault="00DD5969" w:rsidP="2837A147">
      <w:pPr>
        <w:rPr>
          <w:rFonts w:asciiTheme="minorBidi" w:hAnsiTheme="minorBidi"/>
          <w:b/>
          <w:u w:val="single"/>
        </w:rPr>
      </w:pPr>
    </w:p>
    <w:p w14:paraId="635C861F" w14:textId="77777777" w:rsidR="00110DEC" w:rsidRPr="00476F6D" w:rsidRDefault="00110DEC" w:rsidP="2837A147">
      <w:pPr>
        <w:rPr>
          <w:rFonts w:asciiTheme="minorBidi" w:hAnsiTheme="minorBidi"/>
          <w:b/>
          <w:u w:val="single"/>
        </w:rPr>
      </w:pPr>
    </w:p>
    <w:p w14:paraId="57A7DB4B" w14:textId="77777777" w:rsidR="00110DEC" w:rsidRPr="00476F6D" w:rsidRDefault="00110DEC" w:rsidP="2837A147">
      <w:pPr>
        <w:rPr>
          <w:rFonts w:asciiTheme="minorBidi" w:hAnsiTheme="minorBidi"/>
          <w:b/>
          <w:u w:val="single"/>
        </w:rPr>
      </w:pPr>
    </w:p>
    <w:p w14:paraId="2EB3BDA0" w14:textId="77777777" w:rsidR="00110DEC" w:rsidRPr="00476F6D" w:rsidRDefault="00110DEC" w:rsidP="2837A147">
      <w:pPr>
        <w:rPr>
          <w:rFonts w:asciiTheme="minorBidi" w:hAnsiTheme="minorBidi"/>
          <w:b/>
          <w:u w:val="single"/>
        </w:rPr>
      </w:pPr>
    </w:p>
    <w:p w14:paraId="4E173237" w14:textId="77777777" w:rsidR="00110DEC" w:rsidRPr="00476F6D" w:rsidRDefault="00110DEC" w:rsidP="2837A147">
      <w:pPr>
        <w:rPr>
          <w:rFonts w:asciiTheme="minorBidi" w:hAnsiTheme="minorBidi"/>
          <w:b/>
          <w:u w:val="single"/>
        </w:rPr>
      </w:pPr>
    </w:p>
    <w:p w14:paraId="511AEA10" w14:textId="77777777" w:rsidR="00110DEC" w:rsidRPr="00476F6D" w:rsidRDefault="00110DEC" w:rsidP="2837A147">
      <w:pPr>
        <w:rPr>
          <w:rFonts w:asciiTheme="minorBidi" w:hAnsiTheme="minorBidi"/>
          <w:b/>
          <w:u w:val="single"/>
        </w:rPr>
      </w:pPr>
    </w:p>
    <w:p w14:paraId="5934CF93" w14:textId="77777777" w:rsidR="00110DEC" w:rsidRPr="00476F6D" w:rsidRDefault="00110DEC" w:rsidP="2837A147">
      <w:pPr>
        <w:rPr>
          <w:rFonts w:asciiTheme="minorBidi" w:hAnsiTheme="minorBidi"/>
          <w:b/>
          <w:u w:val="single"/>
        </w:rPr>
      </w:pPr>
    </w:p>
    <w:p w14:paraId="20037712" w14:textId="77777777" w:rsidR="00110DEC" w:rsidRPr="00476F6D" w:rsidRDefault="00110DEC" w:rsidP="2837A147">
      <w:pPr>
        <w:rPr>
          <w:rFonts w:asciiTheme="minorBidi" w:hAnsiTheme="minorBidi"/>
          <w:b/>
          <w:u w:val="single"/>
        </w:rPr>
      </w:pPr>
    </w:p>
    <w:p w14:paraId="28171F09" w14:textId="77777777" w:rsidR="00D33868" w:rsidRPr="00476F6D" w:rsidRDefault="00B103B9" w:rsidP="00DD5969">
      <w:pPr>
        <w:rPr>
          <w:rFonts w:asciiTheme="minorBidi" w:hAnsiTheme="minorBidi"/>
          <w:b/>
          <w:bCs/>
          <w:u w:val="single"/>
        </w:rPr>
      </w:pPr>
      <w:r w:rsidRPr="00476F6D">
        <w:rPr>
          <w:rFonts w:asciiTheme="minorBidi" w:hAnsiTheme="minorBidi"/>
          <w:b/>
          <w:bCs/>
          <w:u w:val="single"/>
        </w:rPr>
        <w:lastRenderedPageBreak/>
        <w:t>AI Acknowledgement</w:t>
      </w:r>
      <w:r w:rsidR="003A4B66" w:rsidRPr="00476F6D">
        <w:rPr>
          <w:rFonts w:asciiTheme="minorBidi" w:hAnsiTheme="minorBidi"/>
          <w:b/>
          <w:bCs/>
          <w:u w:val="single"/>
        </w:rPr>
        <w:t xml:space="preserve">  </w:t>
      </w:r>
    </w:p>
    <w:p w14:paraId="5A38292B" w14:textId="71A59523" w:rsidR="00B103B9" w:rsidRPr="00476F6D" w:rsidRDefault="00476F6D" w:rsidP="00DD5969">
      <w:pPr>
        <w:rPr>
          <w:rFonts w:asciiTheme="minorBidi" w:hAnsiTheme="minorBidi"/>
        </w:rPr>
      </w:pPr>
      <w:r>
        <w:rPr>
          <w:rFonts w:asciiTheme="minorBidi" w:hAnsiTheme="minorBidi"/>
          <w:b/>
          <w:bCs/>
        </w:rPr>
        <w:t>Either:</w:t>
      </w:r>
    </w:p>
    <w:p w14:paraId="4EE20A6B" w14:textId="77777777" w:rsidR="00E243A8" w:rsidRPr="00476F6D" w:rsidRDefault="00E243A8" w:rsidP="00E243A8">
      <w:pPr>
        <w:rPr>
          <w:rFonts w:asciiTheme="minorBidi" w:hAnsiTheme="minorBidi"/>
        </w:rPr>
      </w:pPr>
      <w:r w:rsidRPr="00476F6D">
        <w:rPr>
          <w:rFonts w:asciiTheme="minorBidi" w:hAnsiTheme="minorBidi"/>
        </w:rPr>
        <w:t xml:space="preserve">I confirm that I have not used any AI tools in the research and creation of this assignment. </w:t>
      </w:r>
    </w:p>
    <w:p w14:paraId="768557CB" w14:textId="711D0E68" w:rsidR="00C2550A" w:rsidRPr="00476F6D" w:rsidRDefault="00E243A8" w:rsidP="00E243A8">
      <w:pPr>
        <w:rPr>
          <w:rFonts w:asciiTheme="minorBidi" w:hAnsiTheme="minorBidi"/>
        </w:rPr>
      </w:pPr>
      <w:r w:rsidRPr="00476F6D">
        <w:rPr>
          <w:rFonts w:asciiTheme="minorBidi" w:hAnsiTheme="minorBidi"/>
        </w:rPr>
        <w:t>I confirm that I have not presented any AI</w:t>
      </w:r>
      <w:r w:rsidR="00620332">
        <w:rPr>
          <w:rFonts w:asciiTheme="minorBidi" w:hAnsiTheme="minorBidi"/>
        </w:rPr>
        <w:t>-</w:t>
      </w:r>
      <w:r w:rsidRPr="00476F6D">
        <w:rPr>
          <w:rFonts w:asciiTheme="minorBidi" w:hAnsiTheme="minorBidi"/>
        </w:rPr>
        <w:t xml:space="preserve">generated materials as my own work. </w:t>
      </w:r>
    </w:p>
    <w:p w14:paraId="0ADC06E9" w14:textId="0998FCE4" w:rsidR="00E10797" w:rsidRPr="00476F6D" w:rsidRDefault="00E243A8" w:rsidP="00DD5969">
      <w:pPr>
        <w:rPr>
          <w:rFonts w:asciiTheme="minorBidi" w:hAnsiTheme="minorBidi"/>
        </w:rPr>
      </w:pPr>
      <w:r w:rsidRPr="00476F6D">
        <w:rPr>
          <w:rFonts w:asciiTheme="minorBidi" w:hAnsiTheme="minorBidi"/>
        </w:rPr>
        <w:t xml:space="preserve">I confirm </w:t>
      </w:r>
      <w:r w:rsidR="00C2550A" w:rsidRPr="00476F6D">
        <w:rPr>
          <w:rFonts w:asciiTheme="minorBidi" w:hAnsiTheme="minorBidi"/>
        </w:rPr>
        <w:t xml:space="preserve">that </w:t>
      </w:r>
      <w:r w:rsidRPr="00476F6D">
        <w:rPr>
          <w:rFonts w:asciiTheme="minorBidi" w:hAnsiTheme="minorBidi"/>
        </w:rPr>
        <w:t>I have copies of my drafts, notes, and other resources I used, which I may be asked to provide in evidence.</w:t>
      </w:r>
    </w:p>
    <w:p w14:paraId="4DF22479" w14:textId="77777777" w:rsidR="000C541C" w:rsidRPr="00476F6D" w:rsidRDefault="000C541C" w:rsidP="00DD5969"/>
    <w:p w14:paraId="6204DAEB" w14:textId="77777777" w:rsidR="000C541C" w:rsidRPr="00476F6D" w:rsidRDefault="000C541C" w:rsidP="00DD5969"/>
    <w:p w14:paraId="5144E418" w14:textId="77777777" w:rsidR="000C541C" w:rsidRPr="00476F6D" w:rsidRDefault="000C541C" w:rsidP="00DD5969"/>
    <w:p w14:paraId="2AE1CF9A" w14:textId="77777777" w:rsidR="000C541C" w:rsidRDefault="000C541C" w:rsidP="00DD5969"/>
    <w:p w14:paraId="682090FC" w14:textId="77777777" w:rsidR="00620332" w:rsidRDefault="00620332" w:rsidP="00DD5969"/>
    <w:p w14:paraId="3D6B6398" w14:textId="77777777" w:rsidR="00620332" w:rsidRDefault="00620332" w:rsidP="00DD5969"/>
    <w:p w14:paraId="1FE3C266" w14:textId="77777777" w:rsidR="00620332" w:rsidRDefault="00620332" w:rsidP="00DD5969"/>
    <w:p w14:paraId="0C113671" w14:textId="77777777" w:rsidR="00620332" w:rsidRDefault="00620332" w:rsidP="00DD5969"/>
    <w:p w14:paraId="52835607" w14:textId="77777777" w:rsidR="00620332" w:rsidRDefault="00620332" w:rsidP="00DD5969"/>
    <w:p w14:paraId="675067A3" w14:textId="77777777" w:rsidR="00620332" w:rsidRDefault="00620332" w:rsidP="00DD5969"/>
    <w:p w14:paraId="54B404B8" w14:textId="77777777" w:rsidR="00620332" w:rsidRDefault="00620332" w:rsidP="00DD5969"/>
    <w:p w14:paraId="61007F04" w14:textId="77777777" w:rsidR="00620332" w:rsidRDefault="00620332" w:rsidP="00DD5969"/>
    <w:p w14:paraId="37A37C5D" w14:textId="77777777" w:rsidR="00620332" w:rsidRDefault="00620332" w:rsidP="00DD5969"/>
    <w:p w14:paraId="54FCDD05" w14:textId="77777777" w:rsidR="00620332" w:rsidRDefault="00620332" w:rsidP="00DD5969"/>
    <w:p w14:paraId="3FD2A077" w14:textId="77777777" w:rsidR="00620332" w:rsidRDefault="00620332" w:rsidP="00DD5969"/>
    <w:p w14:paraId="7C6D1CB6" w14:textId="77777777" w:rsidR="00620332" w:rsidRDefault="00620332" w:rsidP="00DD5969"/>
    <w:p w14:paraId="17447C3A" w14:textId="77777777" w:rsidR="00620332" w:rsidRDefault="00620332" w:rsidP="00DD5969"/>
    <w:p w14:paraId="79918B31" w14:textId="77777777" w:rsidR="00620332" w:rsidRDefault="00620332" w:rsidP="00DD5969"/>
    <w:p w14:paraId="0F0A99B5" w14:textId="77777777" w:rsidR="00620332" w:rsidRDefault="00620332" w:rsidP="00DD5969"/>
    <w:p w14:paraId="2BC489FE" w14:textId="77777777" w:rsidR="00620332" w:rsidRDefault="00620332" w:rsidP="00DD5969"/>
    <w:p w14:paraId="393697E8" w14:textId="77777777" w:rsidR="00620332" w:rsidRDefault="00620332" w:rsidP="00DD5969"/>
    <w:p w14:paraId="6CC5277A" w14:textId="77777777" w:rsidR="00620332" w:rsidRDefault="00620332" w:rsidP="00DD5969"/>
    <w:p w14:paraId="2706F5F7" w14:textId="1017FE88" w:rsidR="00620332" w:rsidRPr="002C1254" w:rsidRDefault="00620332" w:rsidP="002C1254">
      <w:pPr>
        <w:spacing w:line="360" w:lineRule="auto"/>
        <w:rPr>
          <w:rFonts w:ascii="Times New Roman" w:hAnsi="Times New Roman" w:cs="Times New Roman"/>
          <w:u w:val="single"/>
        </w:rPr>
      </w:pPr>
      <w:r w:rsidRPr="002C1254">
        <w:rPr>
          <w:rFonts w:ascii="Times New Roman" w:hAnsi="Times New Roman" w:cs="Times New Roman"/>
          <w:u w:val="single"/>
        </w:rPr>
        <w:lastRenderedPageBreak/>
        <w:t>How does mental health impact students</w:t>
      </w:r>
      <w:r w:rsidR="005754B6">
        <w:rPr>
          <w:rFonts w:ascii="Times New Roman" w:hAnsi="Times New Roman" w:cs="Times New Roman"/>
          <w:u w:val="single"/>
        </w:rPr>
        <w:t>’</w:t>
      </w:r>
      <w:r w:rsidRPr="002C1254">
        <w:rPr>
          <w:rFonts w:ascii="Times New Roman" w:hAnsi="Times New Roman" w:cs="Times New Roman"/>
          <w:u w:val="single"/>
        </w:rPr>
        <w:t xml:space="preserve"> well-being in post-16 education, and how can digital innovation</w:t>
      </w:r>
      <w:r w:rsidR="002C1254" w:rsidRPr="002C1254">
        <w:rPr>
          <w:rFonts w:ascii="Times New Roman" w:hAnsi="Times New Roman" w:cs="Times New Roman"/>
          <w:u w:val="single"/>
        </w:rPr>
        <w:t>s enhance student well-being?</w:t>
      </w:r>
    </w:p>
    <w:p w14:paraId="0768834F" w14:textId="5E9015A0" w:rsidR="00620332" w:rsidRPr="002C1254" w:rsidRDefault="00620332" w:rsidP="002C1254">
      <w:pPr>
        <w:pStyle w:val="ListParagraph"/>
        <w:spacing w:line="360" w:lineRule="auto"/>
        <w:jc w:val="center"/>
        <w:rPr>
          <w:rFonts w:ascii="Times New Roman" w:hAnsi="Times New Roman" w:cs="Times New Roman"/>
          <w:b/>
          <w:bCs/>
        </w:rPr>
      </w:pPr>
      <w:r w:rsidRPr="00000117">
        <w:rPr>
          <w:rFonts w:ascii="Times New Roman" w:hAnsi="Times New Roman" w:cs="Times New Roman"/>
          <w:b/>
          <w:bCs/>
        </w:rPr>
        <w:t>Introduction</w:t>
      </w:r>
      <w:r>
        <w:rPr>
          <w:rFonts w:ascii="Times New Roman" w:hAnsi="Times New Roman" w:cs="Times New Roman"/>
          <w:b/>
          <w:bCs/>
        </w:rPr>
        <w:t xml:space="preserve"> </w:t>
      </w:r>
      <w:r w:rsidRPr="00000117">
        <w:rPr>
          <w:rFonts w:ascii="Times New Roman" w:hAnsi="Times New Roman" w:cs="Times New Roman"/>
          <w:b/>
          <w:bCs/>
        </w:rPr>
        <w:t>/</w:t>
      </w:r>
      <w:r>
        <w:rPr>
          <w:rFonts w:ascii="Times New Roman" w:hAnsi="Times New Roman" w:cs="Times New Roman"/>
          <w:b/>
          <w:bCs/>
        </w:rPr>
        <w:t xml:space="preserve"> J</w:t>
      </w:r>
      <w:r w:rsidRPr="00000117">
        <w:rPr>
          <w:rFonts w:ascii="Times New Roman" w:hAnsi="Times New Roman" w:cs="Times New Roman"/>
          <w:b/>
          <w:bCs/>
        </w:rPr>
        <w:t xml:space="preserve">ustification of </w:t>
      </w:r>
      <w:r>
        <w:rPr>
          <w:rFonts w:ascii="Times New Roman" w:hAnsi="Times New Roman" w:cs="Times New Roman"/>
          <w:b/>
          <w:bCs/>
        </w:rPr>
        <w:t>Study A</w:t>
      </w:r>
      <w:r w:rsidRPr="00000117">
        <w:rPr>
          <w:rFonts w:ascii="Times New Roman" w:hAnsi="Times New Roman" w:cs="Times New Roman"/>
          <w:b/>
          <w:bCs/>
        </w:rPr>
        <w:t>rea</w:t>
      </w:r>
    </w:p>
    <w:p w14:paraId="4E340D89" w14:textId="1426C482" w:rsidR="00620332" w:rsidRPr="00000117" w:rsidRDefault="00620332" w:rsidP="00620332">
      <w:pPr>
        <w:spacing w:line="360" w:lineRule="auto"/>
        <w:rPr>
          <w:rFonts w:ascii="Times New Roman" w:hAnsi="Times New Roman" w:cs="Times New Roman"/>
          <w:color w:val="000000"/>
        </w:rPr>
      </w:pPr>
      <w:r w:rsidRPr="00000117">
        <w:rPr>
          <w:rFonts w:ascii="Times New Roman" w:hAnsi="Times New Roman" w:cs="Times New Roman"/>
        </w:rPr>
        <w:t xml:space="preserve">Mental health is widely recognised as an important student success in post-16 education, </w:t>
      </w:r>
      <w:r w:rsidR="005754B6">
        <w:rPr>
          <w:rFonts w:ascii="Times New Roman" w:hAnsi="Times New Roman" w:cs="Times New Roman"/>
        </w:rPr>
        <w:t xml:space="preserve">Academic pressures, social expectations, and financial concerns contribute to rising levels. </w:t>
      </w:r>
      <w:r w:rsidRPr="00000117">
        <w:rPr>
          <w:rFonts w:ascii="Times New Roman" w:hAnsi="Times New Roman" w:cs="Times New Roman"/>
        </w:rPr>
        <w:t xml:space="preserve">of stress, anxiety, and other mental health challenges </w:t>
      </w:r>
      <w:r w:rsidRPr="00000117">
        <w:rPr>
          <w:rFonts w:ascii="Times New Roman" w:hAnsi="Times New Roman" w:cs="Times New Roman"/>
          <w:color w:val="000000"/>
        </w:rPr>
        <w:t>(Bekkouche, Schmid and Carliner, 2021).  While it is often assumed that better mental health leads to higher academic performance, research suggests the relationship is more complex</w:t>
      </w:r>
      <w:r w:rsidR="00E26652">
        <w:rPr>
          <w:rFonts w:ascii="Times New Roman" w:hAnsi="Times New Roman" w:cs="Times New Roman"/>
          <w:color w:val="000000"/>
        </w:rPr>
        <w:t>.</w:t>
      </w:r>
      <w:r w:rsidRPr="00000117">
        <w:rPr>
          <w:rFonts w:ascii="Times New Roman" w:hAnsi="Times New Roman" w:cs="Times New Roman"/>
          <w:color w:val="000000"/>
        </w:rPr>
        <w:t xml:space="preserve"> A study by Mahdavi et al. (2021) found that rather than directly impacting academic achievement, mental health appears to be more strongly correlated with achievement motivation—the drive to succeed academically. In turn, students with higher motivation are more likely to perform well in their studies. This highlights the importance of fostering both mental well-being and motivation in post-16 educational settings.</w:t>
      </w:r>
    </w:p>
    <w:p w14:paraId="3E8721F6" w14:textId="3AEB88D7" w:rsidR="00620332" w:rsidRDefault="00620332" w:rsidP="002C1254">
      <w:pPr>
        <w:spacing w:line="360" w:lineRule="auto"/>
        <w:rPr>
          <w:rFonts w:ascii="Times New Roman" w:hAnsi="Times New Roman" w:cs="Times New Roman"/>
          <w:color w:val="000000"/>
        </w:rPr>
      </w:pPr>
      <w:r w:rsidRPr="00000117">
        <w:rPr>
          <w:rFonts w:ascii="Times New Roman" w:hAnsi="Times New Roman" w:cs="Times New Roman"/>
          <w:color w:val="000000"/>
        </w:rPr>
        <w:t>This action research project aims to explore these connections while also considering a practical way to support student well-being within post-16 educational settings. The primary research question guiding this study is: How does mental health impact student’s well-being in post-16 education? Additionally, with the increasing role of technology in education, this study will explore the sub-question: How digital innovations can be integrated into institutional mental health strategies to enhance student well-being?</w:t>
      </w:r>
    </w:p>
    <w:p w14:paraId="48103A3C" w14:textId="77777777" w:rsidR="002C1254" w:rsidRPr="002C1254" w:rsidRDefault="002C1254" w:rsidP="002C1254">
      <w:pPr>
        <w:spacing w:line="360" w:lineRule="auto"/>
        <w:rPr>
          <w:rFonts w:ascii="Times New Roman" w:hAnsi="Times New Roman" w:cs="Times New Roman"/>
          <w:color w:val="000000"/>
        </w:rPr>
      </w:pPr>
    </w:p>
    <w:p w14:paraId="568DB4E4" w14:textId="0496C83E" w:rsidR="00620332" w:rsidRPr="002C1254" w:rsidRDefault="00620332" w:rsidP="002C1254">
      <w:pPr>
        <w:pStyle w:val="ListParagraph"/>
        <w:spacing w:line="360" w:lineRule="auto"/>
        <w:jc w:val="center"/>
        <w:rPr>
          <w:rFonts w:ascii="Times New Roman" w:hAnsi="Times New Roman" w:cs="Times New Roman"/>
          <w:b/>
          <w:bCs/>
        </w:rPr>
      </w:pPr>
      <w:r w:rsidRPr="00000117">
        <w:rPr>
          <w:rFonts w:ascii="Times New Roman" w:hAnsi="Times New Roman" w:cs="Times New Roman"/>
          <w:b/>
          <w:bCs/>
        </w:rPr>
        <w:t>Review of Literature</w:t>
      </w:r>
    </w:p>
    <w:p w14:paraId="585D52BC" w14:textId="3467B85B"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The intersection of mental health and education has become an increasingly significant area of research, particularly in relation to how students manage mental health challenges within academic settings. Various studies have explored the barriers to support, the impact of stigma, and the role of institutional environments in shaping student well-being. This literature review synthesises key findings, highlighting common themes, such as self-management, social influences, and institutional support, in education.</w:t>
      </w:r>
    </w:p>
    <w:p w14:paraId="07D17C2E" w14:textId="4315A39A"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One of the primary themes identified in the literature is the role of self-management in students’ experiences with mental health challenges. K</w:t>
      </w:r>
      <w:r w:rsidR="00F74D8E">
        <w:rPr>
          <w:rFonts w:ascii="Times New Roman" w:hAnsi="Times New Roman" w:cs="Times New Roman"/>
        </w:rPr>
        <w:t>ir</w:t>
      </w:r>
      <w:r w:rsidRPr="00000117">
        <w:rPr>
          <w:rFonts w:ascii="Times New Roman" w:hAnsi="Times New Roman" w:cs="Times New Roman"/>
        </w:rPr>
        <w:t xml:space="preserve">sh et al. (2016) emphasise the complex interplay between self-awareness, coping mechanisms, and academic responsibilities. Many students struggled to recognise the distinction between general </w:t>
      </w:r>
      <w:r w:rsidRPr="00000117">
        <w:rPr>
          <w:rFonts w:ascii="Times New Roman" w:hAnsi="Times New Roman" w:cs="Times New Roman"/>
        </w:rPr>
        <w:lastRenderedPageBreak/>
        <w:t xml:space="preserve">university stress and clinical mental health concerns, often delaying help-seeking behaviours. The study found that coping strategies varied widely, from engaging in positive activities such as exercise and social interactions to negative responses such as substance use. </w:t>
      </w:r>
    </w:p>
    <w:p w14:paraId="6F388735" w14:textId="31639BE5"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Similarly, Rosvall (2019) links school-related stress to both recurrent physical pain and reduced academic performance, highlighting how mental health struggles manifest not only in psychological symptoms but also in chronic pain. This finding reinforces the notion that mental health difficulties are often misinterpreted as general academic stress, leading students to overlook the need for targeted interventions. These findings suggest that promoting proactive mental health literacy and coping strategies within academic settings may help students differentiate between normal stress and more severe concerns that require professional intervention. </w:t>
      </w:r>
    </w:p>
    <w:p w14:paraId="54B82FD2" w14:textId="2643E7C9"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Another critical factor influencing students’ mental health experiences is the role of social support and stigma. Ki</w:t>
      </w:r>
      <w:r w:rsidR="00F74D8E">
        <w:rPr>
          <w:rFonts w:ascii="Times New Roman" w:hAnsi="Times New Roman" w:cs="Times New Roman"/>
        </w:rPr>
        <w:t>r</w:t>
      </w:r>
      <w:r w:rsidRPr="00000117">
        <w:rPr>
          <w:rFonts w:ascii="Times New Roman" w:hAnsi="Times New Roman" w:cs="Times New Roman"/>
        </w:rPr>
        <w:t xml:space="preserve">sh et al. (2016) discuss how social relationships, particularly those with family and peers, can significantly impact students’ ability to manage mental health conditions. </w:t>
      </w:r>
    </w:p>
    <w:p w14:paraId="29DE199D" w14:textId="300AB4C7"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Wynaden et al. (2014) further explore stigma within university environments, noting that both students and academic staff were reluctant to disclose mental health difficulties. Many university staff lacked the necessary training to discuss mental health openly, which created additional barriers to accessing support. This institutional silence exacerbated feelings of isolation among students, reinforcing the need for systemic changes in university culture to foster a more accepting and supportive environment. The role of peer support networks has also gained attention as an effective means of reducing stigma, with student-led initiatives offering safe spaces for discussing mental health concerns. </w:t>
      </w:r>
    </w:p>
    <w:p w14:paraId="5CACC1D9" w14:textId="5C56500E"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The adequacy of institutional support services is another significant theme across the literature. Ki</w:t>
      </w:r>
      <w:r w:rsidR="00F74D8E">
        <w:rPr>
          <w:rFonts w:ascii="Times New Roman" w:hAnsi="Times New Roman" w:cs="Times New Roman"/>
        </w:rPr>
        <w:t>r</w:t>
      </w:r>
      <w:r w:rsidRPr="00000117">
        <w:rPr>
          <w:rFonts w:ascii="Times New Roman" w:hAnsi="Times New Roman" w:cs="Times New Roman"/>
        </w:rPr>
        <w:t xml:space="preserve">sh et al. (2016) found that university-based mental health services were often perceived as inadequate, difficult to access, and primarily focused on medical management rather than holistic support. Many students expressed frustration with the lack of personalised care and the prioritisation of pharmacological treatments over counselling and broader well-being initiatives. </w:t>
      </w:r>
    </w:p>
    <w:p w14:paraId="04A1747A" w14:textId="6A420DD5"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Rosvall (2019) highlights the importance of school staff collaboration in supporting students, suggesting that even small interventions, such as academic support and structured well-being activities, can significantly improve students’ mental health experiences. This aligns with </w:t>
      </w:r>
      <w:r w:rsidRPr="00000117">
        <w:rPr>
          <w:rFonts w:ascii="Times New Roman" w:hAnsi="Times New Roman" w:cs="Times New Roman"/>
        </w:rPr>
        <w:lastRenderedPageBreak/>
        <w:t xml:space="preserve">Wynaden et al. (2014), who advocate for greater training among university staff to enhance awareness and accessibility of mental health resources. Without proper institutional support, students often navigate their mental health challenges in isolation, which can negatively impact both their well-being and academic outcomes. The integration of mental health education within university curricula has been proposed as a potential method to normalise discussions about well-being and ensure that students are equipped with essential knowledge and resources. Stress is a major factor affecting students’ mental health and overall quality of life. Several studies have explored the relationship between mental health, stress and quality of life across both undergraduate and postgraduate students, revealing the significant impact that academic pressures, stress, and coping mechanisms can have on students’ mental health. </w:t>
      </w:r>
    </w:p>
    <w:p w14:paraId="71727721" w14:textId="031981AB"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Riberio et al. (2018) found that the impact of stress on mental health and quality of life is evident across various student populations in particular, students in demanding fields, such as medical and nursing students, experience high levels of stress that negatively affect their mental health and quality of life. Medical students, for example, are reported to experience the lowest quality of life scores, which are linked to symptoms of depression The intense academic pressure, along with emotional exhaustion and sleep difficulties, significantly impacts their mental health. Burnout and sleep issues contribute to a large portion of the decline in their physical and psychological health, further exacerbating their mental health struggles.</w:t>
      </w:r>
    </w:p>
    <w:p w14:paraId="4F512CD1" w14:textId="77777777"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A Study by Wada et al. (2019) highlighted that the stress faced by medical students often leads to a vicious cycle, as the pressure to perform academically can heighten feelings of mental health struggles, which delays help-seeking behaviour. This lack of recognition and understanding of mental health issues within the university setting contributes to the stigma surrounding mental illness and prevents students from seeking the support they need. Moreover, research found that female medical students reported lower mental health scores compared to their male peers, with personal distress being more strongly linked to their psychological quality of life (Ribeiro et al., 2018). </w:t>
      </w:r>
    </w:p>
    <w:p w14:paraId="7831231E" w14:textId="77777777" w:rsidR="00620332" w:rsidRPr="00000117" w:rsidRDefault="00620332" w:rsidP="00620332">
      <w:pPr>
        <w:spacing w:line="360" w:lineRule="auto"/>
        <w:rPr>
          <w:rFonts w:ascii="Times New Roman" w:hAnsi="Times New Roman" w:cs="Times New Roman"/>
        </w:rPr>
      </w:pPr>
    </w:p>
    <w:p w14:paraId="48F6D48B" w14:textId="04903612"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Ribeiro et al. (2018) also found that nursing students faced similar challenges, with nearly one-third reporting moderate to high levels of stress that negatively affect their mental health and overall quality of life. Psychology students, on the other hand, were found to have a more positive quality of life, which was linked to their use of effective coping strategies to manage </w:t>
      </w:r>
      <w:r w:rsidRPr="00000117">
        <w:rPr>
          <w:rFonts w:ascii="Times New Roman" w:hAnsi="Times New Roman" w:cs="Times New Roman"/>
        </w:rPr>
        <w:lastRenderedPageBreak/>
        <w:t xml:space="preserve">stress. This highlights the importance of mental health support and the development of coping mechanisms to mitigate the negative impact of stress on students’ mental well-being. These findings can also suggest that different disciplines experience varying levels of stress, highlighting the need for tailored mental health interventions within academic institutions. </w:t>
      </w:r>
    </w:p>
    <w:p w14:paraId="270178D6" w14:textId="2B7705D1"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Cage et al. (2021) emphasised the importance of providing comprehensive support to students during their transition to university. Their research highlighted four main themes that are crucial to supporting student mental health: equipping students with practical coping skills, fostering stable support networks, creating a supportive and inclusive environment, and extending the transition period beyond graduation. These themes are particularly relevant to addressing mental health challenges, as they focus on empowering students with the tools they need to manage stress and thrive academically and personally. Cage et al. (2021) also highlighted the importance of building strong support systems, both among peers and faculty, which can help mitigate feelings of isolation and provide emotional support during challenging times. Furthermore, creating an inclusive culture within universities helps ensure that all students, regardless of background, feel welcomed and supported in managing their mental health. Universities must recognise the importance of mental health and provide resources to support students in managing stress, enhancing their quality of life, and ensuring that support extends beyond the academic setting, as suggested by Cage et al. (2021). The expansion of mentorship programmes has also been identified as a beneficial approach in helping students navigate the transition to higher education while maintaining mental well-being. </w:t>
      </w:r>
    </w:p>
    <w:p w14:paraId="62BCA0CF" w14:textId="4145DFAE"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Ansari, Oskrochi and Haghhoo (2014) compare mental health experiences among UK and Egyptian students, revealing significant differences in stress levels and health-related behaviours. UK students report higher financial difficulties and greater health awareness but also engage in higher rates of smoking, drug use, and alcohol consumption. Conversely, Egyptian students report stronger religious beliefs and lower substance use but experience more frequent health complaints such as fatigue, headaches, and difficulty concentrating. Perceived stress is strongly correlated with psychological symptoms in both groups, though Egyptian students report higher symptom frequency at all stress levels. Regression analysis suggests that women and younger students are particularly vulnerable to stress-related symptoms, with psychological distress being a key outcome of high-stress environments. This study highlights the need for culturally sensitive mental health support that considers differing stressors and coping mechanisms across the student population.</w:t>
      </w:r>
    </w:p>
    <w:p w14:paraId="27295F19" w14:textId="30A30063"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lastRenderedPageBreak/>
        <w:t xml:space="preserve">Denovan and Macaskill (2017) explored the relationships between stress, psychological strengths, and subjective well-being (SWB) among students over time. Their findings highlighted that stress negatively impacted optimism, academic self-efficacy, and life satisfaction, while optimism and self-efficacy were positively associated with well-being indicators such as positive affect and resilience. The study also demonstrated that stress contributed to negative effects, with optimism acting as a mediator in reducing this impact. Additionally, self-efficacy and academic performance declined over time, while academic alienation increased, suggesting that prolonged exposure to stress may erode students’ confidence and well-being. This underscores the importance of integrating resilience-building interventions within academic institutions to mitigate the adverse effects of stress on student mental health. </w:t>
      </w:r>
    </w:p>
    <w:p w14:paraId="57B5DC13" w14:textId="76C8A0C3" w:rsidR="002C1254" w:rsidRDefault="00620332" w:rsidP="002C1254">
      <w:pPr>
        <w:spacing w:line="360" w:lineRule="auto"/>
        <w:rPr>
          <w:rFonts w:ascii="Times New Roman" w:hAnsi="Times New Roman" w:cs="Times New Roman"/>
        </w:rPr>
      </w:pPr>
      <w:r w:rsidRPr="00000117">
        <w:rPr>
          <w:rFonts w:ascii="Times New Roman" w:hAnsi="Times New Roman" w:cs="Times New Roman"/>
        </w:rPr>
        <w:t xml:space="preserve">Overall, the literature highlights the complex and multifaceted nature of mental health challenges in further and higher education. Key themes, including self-management, social influences, institutional support, stress, transition, and cultural differences, demonstrate the interplay of various factors affecting student well-being. While existing research provides valuable insights, there remains a need for further studies to explore long-term interventions and strategies to create more supportive academic environments. By prioritising mental health initiatives, institutions can better equip students with the resources necessary to thrive both academically and personally. </w:t>
      </w:r>
    </w:p>
    <w:p w14:paraId="7DBAA12C" w14:textId="77777777" w:rsidR="002C1254" w:rsidRPr="002C1254" w:rsidRDefault="002C1254" w:rsidP="002C1254">
      <w:pPr>
        <w:spacing w:line="360" w:lineRule="auto"/>
        <w:rPr>
          <w:rFonts w:ascii="Times New Roman" w:hAnsi="Times New Roman" w:cs="Times New Roman"/>
        </w:rPr>
      </w:pPr>
    </w:p>
    <w:p w14:paraId="477F45EB" w14:textId="577564EA" w:rsidR="00620332" w:rsidRPr="00620332" w:rsidRDefault="00620332" w:rsidP="00620332">
      <w:pPr>
        <w:pStyle w:val="ListParagraph"/>
        <w:spacing w:line="360" w:lineRule="auto"/>
        <w:jc w:val="center"/>
        <w:rPr>
          <w:rFonts w:ascii="Times New Roman" w:hAnsi="Times New Roman" w:cs="Times New Roman"/>
          <w:b/>
          <w:bCs/>
        </w:rPr>
      </w:pPr>
      <w:r w:rsidRPr="00000117">
        <w:rPr>
          <w:rFonts w:ascii="Times New Roman" w:hAnsi="Times New Roman" w:cs="Times New Roman"/>
          <w:b/>
          <w:bCs/>
        </w:rPr>
        <w:t>Methodolog</w:t>
      </w:r>
      <w:r>
        <w:rPr>
          <w:rFonts w:ascii="Times New Roman" w:hAnsi="Times New Roman" w:cs="Times New Roman"/>
          <w:b/>
          <w:bCs/>
        </w:rPr>
        <w:t>y</w:t>
      </w:r>
    </w:p>
    <w:p w14:paraId="78AA298D" w14:textId="77777777" w:rsidR="00620332" w:rsidRPr="00000117" w:rsidRDefault="00620332" w:rsidP="00620332">
      <w:pPr>
        <w:spacing w:line="360" w:lineRule="auto"/>
        <w:textAlignment w:val="baseline"/>
        <w:rPr>
          <w:rFonts w:ascii="Times New Roman" w:eastAsia="Times New Roman" w:hAnsi="Times New Roman" w:cs="Times New Roman"/>
          <w:color w:val="000000"/>
          <w:kern w:val="0"/>
          <w:lang w:eastAsia="en-GB"/>
          <w14:ligatures w14:val="none"/>
        </w:rPr>
      </w:pPr>
      <w:r w:rsidRPr="00CE5C89">
        <w:rPr>
          <w:rFonts w:ascii="Times New Roman" w:eastAsia="Times New Roman" w:hAnsi="Times New Roman" w:cs="Times New Roman"/>
          <w:color w:val="000000"/>
          <w:kern w:val="0"/>
          <w:lang w:eastAsia="en-GB"/>
          <w14:ligatures w14:val="none"/>
        </w:rPr>
        <w:t>Action research (AR) is a practical, recurring approach to research that focuses on improving practices through reflecti</w:t>
      </w:r>
      <w:r w:rsidRPr="00000117">
        <w:rPr>
          <w:rFonts w:ascii="Times New Roman" w:eastAsia="Times New Roman" w:hAnsi="Times New Roman" w:cs="Times New Roman"/>
          <w:color w:val="000000"/>
          <w:kern w:val="0"/>
          <w:lang w:eastAsia="en-GB"/>
          <w14:ligatures w14:val="none"/>
        </w:rPr>
        <w:t>ve</w:t>
      </w:r>
      <w:r w:rsidRPr="00CE5C89">
        <w:rPr>
          <w:rFonts w:ascii="Times New Roman" w:eastAsia="Times New Roman" w:hAnsi="Times New Roman" w:cs="Times New Roman"/>
          <w:color w:val="000000"/>
          <w:kern w:val="0"/>
          <w:lang w:eastAsia="en-GB"/>
          <w14:ligatures w14:val="none"/>
        </w:rPr>
        <w:t xml:space="preserve"> inquiry</w:t>
      </w:r>
      <w:r w:rsidRPr="00000117">
        <w:rPr>
          <w:rFonts w:ascii="Times New Roman" w:eastAsia="Times New Roman" w:hAnsi="Times New Roman" w:cs="Times New Roman"/>
          <w:color w:val="000000"/>
          <w:kern w:val="0"/>
          <w:lang w:eastAsia="en-GB"/>
          <w14:ligatures w14:val="none"/>
        </w:rPr>
        <w:t xml:space="preserve"> </w:t>
      </w:r>
      <w:r w:rsidRPr="00000117">
        <w:rPr>
          <w:rFonts w:ascii="Times New Roman" w:hAnsi="Times New Roman" w:cs="Times New Roman"/>
          <w:color w:val="000000"/>
        </w:rPr>
        <w:t>(Cohen, Manion and Morrison, 2018)</w:t>
      </w:r>
      <w:r w:rsidRPr="00CE5C89">
        <w:rPr>
          <w:rFonts w:ascii="Times New Roman" w:eastAsia="Times New Roman" w:hAnsi="Times New Roman" w:cs="Times New Roman"/>
          <w:color w:val="000000"/>
          <w:kern w:val="0"/>
          <w:lang w:eastAsia="en-GB"/>
          <w14:ligatures w14:val="none"/>
        </w:rPr>
        <w:t>. AR involves a process of multiple spirals, where the researcher continuously gathers data, reflects on the findings, makes changes based on this reflection, and then re-assesses the impact of those changes</w:t>
      </w:r>
      <w:r w:rsidRPr="00000117">
        <w:rPr>
          <w:rFonts w:ascii="Times New Roman" w:eastAsia="Times New Roman" w:hAnsi="Times New Roman" w:cs="Times New Roman"/>
          <w:color w:val="000000"/>
          <w:kern w:val="0"/>
          <w:lang w:eastAsia="en-GB"/>
          <w14:ligatures w14:val="none"/>
        </w:rPr>
        <w:t>.</w:t>
      </w:r>
      <w:r w:rsidRPr="00CE5C89">
        <w:rPr>
          <w:rFonts w:ascii="Times New Roman" w:eastAsia="Times New Roman" w:hAnsi="Times New Roman" w:cs="Times New Roman"/>
          <w:color w:val="000000"/>
          <w:kern w:val="0"/>
          <w:lang w:eastAsia="en-GB"/>
          <w14:ligatures w14:val="none"/>
        </w:rPr>
        <w:t> In AR, the researcher is viewed as both an active participant and a reflective practitioner, with their insights and experiences being integral to the research process (Mc</w:t>
      </w:r>
      <w:r w:rsidRPr="00000117">
        <w:rPr>
          <w:rFonts w:ascii="Times New Roman" w:eastAsia="Times New Roman" w:hAnsi="Times New Roman" w:cs="Times New Roman"/>
          <w:color w:val="000000"/>
          <w:kern w:val="0"/>
          <w:lang w:eastAsia="en-GB"/>
          <w14:ligatures w14:val="none"/>
        </w:rPr>
        <w:t>A</w:t>
      </w:r>
      <w:r w:rsidRPr="00CE5C89">
        <w:rPr>
          <w:rFonts w:ascii="Times New Roman" w:eastAsia="Times New Roman" w:hAnsi="Times New Roman" w:cs="Times New Roman"/>
          <w:color w:val="000000"/>
          <w:kern w:val="0"/>
          <w:lang w:eastAsia="en-GB"/>
          <w14:ligatures w14:val="none"/>
        </w:rPr>
        <w:t xml:space="preserve">teer, 2013). </w:t>
      </w:r>
      <w:r w:rsidRPr="00000117">
        <w:rPr>
          <w:rFonts w:ascii="Times New Roman" w:eastAsia="Times New Roman" w:hAnsi="Times New Roman" w:cs="Times New Roman"/>
          <w:color w:val="000000"/>
          <w:kern w:val="0"/>
          <w:lang w:eastAsia="en-GB"/>
          <w14:ligatures w14:val="none"/>
        </w:rPr>
        <w:t xml:space="preserve">McAteer has a book available through UWTSD’s library on action research in education, which provides further in-depth insights on the subject. </w:t>
      </w:r>
      <w:r w:rsidRPr="00CE5C89">
        <w:rPr>
          <w:rFonts w:ascii="Times New Roman" w:eastAsia="Times New Roman" w:hAnsi="Times New Roman" w:cs="Times New Roman"/>
          <w:color w:val="000000"/>
          <w:kern w:val="0"/>
          <w:lang w:eastAsia="en-GB"/>
          <w14:ligatures w14:val="none"/>
        </w:rPr>
        <w:t>This subjective insider perspective allows for a deep understanding of the context and the issues being explored. AR is also a pragmatic research approach, prioritising practical outcomes and real-world applications over theoretical exploration.</w:t>
      </w:r>
      <w:r w:rsidRPr="00000117">
        <w:rPr>
          <w:rFonts w:ascii="Times New Roman" w:eastAsia="Times New Roman" w:hAnsi="Times New Roman" w:cs="Times New Roman"/>
          <w:color w:val="000000"/>
          <w:kern w:val="0"/>
          <w:lang w:eastAsia="en-GB"/>
          <w14:ligatures w14:val="none"/>
        </w:rPr>
        <w:t xml:space="preserve"> </w:t>
      </w:r>
    </w:p>
    <w:p w14:paraId="3308F69E" w14:textId="77777777" w:rsidR="00620332" w:rsidRPr="00CE5C89" w:rsidRDefault="00620332" w:rsidP="00620332">
      <w:pPr>
        <w:spacing w:line="360" w:lineRule="auto"/>
        <w:textAlignment w:val="baseline"/>
        <w:rPr>
          <w:rFonts w:ascii="Times New Roman" w:eastAsia="Times New Roman" w:hAnsi="Times New Roman" w:cs="Times New Roman"/>
          <w:color w:val="000000"/>
          <w:kern w:val="0"/>
          <w:lang w:eastAsia="en-GB"/>
          <w14:ligatures w14:val="none"/>
        </w:rPr>
      </w:pPr>
    </w:p>
    <w:p w14:paraId="79E9D08E" w14:textId="77777777" w:rsidR="00620332" w:rsidRPr="00000117" w:rsidRDefault="00620332" w:rsidP="00620332">
      <w:pPr>
        <w:spacing w:line="360" w:lineRule="auto"/>
        <w:rPr>
          <w:rFonts w:ascii="Times New Roman" w:hAnsi="Times New Roman" w:cs="Times New Roman"/>
          <w:color w:val="000000"/>
        </w:rPr>
      </w:pPr>
      <w:r w:rsidRPr="00000117">
        <w:rPr>
          <w:rFonts w:ascii="Times New Roman" w:hAnsi="Times New Roman" w:cs="Times New Roman"/>
        </w:rPr>
        <w:fldChar w:fldCharType="begin"/>
      </w:r>
      <w:r w:rsidRPr="00000117">
        <w:rPr>
          <w:rFonts w:ascii="Times New Roman" w:hAnsi="Times New Roman" w:cs="Times New Roman"/>
        </w:rPr>
        <w:instrText xml:space="preserve"> INCLUDEPICTURE "https://www.researchgate.net/figure/profile/Anastasia-Seferiadis/publication/267928281/figure/fig2/AS:614151047090184@1523436428541/Action-research-spiral.png" \* MERGEFORMATINET </w:instrText>
      </w:r>
      <w:r w:rsidRPr="00000117">
        <w:rPr>
          <w:rFonts w:ascii="Times New Roman" w:hAnsi="Times New Roman" w:cs="Times New Roman"/>
        </w:rPr>
        <w:fldChar w:fldCharType="separate"/>
      </w:r>
      <w:r w:rsidRPr="00000117">
        <w:rPr>
          <w:rFonts w:ascii="Times New Roman" w:hAnsi="Times New Roman" w:cs="Times New Roman"/>
          <w:noProof/>
        </w:rPr>
        <w:drawing>
          <wp:inline distT="0" distB="0" distL="0" distR="0" wp14:anchorId="27CB0DAE" wp14:editId="33D88E73">
            <wp:extent cx="3162300" cy="3403600"/>
            <wp:effectExtent l="0" t="0" r="0" b="0"/>
            <wp:docPr id="886913768" name="Picture 3" descr="Diagram of a diagram of a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13768" name="Picture 3" descr="Diagram of a diagram of a pla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162300" cy="3403600"/>
                    </a:xfrm>
                    <a:prstGeom prst="rect">
                      <a:avLst/>
                    </a:prstGeom>
                  </pic:spPr>
                </pic:pic>
              </a:graphicData>
            </a:graphic>
          </wp:inline>
        </w:drawing>
      </w:r>
      <w:r w:rsidRPr="00000117">
        <w:rPr>
          <w:rFonts w:ascii="Times New Roman" w:hAnsi="Times New Roman" w:cs="Times New Roman"/>
        </w:rPr>
        <w:fldChar w:fldCharType="end"/>
      </w:r>
      <w:r w:rsidRPr="00000117">
        <w:rPr>
          <w:rFonts w:ascii="Times New Roman" w:hAnsi="Times New Roman" w:cs="Times New Roman"/>
          <w:color w:val="000000"/>
        </w:rPr>
        <w:t>(Research Gate, 2014)</w:t>
      </w:r>
    </w:p>
    <w:p w14:paraId="19F2CA87" w14:textId="77777777" w:rsidR="00620332" w:rsidRPr="00000117" w:rsidRDefault="00620332" w:rsidP="00620332">
      <w:pPr>
        <w:spacing w:line="360" w:lineRule="auto"/>
        <w:rPr>
          <w:rFonts w:ascii="Times New Roman" w:hAnsi="Times New Roman" w:cs="Times New Roman"/>
          <w:color w:val="000000"/>
        </w:rPr>
      </w:pPr>
    </w:p>
    <w:p w14:paraId="125068F3" w14:textId="77777777"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This research adopts a secondary research approach to investigate the impact of mental health on students in further and higher education and what strategies can be put into place to support them. Secondary research is appropriate for this study as it allows for an analysis of existing literature, academic studies, and policy documents to determine how theoretical frameworks and recommendations have been implemented in real-world educational settings. By synthesizing a range of sources, this approach provides insights into trends, challenges, and best practices without the need for primary data collection. </w:t>
      </w:r>
    </w:p>
    <w:p w14:paraId="31D6E5D4" w14:textId="77777777" w:rsidR="00620332" w:rsidRPr="00000117" w:rsidRDefault="00620332" w:rsidP="00620332">
      <w:pPr>
        <w:spacing w:line="360" w:lineRule="auto"/>
        <w:rPr>
          <w:rFonts w:ascii="Times New Roman" w:hAnsi="Times New Roman" w:cs="Times New Roman"/>
        </w:rPr>
      </w:pPr>
    </w:p>
    <w:p w14:paraId="3D73D84D" w14:textId="66BB3E3D" w:rsidR="00620332" w:rsidRPr="00620332" w:rsidRDefault="00620332" w:rsidP="00620332">
      <w:pPr>
        <w:pStyle w:val="ListParagraph"/>
        <w:spacing w:line="360" w:lineRule="auto"/>
        <w:jc w:val="center"/>
        <w:rPr>
          <w:rFonts w:ascii="Times New Roman" w:hAnsi="Times New Roman" w:cs="Times New Roman"/>
          <w:b/>
          <w:bCs/>
        </w:rPr>
      </w:pPr>
      <w:r w:rsidRPr="00000117">
        <w:rPr>
          <w:rFonts w:ascii="Times New Roman" w:hAnsi="Times New Roman" w:cs="Times New Roman"/>
          <w:b/>
          <w:bCs/>
        </w:rPr>
        <w:t>Research Approach</w:t>
      </w:r>
    </w:p>
    <w:p w14:paraId="7E775FA1" w14:textId="5A996021"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As a researcher with a degree in psychology and counselling, I bring a background that may influence the approach and perspective taken in this action research. My training has provided me with a deep understanding of mental health, which may result in a certain bias towards the importance of psychological support in educational settings. However, this background also allows me to critically assess the integration of mental health strategies in post-16 education, particularly in relation to how digital innovations can enhance student w</w:t>
      </w:r>
      <w:r>
        <w:rPr>
          <w:rFonts w:ascii="Times New Roman" w:hAnsi="Times New Roman" w:cs="Times New Roman"/>
        </w:rPr>
        <w:t>e</w:t>
      </w:r>
      <w:r w:rsidRPr="00000117">
        <w:rPr>
          <w:rFonts w:ascii="Times New Roman" w:hAnsi="Times New Roman" w:cs="Times New Roman"/>
        </w:rPr>
        <w:t xml:space="preserve">ll-being. </w:t>
      </w:r>
    </w:p>
    <w:p w14:paraId="560A2208" w14:textId="5576DA31"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lastRenderedPageBreak/>
        <w:t xml:space="preserve">The study employs a qualitative research design, focusing on thematic analysis of published literature, reports, and case studies relevant to mental health in the post-16 education sector. Qualitative research is suitable for exploring the complexities of students’ well-being and institutional support, as it allows for an in-depth understanding of how mental health policies and interventions have been integrated into practice. </w:t>
      </w:r>
    </w:p>
    <w:p w14:paraId="6CAA3897" w14:textId="4B9D73E6"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The research draws on peer-reviewed journal articles, government reports, institutional policies, and grey literature (such as reports from educational organizations and charities). The selection criteria for sources include:</w:t>
      </w:r>
    </w:p>
    <w:p w14:paraId="03B11F8C" w14:textId="592EDA60" w:rsidR="00620332" w:rsidRPr="00620332"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Relevance to the post-16 education sector, particularly further and higher education</w:t>
      </w:r>
    </w:p>
    <w:p w14:paraId="4268D30B" w14:textId="3F770AE6" w:rsidR="00620332" w:rsidRPr="00620332"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Publication within the last 15 years to ensure contemporary relevance, although seminal studies may also be included where necessary.</w:t>
      </w:r>
    </w:p>
    <w:p w14:paraId="0946299A" w14:textId="5A924735" w:rsidR="00620332" w:rsidRPr="00620332"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 xml:space="preserve">Credibility and academic rigour, prioritising sources from reputable publishers, universities, and government agencies. </w:t>
      </w:r>
    </w:p>
    <w:p w14:paraId="727197DC" w14:textId="573FA529" w:rsidR="00620332" w:rsidRPr="00620332"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 xml:space="preserve">Evidence of practical implementation includes case studies and evaluations of real-world applications of mental health interventions in educational settings. </w:t>
      </w:r>
    </w:p>
    <w:p w14:paraId="2D17319E" w14:textId="06530E38" w:rsidR="00620332"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The electronic database Google Scholar was used to identify relevant studies. Keywords such as “mental health in post-16 </w:t>
      </w:r>
      <w:r w:rsidR="005754B6">
        <w:rPr>
          <w:rFonts w:ascii="Times New Roman" w:hAnsi="Times New Roman" w:cs="Times New Roman"/>
        </w:rPr>
        <w:t>education”,</w:t>
      </w:r>
      <w:r w:rsidRPr="00000117">
        <w:rPr>
          <w:rFonts w:ascii="Times New Roman" w:hAnsi="Times New Roman" w:cs="Times New Roman"/>
        </w:rPr>
        <w:t xml:space="preserve"> “student well-being strategies,” ‘institutional support for mental health,” and “impact of mental health in university” guided the search process. </w:t>
      </w:r>
    </w:p>
    <w:p w14:paraId="158E7916" w14:textId="77777777" w:rsidR="00116EF4" w:rsidRPr="00000117" w:rsidRDefault="00116EF4" w:rsidP="00620332">
      <w:pPr>
        <w:spacing w:line="360" w:lineRule="auto"/>
        <w:rPr>
          <w:rFonts w:ascii="Times New Roman" w:hAnsi="Times New Roman" w:cs="Times New Roman"/>
        </w:rPr>
      </w:pPr>
    </w:p>
    <w:p w14:paraId="79151656" w14:textId="75BEB37C" w:rsidR="00620332" w:rsidRPr="00620332" w:rsidRDefault="00620332" w:rsidP="00620332">
      <w:pPr>
        <w:spacing w:line="360" w:lineRule="auto"/>
        <w:ind w:firstLine="720"/>
        <w:jc w:val="center"/>
        <w:rPr>
          <w:rFonts w:ascii="Times New Roman" w:hAnsi="Times New Roman" w:cs="Times New Roman"/>
          <w:b/>
          <w:bCs/>
        </w:rPr>
      </w:pPr>
      <w:r w:rsidRPr="00000117">
        <w:rPr>
          <w:rFonts w:ascii="Times New Roman" w:hAnsi="Times New Roman" w:cs="Times New Roman"/>
          <w:b/>
          <w:bCs/>
        </w:rPr>
        <w:t>Data Analysis</w:t>
      </w:r>
    </w:p>
    <w:p w14:paraId="5887DE36" w14:textId="2FF895E2"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A thematic analysis approach was employed to identify recurring patterns and key themes within the literature. Studies were examined for:</w:t>
      </w:r>
    </w:p>
    <w:p w14:paraId="6F64A038" w14:textId="77777777" w:rsidR="00620332" w:rsidRPr="00000117"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Theoretical frameworks and models of mental health support.</w:t>
      </w:r>
    </w:p>
    <w:p w14:paraId="0263860C" w14:textId="77777777" w:rsidR="00620332" w:rsidRPr="00000117"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Examples of institutions implementing strategies to support student well-being.</w:t>
      </w:r>
    </w:p>
    <w:p w14:paraId="6CCA207B" w14:textId="75585430" w:rsidR="00620332" w:rsidRDefault="00620332" w:rsidP="00620332">
      <w:pPr>
        <w:pStyle w:val="ListParagraph"/>
        <w:numPr>
          <w:ilvl w:val="0"/>
          <w:numId w:val="3"/>
        </w:numPr>
        <w:spacing w:after="0" w:line="360" w:lineRule="auto"/>
        <w:rPr>
          <w:rFonts w:ascii="Times New Roman" w:hAnsi="Times New Roman" w:cs="Times New Roman"/>
        </w:rPr>
      </w:pPr>
      <w:r w:rsidRPr="00000117">
        <w:rPr>
          <w:rFonts w:ascii="Times New Roman" w:hAnsi="Times New Roman" w:cs="Times New Roman"/>
        </w:rPr>
        <w:t>Evaluations of these interventions, including their effectiveness and limitations.</w:t>
      </w:r>
    </w:p>
    <w:p w14:paraId="760DBB83" w14:textId="77777777" w:rsidR="00620332" w:rsidRPr="00620332" w:rsidRDefault="00620332" w:rsidP="00620332">
      <w:pPr>
        <w:pStyle w:val="ListParagraph"/>
        <w:spacing w:after="0" w:line="360" w:lineRule="auto"/>
        <w:rPr>
          <w:rFonts w:ascii="Times New Roman" w:hAnsi="Times New Roman" w:cs="Times New Roman"/>
        </w:rPr>
      </w:pPr>
    </w:p>
    <w:p w14:paraId="347FFB64" w14:textId="26B32620" w:rsidR="00620332" w:rsidRDefault="00620332" w:rsidP="00620332">
      <w:pPr>
        <w:spacing w:line="360" w:lineRule="auto"/>
        <w:rPr>
          <w:rFonts w:ascii="Times New Roman" w:hAnsi="Times New Roman" w:cs="Times New Roman"/>
        </w:rPr>
      </w:pPr>
      <w:r w:rsidRPr="00000117">
        <w:rPr>
          <w:rFonts w:ascii="Times New Roman" w:hAnsi="Times New Roman" w:cs="Times New Roman"/>
        </w:rPr>
        <w:t>Comparative analysis was also conducted, assessing differences between various educational institutions, counties, and policy frameworks to determine similarities and challenges in addressing student mental health.</w:t>
      </w:r>
    </w:p>
    <w:p w14:paraId="32119BBE" w14:textId="77777777" w:rsidR="00116EF4" w:rsidRPr="00000117" w:rsidRDefault="00116EF4" w:rsidP="00620332">
      <w:pPr>
        <w:spacing w:line="360" w:lineRule="auto"/>
        <w:rPr>
          <w:rFonts w:ascii="Times New Roman" w:hAnsi="Times New Roman" w:cs="Times New Roman"/>
        </w:rPr>
      </w:pPr>
    </w:p>
    <w:p w14:paraId="0A822E2A" w14:textId="07DF9391" w:rsidR="00620332" w:rsidRPr="00620332" w:rsidRDefault="00620332" w:rsidP="00620332">
      <w:pPr>
        <w:spacing w:line="360" w:lineRule="auto"/>
        <w:ind w:firstLine="720"/>
        <w:jc w:val="center"/>
        <w:rPr>
          <w:rFonts w:ascii="Times New Roman" w:hAnsi="Times New Roman" w:cs="Times New Roman"/>
          <w:b/>
          <w:bCs/>
        </w:rPr>
      </w:pPr>
      <w:r w:rsidRPr="00000117">
        <w:rPr>
          <w:rFonts w:ascii="Times New Roman" w:hAnsi="Times New Roman" w:cs="Times New Roman"/>
          <w:b/>
          <w:bCs/>
        </w:rPr>
        <w:lastRenderedPageBreak/>
        <w:t>Ethical Considerations</w:t>
      </w:r>
    </w:p>
    <w:p w14:paraId="74171DA0" w14:textId="79AC6C14"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As this study is based on secondary research, no direct engagement with human participants was required, removing the need for ethical approval. However, ethical considerations were maintained by ensuring that all sources were appropriately cited, and that data was interpreted accurately without misrepresentation.</w:t>
      </w:r>
    </w:p>
    <w:p w14:paraId="4D10AC40" w14:textId="4CE5CB40" w:rsidR="00620332"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By utilising structured and rigorous secondary research methodology, this study aims to contribute to the understanding of mental health strategies in post-16 education and their real-world applications. </w:t>
      </w:r>
    </w:p>
    <w:p w14:paraId="0DD56186" w14:textId="77777777" w:rsidR="00116EF4" w:rsidRPr="00000117" w:rsidRDefault="00116EF4" w:rsidP="00620332">
      <w:pPr>
        <w:spacing w:line="360" w:lineRule="auto"/>
        <w:rPr>
          <w:rFonts w:ascii="Times New Roman" w:hAnsi="Times New Roman" w:cs="Times New Roman"/>
        </w:rPr>
      </w:pPr>
    </w:p>
    <w:p w14:paraId="6B21C7C2" w14:textId="2CDBFA14" w:rsidR="00620332" w:rsidRPr="00620332" w:rsidRDefault="00620332" w:rsidP="00620332">
      <w:pPr>
        <w:pStyle w:val="ListParagraph"/>
        <w:spacing w:line="360" w:lineRule="auto"/>
        <w:jc w:val="center"/>
        <w:rPr>
          <w:rFonts w:ascii="Times New Roman" w:hAnsi="Times New Roman" w:cs="Times New Roman"/>
          <w:b/>
          <w:bCs/>
        </w:rPr>
      </w:pPr>
      <w:r w:rsidRPr="00000117">
        <w:rPr>
          <w:rFonts w:ascii="Times New Roman" w:hAnsi="Times New Roman" w:cs="Times New Roman"/>
          <w:b/>
          <w:bCs/>
        </w:rPr>
        <w:t>Results / Discussion</w:t>
      </w:r>
    </w:p>
    <w:p w14:paraId="3DFED438" w14:textId="4C81D915"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A key theme for intervention in supporting mental health among post-16 students is the use of digital tools. Bendtsen et al. (2020) conducted a randomised controlled trial on a mobile health (mHealth) intervention for Swedish university students, finding that the program significantly improved mental well-being and reduced symptoms of anxiety and depression. This highlights the potential of digital tools in addressing student mental health challenges. </w:t>
      </w:r>
    </w:p>
    <w:p w14:paraId="2CC481B2" w14:textId="09B0538C"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Similarly, Madrid-Cagigal et al. (2025) conducted a systematic review and meta-analysis evaluating the effectiveness of digital mental health interventions for university students with ongoing mental health difficulties. Their findings indicated that digital interventions have a moderate positive impact on reducing symptoms of depression and anxiety, with fully automated interventions showing greater effectiveness for anxiety compared to guided interventions. This suggests that scalable, self-directed digital support could be particularly beneficial for students experiencing anxiety-related challenges. </w:t>
      </w:r>
    </w:p>
    <w:p w14:paraId="38B7888C" w14:textId="2C71CF73"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Thematic analysis of the literature supports the growing use of digital interventions, such as mobile apps and online counselling, as cost-effective and scalable approaches. The findings from Bendtsen et al. (2020) and Madrid-Cagigal et al. (2025) suggest that mHealth interventions can be an effective complement to traditional mental health support, particularly when integrated into wider institutional well-being strategies. However, engagement and retention remain challenges, as noted in both studies’ findings. Institutions implementing similar strategies should consider ways to encourage sustained participation. </w:t>
      </w:r>
    </w:p>
    <w:p w14:paraId="7999C5A6" w14:textId="253039EF"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lastRenderedPageBreak/>
        <w:t xml:space="preserve">Furthermore, the use of positive psychology in digital interventions aligns with existing research on proactive mental health support. Strategies focusing on resilience and coping mechanisms, such as mindfulness training and strength-based approaches, have been linked to improved student outcomes. The study reinforces the need for institutions to move beyond crisis intervention and adopt preventative mental health measures. </w:t>
      </w:r>
    </w:p>
    <w:p w14:paraId="0ECE8254" w14:textId="1B06DF17"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Jackson et al. (2024) explored student perspectives on digital mental health interventions, specifically a low-intensity video-based programme. Their study highlights the importance of incorporating student feedback into the design and implementation process to improve engagement and uptake. Findings revealed that students generally viewed the intervention positively and suggested various dissemination methods, including university counselling services, official platforms (e.g., student support services), </w:t>
      </w:r>
      <w:r w:rsidR="005754B6">
        <w:rPr>
          <w:rFonts w:ascii="Times New Roman" w:hAnsi="Times New Roman" w:cs="Times New Roman"/>
        </w:rPr>
        <w:t>and</w:t>
      </w:r>
      <w:r w:rsidRPr="00000117">
        <w:rPr>
          <w:rFonts w:ascii="Times New Roman" w:hAnsi="Times New Roman" w:cs="Times New Roman"/>
        </w:rPr>
        <w:t xml:space="preserve"> informal networks such as word-of-mouth. However, barriers to engagement were identified, including difficulty integrating the programme into daily life, pre-existing beliefs about mental health, and technology-related challenges. These factors indicate that while digital interventions hold promise, their success relies on accessibility and ease of integration into student routines. Jackson et al. (2024) also emphasised the need for future research to assess the effectiveness of different dissemination strategies and to explore how digital interventions can be tailored to different student demographics. These insights reinforce the growing body of evidence supporting digital mental health solutions while highlighting the complexities of their implementation in university settings. </w:t>
      </w:r>
    </w:p>
    <w:p w14:paraId="4687ADC4" w14:textId="7CD4087A"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Lattie et al. (2019) conducted a systematic review to assess the effectiveness, usability and adoption of digital mental health interventions among college students. The study identified 89 eligible interventions, with the majority delivered via web-based platforms and a significant proportion incorporating internet-based cognitive behavioural therapy (iCBT). While nearly half of the interventions demonstrated effectiveness in reducing symptoms of depression and anxiety, many studies showed only </w:t>
      </w:r>
      <w:r w:rsidR="005754B6">
        <w:rPr>
          <w:rFonts w:ascii="Times New Roman" w:hAnsi="Times New Roman" w:cs="Times New Roman"/>
        </w:rPr>
        <w:t>partial effectiveness</w:t>
      </w:r>
      <w:r w:rsidRPr="00000117">
        <w:rPr>
          <w:rFonts w:ascii="Times New Roman" w:hAnsi="Times New Roman" w:cs="Times New Roman"/>
        </w:rPr>
        <w:t xml:space="preserve">, indicating that key components of these </w:t>
      </w:r>
      <w:r w:rsidR="005754B6">
        <w:rPr>
          <w:rFonts w:ascii="Times New Roman" w:hAnsi="Times New Roman" w:cs="Times New Roman"/>
        </w:rPr>
        <w:t>programmes</w:t>
      </w:r>
      <w:r w:rsidRPr="00000117">
        <w:rPr>
          <w:rFonts w:ascii="Times New Roman" w:hAnsi="Times New Roman" w:cs="Times New Roman"/>
        </w:rPr>
        <w:t xml:space="preserve"> still need refinement. </w:t>
      </w:r>
    </w:p>
    <w:p w14:paraId="5DBBCEEA" w14:textId="037C8CE3"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A notable finding was that over a third (37%) of </w:t>
      </w:r>
      <w:r w:rsidR="005754B6">
        <w:rPr>
          <w:rFonts w:ascii="Times New Roman" w:hAnsi="Times New Roman" w:cs="Times New Roman"/>
        </w:rPr>
        <w:t>programmes</w:t>
      </w:r>
      <w:r w:rsidRPr="00000117">
        <w:rPr>
          <w:rFonts w:ascii="Times New Roman" w:hAnsi="Times New Roman" w:cs="Times New Roman"/>
        </w:rPr>
        <w:t xml:space="preserve"> included human support, such as coaching, which may have influenced engagement and outcomes. However, few studies systematically compared the effects of human-supported interventions versus fully automated ones, leaving a gap in understanding the necessity of human involvement in digital innovations. Despite the promising outcomes, a major limitation of existing research is the </w:t>
      </w:r>
      <w:r w:rsidRPr="00000117">
        <w:rPr>
          <w:rFonts w:ascii="Times New Roman" w:hAnsi="Times New Roman" w:cs="Times New Roman"/>
        </w:rPr>
        <w:lastRenderedPageBreak/>
        <w:t xml:space="preserve">lack of focus on usability and acceptability measures, as over half of the studies did not assess user engagement or satisfaction. </w:t>
      </w:r>
    </w:p>
    <w:p w14:paraId="0C3A9B38" w14:textId="00C93342"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Furthermore, only a small number (4%) of studies explored the large-scale implementation of digital interventions on college campuses, suggesting that while these </w:t>
      </w:r>
      <w:r w:rsidR="005754B6">
        <w:rPr>
          <w:rFonts w:ascii="Times New Roman" w:hAnsi="Times New Roman" w:cs="Times New Roman"/>
        </w:rPr>
        <w:t>programmes</w:t>
      </w:r>
      <w:r w:rsidRPr="00000117">
        <w:rPr>
          <w:rFonts w:ascii="Times New Roman" w:hAnsi="Times New Roman" w:cs="Times New Roman"/>
        </w:rPr>
        <w:t xml:space="preserve"> show potential, significant barriers to widespread adoption remain. Quality assessments also revealed a moderate-to-severe risk of bias in many studies, further highlighting the need for more rigorous, high-quality research. </w:t>
      </w:r>
    </w:p>
    <w:p w14:paraId="188CA2A0" w14:textId="4B7BFD9E"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Further research should focus on optimising user engagement, addressing barriers to long-term adoption, and exploring hybrid models that integrate digital tools with existing campus mental health services. Additionally, more studies are needed to assess the long-term sustainability and real-world effectiveness of these interventions beyond controlled research settings. </w:t>
      </w:r>
    </w:p>
    <w:p w14:paraId="62ADFF28" w14:textId="6EBD6166"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Through my research into digital mental health interventions, I identified a gap in accessible, preventative mental health support for post-16 students. Many existing university-based mental health services rely on in-person counselling or referral systems. Which can be difficult to access due to long waiting lists, stigma, or students not recognising when they need help. To address this, I propose the development of a university-integrated mental health app, embedded within student dashboards such as UWTSD’s Hwb. This app aims to support students in managing their mental well-being independently while providing pathways to professional support when necessary. </w:t>
      </w:r>
    </w:p>
    <w:p w14:paraId="70AF7CFB" w14:textId="724E7F70" w:rsidR="00620332"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The app will function as a self-guided mental health tool, incorporating three core features: mental health education and coping strategies, self-assessment with professional guidance, and a mental health tracking system with an optional disclosure feature. </w:t>
      </w:r>
    </w:p>
    <w:p w14:paraId="16F43564" w14:textId="71FCD54E" w:rsidR="005908B1" w:rsidRPr="00000117" w:rsidRDefault="005908B1" w:rsidP="00620332">
      <w:pPr>
        <w:spacing w:line="360" w:lineRule="auto"/>
        <w:rPr>
          <w:rFonts w:ascii="Times New Roman" w:hAnsi="Times New Roman" w:cs="Times New Roman"/>
        </w:rPr>
      </w:pPr>
      <w:r>
        <w:rPr>
          <w:rFonts w:ascii="Times New Roman" w:hAnsi="Times New Roman" w:cs="Times New Roman"/>
        </w:rPr>
        <w:t>Digital innovation in institutional mental health strategies can be understood through several key psychological and educational theories. Cognitive Behavioural Therapy (CBT) underpins many digital intervention</w:t>
      </w:r>
      <w:r w:rsidR="00017C25">
        <w:rPr>
          <w:rFonts w:ascii="Times New Roman" w:hAnsi="Times New Roman" w:cs="Times New Roman"/>
        </w:rPr>
        <w:t>s</w:t>
      </w:r>
      <w:r>
        <w:rPr>
          <w:rFonts w:ascii="Times New Roman" w:hAnsi="Times New Roman" w:cs="Times New Roman"/>
        </w:rPr>
        <w:t>, such as</w:t>
      </w:r>
      <w:r w:rsidR="00017C25">
        <w:rPr>
          <w:rFonts w:ascii="Times New Roman" w:hAnsi="Times New Roman" w:cs="Times New Roman"/>
        </w:rPr>
        <w:t xml:space="preserve"> mental health apps and online therapy, by helping students develop coping strategies for anxiety and depression </w:t>
      </w:r>
      <w:r w:rsidR="00017C25">
        <w:rPr>
          <w:color w:val="000000"/>
        </w:rPr>
        <w:t>(NICE, 2024)</w:t>
      </w:r>
      <w:r w:rsidR="00017C25">
        <w:rPr>
          <w:color w:val="000000"/>
        </w:rPr>
        <w:t xml:space="preserve">. Goleman’s Emotional Intelligence Theory (1995) highlights the importance of self-awareness and emotional regulation in digital well-being tools </w:t>
      </w:r>
      <w:r w:rsidR="00017C25">
        <w:rPr>
          <w:color w:val="000000"/>
        </w:rPr>
        <w:t>(Audrin and Audrin, 2023)</w:t>
      </w:r>
      <w:r w:rsidR="00017C25">
        <w:rPr>
          <w:color w:val="000000"/>
        </w:rPr>
        <w:t>. Maslow’s Hierarchy of Needs (1943) reinforces the necessity of psychological safety</w:t>
      </w:r>
      <w:r w:rsidR="002D3A9E">
        <w:rPr>
          <w:color w:val="000000"/>
        </w:rPr>
        <w:t xml:space="preserve"> and belonging, which digital platforms can enhance through virtual peer support and counselling </w:t>
      </w:r>
      <w:r w:rsidR="002D3A9E">
        <w:rPr>
          <w:color w:val="000000"/>
        </w:rPr>
        <w:t>(Jain, 2022)</w:t>
      </w:r>
      <w:r w:rsidR="002D3A9E">
        <w:rPr>
          <w:color w:val="000000"/>
        </w:rPr>
        <w:t xml:space="preserve">. </w:t>
      </w:r>
      <w:r w:rsidR="002D3A9E">
        <w:rPr>
          <w:color w:val="000000"/>
        </w:rPr>
        <w:lastRenderedPageBreak/>
        <w:t xml:space="preserve">Self-Determination Theory (1985) explains how autonomy, competence, and relatedness influence mental health, particularly in self-guided digital interventions </w:t>
      </w:r>
      <w:r w:rsidR="002D3A9E">
        <w:rPr>
          <w:color w:val="000000"/>
        </w:rPr>
        <w:t>(Alberts, Ulrik Lyngs and Lukoff, 2024)</w:t>
      </w:r>
      <w:r w:rsidR="002D3A9E">
        <w:rPr>
          <w:color w:val="000000"/>
        </w:rPr>
        <w:t>. Finally, Social Support Theory (1981) emphasises the impact of peer and institutional support, which digital platforms can strengthen through accessible and immediate mental health resources</w:t>
      </w:r>
      <w:r w:rsidR="00116EF4">
        <w:rPr>
          <w:color w:val="000000"/>
        </w:rPr>
        <w:t xml:space="preserve"> </w:t>
      </w:r>
      <w:r w:rsidR="00116EF4">
        <w:rPr>
          <w:color w:val="000000"/>
        </w:rPr>
        <w:t>(Mutter et al., 2024)</w:t>
      </w:r>
      <w:r w:rsidR="00116EF4">
        <w:rPr>
          <w:color w:val="000000"/>
        </w:rPr>
        <w:t>.</w:t>
      </w:r>
    </w:p>
    <w:p w14:paraId="7EE1C84E" w14:textId="36CE53E5"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One of the key aims of the app is to equip students with practical strategies to manage stress and mental well-being. To achieve this, the app will provide interactive modules on healthy coping mechanisms, including mindfulness techniques, breathing exercises, grounding techniques and sleep hygiene practices. These modules will be designed to help students develop resilience and manage stress more effectively. Additionally, the app will introduce students to planning techniques offering structured approaches to time management, goal setting, and workload organisation. By incorporating guided reflections, students will be encouraged to monitor their well-being in relation to their academic responsibilities. </w:t>
      </w:r>
    </w:p>
    <w:p w14:paraId="5CEB03A8" w14:textId="24753FE6"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To further support students, the app will feature short, evidence-based video tutorials that explain common mental health challenges such as exam stress, imposter syndrome, burnout, and perfectionism. These videos will present psychological concepts in an accessible format, providing students with clear, actionable strategies to address these issues. In moments of acute distress, students will also have access to a ‘Crisis Toolkit,’ which will contain immediate self-soothing exercises and emergency contact information for university and external mental health services. By integrating educational resources with practical tools, the app will empower students to take control of their mental well-being in a proactive and structured way.</w:t>
      </w:r>
    </w:p>
    <w:p w14:paraId="3EF82AFC" w14:textId="77777777" w:rsidR="00620332" w:rsidRPr="00000117" w:rsidRDefault="00620332" w:rsidP="00620332">
      <w:pPr>
        <w:spacing w:line="360" w:lineRule="auto"/>
        <w:rPr>
          <w:rFonts w:ascii="Times New Roman" w:hAnsi="Times New Roman" w:cs="Times New Roman"/>
          <w:color w:val="000000"/>
        </w:rPr>
      </w:pPr>
      <w:r w:rsidRPr="00000117">
        <w:rPr>
          <w:rFonts w:ascii="Times New Roman" w:hAnsi="Times New Roman" w:cs="Times New Roman"/>
        </w:rPr>
        <w:t xml:space="preserve">While the app aims to support students’ mental health through accessible, self-guided tools, several barriers to effective use must be addressed. First, technology access and literacy may limit usability, ensuring the app is compatible across various devices and easy to navigate is crucial. Clear instructions and tech support options will be included to support users with varying levels of digital literacy </w:t>
      </w:r>
      <w:r w:rsidRPr="00000117">
        <w:rPr>
          <w:rFonts w:ascii="Times New Roman" w:hAnsi="Times New Roman" w:cs="Times New Roman"/>
          <w:color w:val="000000"/>
        </w:rPr>
        <w:t xml:space="preserve">(Jones, 2024). Privacy and data security are also key considerations. The app will prioritise robust security measures, and students will have the option to remain anonymous or disclose information only to university services if desired. Clear information on data handling and privacy will be provided to ensure transparency (GDPR Advisor, 2025). To encourage engagement and retention, the app will incorporate </w:t>
      </w:r>
      <w:r w:rsidRPr="00000117">
        <w:rPr>
          <w:rFonts w:ascii="Times New Roman" w:hAnsi="Times New Roman" w:cs="Times New Roman"/>
          <w:color w:val="000000"/>
        </w:rPr>
        <w:lastRenderedPageBreak/>
        <w:t>reminders, progress tracking, and motivational elements like badges or goal achievements. This will help keep students engaged long-term, as engagement was identified as a significant challenge in other digital mental health interventions (Boucher and Raiker, 2024). Stigma and perception around mental health may hinder uptake. To address this, the app will provide low-pressure, anonymous access to recourses, with options for students to gradually opt into more in-depth support if necessary. Testimonials and peer recommendations with help normalise the use of the app (Health, 2025). Given the diversity of student populations, the app will also ensure cultural sensitivity and inclusion, offering resources and strategies relevant to students from various backgrounds and experiences (Lyons et al., 2025). Lastly, the app will complement existing support services rather than replace them. Clear pathways will be provided for students to transition from digital support to professional care when needed, ensuring that the app aligns with wider institutional mental health strategies (Abelson et al., 2024).</w:t>
      </w:r>
    </w:p>
    <w:p w14:paraId="5195CF0D" w14:textId="77777777" w:rsidR="00620332" w:rsidRPr="00000117" w:rsidRDefault="00620332" w:rsidP="00620332">
      <w:pPr>
        <w:spacing w:line="360" w:lineRule="auto"/>
        <w:rPr>
          <w:rFonts w:ascii="Times New Roman" w:hAnsi="Times New Roman" w:cs="Times New Roman"/>
        </w:rPr>
      </w:pPr>
    </w:p>
    <w:p w14:paraId="7B3506D4" w14:textId="77777777"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A Visual example of the app:</w:t>
      </w:r>
    </w:p>
    <w:p w14:paraId="497BFCF4" w14:textId="41212DE0" w:rsidR="00620332" w:rsidRDefault="00620332" w:rsidP="00620332">
      <w:pPr>
        <w:spacing w:line="360" w:lineRule="auto"/>
        <w:rPr>
          <w:rFonts w:ascii="Times New Roman" w:hAnsi="Times New Roman" w:cs="Times New Roman"/>
        </w:rPr>
      </w:pPr>
      <w:r w:rsidRPr="00000117">
        <w:rPr>
          <w:rFonts w:ascii="Times New Roman" w:hAnsi="Times New Roman" w:cs="Times New Roman"/>
          <w:noProof/>
        </w:rPr>
        <w:drawing>
          <wp:inline distT="0" distB="0" distL="0" distR="0" wp14:anchorId="15DD9B23" wp14:editId="71953A85">
            <wp:extent cx="5810132" cy="2182138"/>
            <wp:effectExtent l="0" t="0" r="0" b="0"/>
            <wp:docPr id="1371369302" name="Picture 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69302" name="Picture 5" descr="A screenshot of a cell phone&#10;&#10;AI-generated content may be incorrect."/>
                    <pic:cNvPicPr/>
                  </pic:nvPicPr>
                  <pic:blipFill rotWithShape="1">
                    <a:blip r:embed="rId7" cstate="print">
                      <a:extLst>
                        <a:ext uri="{28A0092B-C50C-407E-A947-70E740481C1C}">
                          <a14:useLocalDpi xmlns:a14="http://schemas.microsoft.com/office/drawing/2010/main" val="0"/>
                        </a:ext>
                      </a:extLst>
                    </a:blip>
                    <a:srcRect l="4867" t="19132" r="4869" b="19515"/>
                    <a:stretch/>
                  </pic:blipFill>
                  <pic:spPr bwMode="auto">
                    <a:xfrm>
                      <a:off x="0" y="0"/>
                      <a:ext cx="5889860" cy="2212082"/>
                    </a:xfrm>
                    <a:prstGeom prst="rect">
                      <a:avLst/>
                    </a:prstGeom>
                    <a:ln>
                      <a:noFill/>
                    </a:ln>
                    <a:extLst>
                      <a:ext uri="{53640926-AAD7-44D8-BBD7-CCE9431645EC}">
                        <a14:shadowObscured xmlns:a14="http://schemas.microsoft.com/office/drawing/2010/main"/>
                      </a:ext>
                    </a:extLst>
                  </pic:spPr>
                </pic:pic>
              </a:graphicData>
            </a:graphic>
          </wp:inline>
        </w:drawing>
      </w:r>
    </w:p>
    <w:p w14:paraId="130244B1" w14:textId="77777777" w:rsidR="00620332" w:rsidRPr="00000117" w:rsidRDefault="00620332" w:rsidP="00620332">
      <w:pPr>
        <w:spacing w:line="360" w:lineRule="auto"/>
        <w:rPr>
          <w:rFonts w:ascii="Times New Roman" w:hAnsi="Times New Roman" w:cs="Times New Roman"/>
        </w:rPr>
      </w:pPr>
    </w:p>
    <w:p w14:paraId="0F05F773" w14:textId="4E67167E" w:rsidR="00620332" w:rsidRDefault="00620332" w:rsidP="00116EF4">
      <w:pPr>
        <w:spacing w:line="360" w:lineRule="auto"/>
        <w:jc w:val="center"/>
        <w:rPr>
          <w:rFonts w:ascii="Times New Roman" w:hAnsi="Times New Roman" w:cs="Times New Roman"/>
          <w:b/>
          <w:bCs/>
        </w:rPr>
      </w:pPr>
      <w:r w:rsidRPr="00000117">
        <w:rPr>
          <w:rFonts w:ascii="Times New Roman" w:hAnsi="Times New Roman" w:cs="Times New Roman"/>
          <w:b/>
          <w:bCs/>
        </w:rPr>
        <w:t>Case Study: Ella’s Experience with the Mental Health App</w:t>
      </w:r>
    </w:p>
    <w:p w14:paraId="18363CAE" w14:textId="77777777" w:rsidR="00116EF4" w:rsidRPr="00116EF4" w:rsidRDefault="00116EF4" w:rsidP="00116EF4">
      <w:pPr>
        <w:spacing w:line="360" w:lineRule="auto"/>
        <w:jc w:val="center"/>
        <w:rPr>
          <w:rFonts w:ascii="Times New Roman" w:hAnsi="Times New Roman" w:cs="Times New Roman"/>
          <w:b/>
          <w:bCs/>
        </w:rPr>
      </w:pPr>
    </w:p>
    <w:p w14:paraId="617D5CAA" w14:textId="7C06C20D" w:rsidR="00620332" w:rsidRPr="00116EF4" w:rsidRDefault="00620332" w:rsidP="00620332">
      <w:pPr>
        <w:spacing w:line="360" w:lineRule="auto"/>
        <w:rPr>
          <w:rFonts w:ascii="Times New Roman" w:hAnsi="Times New Roman" w:cs="Times New Roman"/>
          <w:b/>
          <w:bCs/>
        </w:rPr>
      </w:pPr>
      <w:r w:rsidRPr="00116EF4">
        <w:rPr>
          <w:rFonts w:ascii="Times New Roman" w:hAnsi="Times New Roman" w:cs="Times New Roman"/>
          <w:b/>
          <w:bCs/>
        </w:rPr>
        <w:t>Background:</w:t>
      </w:r>
    </w:p>
    <w:p w14:paraId="6744C506" w14:textId="2DDE90D5"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Ella is a 19-year-old first-year university student studying Health and Social Care. Having moved away from home for the first time, she is struggling to balance coursework, part-time work, and maintaining a social life. Over the past few months, she has felt increasingly </w:t>
      </w:r>
      <w:r w:rsidRPr="00000117">
        <w:rPr>
          <w:rFonts w:ascii="Times New Roman" w:hAnsi="Times New Roman" w:cs="Times New Roman"/>
        </w:rPr>
        <w:lastRenderedPageBreak/>
        <w:t xml:space="preserve">anxious and overwhelmed, often leading to last-minute stress and self-criticism. Despite recognising that she is struggling, Ella does not feel comfortable reaching out to student counselling services, as she worries that her difficulties are not serious enough to justify seeking professional help. </w:t>
      </w:r>
    </w:p>
    <w:p w14:paraId="53124F6A" w14:textId="2A4F62D0" w:rsidR="00620332" w:rsidRPr="00116EF4" w:rsidRDefault="00620332" w:rsidP="00620332">
      <w:pPr>
        <w:spacing w:line="360" w:lineRule="auto"/>
        <w:rPr>
          <w:rFonts w:ascii="Times New Roman" w:hAnsi="Times New Roman" w:cs="Times New Roman"/>
          <w:b/>
          <w:bCs/>
        </w:rPr>
      </w:pPr>
      <w:r w:rsidRPr="00116EF4">
        <w:rPr>
          <w:rFonts w:ascii="Times New Roman" w:hAnsi="Times New Roman" w:cs="Times New Roman"/>
          <w:b/>
          <w:bCs/>
        </w:rPr>
        <w:t>How Ella Uses The App:</w:t>
      </w:r>
    </w:p>
    <w:p w14:paraId="667EC281" w14:textId="0E15A770"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After hearing about the new mental health app through her university dashboard, Ella decides to complete the self-assessment questionnaire. Her results indicate moderate levels of anxiety and stress, with the app explaining that while occasional stress is normal, persistent anxiety may require further support. Based on these results, the app recommends that she explore coping strategies tailored to her needs. She accesses a guided video on time management, which introduces her to the Pomodoro technique </w:t>
      </w:r>
      <w:r w:rsidRPr="00000117">
        <w:rPr>
          <w:rFonts w:ascii="Times New Roman" w:hAnsi="Times New Roman" w:cs="Times New Roman"/>
          <w:color w:val="000000"/>
        </w:rPr>
        <w:t>(Almalki et al., 2020)</w:t>
      </w:r>
      <w:r w:rsidRPr="00000117">
        <w:rPr>
          <w:rFonts w:ascii="Times New Roman" w:hAnsi="Times New Roman" w:cs="Times New Roman"/>
        </w:rPr>
        <w:t xml:space="preserve"> – a study method that involves breaking work into focused, manageable chunks. Alongside this, she begins practising short mindfulness exercises suggested by the app to help manage her stress levels.</w:t>
      </w:r>
    </w:p>
    <w:p w14:paraId="0AAED00C" w14:textId="0B8FFCB6" w:rsidR="00620332" w:rsidRPr="00000117"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However, as assignment deadlines approach, Ella notices that her stress levels are beginning to increase again. She revisits the self-assessment tool and finds that her anxiety symptoms have worsened. After exploring the ‘Help-Seeking Guide’ within the app, she reads about how to access university well-being services and decides to opt into the disclosure feature. By choosing to share her mental health data with her course lead, she ensures that her academic staff are aware of her struggles. Shortly after, she receives an email from her course lead, offering academic support and directing her to extended deadlines and well-being recourses. Feeling reassured by this support, she books a meeting with the university well-being service to explore further strategies for managing stress. </w:t>
      </w:r>
    </w:p>
    <w:p w14:paraId="37A98719" w14:textId="5CEC38DB" w:rsidR="00620332" w:rsidRPr="00116EF4" w:rsidRDefault="00620332" w:rsidP="00620332">
      <w:pPr>
        <w:spacing w:line="360" w:lineRule="auto"/>
        <w:rPr>
          <w:rFonts w:ascii="Times New Roman" w:hAnsi="Times New Roman" w:cs="Times New Roman"/>
          <w:b/>
          <w:bCs/>
        </w:rPr>
      </w:pPr>
      <w:r w:rsidRPr="00116EF4">
        <w:rPr>
          <w:rFonts w:ascii="Times New Roman" w:hAnsi="Times New Roman" w:cs="Times New Roman"/>
          <w:b/>
          <w:bCs/>
        </w:rPr>
        <w:t>O</w:t>
      </w:r>
      <w:r w:rsidRPr="00116EF4">
        <w:rPr>
          <w:rFonts w:ascii="Times New Roman" w:hAnsi="Times New Roman" w:cs="Times New Roman"/>
          <w:b/>
          <w:bCs/>
        </w:rPr>
        <w:t xml:space="preserve">utcome: </w:t>
      </w:r>
    </w:p>
    <w:p w14:paraId="7BAD307E" w14:textId="69611815" w:rsidR="00620332" w:rsidRDefault="00620332" w:rsidP="00620332">
      <w:pPr>
        <w:spacing w:line="360" w:lineRule="auto"/>
        <w:rPr>
          <w:rFonts w:ascii="Times New Roman" w:hAnsi="Times New Roman" w:cs="Times New Roman"/>
        </w:rPr>
      </w:pPr>
      <w:r w:rsidRPr="00000117">
        <w:rPr>
          <w:rFonts w:ascii="Times New Roman" w:hAnsi="Times New Roman" w:cs="Times New Roman"/>
        </w:rPr>
        <w:t xml:space="preserve">By using the app, Ella was able to recognise patterns in her stress levels, implement new coping techniques, and seek support before reaching a crisis point. The intervention allowed her to proactively manage her mental health, improve her academic experience, and engage with university support services without fear of judgment. This case study demonstrates how the app enables students to identify challenges early, develop coping strategies, and access appropriate help when needed. The proposed mental health app aims to bridge the gap between students and mental health services by providing an accessible, stigma-free support system within university dashboards. By integrating education, self-assessment, tracking, and optional disclosure, the app enables students to proactively manage their well-being while </w:t>
      </w:r>
      <w:r w:rsidRPr="00000117">
        <w:rPr>
          <w:rFonts w:ascii="Times New Roman" w:hAnsi="Times New Roman" w:cs="Times New Roman"/>
        </w:rPr>
        <w:lastRenderedPageBreak/>
        <w:t xml:space="preserve">ensuring they can access further support if needed. The case study illustrates the real-world impact of this intervention, demonstrating how it could help students like Ella identify challenges early, develop healthy coping strategies, and feel supported within their academic environment. Future evaluation of this app could focus on student engagement levels, mental health outcomes, and feedback from university staff to refine its features and maximise its impact. </w:t>
      </w:r>
    </w:p>
    <w:p w14:paraId="0BD28C7B" w14:textId="77777777" w:rsidR="00116EF4" w:rsidRPr="00000117" w:rsidRDefault="00116EF4" w:rsidP="00620332">
      <w:pPr>
        <w:spacing w:line="360" w:lineRule="auto"/>
        <w:rPr>
          <w:rFonts w:ascii="Times New Roman" w:hAnsi="Times New Roman" w:cs="Times New Roman"/>
        </w:rPr>
      </w:pPr>
    </w:p>
    <w:p w14:paraId="2FE9D43D" w14:textId="77777777" w:rsidR="00620332" w:rsidRPr="00620332" w:rsidRDefault="00620332" w:rsidP="00620332">
      <w:pPr>
        <w:spacing w:line="360" w:lineRule="auto"/>
        <w:jc w:val="center"/>
        <w:rPr>
          <w:rFonts w:ascii="Times New Roman" w:hAnsi="Times New Roman" w:cs="Times New Roman"/>
          <w:b/>
          <w:bCs/>
        </w:rPr>
      </w:pPr>
      <w:r w:rsidRPr="00620332">
        <w:rPr>
          <w:rFonts w:ascii="Times New Roman" w:hAnsi="Times New Roman" w:cs="Times New Roman"/>
          <w:b/>
          <w:bCs/>
        </w:rPr>
        <w:t>Conclusion</w:t>
      </w:r>
    </w:p>
    <w:p w14:paraId="5DFF5775" w14:textId="2EACA2AF" w:rsidR="00620332" w:rsidRPr="00620332" w:rsidRDefault="00620332" w:rsidP="00620332">
      <w:pPr>
        <w:spacing w:line="360" w:lineRule="auto"/>
        <w:rPr>
          <w:rFonts w:ascii="Times New Roman" w:hAnsi="Times New Roman" w:cs="Times New Roman"/>
          <w:b/>
          <w:bCs/>
        </w:rPr>
      </w:pPr>
      <w:r w:rsidRPr="00620332">
        <w:rPr>
          <w:rFonts w:ascii="Times New Roman" w:hAnsi="Times New Roman" w:cs="Times New Roman"/>
        </w:rPr>
        <w:t>This action research has shed light on the mental health challenges faced by students in the post-16 education sector, answering the primary question: How does mental health impact students’ well-being in post-16 education? Additionally, it has addressed the sub-question: How can digital innovations be integrated into institutional mental health strategies to enhance student well-being? The findings underscore the importance of providing accessible, proactive mental health support and demonstrate how digital tools, when thoughtfully implemented, can complement traditional approaches and effectively</w:t>
      </w:r>
      <w:r>
        <w:t xml:space="preserve"> improve students’ mental health outcomes. </w:t>
      </w:r>
    </w:p>
    <w:p w14:paraId="7123E9B9" w14:textId="77777777" w:rsidR="00620332" w:rsidRDefault="00620332" w:rsidP="00DD5969"/>
    <w:p w14:paraId="7BE5F81D" w14:textId="77777777" w:rsidR="00B967FF" w:rsidRDefault="00B967FF" w:rsidP="00DD5969"/>
    <w:p w14:paraId="1BA68EFA" w14:textId="77777777" w:rsidR="00B967FF" w:rsidRDefault="00B967FF" w:rsidP="00DD5969"/>
    <w:p w14:paraId="10F1A9B4" w14:textId="77777777" w:rsidR="00B967FF" w:rsidRDefault="00B967FF" w:rsidP="00DD5969"/>
    <w:p w14:paraId="2968F16B" w14:textId="77777777" w:rsidR="00B967FF" w:rsidRDefault="00B967FF" w:rsidP="00DD5969"/>
    <w:p w14:paraId="08C6DED7" w14:textId="77777777" w:rsidR="00B967FF" w:rsidRDefault="00B967FF" w:rsidP="00DD5969"/>
    <w:p w14:paraId="7B4D0AB9" w14:textId="77777777" w:rsidR="00B967FF" w:rsidRDefault="00B967FF" w:rsidP="00DD5969"/>
    <w:p w14:paraId="29708600" w14:textId="77777777" w:rsidR="00B967FF" w:rsidRDefault="00B967FF" w:rsidP="00DD5969"/>
    <w:p w14:paraId="6B1ECE41" w14:textId="77777777" w:rsidR="00B967FF" w:rsidRDefault="00B967FF" w:rsidP="00DD5969"/>
    <w:p w14:paraId="58E022DA" w14:textId="77777777" w:rsidR="00B967FF" w:rsidRDefault="00B967FF" w:rsidP="00DD5969"/>
    <w:p w14:paraId="5F891E7A" w14:textId="77777777" w:rsidR="00B967FF" w:rsidRDefault="00B967FF" w:rsidP="00DD5969"/>
    <w:p w14:paraId="377B9931" w14:textId="77777777" w:rsidR="00B967FF" w:rsidRDefault="00B967FF" w:rsidP="00DD5969"/>
    <w:p w14:paraId="676DF700" w14:textId="77777777" w:rsidR="00B967FF" w:rsidRDefault="00B967FF" w:rsidP="00DD5969"/>
    <w:p w14:paraId="1C485D94" w14:textId="77777777" w:rsidR="00B967FF" w:rsidRDefault="00B967FF" w:rsidP="00B967FF">
      <w:pPr>
        <w:pStyle w:val="Heading1"/>
        <w:spacing w:before="0" w:after="240" w:line="540" w:lineRule="atLeast"/>
        <w:rPr>
          <w:color w:val="000000"/>
          <w:sz w:val="36"/>
          <w:szCs w:val="36"/>
        </w:rPr>
      </w:pPr>
      <w:r>
        <w:rPr>
          <w:color w:val="000000"/>
          <w:sz w:val="36"/>
          <w:szCs w:val="36"/>
        </w:rPr>
        <w:lastRenderedPageBreak/>
        <w:t>Reference list</w:t>
      </w:r>
    </w:p>
    <w:p w14:paraId="1F3AC3DF" w14:textId="77777777" w:rsidR="00B967FF" w:rsidRDefault="00B967FF" w:rsidP="00B967FF">
      <w:pPr>
        <w:pStyle w:val="NormalWeb"/>
        <w:spacing w:before="0" w:beforeAutospacing="0" w:after="240" w:afterAutospacing="0" w:line="360" w:lineRule="atLeast"/>
        <w:rPr>
          <w:color w:val="000000"/>
        </w:rPr>
      </w:pPr>
      <w:r>
        <w:rPr>
          <w:color w:val="000000"/>
        </w:rPr>
        <w:t>Abelson, S., Eisenberg, D., Johnston, A., Lipson, S., Liu, M., Ogden, S. and Schueller, S. (2024).</w:t>
      </w:r>
      <w:r>
        <w:rPr>
          <w:rStyle w:val="apple-converted-space"/>
          <w:rFonts w:eastAsiaTheme="majorEastAsia"/>
          <w:color w:val="000000"/>
        </w:rPr>
        <w:t> </w:t>
      </w:r>
      <w:r>
        <w:rPr>
          <w:i/>
          <w:iCs/>
          <w:color w:val="000000"/>
        </w:rPr>
        <w:t>Digital Mental Health Interventions at Colleges &amp; Universities</w:t>
      </w:r>
      <w:r>
        <w:rPr>
          <w:color w:val="000000"/>
        </w:rPr>
        <w:t>. [online] Available at: https://hope.temple.edu/sites/hope/files/media/document/Digital%20Mental%20Health%20Interventions_5.29.2024.pdf [Accessed 25 Mar. 2025].</w:t>
      </w:r>
    </w:p>
    <w:p w14:paraId="2C78F1F8" w14:textId="77777777" w:rsidR="00B967FF" w:rsidRDefault="00B967FF" w:rsidP="00B967FF">
      <w:pPr>
        <w:pStyle w:val="NormalWeb"/>
        <w:spacing w:before="0" w:beforeAutospacing="0" w:after="240" w:afterAutospacing="0" w:line="360" w:lineRule="atLeast"/>
        <w:rPr>
          <w:color w:val="000000"/>
        </w:rPr>
      </w:pPr>
      <w:r>
        <w:rPr>
          <w:color w:val="000000"/>
        </w:rPr>
        <w:t>Alberts, L., Ulrik Lyngs and Lukoff, K. (2024). Designing for Sustained Motivation: a Review of Self-Determination Theory in Behaviour Change Technologies.</w:t>
      </w:r>
      <w:r>
        <w:rPr>
          <w:rStyle w:val="apple-converted-space"/>
          <w:rFonts w:eastAsiaTheme="majorEastAsia"/>
          <w:color w:val="000000"/>
        </w:rPr>
        <w:t> </w:t>
      </w:r>
      <w:r>
        <w:rPr>
          <w:i/>
          <w:iCs/>
          <w:color w:val="000000"/>
        </w:rPr>
        <w:t>Interacting with Computers</w:t>
      </w:r>
      <w:r>
        <w:rPr>
          <w:color w:val="000000"/>
        </w:rPr>
        <w:t>, 1(22). doi:https://doi.org/10.1093/iwc/iwae040.</w:t>
      </w:r>
    </w:p>
    <w:p w14:paraId="36E77429" w14:textId="77777777" w:rsidR="00B967FF" w:rsidRDefault="00B967FF" w:rsidP="00B967FF">
      <w:pPr>
        <w:pStyle w:val="NormalWeb"/>
        <w:spacing w:before="0" w:beforeAutospacing="0" w:after="240" w:afterAutospacing="0" w:line="360" w:lineRule="atLeast"/>
        <w:rPr>
          <w:color w:val="000000"/>
        </w:rPr>
      </w:pPr>
      <w:r>
        <w:rPr>
          <w:color w:val="000000"/>
        </w:rPr>
        <w:t>Almalki, K., Alharbi, O., Al-Ahmadi, W. and Aljohani, M. (2020). Anti-procrastination Online Tool for Graduate Students Based on the Pomodoro Technique.</w:t>
      </w:r>
      <w:r>
        <w:rPr>
          <w:rStyle w:val="apple-converted-space"/>
          <w:rFonts w:eastAsiaTheme="majorEastAsia"/>
          <w:color w:val="000000"/>
        </w:rPr>
        <w:t> </w:t>
      </w:r>
      <w:r>
        <w:rPr>
          <w:i/>
          <w:iCs/>
          <w:color w:val="000000"/>
        </w:rPr>
        <w:t>Learning and Collaboration Technologies. Human and Technology Ecosystems</w:t>
      </w:r>
      <w:r>
        <w:rPr>
          <w:color w:val="000000"/>
        </w:rPr>
        <w:t>, [online] 12206(1), pp.133–144. doi:https://doi.org/10.1007/978-3-030-50506-6_10.</w:t>
      </w:r>
    </w:p>
    <w:p w14:paraId="68602428" w14:textId="77777777" w:rsidR="00B967FF" w:rsidRDefault="00B967FF" w:rsidP="00B967FF">
      <w:pPr>
        <w:pStyle w:val="NormalWeb"/>
        <w:spacing w:before="0" w:beforeAutospacing="0" w:after="240" w:afterAutospacing="0" w:line="360" w:lineRule="atLeast"/>
        <w:rPr>
          <w:color w:val="000000"/>
        </w:rPr>
      </w:pPr>
      <w:r>
        <w:rPr>
          <w:color w:val="000000"/>
        </w:rPr>
        <w:t>Ansari, W., Oskrochi, R. and Haghgoo, G. (2014). Are Students’ Symptoms and Health Complaints Associated with Perceived Stress at University? Perspectives from the United Kingdom and Egypt.</w:t>
      </w:r>
      <w:r>
        <w:rPr>
          <w:rStyle w:val="apple-converted-space"/>
          <w:rFonts w:eastAsiaTheme="majorEastAsia"/>
          <w:color w:val="000000"/>
        </w:rPr>
        <w:t> </w:t>
      </w:r>
      <w:r>
        <w:rPr>
          <w:i/>
          <w:iCs/>
          <w:color w:val="000000"/>
        </w:rPr>
        <w:t>International Journal of Environmental Research and Public Health</w:t>
      </w:r>
      <w:r>
        <w:rPr>
          <w:color w:val="000000"/>
        </w:rPr>
        <w:t>, [online] 11(10), pp.9981–10002. doi:https://doi.org/10.3390/ijerph111009981.</w:t>
      </w:r>
    </w:p>
    <w:p w14:paraId="4B57F583" w14:textId="77777777" w:rsidR="00B967FF" w:rsidRDefault="00B967FF" w:rsidP="00B967FF">
      <w:pPr>
        <w:pStyle w:val="NormalWeb"/>
        <w:spacing w:before="0" w:beforeAutospacing="0" w:after="240" w:afterAutospacing="0" w:line="360" w:lineRule="atLeast"/>
        <w:rPr>
          <w:color w:val="000000"/>
        </w:rPr>
      </w:pPr>
      <w:r>
        <w:rPr>
          <w:color w:val="000000"/>
        </w:rPr>
        <w:t>Audrin, C. and Audrin, B. (2023). More than Just Emotional Intelligence online: Introducing ‘Digital Emotional Intelligence’.</w:t>
      </w:r>
      <w:r>
        <w:rPr>
          <w:rStyle w:val="apple-converted-space"/>
          <w:rFonts w:eastAsiaTheme="majorEastAsia"/>
          <w:color w:val="000000"/>
        </w:rPr>
        <w:t> </w:t>
      </w:r>
      <w:r>
        <w:rPr>
          <w:i/>
          <w:iCs/>
          <w:color w:val="000000"/>
        </w:rPr>
        <w:t>Frontiers in Psychology</w:t>
      </w:r>
      <w:r>
        <w:rPr>
          <w:color w:val="000000"/>
        </w:rPr>
        <w:t>, 14(1). doi:https://doi.org/10.3389/fpsyg.2023.1154355.</w:t>
      </w:r>
    </w:p>
    <w:p w14:paraId="08727A69" w14:textId="77777777" w:rsidR="00B967FF" w:rsidRDefault="00B967FF" w:rsidP="00B967FF">
      <w:pPr>
        <w:pStyle w:val="NormalWeb"/>
        <w:spacing w:before="0" w:beforeAutospacing="0" w:after="240" w:afterAutospacing="0" w:line="360" w:lineRule="atLeast"/>
        <w:rPr>
          <w:color w:val="000000"/>
        </w:rPr>
      </w:pPr>
      <w:r>
        <w:rPr>
          <w:color w:val="000000"/>
        </w:rPr>
        <w:t>Bekkouche, N.S., Schmid, R.F. and Carliner, S. (2021). ‘Simmering Pressure’: How Systemic Stress Impacts Graduate Student Mental Health.</w:t>
      </w:r>
      <w:r>
        <w:rPr>
          <w:rStyle w:val="apple-converted-space"/>
          <w:rFonts w:eastAsiaTheme="majorEastAsia"/>
          <w:color w:val="000000"/>
        </w:rPr>
        <w:t> </w:t>
      </w:r>
      <w:r>
        <w:rPr>
          <w:i/>
          <w:iCs/>
          <w:color w:val="000000"/>
        </w:rPr>
        <w:t>Performance Improvement Quarterly</w:t>
      </w:r>
      <w:r>
        <w:rPr>
          <w:color w:val="000000"/>
        </w:rPr>
        <w:t>, 34(4). doi:https://doi.org/10.1002/piq.21365.</w:t>
      </w:r>
    </w:p>
    <w:p w14:paraId="2ACEBD20" w14:textId="77777777" w:rsidR="00B967FF" w:rsidRDefault="00B967FF" w:rsidP="00B967FF">
      <w:pPr>
        <w:pStyle w:val="NormalWeb"/>
        <w:spacing w:before="0" w:beforeAutospacing="0" w:after="240" w:afterAutospacing="0" w:line="360" w:lineRule="atLeast"/>
        <w:rPr>
          <w:color w:val="000000"/>
        </w:rPr>
      </w:pPr>
      <w:r>
        <w:rPr>
          <w:color w:val="000000"/>
        </w:rPr>
        <w:t>Bendtsen, M., Müssener, U., Linderoth, C. and Thomas, K. (2020). A Mobile Health Intervention for Mental Health Promotion Among University Students: Randomized Controlled Trial.</w:t>
      </w:r>
      <w:r>
        <w:rPr>
          <w:rStyle w:val="apple-converted-space"/>
          <w:rFonts w:eastAsiaTheme="majorEastAsia"/>
          <w:color w:val="000000"/>
        </w:rPr>
        <w:t> </w:t>
      </w:r>
      <w:r>
        <w:rPr>
          <w:i/>
          <w:iCs/>
          <w:color w:val="000000"/>
        </w:rPr>
        <w:t>JMIR mHealth and uHealth</w:t>
      </w:r>
      <w:r>
        <w:rPr>
          <w:color w:val="000000"/>
        </w:rPr>
        <w:t>, 8(3), p.e17208. doi:https://doi.org/10.2196/17208.</w:t>
      </w:r>
    </w:p>
    <w:p w14:paraId="583A4A31" w14:textId="77777777" w:rsidR="00B967FF" w:rsidRDefault="00B967FF" w:rsidP="00B967FF">
      <w:pPr>
        <w:pStyle w:val="NormalWeb"/>
        <w:spacing w:before="0" w:beforeAutospacing="0" w:after="240" w:afterAutospacing="0" w:line="360" w:lineRule="atLeast"/>
        <w:rPr>
          <w:color w:val="000000"/>
        </w:rPr>
      </w:pPr>
      <w:r>
        <w:rPr>
          <w:color w:val="000000"/>
        </w:rPr>
        <w:t>Boucher, E.M. and Raiker, J.S. (2024). Engagement and Retention in Digital Mental Health interventions: a Narrative Review.</w:t>
      </w:r>
      <w:r>
        <w:rPr>
          <w:rStyle w:val="apple-converted-space"/>
          <w:rFonts w:eastAsiaTheme="majorEastAsia"/>
          <w:color w:val="000000"/>
        </w:rPr>
        <w:t> </w:t>
      </w:r>
      <w:r>
        <w:rPr>
          <w:i/>
          <w:iCs/>
          <w:color w:val="000000"/>
        </w:rPr>
        <w:t>BMC Digital Health</w:t>
      </w:r>
      <w:r>
        <w:rPr>
          <w:color w:val="000000"/>
        </w:rPr>
        <w:t>, 2(1). doi:https://doi.org/10.1186/s44247-024-00105-9.</w:t>
      </w:r>
    </w:p>
    <w:p w14:paraId="4F3D2446" w14:textId="77777777" w:rsidR="00B967FF" w:rsidRDefault="00B967FF" w:rsidP="00B967FF">
      <w:pPr>
        <w:pStyle w:val="NormalWeb"/>
        <w:spacing w:before="0" w:beforeAutospacing="0" w:after="240" w:afterAutospacing="0" w:line="360" w:lineRule="atLeast"/>
        <w:rPr>
          <w:color w:val="000000"/>
        </w:rPr>
      </w:pPr>
      <w:r>
        <w:rPr>
          <w:color w:val="000000"/>
        </w:rPr>
        <w:t>Cage, E., Jones, E., Ryan, G., Hughes, G. and Spanner, L. (2021). Student Mental Health and Transitions into, through and out of university: Student and Staff Perspectives.</w:t>
      </w:r>
      <w:r>
        <w:rPr>
          <w:rStyle w:val="apple-converted-space"/>
          <w:rFonts w:eastAsiaTheme="majorEastAsia"/>
          <w:color w:val="000000"/>
        </w:rPr>
        <w:t> </w:t>
      </w:r>
      <w:r>
        <w:rPr>
          <w:i/>
          <w:iCs/>
          <w:color w:val="000000"/>
        </w:rPr>
        <w:t xml:space="preserve">Journal of </w:t>
      </w:r>
      <w:r>
        <w:rPr>
          <w:i/>
          <w:iCs/>
          <w:color w:val="000000"/>
        </w:rPr>
        <w:lastRenderedPageBreak/>
        <w:t>Further and Higher Education</w:t>
      </w:r>
      <w:r>
        <w:rPr>
          <w:color w:val="000000"/>
        </w:rPr>
        <w:t>, 45(8), pp.1–14. doi:https://doi.org/10.1080/0309877x.2021.1875203.</w:t>
      </w:r>
    </w:p>
    <w:p w14:paraId="77A56F89" w14:textId="77777777" w:rsidR="00B967FF" w:rsidRDefault="00B967FF" w:rsidP="00B967FF">
      <w:pPr>
        <w:pStyle w:val="NormalWeb"/>
        <w:spacing w:before="0" w:beforeAutospacing="0" w:after="240" w:afterAutospacing="0" w:line="360" w:lineRule="atLeast"/>
        <w:rPr>
          <w:color w:val="000000"/>
        </w:rPr>
      </w:pPr>
      <w:r>
        <w:rPr>
          <w:color w:val="000000"/>
        </w:rPr>
        <w:t>Cohen, L., Manion, L. and Morrison, K. (2018).</w:t>
      </w:r>
      <w:r>
        <w:rPr>
          <w:rStyle w:val="apple-converted-space"/>
          <w:rFonts w:eastAsiaTheme="majorEastAsia"/>
          <w:color w:val="000000"/>
        </w:rPr>
        <w:t> </w:t>
      </w:r>
      <w:r>
        <w:rPr>
          <w:i/>
          <w:iCs/>
          <w:color w:val="000000"/>
        </w:rPr>
        <w:t>Research Methods in Education</w:t>
      </w:r>
      <w:r>
        <w:rPr>
          <w:color w:val="000000"/>
        </w:rPr>
        <w:t>. 8th ed. London: Routledge.</w:t>
      </w:r>
    </w:p>
    <w:p w14:paraId="20B4E05E" w14:textId="77777777" w:rsidR="00B967FF" w:rsidRDefault="00B967FF" w:rsidP="00B967FF">
      <w:pPr>
        <w:pStyle w:val="NormalWeb"/>
        <w:spacing w:before="0" w:beforeAutospacing="0" w:after="240" w:afterAutospacing="0" w:line="360" w:lineRule="atLeast"/>
        <w:rPr>
          <w:color w:val="000000"/>
        </w:rPr>
      </w:pPr>
      <w:r>
        <w:rPr>
          <w:color w:val="000000"/>
        </w:rPr>
        <w:t>Denovan, A. and Macaskill, A. (2017). Stress and Subjective Well-Being Among First Year UK Undergraduate Students.</w:t>
      </w:r>
      <w:r>
        <w:rPr>
          <w:rStyle w:val="apple-converted-space"/>
          <w:rFonts w:eastAsiaTheme="majorEastAsia"/>
          <w:color w:val="000000"/>
        </w:rPr>
        <w:t> </w:t>
      </w:r>
      <w:r>
        <w:rPr>
          <w:i/>
          <w:iCs/>
          <w:color w:val="000000"/>
        </w:rPr>
        <w:t>Journal of Happiness Studies</w:t>
      </w:r>
      <w:r>
        <w:rPr>
          <w:color w:val="000000"/>
        </w:rPr>
        <w:t>, 18(2), pp.505–525. doi:https://doi.org/10.1007/s10902-016-9736-y.</w:t>
      </w:r>
    </w:p>
    <w:p w14:paraId="56104AE4" w14:textId="77777777" w:rsidR="00B967FF" w:rsidRDefault="00B967FF" w:rsidP="00B967FF">
      <w:pPr>
        <w:pStyle w:val="NormalWeb"/>
        <w:spacing w:before="0" w:beforeAutospacing="0" w:after="240" w:afterAutospacing="0" w:line="360" w:lineRule="atLeast"/>
        <w:rPr>
          <w:color w:val="000000"/>
        </w:rPr>
      </w:pPr>
      <w:r>
        <w:rPr>
          <w:color w:val="000000"/>
        </w:rPr>
        <w:t>GDPR Advisor (2025).</w:t>
      </w:r>
      <w:r>
        <w:rPr>
          <w:rStyle w:val="apple-converted-space"/>
          <w:rFonts w:eastAsiaTheme="majorEastAsia"/>
          <w:color w:val="000000"/>
        </w:rPr>
        <w:t> </w:t>
      </w:r>
      <w:r>
        <w:rPr>
          <w:i/>
          <w:iCs/>
          <w:color w:val="000000"/>
        </w:rPr>
        <w:t>GDPR Compliance for Mental Health Apps: Safeguarding Sensitive Data - GDPR Advisor</w:t>
      </w:r>
      <w:r>
        <w:rPr>
          <w:color w:val="000000"/>
        </w:rPr>
        <w:t>. [online] GDPR Advisor. Available at: https://www.gdpr-advisor.com/gdpr-compliance-for-mental-health-apps-safeguarding-sensitive-data/ [Accessed 27 Mar. 2025].</w:t>
      </w:r>
    </w:p>
    <w:p w14:paraId="4A15F760" w14:textId="77777777" w:rsidR="00B967FF" w:rsidRDefault="00B967FF" w:rsidP="00B967FF">
      <w:pPr>
        <w:pStyle w:val="NormalWeb"/>
        <w:spacing w:before="0" w:beforeAutospacing="0" w:after="240" w:afterAutospacing="0" w:line="360" w:lineRule="atLeast"/>
        <w:rPr>
          <w:color w:val="000000"/>
        </w:rPr>
      </w:pPr>
      <w:r>
        <w:rPr>
          <w:color w:val="000000"/>
        </w:rPr>
        <w:t>Health, S. (2025).</w:t>
      </w:r>
      <w:r>
        <w:rPr>
          <w:rStyle w:val="apple-converted-space"/>
          <w:rFonts w:eastAsiaTheme="majorEastAsia"/>
          <w:color w:val="000000"/>
        </w:rPr>
        <w:t> </w:t>
      </w:r>
      <w:r>
        <w:rPr>
          <w:i/>
          <w:iCs/>
          <w:color w:val="000000"/>
        </w:rPr>
        <w:t>Breaking the Silence: New Approaches to Addressing Mental Health Stigma - Syra Health</w:t>
      </w:r>
      <w:r>
        <w:rPr>
          <w:color w:val="000000"/>
        </w:rPr>
        <w:t>. [online] Syrahealth.com. Available at: https://www.syrahealth.com/insights/breaking-the-silence-new-approaches-to-addressing-mental-health-stigma [Accessed 27 Mar. 2025].</w:t>
      </w:r>
    </w:p>
    <w:p w14:paraId="47C002F4" w14:textId="77777777" w:rsidR="00B967FF" w:rsidRDefault="00B967FF" w:rsidP="00B967FF">
      <w:pPr>
        <w:pStyle w:val="NormalWeb"/>
        <w:spacing w:before="0" w:beforeAutospacing="0" w:after="240" w:afterAutospacing="0" w:line="360" w:lineRule="atLeast"/>
        <w:rPr>
          <w:color w:val="000000"/>
        </w:rPr>
      </w:pPr>
      <w:r>
        <w:rPr>
          <w:color w:val="000000"/>
        </w:rPr>
        <w:t>Jackson, H.M., Gulliver, A., Hasking, P., Leach, L., Batterham, P.J., Calear, A.L. and Farrer, L.M. (2024). Exploring Student Preferences for Implementing a Digital Mental Health Intervention in a University setting: Qualitative Study within a Randomised Controlled Trial.</w:t>
      </w:r>
      <w:r>
        <w:rPr>
          <w:rStyle w:val="apple-converted-space"/>
          <w:rFonts w:eastAsiaTheme="majorEastAsia"/>
          <w:color w:val="000000"/>
        </w:rPr>
        <w:t> </w:t>
      </w:r>
      <w:r>
        <w:rPr>
          <w:i/>
          <w:iCs/>
          <w:color w:val="000000"/>
        </w:rPr>
        <w:t>DIGITAL HEALTH</w:t>
      </w:r>
      <w:r>
        <w:rPr>
          <w:color w:val="000000"/>
        </w:rPr>
        <w:t>, 10(1). doi:https://doi.org/10.1177/20552076241277175.</w:t>
      </w:r>
    </w:p>
    <w:p w14:paraId="2C3E25C1" w14:textId="77777777" w:rsidR="00B967FF" w:rsidRDefault="00B967FF" w:rsidP="00B967FF">
      <w:pPr>
        <w:pStyle w:val="NormalWeb"/>
        <w:spacing w:before="0" w:beforeAutospacing="0" w:after="240" w:afterAutospacing="0" w:line="360" w:lineRule="atLeast"/>
        <w:rPr>
          <w:color w:val="000000"/>
        </w:rPr>
      </w:pPr>
      <w:r>
        <w:rPr>
          <w:color w:val="000000"/>
        </w:rPr>
        <w:t>Jain, A. (2022).</w:t>
      </w:r>
      <w:r>
        <w:rPr>
          <w:rStyle w:val="apple-converted-space"/>
          <w:rFonts w:eastAsiaTheme="majorEastAsia"/>
          <w:color w:val="000000"/>
        </w:rPr>
        <w:t> </w:t>
      </w:r>
      <w:r>
        <w:rPr>
          <w:i/>
          <w:iCs/>
          <w:color w:val="000000"/>
        </w:rPr>
        <w:t>Maslow’s Hierarchy of Needs in the Context of Online Education</w:t>
      </w:r>
      <w:r>
        <w:rPr>
          <w:color w:val="000000"/>
        </w:rPr>
        <w:t>. [online] ResearchGate.net. doi:https://doi.org/10.25215/1003.153.</w:t>
      </w:r>
    </w:p>
    <w:p w14:paraId="673B3228" w14:textId="77777777" w:rsidR="00B967FF" w:rsidRDefault="00B967FF" w:rsidP="00B967FF">
      <w:pPr>
        <w:pStyle w:val="NormalWeb"/>
        <w:spacing w:before="0" w:beforeAutospacing="0" w:after="240" w:afterAutospacing="0" w:line="360" w:lineRule="atLeast"/>
        <w:rPr>
          <w:color w:val="000000"/>
        </w:rPr>
      </w:pPr>
      <w:r>
        <w:rPr>
          <w:color w:val="000000"/>
        </w:rPr>
        <w:t>Jones, A. (2024).</w:t>
      </w:r>
      <w:r>
        <w:rPr>
          <w:rStyle w:val="apple-converted-space"/>
          <w:rFonts w:eastAsiaTheme="majorEastAsia"/>
          <w:color w:val="000000"/>
        </w:rPr>
        <w:t> </w:t>
      </w:r>
      <w:r>
        <w:rPr>
          <w:i/>
          <w:iCs/>
          <w:color w:val="000000"/>
        </w:rPr>
        <w:t>Research roundup: Ensuring That Digital Mental Health Benefits Everyone</w:t>
      </w:r>
      <w:r>
        <w:rPr>
          <w:color w:val="000000"/>
        </w:rPr>
        <w:t>. [online] https://www.apaservices.org. Available at: https://www.apaservices.org/practice/ce/expert/digital-mental-health-benefits [Accessed 27 Mar. 2025].</w:t>
      </w:r>
    </w:p>
    <w:p w14:paraId="65000896" w14:textId="77777777" w:rsidR="00B967FF" w:rsidRDefault="00B967FF" w:rsidP="00B967FF">
      <w:pPr>
        <w:pStyle w:val="NormalWeb"/>
        <w:spacing w:before="0" w:beforeAutospacing="0" w:after="240" w:afterAutospacing="0" w:line="360" w:lineRule="atLeast"/>
        <w:rPr>
          <w:color w:val="000000"/>
        </w:rPr>
      </w:pPr>
      <w:r>
        <w:rPr>
          <w:color w:val="000000"/>
        </w:rPr>
        <w:t>Kirsh, B., Friedland, J., Cho, S., Gopalasuntharanathan, N., Orfus, S., Salkovitch, M., Snider, K. and Webber, C. (2016). Experiences of University Students Living with Mental Health problems: Interrelations between the self, the social, and the School.</w:t>
      </w:r>
      <w:r>
        <w:rPr>
          <w:rStyle w:val="apple-converted-space"/>
          <w:rFonts w:eastAsiaTheme="majorEastAsia"/>
          <w:color w:val="000000"/>
        </w:rPr>
        <w:t> </w:t>
      </w:r>
      <w:r>
        <w:rPr>
          <w:i/>
          <w:iCs/>
          <w:color w:val="000000"/>
        </w:rPr>
        <w:t>Work</w:t>
      </w:r>
      <w:r>
        <w:rPr>
          <w:color w:val="000000"/>
        </w:rPr>
        <w:t>, [online] 53(2), pp.325–335. doi:https://doi.org/10.3233/WOR-152153.</w:t>
      </w:r>
    </w:p>
    <w:p w14:paraId="4D565D73" w14:textId="77777777" w:rsidR="00B967FF" w:rsidRDefault="00B967FF" w:rsidP="00B967FF">
      <w:pPr>
        <w:pStyle w:val="NormalWeb"/>
        <w:spacing w:before="0" w:beforeAutospacing="0" w:after="240" w:afterAutospacing="0" w:line="360" w:lineRule="atLeast"/>
        <w:rPr>
          <w:color w:val="000000"/>
        </w:rPr>
      </w:pPr>
      <w:r>
        <w:rPr>
          <w:color w:val="000000"/>
        </w:rPr>
        <w:t xml:space="preserve">Lattie, E.G., Adkins, E.C., Winquist, N., Stiles-Shields, C., Wafford, Q.E. and Graham, A.K. (2019). Digital Mental Health Interventions for depression, anxiety, and Enhancement of </w:t>
      </w:r>
      <w:r>
        <w:rPr>
          <w:color w:val="000000"/>
        </w:rPr>
        <w:lastRenderedPageBreak/>
        <w:t>Psychological well-being among College students: Systematic Review.</w:t>
      </w:r>
      <w:r>
        <w:rPr>
          <w:rStyle w:val="apple-converted-space"/>
          <w:rFonts w:eastAsiaTheme="majorEastAsia"/>
          <w:color w:val="000000"/>
        </w:rPr>
        <w:t> </w:t>
      </w:r>
      <w:r>
        <w:rPr>
          <w:i/>
          <w:iCs/>
          <w:color w:val="000000"/>
        </w:rPr>
        <w:t>Journal of Medical Internet Research</w:t>
      </w:r>
      <w:r>
        <w:rPr>
          <w:color w:val="000000"/>
        </w:rPr>
        <w:t>, 21(7), p.e12869. doi:https://doi.org/10.2196/12869.</w:t>
      </w:r>
    </w:p>
    <w:p w14:paraId="054BE165" w14:textId="77777777" w:rsidR="00B967FF" w:rsidRDefault="00B967FF" w:rsidP="00B967FF">
      <w:pPr>
        <w:pStyle w:val="NormalWeb"/>
        <w:spacing w:before="0" w:beforeAutospacing="0" w:after="240" w:afterAutospacing="0" w:line="360" w:lineRule="atLeast"/>
        <w:rPr>
          <w:color w:val="000000"/>
        </w:rPr>
      </w:pPr>
      <w:r>
        <w:rPr>
          <w:color w:val="000000"/>
        </w:rPr>
        <w:t>Lyons, P., Edwardes, A., Bladon, L. and Abel, K.M. (2025). Culturally Sensitive Mental Health research: a Scoping Review.</w:t>
      </w:r>
      <w:r>
        <w:rPr>
          <w:rStyle w:val="apple-converted-space"/>
          <w:rFonts w:eastAsiaTheme="majorEastAsia"/>
          <w:color w:val="000000"/>
        </w:rPr>
        <w:t> </w:t>
      </w:r>
      <w:r>
        <w:rPr>
          <w:i/>
          <w:iCs/>
          <w:color w:val="000000"/>
        </w:rPr>
        <w:t>BMC Psychiatry</w:t>
      </w:r>
      <w:r>
        <w:rPr>
          <w:color w:val="000000"/>
        </w:rPr>
        <w:t>, 25(1). doi:https://doi.org/10.1186/s12888-025-06575-z.</w:t>
      </w:r>
    </w:p>
    <w:p w14:paraId="4B128049" w14:textId="77777777" w:rsidR="00B967FF" w:rsidRDefault="00B967FF" w:rsidP="00B967FF">
      <w:pPr>
        <w:pStyle w:val="NormalWeb"/>
        <w:spacing w:before="0" w:beforeAutospacing="0" w:after="240" w:afterAutospacing="0" w:line="360" w:lineRule="atLeast"/>
        <w:rPr>
          <w:color w:val="000000"/>
        </w:rPr>
      </w:pPr>
      <w:r>
        <w:rPr>
          <w:color w:val="000000"/>
        </w:rPr>
        <w:t>Madrid‐Cagigal, A., Kealy, C., Potts, C., Mulvenna, M.D., Byrne, M., Barry, M.M. and Donohoe, G. (2025). Digital Mental Health Interventions for University Students with Mental Health Difficulties: a Systematic Review and Meta‐Analysis.</w:t>
      </w:r>
      <w:r>
        <w:rPr>
          <w:rStyle w:val="apple-converted-space"/>
          <w:rFonts w:eastAsiaTheme="majorEastAsia"/>
          <w:color w:val="000000"/>
        </w:rPr>
        <w:t> </w:t>
      </w:r>
      <w:r>
        <w:rPr>
          <w:i/>
          <w:iCs/>
          <w:color w:val="000000"/>
        </w:rPr>
        <w:t>Early Intervention in Psychiatry</w:t>
      </w:r>
      <w:r>
        <w:rPr>
          <w:color w:val="000000"/>
        </w:rPr>
        <w:t>, [online] 19(3). doi:https://doi.org/10.1111/eip.70017.</w:t>
      </w:r>
    </w:p>
    <w:p w14:paraId="1FD04AE3" w14:textId="77777777" w:rsidR="00B967FF" w:rsidRDefault="00B967FF" w:rsidP="00B967FF">
      <w:pPr>
        <w:pStyle w:val="NormalWeb"/>
        <w:spacing w:before="0" w:beforeAutospacing="0" w:after="240" w:afterAutospacing="0" w:line="360" w:lineRule="atLeast"/>
        <w:rPr>
          <w:color w:val="000000"/>
        </w:rPr>
      </w:pPr>
      <w:r>
        <w:rPr>
          <w:color w:val="000000"/>
        </w:rPr>
        <w:t>Mahdavi, P., Valibeygi, A., Moradi, M. and Sadeghi, S. (2021). Relationship Between Achievement Motivation, Mental Health and Academic Success in University Students.</w:t>
      </w:r>
      <w:r>
        <w:rPr>
          <w:rStyle w:val="apple-converted-space"/>
          <w:rFonts w:eastAsiaTheme="majorEastAsia"/>
          <w:color w:val="000000"/>
        </w:rPr>
        <w:t> </w:t>
      </w:r>
      <w:r>
        <w:rPr>
          <w:i/>
          <w:iCs/>
          <w:color w:val="000000"/>
        </w:rPr>
        <w:t>International Quarterly of Community Health Education</w:t>
      </w:r>
      <w:r>
        <w:rPr>
          <w:color w:val="000000"/>
        </w:rPr>
        <w:t>, 43(3), p.0272684X2110259. doi:https://doi.org/10.1177/0272684x211025932.</w:t>
      </w:r>
    </w:p>
    <w:p w14:paraId="14D59C31" w14:textId="77777777" w:rsidR="00B967FF" w:rsidRDefault="00B967FF" w:rsidP="00B967FF">
      <w:pPr>
        <w:pStyle w:val="NormalWeb"/>
        <w:spacing w:before="0" w:beforeAutospacing="0" w:after="240" w:afterAutospacing="0" w:line="360" w:lineRule="atLeast"/>
        <w:rPr>
          <w:color w:val="000000"/>
        </w:rPr>
      </w:pPr>
      <w:r>
        <w:rPr>
          <w:color w:val="000000"/>
        </w:rPr>
        <w:t>Mcateer, M. (2013).</w:t>
      </w:r>
      <w:r>
        <w:rPr>
          <w:rStyle w:val="apple-converted-space"/>
          <w:rFonts w:eastAsiaTheme="majorEastAsia"/>
          <w:color w:val="000000"/>
        </w:rPr>
        <w:t> </w:t>
      </w:r>
      <w:r>
        <w:rPr>
          <w:i/>
          <w:iCs/>
          <w:color w:val="000000"/>
        </w:rPr>
        <w:t>Action Research in Education</w:t>
      </w:r>
      <w:r>
        <w:rPr>
          <w:color w:val="000000"/>
        </w:rPr>
        <w:t>. London: Sage.</w:t>
      </w:r>
    </w:p>
    <w:p w14:paraId="61D5C057" w14:textId="77777777" w:rsidR="00B967FF" w:rsidRDefault="00B967FF" w:rsidP="00B967FF">
      <w:pPr>
        <w:pStyle w:val="NormalWeb"/>
        <w:spacing w:before="0" w:beforeAutospacing="0" w:after="240" w:afterAutospacing="0" w:line="360" w:lineRule="atLeast"/>
        <w:rPr>
          <w:color w:val="000000"/>
        </w:rPr>
      </w:pPr>
      <w:r>
        <w:rPr>
          <w:color w:val="000000"/>
        </w:rPr>
        <w:t>Mutter, A., Bücheler, M., Idrees, A.R., Domhardt, M. and Baumeister, H. (2024). Persuasive Design Principle of Social Support in Digital Interventions Targeting Mental Health symptoms: a Systematic Review and meta-analysis.</w:t>
      </w:r>
      <w:r>
        <w:rPr>
          <w:rStyle w:val="apple-converted-space"/>
          <w:rFonts w:eastAsiaTheme="majorEastAsia"/>
          <w:color w:val="000000"/>
        </w:rPr>
        <w:t> </w:t>
      </w:r>
      <w:r>
        <w:rPr>
          <w:i/>
          <w:iCs/>
          <w:color w:val="000000"/>
        </w:rPr>
        <w:t>BMJ Open</w:t>
      </w:r>
      <w:r>
        <w:rPr>
          <w:color w:val="000000"/>
        </w:rPr>
        <w:t>, [online] 14(11), p.e086728. doi:https://doi.org/10.1136/bmjopen-2024-086728.</w:t>
      </w:r>
    </w:p>
    <w:p w14:paraId="6040C0D1" w14:textId="77777777" w:rsidR="00B967FF" w:rsidRDefault="00B967FF" w:rsidP="00B967FF">
      <w:pPr>
        <w:pStyle w:val="NormalWeb"/>
        <w:spacing w:before="0" w:beforeAutospacing="0" w:after="240" w:afterAutospacing="0" w:line="360" w:lineRule="atLeast"/>
        <w:rPr>
          <w:color w:val="000000"/>
        </w:rPr>
      </w:pPr>
      <w:r>
        <w:rPr>
          <w:color w:val="000000"/>
        </w:rPr>
        <w:t>NICE (2024).</w:t>
      </w:r>
      <w:r>
        <w:rPr>
          <w:rStyle w:val="apple-converted-space"/>
          <w:rFonts w:eastAsiaTheme="majorEastAsia"/>
          <w:color w:val="000000"/>
        </w:rPr>
        <w:t> </w:t>
      </w:r>
      <w:r>
        <w:rPr>
          <w:i/>
          <w:iCs/>
          <w:color w:val="000000"/>
        </w:rPr>
        <w:t>NICE Recommended Digital Therapies for Depression and Anxiety Could Free up Thousands of NHS Therapist Hours</w:t>
      </w:r>
      <w:r>
        <w:rPr>
          <w:color w:val="000000"/>
        </w:rPr>
        <w:t>. [online] NICE website: the National Institute for Health and Care Excellence. Available at: https://www.nice.org.uk/news/articles/digital-therapies-for-depression-and-anxiety-disorders-recommended-by-nice-could-potentially-release-thousands-of-therapist-hours-for-the-nhs [Accessed 28 Mar. 2025].</w:t>
      </w:r>
    </w:p>
    <w:p w14:paraId="2F31EB64" w14:textId="77777777" w:rsidR="00B967FF" w:rsidRDefault="00B967FF" w:rsidP="00B967FF">
      <w:pPr>
        <w:pStyle w:val="NormalWeb"/>
        <w:spacing w:before="0" w:beforeAutospacing="0" w:after="240" w:afterAutospacing="0" w:line="360" w:lineRule="atLeast"/>
        <w:rPr>
          <w:color w:val="000000"/>
        </w:rPr>
      </w:pPr>
      <w:r>
        <w:rPr>
          <w:color w:val="000000"/>
        </w:rPr>
        <w:t>Research Gate (2014).</w:t>
      </w:r>
      <w:r>
        <w:rPr>
          <w:rStyle w:val="apple-converted-space"/>
          <w:rFonts w:eastAsiaTheme="majorEastAsia"/>
          <w:color w:val="000000"/>
        </w:rPr>
        <w:t> </w:t>
      </w:r>
      <w:r>
        <w:rPr>
          <w:i/>
          <w:iCs/>
          <w:color w:val="000000"/>
        </w:rPr>
        <w:t>Action Research Spiral</w:t>
      </w:r>
      <w:r>
        <w:rPr>
          <w:color w:val="000000"/>
        </w:rPr>
        <w:t>. [Online Image]</w:t>
      </w:r>
      <w:r>
        <w:rPr>
          <w:rStyle w:val="apple-converted-space"/>
          <w:rFonts w:eastAsiaTheme="majorEastAsia"/>
          <w:color w:val="000000"/>
        </w:rPr>
        <w:t> </w:t>
      </w:r>
      <w:r>
        <w:rPr>
          <w:i/>
          <w:iCs/>
          <w:color w:val="000000"/>
        </w:rPr>
        <w:t>researchgate.net</w:t>
      </w:r>
      <w:r>
        <w:rPr>
          <w:color w:val="000000"/>
        </w:rPr>
        <w:t>. Available at: https://www.researchgate.net/figure/Action-research-spiral_fig2_267928281 [Accessed 27 Mar. 2025].</w:t>
      </w:r>
    </w:p>
    <w:p w14:paraId="29203086" w14:textId="77777777" w:rsidR="00B967FF" w:rsidRDefault="00B967FF" w:rsidP="00B967FF">
      <w:pPr>
        <w:pStyle w:val="NormalWeb"/>
        <w:spacing w:before="0" w:beforeAutospacing="0" w:after="240" w:afterAutospacing="0" w:line="360" w:lineRule="atLeast"/>
        <w:rPr>
          <w:color w:val="000000"/>
        </w:rPr>
      </w:pPr>
      <w:r>
        <w:rPr>
          <w:color w:val="000000"/>
        </w:rPr>
        <w:t>Ribeiro, Í.J.S., Pereira, R., Freire, I.V., de Oliveira, B.G., Casotti, C.A. and Boery, E.N. (2018). Stress and Quality of Life among University Students: a Systematic Literature Review.</w:t>
      </w:r>
      <w:r>
        <w:rPr>
          <w:rStyle w:val="apple-converted-space"/>
          <w:rFonts w:eastAsiaTheme="majorEastAsia"/>
          <w:color w:val="000000"/>
        </w:rPr>
        <w:t> </w:t>
      </w:r>
      <w:r>
        <w:rPr>
          <w:i/>
          <w:iCs/>
          <w:color w:val="000000"/>
        </w:rPr>
        <w:t>Health Professions Education</w:t>
      </w:r>
      <w:r>
        <w:rPr>
          <w:color w:val="000000"/>
        </w:rPr>
        <w:t>, [online] 4(2), pp.70–77. doi:https://doi.org/10.1016/j.hpe.2017.03.002.</w:t>
      </w:r>
    </w:p>
    <w:p w14:paraId="52F24C4F" w14:textId="77777777" w:rsidR="00B967FF" w:rsidRDefault="00B967FF" w:rsidP="00B967FF">
      <w:pPr>
        <w:pStyle w:val="NormalWeb"/>
        <w:spacing w:before="0" w:beforeAutospacing="0" w:after="240" w:afterAutospacing="0" w:line="360" w:lineRule="atLeast"/>
        <w:rPr>
          <w:color w:val="000000"/>
        </w:rPr>
      </w:pPr>
      <w:r>
        <w:rPr>
          <w:color w:val="000000"/>
        </w:rPr>
        <w:lastRenderedPageBreak/>
        <w:t>Rosvall, P.-Å. (2019). Perspectives of Students with Mental Health Problems on Improving the School Environment and Practice.</w:t>
      </w:r>
      <w:r>
        <w:rPr>
          <w:rStyle w:val="apple-converted-space"/>
          <w:rFonts w:eastAsiaTheme="majorEastAsia"/>
          <w:color w:val="000000"/>
        </w:rPr>
        <w:t> </w:t>
      </w:r>
      <w:r>
        <w:rPr>
          <w:i/>
          <w:iCs/>
          <w:color w:val="000000"/>
        </w:rPr>
        <w:t>Education Inquiry</w:t>
      </w:r>
      <w:r>
        <w:rPr>
          <w:color w:val="000000"/>
        </w:rPr>
        <w:t>, 11(3), pp.1–16. doi:https://doi.org/10.1080/20004508.2019.1687394.</w:t>
      </w:r>
    </w:p>
    <w:p w14:paraId="3466656A" w14:textId="77777777" w:rsidR="00B967FF" w:rsidRDefault="00B967FF" w:rsidP="00B967FF">
      <w:pPr>
        <w:pStyle w:val="NormalWeb"/>
        <w:spacing w:before="0" w:beforeAutospacing="0" w:after="240" w:afterAutospacing="0" w:line="360" w:lineRule="atLeast"/>
        <w:rPr>
          <w:color w:val="000000"/>
        </w:rPr>
      </w:pPr>
      <w:r>
        <w:rPr>
          <w:color w:val="000000"/>
        </w:rPr>
        <w:t>Thompson, S. and Atkinson, C. (2022). Practitioners’ Views about Effective Mental Health and Well‐being Support for post‐16 Students Attending Special School.</w:t>
      </w:r>
      <w:r>
        <w:rPr>
          <w:rStyle w:val="apple-converted-space"/>
          <w:rFonts w:eastAsiaTheme="majorEastAsia"/>
          <w:color w:val="000000"/>
        </w:rPr>
        <w:t> </w:t>
      </w:r>
      <w:r>
        <w:rPr>
          <w:i/>
          <w:iCs/>
          <w:color w:val="000000"/>
        </w:rPr>
        <w:t>British Journal of Special Education</w:t>
      </w:r>
      <w:r>
        <w:rPr>
          <w:color w:val="000000"/>
        </w:rPr>
        <w:t>, 49(1). doi:https://doi.org/10.1111/1467-8578.12400.</w:t>
      </w:r>
    </w:p>
    <w:p w14:paraId="574D70DE" w14:textId="77777777" w:rsidR="00B967FF" w:rsidRDefault="00B967FF" w:rsidP="00B967FF">
      <w:pPr>
        <w:pStyle w:val="NormalWeb"/>
        <w:spacing w:before="0" w:beforeAutospacing="0" w:after="240" w:afterAutospacing="0" w:line="360" w:lineRule="atLeast"/>
        <w:rPr>
          <w:color w:val="000000"/>
        </w:rPr>
      </w:pPr>
      <w:r>
        <w:rPr>
          <w:color w:val="000000"/>
        </w:rPr>
        <w:t>Wada, M., Suto, M.J., Lee, M., Sanders, D., Sun, C., Le, T.N., Goldman-Hasbun, J. and Chauhan, S. (2019). University Students’ Perspectives on Mental Illness Stigma.</w:t>
      </w:r>
      <w:r>
        <w:rPr>
          <w:rStyle w:val="apple-converted-space"/>
          <w:rFonts w:eastAsiaTheme="majorEastAsia"/>
          <w:color w:val="000000"/>
        </w:rPr>
        <w:t> </w:t>
      </w:r>
      <w:r>
        <w:rPr>
          <w:i/>
          <w:iCs/>
          <w:color w:val="000000"/>
        </w:rPr>
        <w:t>Mental Health &amp; Prevention</w:t>
      </w:r>
      <w:r>
        <w:rPr>
          <w:color w:val="000000"/>
        </w:rPr>
        <w:t>, [online] 14(200159), p.200159. doi:https://doi.org/10.1016/j.mph.2019.200159.</w:t>
      </w:r>
    </w:p>
    <w:p w14:paraId="50EFDAED" w14:textId="77777777" w:rsidR="00B967FF" w:rsidRDefault="00B967FF" w:rsidP="00B967FF">
      <w:pPr>
        <w:pStyle w:val="NormalWeb"/>
        <w:spacing w:before="0" w:beforeAutospacing="0" w:after="240" w:afterAutospacing="0" w:line="360" w:lineRule="atLeast"/>
        <w:rPr>
          <w:color w:val="000000"/>
        </w:rPr>
      </w:pPr>
      <w:r>
        <w:rPr>
          <w:color w:val="000000"/>
        </w:rPr>
        <w:t>Wynaden, D., McAllister, M., Tohotoa, J., Al Omari, O., Heslop, K., Duggan, R., Murray, S., Happell, B. and Byrne, L. (2014). The Silence of Mental Health Issues within University Environments: a Quantitative Study.</w:t>
      </w:r>
      <w:r>
        <w:rPr>
          <w:rStyle w:val="apple-converted-space"/>
          <w:rFonts w:eastAsiaTheme="majorEastAsia"/>
          <w:color w:val="000000"/>
        </w:rPr>
        <w:t> </w:t>
      </w:r>
      <w:r>
        <w:rPr>
          <w:i/>
          <w:iCs/>
          <w:color w:val="000000"/>
        </w:rPr>
        <w:t>Archives of Psychiatric Nursing</w:t>
      </w:r>
      <w:r>
        <w:rPr>
          <w:color w:val="000000"/>
        </w:rPr>
        <w:t>, [online] 28(5), pp.339–344. doi:https://doi.org/10.1016/j.apnu.2014.08.003.</w:t>
      </w:r>
    </w:p>
    <w:p w14:paraId="055826ED" w14:textId="77777777" w:rsidR="00B967FF" w:rsidRPr="00476F6D" w:rsidRDefault="00B967FF" w:rsidP="00DD5969"/>
    <w:sectPr w:rsidR="00B967FF" w:rsidRPr="00476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31DA6"/>
    <w:multiLevelType w:val="hybridMultilevel"/>
    <w:tmpl w:val="30DA6978"/>
    <w:lvl w:ilvl="0" w:tplc="6B1EBB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B3A35BA"/>
    <w:multiLevelType w:val="hybridMultilevel"/>
    <w:tmpl w:val="65586AE8"/>
    <w:lvl w:ilvl="0" w:tplc="B8B8059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69313C"/>
    <w:multiLevelType w:val="hybridMultilevel"/>
    <w:tmpl w:val="13FAE14A"/>
    <w:lvl w:ilvl="0" w:tplc="CC1E33C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50CD3"/>
    <w:multiLevelType w:val="hybridMultilevel"/>
    <w:tmpl w:val="6304F2A8"/>
    <w:lvl w:ilvl="0" w:tplc="C8B8D7AC">
      <w:start w:val="1"/>
      <w:numFmt w:val="bullet"/>
      <w:lvlText w:val=""/>
      <w:lvlJc w:val="left"/>
      <w:pPr>
        <w:ind w:left="720" w:hanging="360"/>
      </w:pPr>
      <w:rPr>
        <w:rFonts w:ascii="Symbol" w:hAnsi="Symbol" w:hint="default"/>
      </w:rPr>
    </w:lvl>
    <w:lvl w:ilvl="1" w:tplc="70586312">
      <w:start w:val="1"/>
      <w:numFmt w:val="bullet"/>
      <w:lvlText w:val="o"/>
      <w:lvlJc w:val="left"/>
      <w:pPr>
        <w:ind w:left="1440" w:hanging="360"/>
      </w:pPr>
      <w:rPr>
        <w:rFonts w:ascii="Courier New" w:hAnsi="Courier New" w:hint="default"/>
      </w:rPr>
    </w:lvl>
    <w:lvl w:ilvl="2" w:tplc="2A52EA02">
      <w:start w:val="1"/>
      <w:numFmt w:val="bullet"/>
      <w:lvlText w:val=""/>
      <w:lvlJc w:val="left"/>
      <w:pPr>
        <w:ind w:left="2160" w:hanging="360"/>
      </w:pPr>
      <w:rPr>
        <w:rFonts w:ascii="Wingdings" w:hAnsi="Wingdings" w:hint="default"/>
      </w:rPr>
    </w:lvl>
    <w:lvl w:ilvl="3" w:tplc="FB6E6428">
      <w:start w:val="1"/>
      <w:numFmt w:val="bullet"/>
      <w:lvlText w:val=""/>
      <w:lvlJc w:val="left"/>
      <w:pPr>
        <w:ind w:left="2880" w:hanging="360"/>
      </w:pPr>
      <w:rPr>
        <w:rFonts w:ascii="Symbol" w:hAnsi="Symbol" w:hint="default"/>
      </w:rPr>
    </w:lvl>
    <w:lvl w:ilvl="4" w:tplc="BEA0B86A">
      <w:start w:val="1"/>
      <w:numFmt w:val="bullet"/>
      <w:lvlText w:val="o"/>
      <w:lvlJc w:val="left"/>
      <w:pPr>
        <w:ind w:left="3600" w:hanging="360"/>
      </w:pPr>
      <w:rPr>
        <w:rFonts w:ascii="Courier New" w:hAnsi="Courier New" w:hint="default"/>
      </w:rPr>
    </w:lvl>
    <w:lvl w:ilvl="5" w:tplc="56AED0A0">
      <w:start w:val="1"/>
      <w:numFmt w:val="bullet"/>
      <w:lvlText w:val=""/>
      <w:lvlJc w:val="left"/>
      <w:pPr>
        <w:ind w:left="4320" w:hanging="360"/>
      </w:pPr>
      <w:rPr>
        <w:rFonts w:ascii="Wingdings" w:hAnsi="Wingdings" w:hint="default"/>
      </w:rPr>
    </w:lvl>
    <w:lvl w:ilvl="6" w:tplc="39CEF146">
      <w:start w:val="1"/>
      <w:numFmt w:val="bullet"/>
      <w:lvlText w:val=""/>
      <w:lvlJc w:val="left"/>
      <w:pPr>
        <w:ind w:left="5040" w:hanging="360"/>
      </w:pPr>
      <w:rPr>
        <w:rFonts w:ascii="Symbol" w:hAnsi="Symbol" w:hint="default"/>
      </w:rPr>
    </w:lvl>
    <w:lvl w:ilvl="7" w:tplc="A3660CA4">
      <w:start w:val="1"/>
      <w:numFmt w:val="bullet"/>
      <w:lvlText w:val="o"/>
      <w:lvlJc w:val="left"/>
      <w:pPr>
        <w:ind w:left="5760" w:hanging="360"/>
      </w:pPr>
      <w:rPr>
        <w:rFonts w:ascii="Courier New" w:hAnsi="Courier New" w:hint="default"/>
      </w:rPr>
    </w:lvl>
    <w:lvl w:ilvl="8" w:tplc="47F61DA4">
      <w:start w:val="1"/>
      <w:numFmt w:val="bullet"/>
      <w:lvlText w:val=""/>
      <w:lvlJc w:val="left"/>
      <w:pPr>
        <w:ind w:left="6480" w:hanging="360"/>
      </w:pPr>
      <w:rPr>
        <w:rFonts w:ascii="Wingdings" w:hAnsi="Wingdings" w:hint="default"/>
      </w:rPr>
    </w:lvl>
  </w:abstractNum>
  <w:abstractNum w:abstractNumId="4" w15:restartNumberingAfterBreak="0">
    <w:nsid w:val="73F726A8"/>
    <w:multiLevelType w:val="hybridMultilevel"/>
    <w:tmpl w:val="30C67B62"/>
    <w:lvl w:ilvl="0" w:tplc="659469D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402158">
    <w:abstractNumId w:val="3"/>
  </w:num>
  <w:num w:numId="2" w16cid:durableId="403573324">
    <w:abstractNumId w:val="0"/>
  </w:num>
  <w:num w:numId="3" w16cid:durableId="257563254">
    <w:abstractNumId w:val="2"/>
  </w:num>
  <w:num w:numId="4" w16cid:durableId="234318066">
    <w:abstractNumId w:val="1"/>
  </w:num>
  <w:num w:numId="5" w16cid:durableId="6554554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7C25"/>
    <w:rsid w:val="00061BBC"/>
    <w:rsid w:val="00063ADC"/>
    <w:rsid w:val="000A2E17"/>
    <w:rsid w:val="000A470F"/>
    <w:rsid w:val="000C144A"/>
    <w:rsid w:val="000C541C"/>
    <w:rsid w:val="000C68CB"/>
    <w:rsid w:val="000D5B34"/>
    <w:rsid w:val="0010406A"/>
    <w:rsid w:val="00110DEC"/>
    <w:rsid w:val="001118FB"/>
    <w:rsid w:val="00115538"/>
    <w:rsid w:val="00116EF4"/>
    <w:rsid w:val="00135DD1"/>
    <w:rsid w:val="00164156"/>
    <w:rsid w:val="001819DF"/>
    <w:rsid w:val="001B086C"/>
    <w:rsid w:val="001C6E70"/>
    <w:rsid w:val="00257F39"/>
    <w:rsid w:val="00262DC1"/>
    <w:rsid w:val="002C1254"/>
    <w:rsid w:val="002D3A9E"/>
    <w:rsid w:val="002F243A"/>
    <w:rsid w:val="00301906"/>
    <w:rsid w:val="00302BB1"/>
    <w:rsid w:val="003341DF"/>
    <w:rsid w:val="00347EA1"/>
    <w:rsid w:val="00382546"/>
    <w:rsid w:val="00385B11"/>
    <w:rsid w:val="003A4B66"/>
    <w:rsid w:val="003A709B"/>
    <w:rsid w:val="003D223A"/>
    <w:rsid w:val="00417AB6"/>
    <w:rsid w:val="00476F6D"/>
    <w:rsid w:val="004D474C"/>
    <w:rsid w:val="0053246E"/>
    <w:rsid w:val="00536CFB"/>
    <w:rsid w:val="00543F5E"/>
    <w:rsid w:val="005754B6"/>
    <w:rsid w:val="00584970"/>
    <w:rsid w:val="005908B1"/>
    <w:rsid w:val="005B783A"/>
    <w:rsid w:val="005F42D0"/>
    <w:rsid w:val="005F7C42"/>
    <w:rsid w:val="00620332"/>
    <w:rsid w:val="0062310A"/>
    <w:rsid w:val="00644CD6"/>
    <w:rsid w:val="00664B16"/>
    <w:rsid w:val="006B52C3"/>
    <w:rsid w:val="007203C3"/>
    <w:rsid w:val="007352C0"/>
    <w:rsid w:val="00743752"/>
    <w:rsid w:val="007D3AE1"/>
    <w:rsid w:val="007D777F"/>
    <w:rsid w:val="007E01E0"/>
    <w:rsid w:val="00803155"/>
    <w:rsid w:val="00840BEE"/>
    <w:rsid w:val="00851EDB"/>
    <w:rsid w:val="008D7180"/>
    <w:rsid w:val="008F1086"/>
    <w:rsid w:val="009060A0"/>
    <w:rsid w:val="0091355A"/>
    <w:rsid w:val="00917008"/>
    <w:rsid w:val="00935B8D"/>
    <w:rsid w:val="009B164A"/>
    <w:rsid w:val="00A23D6E"/>
    <w:rsid w:val="00A476E3"/>
    <w:rsid w:val="00AD7313"/>
    <w:rsid w:val="00AE2AA9"/>
    <w:rsid w:val="00AE3307"/>
    <w:rsid w:val="00B028A8"/>
    <w:rsid w:val="00B103B9"/>
    <w:rsid w:val="00B23549"/>
    <w:rsid w:val="00B42784"/>
    <w:rsid w:val="00B51B61"/>
    <w:rsid w:val="00B724BB"/>
    <w:rsid w:val="00B967FF"/>
    <w:rsid w:val="00BE2A35"/>
    <w:rsid w:val="00BE3554"/>
    <w:rsid w:val="00C07A46"/>
    <w:rsid w:val="00C129B8"/>
    <w:rsid w:val="00C24461"/>
    <w:rsid w:val="00C2550A"/>
    <w:rsid w:val="00C4699D"/>
    <w:rsid w:val="00CF32AC"/>
    <w:rsid w:val="00D24ADF"/>
    <w:rsid w:val="00D26517"/>
    <w:rsid w:val="00D33868"/>
    <w:rsid w:val="00DC55F3"/>
    <w:rsid w:val="00DD5969"/>
    <w:rsid w:val="00E10797"/>
    <w:rsid w:val="00E243A8"/>
    <w:rsid w:val="00E26652"/>
    <w:rsid w:val="00E6747C"/>
    <w:rsid w:val="00EA0B9A"/>
    <w:rsid w:val="00EA15D1"/>
    <w:rsid w:val="00EA6220"/>
    <w:rsid w:val="00EC1771"/>
    <w:rsid w:val="00F74D8E"/>
    <w:rsid w:val="00F8089C"/>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B967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96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653756446">
      <w:bodyDiv w:val="1"/>
      <w:marLeft w:val="0"/>
      <w:marRight w:val="0"/>
      <w:marTop w:val="0"/>
      <w:marBottom w:val="0"/>
      <w:divBdr>
        <w:top w:val="none" w:sz="0" w:space="0" w:color="auto"/>
        <w:left w:val="none" w:sz="0" w:space="0" w:color="auto"/>
        <w:bottom w:val="none" w:sz="0" w:space="0" w:color="auto"/>
        <w:right w:val="none" w:sz="0" w:space="0" w:color="auto"/>
      </w:divBdr>
      <w:divsChild>
        <w:div w:id="1963876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21</Pages>
  <Words>6241</Words>
  <Characters>35575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Saskia Stocks (1802572)</cp:lastModifiedBy>
  <cp:revision>3</cp:revision>
  <dcterms:created xsi:type="dcterms:W3CDTF">2025-03-28T15:11:00Z</dcterms:created>
  <dcterms:modified xsi:type="dcterms:W3CDTF">2025-03-28T15:26:00Z</dcterms:modified>
</cp:coreProperties>
</file>