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78BE9" w14:textId="4CC65A4C" w:rsidR="00F23A5B" w:rsidRDefault="00E57288" w:rsidP="00E57288">
      <w:pPr>
        <w:pStyle w:val="Heading1"/>
      </w:pPr>
      <w:r>
        <w:t xml:space="preserve">                                                  </w:t>
      </w:r>
      <w:r w:rsidR="00F23A5B">
        <w:t>TECH-HUB</w:t>
      </w:r>
    </w:p>
    <w:p w14:paraId="2FAF461B" w14:textId="77777777" w:rsidR="00F23A5B" w:rsidRDefault="00F23A5B" w:rsidP="00F23A5B">
      <w:pPr>
        <w:pStyle w:val="Heading1"/>
        <w:jc w:val="center"/>
      </w:pPr>
      <w:r>
        <w:t xml:space="preserve">Global Community for Technology Digital Entrepreneurship </w:t>
      </w:r>
    </w:p>
    <w:p w14:paraId="72215931" w14:textId="77777777" w:rsidR="00F23A5B" w:rsidRPr="00DF2482" w:rsidRDefault="00F23A5B" w:rsidP="00F23A5B">
      <w:pPr>
        <w:pStyle w:val="Heading1"/>
        <w:jc w:val="center"/>
      </w:pPr>
      <w:r>
        <w:t xml:space="preserve">&amp; Co-working Business </w:t>
      </w:r>
    </w:p>
    <w:p w14:paraId="04678F69" w14:textId="77777777" w:rsidR="00F23A5B" w:rsidRDefault="00F23A5B" w:rsidP="00F23A5B">
      <w:pPr>
        <w:pStyle w:val="Heading2"/>
        <w:spacing w:line="360" w:lineRule="auto"/>
        <w:jc w:val="center"/>
      </w:pPr>
      <w:r>
        <w:t xml:space="preserve">Digitalise your Customer Journey </w:t>
      </w:r>
    </w:p>
    <w:p w14:paraId="13F5641F" w14:textId="77777777" w:rsidR="00F23A5B" w:rsidRDefault="00F23A5B" w:rsidP="00F23A5B">
      <w:pPr>
        <w:pStyle w:val="Heading2"/>
        <w:spacing w:line="360" w:lineRule="auto"/>
        <w:jc w:val="center"/>
      </w:pPr>
      <w:r>
        <w:t>(Critical Evaluation of Digital Management Activities)</w:t>
      </w:r>
    </w:p>
    <w:p w14:paraId="4244C666" w14:textId="26872764" w:rsidR="00E57288" w:rsidRDefault="00E57288" w:rsidP="00E57288">
      <w:pPr>
        <w:pStyle w:val="Heading1"/>
        <w:spacing w:before="0" w:line="360" w:lineRule="auto"/>
      </w:pPr>
      <w:r>
        <w:t xml:space="preserve">                                    </w:t>
      </w:r>
      <w:r w:rsidR="00E67571">
        <w:t xml:space="preserve">          (Task 2 Part A &amp; B</w:t>
      </w:r>
      <w:r>
        <w:t xml:space="preserve"> </w:t>
      </w:r>
      <w:r w:rsidR="00E67571">
        <w:t>)</w:t>
      </w:r>
      <w:r>
        <w:t xml:space="preserve">        </w:t>
      </w:r>
    </w:p>
    <w:p w14:paraId="36489EE3" w14:textId="429DAA68" w:rsidR="00F23A5B" w:rsidRDefault="009D1E41" w:rsidP="00E57288">
      <w:pPr>
        <w:pStyle w:val="Heading1"/>
        <w:spacing w:before="0" w:line="360" w:lineRule="auto"/>
      </w:pPr>
      <w:r>
        <w:t xml:space="preserve">                                          </w:t>
      </w:r>
      <w:r w:rsidR="00F23A5B">
        <w:t xml:space="preserve">By Omar Roushdi </w:t>
      </w:r>
      <w:r>
        <w:t>1807791</w:t>
      </w:r>
    </w:p>
    <w:p w14:paraId="1B044069" w14:textId="77777777" w:rsidR="00F23A5B" w:rsidRDefault="00F23A5B" w:rsidP="00F23A5B">
      <w:pPr>
        <w:pStyle w:val="Heading1"/>
        <w:spacing w:before="0" w:line="360" w:lineRule="auto"/>
        <w:jc w:val="center"/>
      </w:pPr>
      <w:r>
        <w:t xml:space="preserve">University of Wales Trinity Saint David </w:t>
      </w:r>
    </w:p>
    <w:p w14:paraId="0D27BCBC" w14:textId="7B2851B4" w:rsidR="00F23A5B" w:rsidRDefault="00F23A5B" w:rsidP="00F23A5B">
      <w:pPr>
        <w:pStyle w:val="Heading1"/>
        <w:spacing w:before="0" w:line="360" w:lineRule="auto"/>
        <w:jc w:val="center"/>
      </w:pPr>
      <w:r>
        <w:t xml:space="preserve">September </w:t>
      </w:r>
      <w:r w:rsidR="00CB1D6C">
        <w:t>12/09</w:t>
      </w:r>
      <w:r>
        <w:t>/ 2023</w:t>
      </w:r>
    </w:p>
    <w:p w14:paraId="488041CD" w14:textId="77777777" w:rsidR="00F23A5B" w:rsidRDefault="00F23A5B" w:rsidP="00F23A5B">
      <w:pPr>
        <w:pStyle w:val="Heading1"/>
        <w:spacing w:before="0" w:line="360" w:lineRule="auto"/>
        <w:jc w:val="center"/>
      </w:pPr>
      <w:r>
        <w:t xml:space="preserve"> Lecturer:</w:t>
      </w:r>
      <w:r w:rsidRPr="007C2831">
        <w:t xml:space="preserve"> Roisin Mullins</w:t>
      </w:r>
      <w:r>
        <w:t xml:space="preserve"> </w:t>
      </w:r>
    </w:p>
    <w:p w14:paraId="7B693694" w14:textId="77777777" w:rsidR="00F23A5B" w:rsidRDefault="00F23A5B" w:rsidP="00F23A5B">
      <w:pPr>
        <w:pStyle w:val="Heading1"/>
        <w:spacing w:before="0" w:line="360" w:lineRule="auto"/>
        <w:jc w:val="center"/>
      </w:pPr>
      <w:r>
        <w:t xml:space="preserve">  </w:t>
      </w:r>
      <w:r w:rsidRPr="007C2831">
        <w:t>Digital Entrepreneurship</w:t>
      </w:r>
      <w:r>
        <w:t xml:space="preserve"> (</w:t>
      </w:r>
      <w:r w:rsidRPr="007C2831">
        <w:t>BMMB7002D</w:t>
      </w:r>
      <w:r>
        <w:t>)</w:t>
      </w:r>
    </w:p>
    <w:p w14:paraId="0E5FB531" w14:textId="77777777" w:rsidR="00F23A5B" w:rsidRDefault="00F23A5B" w:rsidP="00F23A5B">
      <w:pPr>
        <w:pStyle w:val="Heading1"/>
        <w:spacing w:line="360" w:lineRule="auto"/>
        <w:jc w:val="center"/>
      </w:pPr>
    </w:p>
    <w:p w14:paraId="08B6E229" w14:textId="77777777" w:rsidR="00F23A5B" w:rsidRDefault="00F23A5B" w:rsidP="00F23A5B"/>
    <w:p w14:paraId="6B0EEBB3" w14:textId="77777777" w:rsidR="00F23A5B" w:rsidRDefault="00F23A5B" w:rsidP="00F23A5B"/>
    <w:p w14:paraId="367523B2" w14:textId="77777777" w:rsidR="00F23A5B" w:rsidRDefault="00F23A5B" w:rsidP="00F23A5B"/>
    <w:p w14:paraId="46E72C45" w14:textId="77777777" w:rsidR="00F23A5B" w:rsidRDefault="00F23A5B" w:rsidP="00F23A5B"/>
    <w:p w14:paraId="2D9A2D48" w14:textId="77777777" w:rsidR="00F23A5B" w:rsidRDefault="00F23A5B" w:rsidP="00F23A5B"/>
    <w:p w14:paraId="0EC7F14F" w14:textId="77777777" w:rsidR="00F23A5B" w:rsidRDefault="00F23A5B" w:rsidP="00F23A5B"/>
    <w:p w14:paraId="2781287C" w14:textId="77777777" w:rsidR="00F23A5B" w:rsidRDefault="00F23A5B" w:rsidP="00F23A5B"/>
    <w:p w14:paraId="20FAED26" w14:textId="77777777" w:rsidR="00F23A5B" w:rsidRDefault="00F23A5B" w:rsidP="00F23A5B"/>
    <w:p w14:paraId="556884F3" w14:textId="77777777" w:rsidR="00F23A5B" w:rsidRDefault="00F23A5B" w:rsidP="00F23A5B"/>
    <w:p w14:paraId="25C13652" w14:textId="77777777" w:rsidR="00F23A5B" w:rsidRDefault="00F23A5B" w:rsidP="00F23A5B"/>
    <w:p w14:paraId="004DABAE" w14:textId="77777777" w:rsidR="00F23A5B" w:rsidRDefault="00F23A5B" w:rsidP="00F23A5B"/>
    <w:p w14:paraId="3EBFD50E" w14:textId="77777777" w:rsidR="00F23A5B" w:rsidRDefault="00F23A5B" w:rsidP="00F23A5B">
      <w:pPr>
        <w:pStyle w:val="Heading1"/>
      </w:pPr>
      <w:r>
        <w:lastRenderedPageBreak/>
        <w:t>Executive Summary:</w:t>
      </w:r>
    </w:p>
    <w:p w14:paraId="605D3F52" w14:textId="33245CB1"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Co-working is a dynamic and innovative business model that has revolutionized the way people work, collaborate, and utilize office space</w:t>
      </w:r>
      <w:r>
        <w:rPr>
          <w:rFonts w:asciiTheme="minorHAnsi" w:eastAsiaTheme="minorHAnsi" w:hAnsiTheme="minorHAnsi" w:cstheme="minorBidi"/>
          <w:color w:val="auto"/>
          <w:sz w:val="22"/>
          <w:szCs w:val="22"/>
        </w:rPr>
        <w:t xml:space="preserve"> (</w:t>
      </w:r>
      <w:r w:rsidR="00EE7651" w:rsidRPr="00EE7651">
        <w:rPr>
          <w:rFonts w:asciiTheme="minorHAnsi" w:eastAsiaTheme="minorHAnsi" w:hAnsiTheme="minorHAnsi" w:cstheme="minorBidi"/>
          <w:color w:val="auto"/>
          <w:sz w:val="22"/>
          <w:szCs w:val="22"/>
        </w:rPr>
        <w:t>(</w:t>
      </w:r>
      <w:proofErr w:type="spellStart"/>
      <w:r w:rsidR="00EE7651" w:rsidRPr="00EE7651">
        <w:rPr>
          <w:rFonts w:asciiTheme="minorHAnsi" w:eastAsiaTheme="minorHAnsi" w:hAnsiTheme="minorHAnsi" w:cstheme="minorBidi"/>
          <w:color w:val="auto"/>
          <w:sz w:val="22"/>
          <w:szCs w:val="22"/>
        </w:rPr>
        <w:t>Bouncken</w:t>
      </w:r>
      <w:proofErr w:type="spellEnd"/>
      <w:r w:rsidR="00EE7651" w:rsidRPr="00EE7651">
        <w:rPr>
          <w:rFonts w:asciiTheme="minorHAnsi" w:eastAsiaTheme="minorHAnsi" w:hAnsiTheme="minorHAnsi" w:cstheme="minorBidi"/>
          <w:color w:val="auto"/>
          <w:sz w:val="22"/>
          <w:szCs w:val="22"/>
        </w:rPr>
        <w:t xml:space="preserve"> &amp; Ratzmann,</w:t>
      </w:r>
      <w:r>
        <w:rPr>
          <w:rFonts w:asciiTheme="minorHAnsi" w:eastAsiaTheme="minorHAnsi" w:hAnsiTheme="minorHAnsi" w:cstheme="minorBidi"/>
          <w:color w:val="auto"/>
          <w:sz w:val="22"/>
          <w:szCs w:val="22"/>
        </w:rPr>
        <w:t xml:space="preserve">2020). </w:t>
      </w:r>
      <w:r w:rsidRPr="003C122E">
        <w:rPr>
          <w:rFonts w:asciiTheme="minorHAnsi" w:eastAsiaTheme="minorHAnsi" w:hAnsiTheme="minorHAnsi" w:cstheme="minorBidi"/>
          <w:color w:val="auto"/>
          <w:sz w:val="22"/>
          <w:szCs w:val="22"/>
        </w:rPr>
        <w:t>It represents a departure from traditional office setups and offers a flexible and community-driven approach to work environments. In this introduction, we will explore the concept of co-working and its evolution into a thriving industry.</w:t>
      </w:r>
    </w:p>
    <w:p w14:paraId="74530EB8"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Co-working spaces are shared workspaces where individuals, freelancers, startups, and even established companies can rent desks, private offices, or meeting rooms on a flexible basis. These spaces often come equipped with essential amenities such as high-speed internet, printing facilities, and communal areas like kitchens and lounges. What sets co-working apart is its emphasis on fostering a sense of community and collaboration among diverse professionals who share the same workspace.</w:t>
      </w:r>
    </w:p>
    <w:p w14:paraId="31689232"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The co-working trend gained momentum in the early 2000s, driven by factors such as the rise of remote work, the gig economy, and the desire for more flexible work arrangements. Entrepreneurs and innovators recognized the potential to create environments that combine the benefits of a traditional office with the flexibility and cost-efficiency that modern workers crave</w:t>
      </w:r>
      <w:r>
        <w:rPr>
          <w:rFonts w:asciiTheme="minorHAnsi" w:eastAsiaTheme="minorHAnsi" w:hAnsiTheme="minorHAnsi" w:cstheme="minorBidi"/>
          <w:color w:val="auto"/>
          <w:sz w:val="22"/>
          <w:szCs w:val="22"/>
        </w:rPr>
        <w:t>. (</w:t>
      </w:r>
      <w:proofErr w:type="spellStart"/>
      <w:r>
        <w:rPr>
          <w:rFonts w:asciiTheme="minorHAnsi" w:eastAsiaTheme="minorHAnsi" w:hAnsiTheme="minorHAnsi" w:cstheme="minorBidi"/>
          <w:color w:val="auto"/>
          <w:sz w:val="22"/>
          <w:szCs w:val="22"/>
        </w:rPr>
        <w:t>B</w:t>
      </w:r>
      <w:r w:rsidRPr="004D67FE">
        <w:rPr>
          <w:rFonts w:asciiTheme="minorHAnsi" w:eastAsiaTheme="minorHAnsi" w:hAnsiTheme="minorHAnsi" w:cstheme="minorBidi"/>
          <w:color w:val="auto"/>
          <w:sz w:val="22"/>
          <w:szCs w:val="22"/>
        </w:rPr>
        <w:t>ouncken</w:t>
      </w:r>
      <w:proofErr w:type="spellEnd"/>
      <w:r w:rsidRPr="004D67FE">
        <w:rPr>
          <w:rFonts w:asciiTheme="minorHAnsi" w:eastAsiaTheme="minorHAnsi" w:hAnsiTheme="minorHAnsi" w:cstheme="minorBidi"/>
          <w:color w:val="auto"/>
          <w:sz w:val="22"/>
          <w:szCs w:val="22"/>
        </w:rPr>
        <w:t>, R.B., Laudien,</w:t>
      </w:r>
      <w:r>
        <w:rPr>
          <w:rFonts w:asciiTheme="minorHAnsi" w:eastAsiaTheme="minorHAnsi" w:hAnsiTheme="minorHAnsi" w:cstheme="minorBidi"/>
          <w:color w:val="auto"/>
          <w:sz w:val="22"/>
          <w:szCs w:val="22"/>
        </w:rPr>
        <w:t>2018).</w:t>
      </w:r>
    </w:p>
    <w:p w14:paraId="13BD4AA1"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The advantages of co-working are multifaceted. For individuals and small teams, it provides access to professional workspaces without the overhead costs of leasing a traditional office. Additionally, co-working spaces often host networking events, workshops, and other activities that facilitate collaboration and skill-sharing among their members. Larger organizations also see value in co-working, using these spaces to tap into diverse talent pools, establish satellite offices, or provide flexible work options for their employees</w:t>
      </w:r>
      <w:r>
        <w:rPr>
          <w:rFonts w:asciiTheme="minorHAnsi" w:eastAsiaTheme="minorHAnsi" w:hAnsiTheme="minorHAnsi" w:cstheme="minorBidi"/>
          <w:color w:val="auto"/>
          <w:sz w:val="22"/>
          <w:szCs w:val="22"/>
        </w:rPr>
        <w:t xml:space="preserve"> (</w:t>
      </w:r>
      <w:proofErr w:type="spellStart"/>
      <w:r w:rsidRPr="00CC3A50">
        <w:rPr>
          <w:rFonts w:asciiTheme="minorHAnsi" w:eastAsiaTheme="minorHAnsi" w:hAnsiTheme="minorHAnsi" w:cstheme="minorBidi"/>
          <w:color w:val="auto"/>
          <w:sz w:val="22"/>
          <w:szCs w:val="22"/>
        </w:rPr>
        <w:t>Houtbeckers</w:t>
      </w:r>
      <w:proofErr w:type="spellEnd"/>
      <w:r w:rsidRPr="00CC3A50">
        <w:rPr>
          <w:rFonts w:asciiTheme="minorHAnsi" w:eastAsiaTheme="minorHAnsi" w:hAnsiTheme="minorHAnsi" w:cstheme="minorBidi"/>
          <w:color w:val="auto"/>
          <w:sz w:val="22"/>
          <w:szCs w:val="22"/>
        </w:rPr>
        <w:t>, E., 2017</w:t>
      </w:r>
      <w:r>
        <w:rPr>
          <w:rFonts w:asciiTheme="minorHAnsi" w:eastAsiaTheme="minorHAnsi" w:hAnsiTheme="minorHAnsi" w:cstheme="minorBidi"/>
          <w:color w:val="auto"/>
          <w:sz w:val="22"/>
          <w:szCs w:val="22"/>
        </w:rPr>
        <w:t>).</w:t>
      </w:r>
    </w:p>
    <w:p w14:paraId="5FE4BA62"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As the co-working industry continues to evolve, it has expanded beyond major cities and into suburban and even rural areas, making it accessible to a broader range of professionals. Additionally, co-working operators have diversified their offerings, catering to specific niches and industries, such as tech startups, creative professionals, or wellness-focused entrepreneurs.</w:t>
      </w:r>
      <w:r>
        <w:rPr>
          <w:rFonts w:asciiTheme="minorHAnsi" w:eastAsiaTheme="minorHAnsi" w:hAnsiTheme="minorHAnsi" w:cstheme="minorBidi"/>
          <w:color w:val="auto"/>
          <w:sz w:val="22"/>
          <w:szCs w:val="22"/>
        </w:rPr>
        <w:t xml:space="preserve"> (</w:t>
      </w:r>
      <w:r w:rsidRPr="0053499B">
        <w:rPr>
          <w:rFonts w:asciiTheme="minorHAnsi" w:eastAsiaTheme="minorHAnsi" w:hAnsiTheme="minorHAnsi" w:cstheme="minorBidi"/>
          <w:color w:val="auto"/>
          <w:sz w:val="22"/>
          <w:szCs w:val="22"/>
        </w:rPr>
        <w:t xml:space="preserve">Mitev, N., De </w:t>
      </w:r>
      <w:proofErr w:type="spellStart"/>
      <w:r w:rsidRPr="0053499B">
        <w:rPr>
          <w:rFonts w:asciiTheme="minorHAnsi" w:eastAsiaTheme="minorHAnsi" w:hAnsiTheme="minorHAnsi" w:cstheme="minorBidi"/>
          <w:color w:val="auto"/>
          <w:sz w:val="22"/>
          <w:szCs w:val="22"/>
        </w:rPr>
        <w:t>Vaujany</w:t>
      </w:r>
      <w:proofErr w:type="spellEnd"/>
      <w:r w:rsidRPr="0053499B">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etl,2019)</w:t>
      </w:r>
    </w:p>
    <w:p w14:paraId="64CF2EC5"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However, the co-working industry is not without its challenges. The COVID-19 pandemic exposed vulnerabilities in the model, as remote work became the norm, leading some co-working spaces to temporarily close or adapt to new health and safety protocols. Nevertheless, the adaptability and innovation of the co-working industry have proven resilient, and it is expected to remain a significant player in the future of work.</w:t>
      </w:r>
    </w:p>
    <w:p w14:paraId="7B422E5A" w14:textId="77777777" w:rsidR="00F23A5B" w:rsidRPr="003C122E" w:rsidRDefault="00F23A5B" w:rsidP="00F23A5B">
      <w:pPr>
        <w:pStyle w:val="Heading1"/>
        <w:rPr>
          <w:rFonts w:asciiTheme="minorHAnsi" w:eastAsiaTheme="minorHAnsi" w:hAnsiTheme="minorHAnsi" w:cstheme="minorBidi"/>
          <w:color w:val="auto"/>
          <w:sz w:val="22"/>
          <w:szCs w:val="22"/>
        </w:rPr>
      </w:pPr>
      <w:r w:rsidRPr="003C122E">
        <w:rPr>
          <w:rFonts w:asciiTheme="minorHAnsi" w:eastAsiaTheme="minorHAnsi" w:hAnsiTheme="minorHAnsi" w:cstheme="minorBidi"/>
          <w:color w:val="auto"/>
          <w:sz w:val="22"/>
          <w:szCs w:val="22"/>
        </w:rPr>
        <w:t>In conclusion, co-working is a transformative concept that has redefined the way people approach workspaces and collaboration. It provides a flexible, community-driven, and cost-effective solution for a wide range of professionals and organizations. With its ongoing evolution and ability to adapt to changing work trends, the co-working business is poised to continue shaping the future of workspaces and the way we work.</w:t>
      </w:r>
    </w:p>
    <w:p w14:paraId="34F93D63" w14:textId="77777777" w:rsidR="00F23A5B" w:rsidRDefault="00F23A5B" w:rsidP="00F23A5B">
      <w:pPr>
        <w:pStyle w:val="Heading1"/>
        <w:rPr>
          <w:rFonts w:asciiTheme="minorHAnsi" w:eastAsiaTheme="minorHAnsi" w:hAnsiTheme="minorHAnsi" w:cstheme="minorBidi"/>
          <w:color w:val="auto"/>
          <w:sz w:val="22"/>
          <w:szCs w:val="22"/>
        </w:rPr>
      </w:pPr>
    </w:p>
    <w:p w14:paraId="58B4E132"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lastRenderedPageBreak/>
        <w:t>This business report critically evaluates TECH-HUB, a leading technology and co-working space company, in the context of the COVID-19 pandemic. It aims to provide insights into reshaping the organization's strategic direction to ensure continued innovation, customer care, resilience, and sustainable competitive advantage. The report employs the PESTEL (Political, Economic, Technological, Legal) and SWOT (Strengths, Weaknesses, Opportunities, Threats) analysis tools to address key questions regarding adapting to the pandemic's challenges and leveraging technology for customer relationship management (CRM) during and after the pandemic.</w:t>
      </w:r>
    </w:p>
    <w:p w14:paraId="2E301A06" w14:textId="77777777" w:rsidR="00F23A5B" w:rsidRPr="00C64F8B" w:rsidRDefault="00F23A5B" w:rsidP="00F23A5B">
      <w:pPr>
        <w:pStyle w:val="Heading1"/>
        <w:rPr>
          <w:rFonts w:asciiTheme="minorHAnsi" w:eastAsiaTheme="minorHAnsi" w:hAnsiTheme="minorHAnsi" w:cstheme="minorBidi"/>
          <w:color w:val="auto"/>
          <w:sz w:val="22"/>
          <w:szCs w:val="22"/>
        </w:rPr>
      </w:pPr>
    </w:p>
    <w:p w14:paraId="06633060" w14:textId="77777777" w:rsidR="00F23A5B" w:rsidRPr="00563FA3" w:rsidRDefault="00F23A5B" w:rsidP="00F23A5B">
      <w:pPr>
        <w:pStyle w:val="Heading1"/>
      </w:pPr>
      <w:r w:rsidRPr="00563FA3">
        <w:t>Introduction:</w:t>
      </w:r>
    </w:p>
    <w:p w14:paraId="26437E56" w14:textId="77777777" w:rsidR="00F23A5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The COVID-19 pandemic has brought unprecedented challenges to businesses across industries, including the co-working and technology sectors. TECH-HUB, a prominent player in this arena, must navigate the changing landscape to maintain its position as an industry leader. This report will explore key aspects of TECH-HUB's strategy, considering political, economic, technological, legal, social, and environmental factors through PESTEL and SWOT analysis</w:t>
      </w:r>
      <w:r>
        <w:rPr>
          <w:rFonts w:asciiTheme="minorHAnsi" w:eastAsiaTheme="minorHAnsi" w:hAnsiTheme="minorHAnsi" w:cstheme="minorBidi"/>
          <w:color w:val="auto"/>
          <w:sz w:val="22"/>
          <w:szCs w:val="22"/>
        </w:rPr>
        <w:t>.</w:t>
      </w:r>
    </w:p>
    <w:p w14:paraId="06526A35" w14:textId="77777777" w:rsidR="00F23A5B" w:rsidRDefault="00F23A5B" w:rsidP="00F23A5B"/>
    <w:p w14:paraId="22C1393D" w14:textId="77777777" w:rsidR="00F23A5B" w:rsidRDefault="00F23A5B" w:rsidP="00F23A5B">
      <w:r>
        <w:t>The corporate-level strategy defines as "the strategic decisions that lead companies to diversify from one business into other business areas, either related or unrelated" (Lynch, 2015, p.302). Additionally, the corporate-level strategy means the corporate headquarters' role is to direct and influence strategy across a multi-product group of companies. Therefore, it is vital for an organisation, like TAG Heuer, that has multiple business areas to have its own strategic vision (Mazzei, 2017).</w:t>
      </w:r>
    </w:p>
    <w:p w14:paraId="69BDA5A9" w14:textId="77777777" w:rsidR="00F23A5B" w:rsidRDefault="00F23A5B" w:rsidP="00F23A5B">
      <w:r>
        <w:t>Importance of Corporate Strategy: Feldman argues that there has been a significant increase in publications emphasizing the importance of corporate strategy within organizations. This signifies the recognition of corporate strategy as a critical aspect of strategic management, accounting for a substantial portion of related literature.</w:t>
      </w:r>
    </w:p>
    <w:p w14:paraId="2B892FB2" w14:textId="77777777" w:rsidR="00F23A5B" w:rsidRDefault="00F23A5B" w:rsidP="00F23A5B">
      <w:r>
        <w:t xml:space="preserve">Value Creation through Corporate Strategy: According to </w:t>
      </w:r>
      <w:proofErr w:type="spellStart"/>
      <w:r>
        <w:t>Birshan</w:t>
      </w:r>
      <w:proofErr w:type="spellEnd"/>
      <w:r>
        <w:t xml:space="preserve"> et al. (2011), the development of a corporate strategy offers a unique opportunity for a company. This strategy enables the organization to create more value than the sum of its individual Strategic Business Units (SBUs). In other words, a well-crafted corporate strategy can yield synergies and advantages that individual SBUs cannot achieve independently.</w:t>
      </w:r>
    </w:p>
    <w:p w14:paraId="48F77756" w14:textId="77777777" w:rsidR="00F23A5B" w:rsidRDefault="00F23A5B" w:rsidP="00F23A5B">
      <w:r>
        <w:t>Corporate Strategy as the Foundation: Feldman's argument suggests that the corporate strategy should serve as the foundation for the entire business. This means that it should guide and align the efforts of all SBUs within the organization, ensuring that they work together toward common objectives.</w:t>
      </w:r>
    </w:p>
    <w:p w14:paraId="58A9F682" w14:textId="77777777" w:rsidR="00F23A5B" w:rsidRDefault="00F23A5B" w:rsidP="00F23A5B">
      <w:r>
        <w:t>Gap between Formulation and Implementation: A challenge highlighted by Hornibrook and Lynch (2008) is the gap between formulating a corporate strategy and effectively implementing it. This gap can undermine the potential benefits of having a corporate strategy in place. It implies that having a well-conceived strategy on paper is not enough; it must be translated into action throughout the organization.</w:t>
      </w:r>
    </w:p>
    <w:p w14:paraId="0B62B205" w14:textId="77777777" w:rsidR="00F23A5B" w:rsidRDefault="00F23A5B" w:rsidP="00F23A5B"/>
    <w:p w14:paraId="645426A8" w14:textId="77777777" w:rsidR="00F23A5B" w:rsidRDefault="00F23A5B" w:rsidP="00F23A5B">
      <w:r>
        <w:lastRenderedPageBreak/>
        <w:t>Consequences of Ineffective Implementation: The text mentions that if SBUs do not act in harmony with the corporate strategy, the outcome can be the same as not having a corporate strategy at all, or it might even be worse. In such cases, the company may rely on chance for success or face potential failure, particularly if it fails to adapt to changes and risks in the market, as noted by Raynor.</w:t>
      </w:r>
    </w:p>
    <w:p w14:paraId="0B5BE7C1" w14:textId="77777777" w:rsidR="00F23A5B" w:rsidRDefault="00F23A5B" w:rsidP="00F23A5B"/>
    <w:p w14:paraId="5FD6A018" w14:textId="77777777" w:rsidR="00F23A5B" w:rsidRDefault="00F23A5B" w:rsidP="00F23A5B">
      <w:r>
        <w:t>In summary, the key message is that corporate strategy is vital for organizations, but its success depends not only on its formulation but also on effective implementation and alignment with the actions of SBUs. Failure to bridge the gap between strategy development and execution can result in missed opportunities and potential risks for the company.</w:t>
      </w:r>
    </w:p>
    <w:p w14:paraId="47C88F69" w14:textId="77777777" w:rsidR="00F23A5B" w:rsidRDefault="00F23A5B" w:rsidP="00F23A5B">
      <w:pPr>
        <w:pStyle w:val="Heading1"/>
      </w:pPr>
      <w:r>
        <w:t xml:space="preserve">Company profile: </w:t>
      </w:r>
    </w:p>
    <w:p w14:paraId="74328F0D" w14:textId="77777777" w:rsidR="00F23A5B" w:rsidRDefault="00F23A5B" w:rsidP="00F23A5B">
      <w:pPr>
        <w:spacing w:line="360" w:lineRule="auto"/>
      </w:pPr>
      <w:r>
        <w:t>TechHub is a global organization that provides spaces and resources for technology entrepreneurs and startups to meet, work, learn, and collaborate. Here are some key points about TechHub:</w:t>
      </w:r>
    </w:p>
    <w:p w14:paraId="52A6D2BE" w14:textId="77777777" w:rsidR="00F23A5B" w:rsidRDefault="00F23A5B" w:rsidP="00F23A5B">
      <w:pPr>
        <w:spacing w:line="360" w:lineRule="auto"/>
      </w:pPr>
      <w:r>
        <w:t>Global Presence: TechHub operates in various locations around the world, creating physical and virtual spaces tailored to the needs of technology startups. Flexible Workspace: TechHub offers flexible workspace solutions for startups, allowing them to access office facilities without the long-term commitments and overhead costs associated with traditional office leases.</w:t>
      </w:r>
    </w:p>
    <w:p w14:paraId="64EFA7F3" w14:textId="77777777" w:rsidR="00F23A5B" w:rsidRDefault="00F23A5B" w:rsidP="00F23A5B">
      <w:pPr>
        <w:spacing w:line="360" w:lineRule="auto"/>
      </w:pPr>
      <w:r>
        <w:t>Community Building: TechHub fosters an energetic community of like-minded technology entrepreneurs. Being part of this community allows startups to network, share ideas, and collaborate with others in the tech industry. Global Resources: TechHub provides startups with access to a network of resources and connections, allowing them to tap into a global ecosystem of technology and business support.</w:t>
      </w:r>
    </w:p>
    <w:p w14:paraId="590B08D1" w14:textId="77777777" w:rsidR="00F23A5B" w:rsidRPr="00775E3C" w:rsidRDefault="00F23A5B" w:rsidP="00F23A5B">
      <w:pPr>
        <w:spacing w:line="360" w:lineRule="auto"/>
      </w:pPr>
      <w:r>
        <w:t xml:space="preserve">Events and Advice: TechHub organizes events and advice sessions that are designed to help startups grow and succeed. These events often feature industry experts and provide valuable insights and guidance. Combining Elements: TechHub combines elements of a tech conference, a social networking event, and a co-working space, creating a unique environment that promotes innovation and collaboration. Headquarters: TechHub is headquartered in London, United Kingdom. It was originally founded in London in 2010. </w:t>
      </w:r>
      <w:proofErr w:type="spellStart"/>
      <w:r>
        <w:t>TechHub's</w:t>
      </w:r>
      <w:proofErr w:type="spellEnd"/>
      <w:r>
        <w:t xml:space="preserve"> mission is to support and empower technology startups by providing them with the physical and virtual resources they need to thrive in the competitive tech industry. Through its global network and community, it aims to facilitate knowledge sharing, collaboration, and growth opportunities for entrepreneurs.</w:t>
      </w:r>
    </w:p>
    <w:p w14:paraId="175E1737" w14:textId="77777777" w:rsidR="00F23A5B" w:rsidRPr="00C64F8B" w:rsidRDefault="00F23A5B" w:rsidP="00F23A5B">
      <w:pPr>
        <w:pStyle w:val="Heading1"/>
        <w:rPr>
          <w:rFonts w:asciiTheme="minorHAnsi" w:eastAsiaTheme="minorHAnsi" w:hAnsiTheme="minorHAnsi" w:cstheme="minorBidi"/>
          <w:color w:val="auto"/>
          <w:sz w:val="22"/>
          <w:szCs w:val="22"/>
        </w:rPr>
      </w:pPr>
    </w:p>
    <w:p w14:paraId="0FAD51EE" w14:textId="77777777" w:rsidR="00F23A5B" w:rsidRPr="00C64F8B" w:rsidRDefault="00F23A5B" w:rsidP="00F23A5B">
      <w:pPr>
        <w:pStyle w:val="Heading1"/>
        <w:rPr>
          <w:rFonts w:asciiTheme="minorHAnsi" w:eastAsiaTheme="minorHAnsi" w:hAnsiTheme="minorHAnsi" w:cstheme="minorBidi"/>
          <w:color w:val="auto"/>
          <w:sz w:val="22"/>
          <w:szCs w:val="22"/>
        </w:rPr>
      </w:pPr>
      <w:r w:rsidRPr="00C96C05">
        <w:rPr>
          <w:rStyle w:val="Heading2Char"/>
        </w:rPr>
        <w:t>PESTEL Analysis</w:t>
      </w:r>
      <w:r w:rsidRPr="00C64F8B">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Political Factors: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Government regulations and lockdown measures impact TECH-HUB's operations.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Advocating policies that support remote work and flexible office arrangements can be advantageous.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Economic Factors: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Economic uncertainty and recessionary pressures affect demand for co-working spaces.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TECH-HUB should consider flexible pricing models and financial support for members during economic downturns.</w:t>
      </w:r>
    </w:p>
    <w:p w14:paraId="072CCCBD"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Technological Factors: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The pandemic has accelerated digital transformation.</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TECH-HUB can leverage technology for contactless access, virtual events, and enhanced member communication.</w:t>
      </w:r>
    </w:p>
    <w:p w14:paraId="5CB727C1"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Legal Factors:</w:t>
      </w:r>
      <w:r>
        <w:rPr>
          <w:rFonts w:asciiTheme="minorHAnsi" w:eastAsiaTheme="minorHAnsi" w:hAnsiTheme="minorHAnsi" w:cstheme="minorBidi"/>
          <w:color w:val="auto"/>
          <w:sz w:val="22"/>
          <w:szCs w:val="22"/>
        </w:rPr>
        <w:t xml:space="preserve"> C</w:t>
      </w:r>
      <w:r w:rsidRPr="00C64F8B">
        <w:rPr>
          <w:rFonts w:asciiTheme="minorHAnsi" w:eastAsiaTheme="minorHAnsi" w:hAnsiTheme="minorHAnsi" w:cstheme="minorBidi"/>
          <w:color w:val="auto"/>
          <w:sz w:val="22"/>
          <w:szCs w:val="22"/>
        </w:rPr>
        <w:t>ompliance with health and safety regulations is critical.</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Legal obligations may include adapting workspace layouts, ensuring sanitation, and addressing remote work-related legalities.</w:t>
      </w:r>
    </w:p>
    <w:p w14:paraId="797D00AF" w14:textId="77777777" w:rsidR="00F23A5B" w:rsidRPr="00C64F8B" w:rsidRDefault="00F23A5B" w:rsidP="00F23A5B">
      <w:pPr>
        <w:pStyle w:val="Heading1"/>
        <w:rPr>
          <w:rFonts w:asciiTheme="minorHAnsi" w:eastAsiaTheme="minorHAnsi" w:hAnsiTheme="minorHAnsi" w:cstheme="minorBidi"/>
          <w:color w:val="auto"/>
          <w:sz w:val="22"/>
          <w:szCs w:val="22"/>
        </w:rPr>
      </w:pPr>
      <w:r w:rsidRPr="007463F8">
        <w:rPr>
          <w:rStyle w:val="Heading2Char"/>
        </w:rPr>
        <w:t>SWOT Analys</w:t>
      </w:r>
      <w:r>
        <w:rPr>
          <w:rStyle w:val="Heading2Char"/>
        </w:rPr>
        <w:t xml:space="preserve">is: </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Strengths: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Established brand and reputation in the industry.</w:t>
      </w:r>
    </w:p>
    <w:p w14:paraId="4B903727"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Strong community-building efforts.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Technological infrastructure for remote work and collaboration.</w:t>
      </w:r>
    </w:p>
    <w:p w14:paraId="76A0BD7D"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Weaknesses: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Over-reliance on physical co-working spaces.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Vulnerability to economic downturns.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Limited geographic presence.</w:t>
      </w:r>
    </w:p>
    <w:p w14:paraId="0F925AF3" w14:textId="77777777" w:rsidR="00F23A5B" w:rsidRPr="00C64F8B" w:rsidRDefault="00F23A5B" w:rsidP="00F23A5B">
      <w:pPr>
        <w:pStyle w:val="Heading1"/>
        <w:rPr>
          <w:rFonts w:asciiTheme="minorHAnsi" w:eastAsiaTheme="minorHAnsi" w:hAnsiTheme="minorHAnsi" w:cstheme="minorBidi"/>
          <w:color w:val="auto"/>
          <w:sz w:val="22"/>
          <w:szCs w:val="22"/>
        </w:rPr>
      </w:pPr>
      <w:r w:rsidRPr="003608B1">
        <w:rPr>
          <w:rStyle w:val="Heading2Char"/>
        </w:rPr>
        <w:t>Opportunities</w:t>
      </w:r>
      <w:r w:rsidRPr="00C64F8B">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Increasing demand for flexible work arrangements.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Expansion into suburban and remote areas.</w:t>
      </w:r>
    </w:p>
    <w:p w14:paraId="7CB7DD89"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Enhanced digital offerings and virtual memberships.</w:t>
      </w:r>
    </w:p>
    <w:p w14:paraId="34BAD8FD" w14:textId="77777777" w:rsidR="00F23A5B" w:rsidRPr="00C64F8B" w:rsidRDefault="00F23A5B" w:rsidP="00F23A5B">
      <w:pPr>
        <w:pStyle w:val="Heading1"/>
        <w:rPr>
          <w:rFonts w:asciiTheme="minorHAnsi" w:eastAsiaTheme="minorHAnsi" w:hAnsiTheme="minorHAnsi" w:cstheme="minorBidi"/>
          <w:color w:val="auto"/>
          <w:sz w:val="22"/>
          <w:szCs w:val="22"/>
        </w:rPr>
      </w:pPr>
      <w:r w:rsidRPr="00C96C05">
        <w:rPr>
          <w:rStyle w:val="Heading2Char"/>
        </w:rPr>
        <w:t>Threats</w:t>
      </w:r>
      <w:r w:rsidRPr="00C64F8B">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Competitive pressure from other co-working providers.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Economic instability affecting business clients.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Potential prolonged pandemic-related disruptions.</w:t>
      </w:r>
    </w:p>
    <w:p w14:paraId="7F234470"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Key Considerations and Recommendations:</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Identifying Rapid Changes: TECH-HUB should maintain a robust monitoring system for government regulations, economic indicators, and technological advancements to adapt swiftly.</w:t>
      </w:r>
    </w:p>
    <w:p w14:paraId="0705776D" w14:textId="77777777" w:rsidR="00F23A5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Consumer Needs: Conduct surveys and market research to understand evolving consumer needs during the pandemic and beyond, emphasizing health and safety, remote work support, and flexible pricing.</w:t>
      </w:r>
      <w:r>
        <w:rPr>
          <w:rFonts w:asciiTheme="minorHAnsi" w:eastAsiaTheme="minorHAnsi" w:hAnsiTheme="minorHAnsi" w:cstheme="minorBidi"/>
          <w:color w:val="auto"/>
          <w:sz w:val="22"/>
          <w:szCs w:val="22"/>
        </w:rPr>
        <w:t xml:space="preserve"> </w:t>
      </w:r>
      <w:r w:rsidRPr="00C64F8B">
        <w:rPr>
          <w:rFonts w:asciiTheme="minorHAnsi" w:eastAsiaTheme="minorHAnsi" w:hAnsiTheme="minorHAnsi" w:cstheme="minorBidi"/>
          <w:color w:val="auto"/>
          <w:sz w:val="22"/>
          <w:szCs w:val="22"/>
        </w:rPr>
        <w:t>Industry Changes: Stay agile and responsive to industry changes by diversifying services, exploring suburban expansion, and investing in virtual offerings.</w:t>
      </w:r>
    </w:p>
    <w:p w14:paraId="77C33216" w14:textId="77777777" w:rsidR="00F23A5B" w:rsidRPr="00C64F8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Technology and CRM: Leverage technology to enhance CRM by gathering data on members' remote work preferences, enhancing virtual networking, and offering tech solutions to improve the remote work experience.</w:t>
      </w:r>
    </w:p>
    <w:p w14:paraId="16657D9E" w14:textId="77777777" w:rsidR="00F23A5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Leadership Role: Leadership should provide clear communication, empathetic support, and a flexible strategy to guide TECH-HUB through uncertain times, fostering resilience and innovation.</w:t>
      </w:r>
    </w:p>
    <w:p w14:paraId="4E90C12F" w14:textId="77777777" w:rsidR="00F23A5B" w:rsidRPr="00E101ED" w:rsidRDefault="00F23A5B" w:rsidP="00F23A5B">
      <w:r w:rsidRPr="00E101ED">
        <w:t xml:space="preserve">To sum up, international marketing strategy would require large additional resources from the staff in the forms of time and access to funding, even though to some extend both suggested strategies can be implemented by using current facilities and via free technology. As the different </w:t>
      </w:r>
      <w:proofErr w:type="spellStart"/>
      <w:r w:rsidRPr="00E101ED">
        <w:t>Techhubs</w:t>
      </w:r>
      <w:proofErr w:type="spellEnd"/>
      <w:r w:rsidRPr="00E101ED">
        <w:t xml:space="preserve"> are rather independent in their marketing now, co-ordinating international marketing efforts would need strong leadership and much effort. There is also a risk that some of this strategy is adapted by </w:t>
      </w:r>
      <w:r w:rsidRPr="00E101ED">
        <w:lastRenderedPageBreak/>
        <w:t>the competition or collaborators abroad, in which case resources or in the worst-case business intelligence from the members is lost.</w:t>
      </w:r>
    </w:p>
    <w:p w14:paraId="224FF70D" w14:textId="77777777" w:rsidR="00F23A5B" w:rsidRPr="00E101ED" w:rsidRDefault="00F23A5B" w:rsidP="00F23A5B"/>
    <w:p w14:paraId="70C5726E" w14:textId="77777777" w:rsidR="00F23A5B" w:rsidRPr="00E101ED" w:rsidRDefault="00F23A5B" w:rsidP="00F23A5B">
      <w:r w:rsidRPr="00E101ED">
        <w:t>There are signs that politics might make it harder to sell abroad and to cross borders as nationalistic parties gain power in many countries, which might make this strategy irrelevant in the long term. Policies and realities of climate change might also rise the costs of travel.</w:t>
      </w:r>
    </w:p>
    <w:p w14:paraId="61C3D574" w14:textId="77777777" w:rsidR="00F23A5B" w:rsidRPr="00E101ED" w:rsidRDefault="00F23A5B" w:rsidP="00F23A5B"/>
    <w:p w14:paraId="30E0A7C5" w14:textId="77777777" w:rsidR="00F23A5B" w:rsidRDefault="00F23A5B" w:rsidP="00F23A5B">
      <w:r w:rsidRPr="00E101ED">
        <w:t xml:space="preserve">There might be resistance from current members and members of staff if they lack international skills and understanding or are overstretched with their current responsibilities. Being innovative requires openness to try new things. The local business communities might not be open for foreigners because they might feel their communal identity is threatened. Intercultural communication might be a source of conflict because of misunderstandings. </w:t>
      </w:r>
    </w:p>
    <w:p w14:paraId="21D5FB79" w14:textId="77777777" w:rsidR="00D35AD3" w:rsidRDefault="00D35AD3" w:rsidP="00F23A5B"/>
    <w:p w14:paraId="5AC116AA" w14:textId="442294C2" w:rsidR="00D35AD3" w:rsidRDefault="0035484A" w:rsidP="00D35AD3">
      <w:pPr>
        <w:pStyle w:val="Heading1"/>
      </w:pPr>
      <w:r w:rsidRPr="0035484A">
        <w:t xml:space="preserve"> How the digital innovation associated with the </w:t>
      </w:r>
      <w:r w:rsidRPr="0035484A">
        <w:t>TechHub</w:t>
      </w:r>
      <w:r w:rsidRPr="0035484A">
        <w:t xml:space="preserve"> as a Coworking space?</w:t>
      </w:r>
    </w:p>
    <w:p w14:paraId="021D72AA" w14:textId="3F0B6768" w:rsidR="0035484A" w:rsidRDefault="0035484A" w:rsidP="0035484A">
      <w:r>
        <w:t>Coworking places have introduced several digital innovations that have transformed the way people work and interact in shared office spaces. Some of the key digital innovations associated with coworking places include:</w:t>
      </w:r>
      <w:r w:rsidR="00767646">
        <w:t>(</w:t>
      </w:r>
      <w:r w:rsidR="00767646" w:rsidRPr="00767646">
        <w:t xml:space="preserve"> </w:t>
      </w:r>
      <w:r w:rsidR="00767646" w:rsidRPr="00767646">
        <w:t>Clifton, N., 2022</w:t>
      </w:r>
      <w:r w:rsidR="00767646">
        <w:t>)</w:t>
      </w:r>
    </w:p>
    <w:p w14:paraId="187D185E" w14:textId="77777777" w:rsidR="0035484A" w:rsidRDefault="0035484A" w:rsidP="0035484A">
      <w:r>
        <w:t>Online Booking and Reservation Systems: Coworking spaces often have digital platforms that allow members to book and reserve workspaces, meeting rooms, or event spaces in advance. This streamlines the process and ensures that members have access to the resources they need when they need them.</w:t>
      </w:r>
    </w:p>
    <w:p w14:paraId="6DCD6474" w14:textId="77777777" w:rsidR="0035484A" w:rsidRDefault="0035484A" w:rsidP="0035484A">
      <w:r>
        <w:t>Flexible Membership Management: Digital tools have made it easier for coworking space operators to manage memberships, including billing, access control, and member communication. Members can often update their memberships and access information through online portals.</w:t>
      </w:r>
    </w:p>
    <w:p w14:paraId="6BA4CCDA" w14:textId="77777777" w:rsidR="0035484A" w:rsidRDefault="0035484A" w:rsidP="0035484A">
      <w:r>
        <w:t>Smart Access Control: Many coworking spaces use digital access control systems, such as RFID cards or smartphone apps, to grant members secure access to the premises. This not only enhances security but also allows for flexible access hours.</w:t>
      </w:r>
    </w:p>
    <w:p w14:paraId="20809A92" w14:textId="199B07F7" w:rsidR="0035484A" w:rsidRDefault="0035484A" w:rsidP="0035484A">
      <w:r>
        <w:t xml:space="preserve">Collaboration and Networking Platforms: Coworking spaces often offer digital platforms or apps where members can connect, collaborate, and network with each other. These platforms facilitate the exchange of ideas and resources among </w:t>
      </w:r>
      <w:r w:rsidR="00EC55DD">
        <w:t>members. (</w:t>
      </w:r>
      <w:r w:rsidR="00EC55DD" w:rsidRPr="00EC55DD">
        <w:t xml:space="preserve"> </w:t>
      </w:r>
      <w:proofErr w:type="spellStart"/>
      <w:r w:rsidR="00EC55DD" w:rsidRPr="00EC55DD">
        <w:t>Bouncken</w:t>
      </w:r>
      <w:proofErr w:type="spellEnd"/>
      <w:r w:rsidR="00EC55DD" w:rsidRPr="00EC55DD">
        <w:t>, R.B. ed., 2023</w:t>
      </w:r>
      <w:r w:rsidR="00EC55DD">
        <w:t>)</w:t>
      </w:r>
    </w:p>
    <w:p w14:paraId="755067C0" w14:textId="5631B40A" w:rsidR="0035484A" w:rsidRDefault="0035484A" w:rsidP="0035484A">
      <w:r>
        <w:t xml:space="preserve">IoT Integration: Some coworking spaces have integrated Internet of Things (IoT) devices to enhance the workspace experience. For example, smart lighting and climate control systems can be adjusted based on occupancy, making the space more </w:t>
      </w:r>
      <w:r>
        <w:t>energy efficient</w:t>
      </w:r>
      <w:r>
        <w:t>.</w:t>
      </w:r>
    </w:p>
    <w:p w14:paraId="7E54B783" w14:textId="77777777" w:rsidR="0035484A" w:rsidRDefault="0035484A" w:rsidP="0035484A">
      <w:r>
        <w:t>Digital Signage: Digital screens and signage are commonly used to display event schedules, announcements, and information about the space. This dynamic information display keeps members informed and engaged.</w:t>
      </w:r>
    </w:p>
    <w:p w14:paraId="1311112E" w14:textId="77777777" w:rsidR="0035484A" w:rsidRDefault="0035484A" w:rsidP="0035484A"/>
    <w:p w14:paraId="10CCDD77" w14:textId="77777777" w:rsidR="0035484A" w:rsidRDefault="0035484A" w:rsidP="0035484A">
      <w:r>
        <w:lastRenderedPageBreak/>
        <w:t>Community Management Software: Coworking operators use software platforms to manage their communities effectively. These platforms often include member directories, event scheduling, and communication tools to foster a sense of community among members.</w:t>
      </w:r>
    </w:p>
    <w:p w14:paraId="541DD423" w14:textId="77777777" w:rsidR="0035484A" w:rsidRDefault="0035484A" w:rsidP="0035484A">
      <w:r>
        <w:t>Virtual Tours and 3D Floor Plans: Many coworking spaces offer virtual tours and 3D floor plans on their websites to help prospective members visualize the space before they commit to a membership.</w:t>
      </w:r>
    </w:p>
    <w:p w14:paraId="5C682E70" w14:textId="77777777" w:rsidR="0035484A" w:rsidRDefault="0035484A" w:rsidP="0035484A">
      <w:r>
        <w:t>Feedback and Analytics Tools: Digital feedback forms and analytics tools help coworking operators gather insights into member satisfaction and space utilization. This data can inform improvements to the space and services.</w:t>
      </w:r>
    </w:p>
    <w:p w14:paraId="283C7BFB" w14:textId="77777777" w:rsidR="0035484A" w:rsidRDefault="0035484A" w:rsidP="0035484A">
      <w:r>
        <w:t>Wellness and Health Tech: In response to the COVID-19 pandemic, some coworking spaces have implemented digital health and wellness technologies, such as touchless check-ins, air quality monitoring, and health screening apps, to ensure a safe and healthy workspace environment.</w:t>
      </w:r>
    </w:p>
    <w:p w14:paraId="78761E1B" w14:textId="77777777" w:rsidR="0035484A" w:rsidRDefault="0035484A" w:rsidP="0035484A">
      <w:r>
        <w:t>Workspace Management Apps: Mobile apps are often provided to members for tasks like booking meeting rooms, checking in, and accessing important information about the space. These apps enhance convenience and accessibility.</w:t>
      </w:r>
    </w:p>
    <w:p w14:paraId="23B1F184" w14:textId="214961AA" w:rsidR="0035484A" w:rsidRPr="0035484A" w:rsidRDefault="0035484A" w:rsidP="0035484A">
      <w:r>
        <w:t>Overall, digital innovation in coworking spaces has not only improved the efficiency of managing and operating these spaces but has also enhanced the experience for members, fostering a collaborative and dynamic work environment.</w:t>
      </w:r>
    </w:p>
    <w:p w14:paraId="3591083C" w14:textId="77777777" w:rsidR="00F23A5B" w:rsidRPr="00E101ED" w:rsidRDefault="00F23A5B" w:rsidP="00F23A5B"/>
    <w:p w14:paraId="17F5AD35" w14:textId="77777777" w:rsidR="00F23A5B" w:rsidRPr="005108EB" w:rsidRDefault="00F23A5B" w:rsidP="00F23A5B">
      <w:pPr>
        <w:pStyle w:val="Heading1"/>
      </w:pPr>
      <w:r w:rsidRPr="005108EB">
        <w:t>Conclusion:</w:t>
      </w:r>
    </w:p>
    <w:p w14:paraId="470281B3" w14:textId="77777777" w:rsidR="00F23A5B" w:rsidRDefault="00F23A5B" w:rsidP="00F23A5B">
      <w:pPr>
        <w:pStyle w:val="Heading1"/>
        <w:rPr>
          <w:rFonts w:asciiTheme="minorHAnsi" w:eastAsiaTheme="minorHAnsi" w:hAnsiTheme="minorHAnsi" w:cstheme="minorBidi"/>
          <w:color w:val="auto"/>
          <w:sz w:val="22"/>
          <w:szCs w:val="22"/>
        </w:rPr>
      </w:pPr>
      <w:r w:rsidRPr="00C64F8B">
        <w:rPr>
          <w:rFonts w:asciiTheme="minorHAnsi" w:eastAsiaTheme="minorHAnsi" w:hAnsiTheme="minorHAnsi" w:cstheme="minorBidi"/>
          <w:color w:val="auto"/>
          <w:sz w:val="22"/>
          <w:szCs w:val="22"/>
        </w:rPr>
        <w:t>TECH-HUB faces a challenging landscape in the wake of the COVID-19 pandemic. By evaluating its strategy through PESTEL and SWOT analysis, the company can better understand the forces at play and adapt proactively. Leveraging technology, understanding customer needs, and maintaining a flexible approach will be key to achieving sustainable competitive advantage and resilience in this uncertain environment.</w:t>
      </w:r>
    </w:p>
    <w:p w14:paraId="463699C0" w14:textId="77777777" w:rsidR="00F23A5B" w:rsidRDefault="00F23A5B" w:rsidP="00F23A5B"/>
    <w:p w14:paraId="37B53FE7" w14:textId="77777777" w:rsidR="00F23A5B" w:rsidRDefault="00F23A5B" w:rsidP="00F23A5B">
      <w:pPr>
        <w:pStyle w:val="Heading1"/>
      </w:pPr>
      <w:r>
        <w:t>Recommendations:</w:t>
      </w:r>
    </w:p>
    <w:p w14:paraId="3F616300" w14:textId="77777777" w:rsidR="00F23A5B" w:rsidRDefault="00F23A5B" w:rsidP="00F23A5B">
      <w:r>
        <w:t>It is wholeheartedly support the idea of TechHub collaborating with universities to enhance education and foster innovation, particularly in fields like entrepreneurship and business. Here is a recommendation for how this collaboration could be effectively implemented:</w:t>
      </w:r>
    </w:p>
    <w:p w14:paraId="161FC7ED" w14:textId="77777777" w:rsidR="00F23A5B" w:rsidRDefault="00F23A5B" w:rsidP="00F23A5B"/>
    <w:p w14:paraId="5C45892A" w14:textId="77777777" w:rsidR="00F23A5B" w:rsidRDefault="00F23A5B" w:rsidP="00F23A5B">
      <w:r>
        <w:t>Formalize a Partnership Agreement: Start by establishing a formal partnership agreement between TechHub and the university. This agreement should outline the scope and objectives of the collaboration, as well as the roles and responsibilities of each party.</w:t>
      </w:r>
    </w:p>
    <w:p w14:paraId="72AC07B1" w14:textId="77777777" w:rsidR="00F23A5B" w:rsidRDefault="00F23A5B" w:rsidP="00F23A5B"/>
    <w:p w14:paraId="4CAFFFAB" w14:textId="77777777" w:rsidR="00F23A5B" w:rsidRDefault="00F23A5B" w:rsidP="00F23A5B">
      <w:r>
        <w:t>Regular Networking Events: Organize regular networking events, workshops, and seminars where students, faculty, and TechHub members can come together to exchange ideas and insights. These events can serve as a platform for students to learn from industry experts and for TechHub members to tap into the fresh perspectives of university students.</w:t>
      </w:r>
    </w:p>
    <w:p w14:paraId="16F03264" w14:textId="77777777" w:rsidR="00F23A5B" w:rsidRDefault="00F23A5B" w:rsidP="00F23A5B"/>
    <w:p w14:paraId="17C9F60E" w14:textId="77777777" w:rsidR="00F23A5B" w:rsidRDefault="00F23A5B" w:rsidP="00F23A5B">
      <w:r>
        <w:t>Mentorship and Internship Programs: Create mentorship programs where experienced entrepreneurs and TechHub members can mentor students interested in entrepreneurship. Additionally, offer internship opportunities for students to work with startups or tech companies associated with TechHub. This hands-on experience will greatly enhance their understanding of the industry.</w:t>
      </w:r>
    </w:p>
    <w:p w14:paraId="39F134C1" w14:textId="77777777" w:rsidR="00F23A5B" w:rsidRDefault="00F23A5B" w:rsidP="00F23A5B"/>
    <w:p w14:paraId="75819665" w14:textId="77777777" w:rsidR="00F23A5B" w:rsidRDefault="00F23A5B" w:rsidP="00F23A5B">
      <w:r>
        <w:t xml:space="preserve">Joint Research Projects: Collaborate on research projects that are relevant to both </w:t>
      </w:r>
      <w:proofErr w:type="spellStart"/>
      <w:r>
        <w:t>TechHub's</w:t>
      </w:r>
      <w:proofErr w:type="spellEnd"/>
      <w:r>
        <w:t xml:space="preserve"> goals and the university's academic objectives. For example, joint research on emerging technologies, market trends, or entrepreneurship best practices can yield valuable insights for both parties.</w:t>
      </w:r>
    </w:p>
    <w:p w14:paraId="07738912" w14:textId="77777777" w:rsidR="00F23A5B" w:rsidRDefault="00F23A5B" w:rsidP="00F23A5B"/>
    <w:p w14:paraId="765E2C10" w14:textId="77777777" w:rsidR="00F23A5B" w:rsidRDefault="00F23A5B" w:rsidP="00F23A5B">
      <w:r>
        <w:t xml:space="preserve">Utilize TechHub Resources: Give students access to </w:t>
      </w:r>
      <w:proofErr w:type="spellStart"/>
      <w:r>
        <w:t>TechHub's</w:t>
      </w:r>
      <w:proofErr w:type="spellEnd"/>
      <w:r>
        <w:t xml:space="preserve"> resources such as co-working spaces, tools, and expertise. This can be particularly beneficial for students working on their business plans and startup projects.</w:t>
      </w:r>
    </w:p>
    <w:p w14:paraId="15CD4851" w14:textId="77777777" w:rsidR="00F23A5B" w:rsidRDefault="00F23A5B" w:rsidP="00F23A5B"/>
    <w:p w14:paraId="7F5C117B" w14:textId="77777777" w:rsidR="00F23A5B" w:rsidRDefault="00F23A5B" w:rsidP="00F23A5B">
      <w:r>
        <w:t>Integration into Curriculum: Work with university faculty to integrate real-world experiences and case studies from TechHub into the curriculum. Ensure that the modules taught, especially in business and entrepreneurship programs, reflect current industry trends and practices.</w:t>
      </w:r>
    </w:p>
    <w:p w14:paraId="0A179585" w14:textId="77777777" w:rsidR="00F23A5B" w:rsidRDefault="00F23A5B" w:rsidP="00F23A5B"/>
    <w:p w14:paraId="45CFD047" w14:textId="77777777" w:rsidR="00F23A5B" w:rsidRDefault="00F23A5B" w:rsidP="00F23A5B">
      <w:r>
        <w:t xml:space="preserve">Showcase Success Stories: Share success stories of university graduates who have benefited from this collaboration. Highlight startups that originated from student projects and how they were nurtured by </w:t>
      </w:r>
      <w:proofErr w:type="spellStart"/>
      <w:r>
        <w:t>TechHub's</w:t>
      </w:r>
      <w:proofErr w:type="spellEnd"/>
      <w:r>
        <w:t xml:space="preserve"> support.</w:t>
      </w:r>
    </w:p>
    <w:p w14:paraId="50762023" w14:textId="77777777" w:rsidR="00F23A5B" w:rsidRDefault="00F23A5B" w:rsidP="00F23A5B"/>
    <w:p w14:paraId="5EBBD194" w14:textId="77777777" w:rsidR="00F23A5B" w:rsidRDefault="00F23A5B" w:rsidP="00F23A5B">
      <w:r>
        <w:t>Regular Feedback and Evaluation: Establish a feedback mechanism to continuously assess the effectiveness of the partnership. Regular surveys and meetings can help identify areas for improvement and ensure that the collaboration remains mutually beneficial.</w:t>
      </w:r>
    </w:p>
    <w:p w14:paraId="66640610" w14:textId="77777777" w:rsidR="00F23A5B" w:rsidRDefault="00F23A5B" w:rsidP="00F23A5B"/>
    <w:p w14:paraId="264971D9" w14:textId="77777777" w:rsidR="00F23A5B" w:rsidRDefault="00F23A5B" w:rsidP="00F23A5B">
      <w:r>
        <w:t>Promote Entrepreneurship Culture: Encourage and support entrepreneurship clubs and student-led initiatives on campus. TechHub can provide resources, mentorship, and even funding for promising student startups.</w:t>
      </w:r>
    </w:p>
    <w:p w14:paraId="6AA16A18" w14:textId="77777777" w:rsidR="00F23A5B" w:rsidRDefault="00F23A5B" w:rsidP="00F23A5B"/>
    <w:p w14:paraId="4D7019DF" w14:textId="77777777" w:rsidR="00F23A5B" w:rsidRDefault="00F23A5B" w:rsidP="00F23A5B">
      <w:r>
        <w:t>Long-Term Commitment: Recognize that the benefits of this collaboration may take time to fully materialize. Therefore, commit to a long-term partnership that allows for sustained growth and development.</w:t>
      </w:r>
    </w:p>
    <w:p w14:paraId="609D6337" w14:textId="77777777" w:rsidR="00F23A5B" w:rsidRDefault="00F23A5B" w:rsidP="00F23A5B"/>
    <w:p w14:paraId="10F421B4" w14:textId="77777777" w:rsidR="00F23A5B" w:rsidRDefault="00F23A5B" w:rsidP="00F23A5B">
      <w:r>
        <w:t xml:space="preserve">By implementing these recommendations, TechHub and the university can create a dynamic partnership that not only enhances the quality of education but also contributes to the growth of </w:t>
      </w:r>
      <w:r>
        <w:lastRenderedPageBreak/>
        <w:t>startups and the development of a vibrant entrepreneurial ecosystem. This collaboration will indeed be mutually beneficial and help produce well-rounded, industry-ready graduates.</w:t>
      </w:r>
    </w:p>
    <w:p w14:paraId="00BDBF60" w14:textId="77777777" w:rsidR="00F23A5B" w:rsidRDefault="00F23A5B" w:rsidP="00F23A5B"/>
    <w:p w14:paraId="0A637635" w14:textId="77777777" w:rsidR="00F23A5B" w:rsidRDefault="00F23A5B" w:rsidP="00F23A5B"/>
    <w:p w14:paraId="010A0E94" w14:textId="77777777" w:rsidR="0096639D" w:rsidRDefault="0096639D" w:rsidP="0096639D"/>
    <w:p w14:paraId="79DE0553" w14:textId="77777777" w:rsidR="0096639D" w:rsidRDefault="0096639D" w:rsidP="0096639D"/>
    <w:p w14:paraId="12F731F5" w14:textId="77777777" w:rsidR="0096639D" w:rsidRPr="0096639D" w:rsidRDefault="0096639D" w:rsidP="0096639D"/>
    <w:p w14:paraId="0C1C52FC" w14:textId="5B939B8D" w:rsidR="00C64F8B" w:rsidRDefault="002F40F5" w:rsidP="002F40F5">
      <w:pPr>
        <w:pStyle w:val="Heading1"/>
      </w:pPr>
      <w:r w:rsidRPr="002F40F5">
        <w:t>References</w:t>
      </w:r>
      <w:r>
        <w:t xml:space="preserve">: </w:t>
      </w:r>
    </w:p>
    <w:p w14:paraId="5A7BE3F1" w14:textId="14E3EB32" w:rsidR="009903B0" w:rsidRDefault="009903B0" w:rsidP="002F40F5">
      <w:bookmarkStart w:id="0" w:name="_Hlk144937349"/>
      <w:proofErr w:type="spellStart"/>
      <w:r w:rsidRPr="009903B0">
        <w:t>Bouncken</w:t>
      </w:r>
      <w:proofErr w:type="spellEnd"/>
      <w:r w:rsidRPr="009903B0">
        <w:t xml:space="preserve">, R., </w:t>
      </w:r>
      <w:proofErr w:type="spellStart"/>
      <w:r w:rsidRPr="009903B0">
        <w:t>Ratzmann</w:t>
      </w:r>
      <w:bookmarkEnd w:id="0"/>
      <w:proofErr w:type="spellEnd"/>
      <w:r w:rsidRPr="009903B0">
        <w:t xml:space="preserve">, M., </w:t>
      </w:r>
      <w:proofErr w:type="spellStart"/>
      <w:r w:rsidRPr="009903B0">
        <w:t>Barwinski</w:t>
      </w:r>
      <w:proofErr w:type="spellEnd"/>
      <w:r w:rsidRPr="009903B0">
        <w:t>, R. and Kraus, S., 2020. Coworking spaces: Empowerment for entrepreneurship and innovation in the digital and sharing economy. Journal of Business Research, 114, pp.102-110.</w:t>
      </w:r>
    </w:p>
    <w:p w14:paraId="6364F963" w14:textId="34CF6203" w:rsidR="000F6CC6" w:rsidRDefault="000F6CC6" w:rsidP="002F40F5">
      <w:proofErr w:type="spellStart"/>
      <w:r w:rsidRPr="000F6CC6">
        <w:t>Bouncken</w:t>
      </w:r>
      <w:proofErr w:type="spellEnd"/>
      <w:r w:rsidRPr="000F6CC6">
        <w:t xml:space="preserve">, R.B., </w:t>
      </w:r>
      <w:proofErr w:type="spellStart"/>
      <w:r w:rsidRPr="000F6CC6">
        <w:t>Laudien</w:t>
      </w:r>
      <w:proofErr w:type="spellEnd"/>
      <w:r w:rsidRPr="000F6CC6">
        <w:t xml:space="preserve">, S.M., Fredrich, V. and </w:t>
      </w:r>
      <w:proofErr w:type="spellStart"/>
      <w:r w:rsidRPr="000F6CC6">
        <w:t>Görmar</w:t>
      </w:r>
      <w:proofErr w:type="spellEnd"/>
      <w:r w:rsidRPr="000F6CC6">
        <w:t>, L., 2018. Coopetition in coworking-spaces: value creation and appropriation tensions in an entrepreneurial space. Review of Managerial Science, 12, pp.385-410.</w:t>
      </w:r>
    </w:p>
    <w:p w14:paraId="04EAFFCA" w14:textId="77777777" w:rsidR="00A50356" w:rsidRDefault="00A50356" w:rsidP="00A50356">
      <w:proofErr w:type="spellStart"/>
      <w:r>
        <w:t>Birshan</w:t>
      </w:r>
      <w:proofErr w:type="spellEnd"/>
      <w:r>
        <w:t xml:space="preserve">, M., Dye, R. and Hall, S., 2011. ‘Creating more value with corporate strategy’, McKinsey &amp; Company. </w:t>
      </w:r>
    </w:p>
    <w:p w14:paraId="3D61C278" w14:textId="01D57F65" w:rsidR="00EC55DD" w:rsidRDefault="00EC55DD" w:rsidP="00A50356">
      <w:bookmarkStart w:id="1" w:name="_Hlk145454647"/>
      <w:proofErr w:type="spellStart"/>
      <w:r w:rsidRPr="00EC55DD">
        <w:t>Bouncken</w:t>
      </w:r>
      <w:proofErr w:type="spellEnd"/>
      <w:r w:rsidRPr="00EC55DD">
        <w:t>, R.B. ed., 2023</w:t>
      </w:r>
      <w:bookmarkEnd w:id="1"/>
      <w:r w:rsidRPr="00EC55DD">
        <w:t>. Awakening the Management of Coworking Spaces. Emerald Publishing Limited.</w:t>
      </w:r>
    </w:p>
    <w:p w14:paraId="60F87881" w14:textId="4D8BB66A" w:rsidR="00767646" w:rsidRDefault="00767646" w:rsidP="00A50356">
      <w:bookmarkStart w:id="2" w:name="_Hlk145454526"/>
      <w:r w:rsidRPr="00767646">
        <w:t>Clifton, N., Füzi, A. and Loudon, G., 2022</w:t>
      </w:r>
      <w:bookmarkEnd w:id="2"/>
      <w:r w:rsidRPr="00767646">
        <w:t>. Coworking in the digital economy: Context, motivations, and outcomes. Futures, 135, p.102439.</w:t>
      </w:r>
    </w:p>
    <w:p w14:paraId="5A57822C" w14:textId="77777777" w:rsidR="00767646" w:rsidRDefault="00767646" w:rsidP="00A50356"/>
    <w:p w14:paraId="46639796" w14:textId="77777777" w:rsidR="00A50356" w:rsidRDefault="00A50356" w:rsidP="00A50356">
      <w:r>
        <w:t>Available at https://www.mckinsey.com/business-functions/strategy-and-corporate-finance/our-insights/creating-more-value-with-corporate-strategy-mckinsey-global-survey-results</w:t>
      </w:r>
    </w:p>
    <w:p w14:paraId="6E497727" w14:textId="33D055E4" w:rsidR="002F40F5" w:rsidRPr="002F40F5" w:rsidRDefault="002F40F5" w:rsidP="002F40F5">
      <w:r w:rsidRPr="002F40F5">
        <w:t xml:space="preserve">Bennett, S. and Maton, K., 2010. Beyond the ‘digital natives’ debate: Towards a more nuanced understanding of students' technology experiences. Journal of computer assisted learning, 26(5), pp.321-331. </w:t>
      </w:r>
    </w:p>
    <w:p w14:paraId="136D025D" w14:textId="54BAD18C" w:rsidR="002F40F5" w:rsidRDefault="002F40F5" w:rsidP="002F40F5">
      <w:r w:rsidRPr="002F40F5">
        <w:t>Available[https://www.techhub.com/membership-benefits/] Access</w:t>
      </w:r>
      <w:r w:rsidR="00971783">
        <w:t>07/09/2023</w:t>
      </w:r>
    </w:p>
    <w:p w14:paraId="0DF61503" w14:textId="77777777" w:rsidR="00167024" w:rsidRDefault="00167024" w:rsidP="00167024">
      <w:r w:rsidRPr="00167024">
        <w:t xml:space="preserve">De </w:t>
      </w:r>
      <w:proofErr w:type="spellStart"/>
      <w:r w:rsidRPr="00167024">
        <w:t>Chernatony</w:t>
      </w:r>
      <w:proofErr w:type="spellEnd"/>
      <w:r w:rsidRPr="00167024">
        <w:t xml:space="preserve"> L., McDonald M. and Wallace E., Creating powerful brands, 4th ed., Oxford: Butterworth-Heinemann. </w:t>
      </w:r>
    </w:p>
    <w:p w14:paraId="03EC2CD3" w14:textId="2D13A384" w:rsidR="00077497" w:rsidRDefault="00077497" w:rsidP="00167024">
      <w:r w:rsidRPr="00077497">
        <w:t xml:space="preserve">Dam, H. and </w:t>
      </w:r>
      <w:proofErr w:type="spellStart"/>
      <w:r w:rsidRPr="00077497">
        <w:t>Zethsen</w:t>
      </w:r>
      <w:proofErr w:type="spellEnd"/>
      <w:r w:rsidRPr="00077497">
        <w:t xml:space="preserve">, K., 2011. The status of professional business translators on the Danish market: A comparative study of company, agency and freelance translators. Meta: Journal des </w:t>
      </w:r>
      <w:proofErr w:type="spellStart"/>
      <w:r w:rsidRPr="00077497">
        <w:t>traducteurs</w:t>
      </w:r>
      <w:proofErr w:type="spellEnd"/>
      <w:r w:rsidRPr="00077497">
        <w:t>/Meta: Translators’ Journal, 56(4), pp.976-997.</w:t>
      </w:r>
    </w:p>
    <w:p w14:paraId="61F1DB2A" w14:textId="439B9CAD" w:rsidR="00167024" w:rsidRDefault="00167024" w:rsidP="00167024">
      <w:r w:rsidRPr="00167024">
        <w:t>Feldman, E., 2020. ‘Corporate strategy: past, present, and future’, Strategic Management Review, 2020/1, pp.179–206.</w:t>
      </w:r>
    </w:p>
    <w:p w14:paraId="6A7F2945" w14:textId="77777777" w:rsidR="002A2F80" w:rsidRPr="002A2F80" w:rsidRDefault="002A2F80" w:rsidP="002A2F80">
      <w:r w:rsidRPr="002A2F80">
        <w:t xml:space="preserve">Ghauri, P.N. and </w:t>
      </w:r>
      <w:proofErr w:type="spellStart"/>
      <w:r w:rsidRPr="002A2F80">
        <w:t>Holstius</w:t>
      </w:r>
      <w:proofErr w:type="spellEnd"/>
      <w:r w:rsidRPr="002A2F80">
        <w:t>, K., 1996. The role of matching in the foreign market entry process in the Baltic States. European journal of marketing, 30(2), pp.75-88.</w:t>
      </w:r>
    </w:p>
    <w:p w14:paraId="75A735F6" w14:textId="77777777" w:rsidR="002A2F80" w:rsidRPr="00167024" w:rsidRDefault="002A2F80" w:rsidP="00167024"/>
    <w:p w14:paraId="3C9DCFF3" w14:textId="485DEA8E" w:rsidR="00CC3A50" w:rsidRDefault="00CC3A50" w:rsidP="002F40F5">
      <w:bookmarkStart w:id="3" w:name="_Hlk144941935"/>
      <w:proofErr w:type="spellStart"/>
      <w:r w:rsidRPr="00CC3A50">
        <w:lastRenderedPageBreak/>
        <w:t>Houtbeckers</w:t>
      </w:r>
      <w:proofErr w:type="spellEnd"/>
      <w:r w:rsidRPr="00CC3A50">
        <w:t>, E., 2017</w:t>
      </w:r>
      <w:bookmarkEnd w:id="3"/>
      <w:r w:rsidRPr="00CC3A50">
        <w:t>. Researcher subjectivity in social entrepreneurship ethnographies: The entanglement of stories in a co-working cooperative for social innovation. Social Enterprise Journal, 13(02), pp.128-143.</w:t>
      </w:r>
    </w:p>
    <w:p w14:paraId="7699C403" w14:textId="411FFC9E" w:rsidR="0092636B" w:rsidRDefault="0092636B" w:rsidP="002F40F5">
      <w:r w:rsidRPr="0092636B">
        <w:t>Lynch, R., 2015. Strategic Management. Seventh ed. Harlow, Pearson.</w:t>
      </w:r>
    </w:p>
    <w:p w14:paraId="6C1F61FD" w14:textId="1C105AE1" w:rsidR="00E56959" w:rsidRDefault="00E56959" w:rsidP="002F40F5">
      <w:r w:rsidRPr="00E56959">
        <w:t>Lele, M.M., 1992. Creating strategic leverage: matching company strengths with market opportunities. John Wiley &amp; Sons.</w:t>
      </w:r>
    </w:p>
    <w:p w14:paraId="21D1CE96" w14:textId="6F0FCF91" w:rsidR="00143154" w:rsidRDefault="00143154" w:rsidP="002F40F5">
      <w:r w:rsidRPr="00143154">
        <w:t>Mazzei, M.J. and Noble, D., 2017. ‘Big data dreams: A framework for corporate strategy’, Business Horizons, 60(3), pp.405-414.</w:t>
      </w:r>
    </w:p>
    <w:p w14:paraId="76221E11" w14:textId="781BC776" w:rsidR="00077497" w:rsidRDefault="00077497" w:rsidP="002F40F5">
      <w:r w:rsidRPr="00077497">
        <w:t xml:space="preserve">Mitev, N., De </w:t>
      </w:r>
      <w:proofErr w:type="spellStart"/>
      <w:r w:rsidRPr="00077497">
        <w:t>Vaujany</w:t>
      </w:r>
      <w:proofErr w:type="spellEnd"/>
      <w:r w:rsidRPr="00077497">
        <w:t xml:space="preserve">, F.X., </w:t>
      </w:r>
      <w:proofErr w:type="spellStart"/>
      <w:r w:rsidRPr="00077497">
        <w:t>Laniray</w:t>
      </w:r>
      <w:proofErr w:type="spellEnd"/>
      <w:r w:rsidRPr="00077497">
        <w:t xml:space="preserve">, P., </w:t>
      </w:r>
      <w:proofErr w:type="spellStart"/>
      <w:r w:rsidRPr="00077497">
        <w:t>Bohas</w:t>
      </w:r>
      <w:proofErr w:type="spellEnd"/>
      <w:r w:rsidRPr="00077497">
        <w:t>, A. and Fabbri, J., 2019. Co-working spaces, collaborative practices and entrepreneurship. Collaboration in the digital age: How technology enables individuals, teams and businesses, pp.15-43.</w:t>
      </w:r>
    </w:p>
    <w:p w14:paraId="55C6D735" w14:textId="77777777" w:rsidR="00CC3A50" w:rsidRDefault="00CC3A50" w:rsidP="002F40F5"/>
    <w:p w14:paraId="24370049" w14:textId="42EA9689" w:rsidR="002F40F5" w:rsidRPr="002F40F5" w:rsidRDefault="002F40F5" w:rsidP="002F40F5">
      <w:r w:rsidRPr="002F40F5">
        <w:t>Roberts, J., Sanderson, P., Barker, R. and Hendry, J., 2006. In the mirror of the market: The disciplinary effects of company/fund manager meetings. Accounting, Organizations and Society, 31(3), pp.277-294.</w:t>
      </w:r>
    </w:p>
    <w:p w14:paraId="111B88A4" w14:textId="77777777" w:rsidR="00C64F8B" w:rsidRPr="00C64F8B" w:rsidRDefault="00C64F8B" w:rsidP="00EB020A">
      <w:pPr>
        <w:pStyle w:val="Heading1"/>
        <w:rPr>
          <w:rFonts w:asciiTheme="minorHAnsi" w:eastAsiaTheme="minorHAnsi" w:hAnsiTheme="minorHAnsi" w:cstheme="minorBidi"/>
          <w:color w:val="auto"/>
          <w:sz w:val="22"/>
          <w:szCs w:val="22"/>
        </w:rPr>
      </w:pPr>
    </w:p>
    <w:p w14:paraId="19E57F85" w14:textId="52F06B40" w:rsidR="00EB020A" w:rsidRDefault="00EB020A" w:rsidP="00EB020A">
      <w:pPr>
        <w:pStyle w:val="Heading1"/>
      </w:pPr>
    </w:p>
    <w:p w14:paraId="46E0B693" w14:textId="77777777" w:rsidR="00EB020A" w:rsidRDefault="00EB020A" w:rsidP="00EB020A"/>
    <w:sectPr w:rsidR="00EB0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831"/>
    <w:rsid w:val="000004AB"/>
    <w:rsid w:val="00012F00"/>
    <w:rsid w:val="00077497"/>
    <w:rsid w:val="000B55F1"/>
    <w:rsid w:val="000C07DB"/>
    <w:rsid w:val="000D799B"/>
    <w:rsid w:val="000F6CC6"/>
    <w:rsid w:val="00143154"/>
    <w:rsid w:val="0014379F"/>
    <w:rsid w:val="00167024"/>
    <w:rsid w:val="00172594"/>
    <w:rsid w:val="00172A2A"/>
    <w:rsid w:val="001C0EDA"/>
    <w:rsid w:val="001D5A13"/>
    <w:rsid w:val="00261F4E"/>
    <w:rsid w:val="002A2F80"/>
    <w:rsid w:val="002B70BE"/>
    <w:rsid w:val="002F40F5"/>
    <w:rsid w:val="0035484A"/>
    <w:rsid w:val="003560FA"/>
    <w:rsid w:val="003608B1"/>
    <w:rsid w:val="003A683E"/>
    <w:rsid w:val="003C122E"/>
    <w:rsid w:val="003C180B"/>
    <w:rsid w:val="003D4CF3"/>
    <w:rsid w:val="00413E61"/>
    <w:rsid w:val="00464A06"/>
    <w:rsid w:val="004B5122"/>
    <w:rsid w:val="004B53FB"/>
    <w:rsid w:val="004C249E"/>
    <w:rsid w:val="004D67FE"/>
    <w:rsid w:val="00502C5A"/>
    <w:rsid w:val="005108EB"/>
    <w:rsid w:val="0053499B"/>
    <w:rsid w:val="00563FA3"/>
    <w:rsid w:val="00610F49"/>
    <w:rsid w:val="00631718"/>
    <w:rsid w:val="006E4454"/>
    <w:rsid w:val="007415B1"/>
    <w:rsid w:val="007450B1"/>
    <w:rsid w:val="007463F8"/>
    <w:rsid w:val="00767646"/>
    <w:rsid w:val="00775E3C"/>
    <w:rsid w:val="00785C58"/>
    <w:rsid w:val="007C2831"/>
    <w:rsid w:val="007E06DE"/>
    <w:rsid w:val="008460D0"/>
    <w:rsid w:val="0085171E"/>
    <w:rsid w:val="0092636B"/>
    <w:rsid w:val="00930E78"/>
    <w:rsid w:val="00954A8C"/>
    <w:rsid w:val="00960021"/>
    <w:rsid w:val="0096639D"/>
    <w:rsid w:val="00971783"/>
    <w:rsid w:val="009903B0"/>
    <w:rsid w:val="009D1E41"/>
    <w:rsid w:val="00A50356"/>
    <w:rsid w:val="00A62C45"/>
    <w:rsid w:val="00A94D92"/>
    <w:rsid w:val="00B04D25"/>
    <w:rsid w:val="00B05BC7"/>
    <w:rsid w:val="00B74C82"/>
    <w:rsid w:val="00C64F8B"/>
    <w:rsid w:val="00C815FE"/>
    <w:rsid w:val="00C96C05"/>
    <w:rsid w:val="00CB1D6C"/>
    <w:rsid w:val="00CC0014"/>
    <w:rsid w:val="00CC3A50"/>
    <w:rsid w:val="00CF64B0"/>
    <w:rsid w:val="00D35AD3"/>
    <w:rsid w:val="00DC2B3B"/>
    <w:rsid w:val="00DC3C7C"/>
    <w:rsid w:val="00DF2482"/>
    <w:rsid w:val="00E101ED"/>
    <w:rsid w:val="00E53820"/>
    <w:rsid w:val="00E56959"/>
    <w:rsid w:val="00E57288"/>
    <w:rsid w:val="00E67571"/>
    <w:rsid w:val="00E81961"/>
    <w:rsid w:val="00E8230D"/>
    <w:rsid w:val="00EB020A"/>
    <w:rsid w:val="00EC55DD"/>
    <w:rsid w:val="00ED13C1"/>
    <w:rsid w:val="00EE5D46"/>
    <w:rsid w:val="00EE7651"/>
    <w:rsid w:val="00EF7082"/>
    <w:rsid w:val="00F150ED"/>
    <w:rsid w:val="00F23A5B"/>
    <w:rsid w:val="00F53D1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ED315"/>
  <w15:chartTrackingRefBased/>
  <w15:docId w15:val="{0A7609E0-C214-4367-BF16-D0886847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5C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8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5C5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B5122"/>
    <w:rPr>
      <w:color w:val="0563C1" w:themeColor="hyperlink"/>
      <w:u w:val="single"/>
    </w:rPr>
  </w:style>
  <w:style w:type="character" w:styleId="UnresolvedMention">
    <w:name w:val="Unresolved Mention"/>
    <w:basedOn w:val="DefaultParagraphFont"/>
    <w:uiPriority w:val="99"/>
    <w:semiHidden/>
    <w:unhideWhenUsed/>
    <w:rsid w:val="004B5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10</Pages>
  <Words>3419</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Roushdi Mabrouk (1807791)</dc:creator>
  <cp:keywords/>
  <dc:description/>
  <cp:lastModifiedBy>Omar Roushdi Mabrouk (1807791)</cp:lastModifiedBy>
  <cp:revision>23</cp:revision>
  <dcterms:created xsi:type="dcterms:W3CDTF">2023-09-07T01:45:00Z</dcterms:created>
  <dcterms:modified xsi:type="dcterms:W3CDTF">2023-09-12T22:47:00Z</dcterms:modified>
</cp:coreProperties>
</file>