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A9EB3" w14:textId="3344786D" w:rsidR="003E37B1" w:rsidRDefault="003E37B1">
      <w:pPr>
        <w:spacing w:line="360" w:lineRule="auto"/>
        <w:jc w:val="both"/>
        <w:rPr>
          <w:b/>
        </w:rPr>
      </w:pPr>
    </w:p>
    <w:p w14:paraId="57583090" w14:textId="31E30557" w:rsidR="003E37B1" w:rsidRPr="003E37B1" w:rsidRDefault="003E37B1" w:rsidP="003E37B1">
      <w:pPr>
        <w:spacing w:line="360" w:lineRule="auto"/>
        <w:jc w:val="center"/>
        <w:rPr>
          <w:b/>
          <w:sz w:val="32"/>
          <w:szCs w:val="32"/>
        </w:rPr>
      </w:pPr>
      <w:r w:rsidRPr="003E37B1">
        <w:rPr>
          <w:b/>
          <w:sz w:val="32"/>
          <w:szCs w:val="32"/>
        </w:rPr>
        <w:t>COMPONENT 1: PORTFOLIO (POSTER AND ESSAY)</w:t>
      </w:r>
    </w:p>
    <w:p w14:paraId="480832C2" w14:textId="1E9EE390" w:rsidR="003E37B1" w:rsidRPr="003E37B1" w:rsidRDefault="003E37B1" w:rsidP="003E37B1">
      <w:pPr>
        <w:spacing w:line="360" w:lineRule="auto"/>
        <w:jc w:val="center"/>
        <w:rPr>
          <w:b/>
          <w:sz w:val="32"/>
          <w:szCs w:val="32"/>
        </w:rPr>
      </w:pPr>
      <w:r w:rsidRPr="003E37B1">
        <w:rPr>
          <w:b/>
          <w:sz w:val="32"/>
          <w:szCs w:val="32"/>
        </w:rPr>
        <w:t>INTRODUCTION TO HEALTH AND SOCIAL CARE</w:t>
      </w:r>
    </w:p>
    <w:p w14:paraId="77292D90" w14:textId="77777777" w:rsidR="00615A14" w:rsidRDefault="00615A14" w:rsidP="007E1DA8">
      <w:pPr>
        <w:spacing w:line="360" w:lineRule="auto"/>
        <w:rPr>
          <w:b/>
          <w:sz w:val="32"/>
          <w:szCs w:val="32"/>
        </w:rPr>
      </w:pPr>
    </w:p>
    <w:p w14:paraId="01C5F370" w14:textId="77777777" w:rsidR="00615A14" w:rsidRDefault="00615A14" w:rsidP="003E37B1">
      <w:pPr>
        <w:spacing w:line="360" w:lineRule="auto"/>
        <w:jc w:val="center"/>
        <w:rPr>
          <w:b/>
          <w:sz w:val="32"/>
          <w:szCs w:val="32"/>
        </w:rPr>
      </w:pPr>
    </w:p>
    <w:p w14:paraId="7BC5F1DF" w14:textId="42E1D8A8" w:rsidR="003E37B1" w:rsidRPr="003E37B1" w:rsidRDefault="003E37B1" w:rsidP="003E37B1">
      <w:pPr>
        <w:spacing w:line="360" w:lineRule="auto"/>
        <w:jc w:val="center"/>
        <w:rPr>
          <w:b/>
          <w:sz w:val="32"/>
          <w:szCs w:val="32"/>
        </w:rPr>
      </w:pPr>
      <w:r w:rsidRPr="003E37B1">
        <w:rPr>
          <w:b/>
          <w:sz w:val="32"/>
          <w:szCs w:val="32"/>
        </w:rPr>
        <w:t>LCHS4003</w:t>
      </w:r>
    </w:p>
    <w:p w14:paraId="2FEAB543" w14:textId="069B6C71" w:rsidR="003E37B1" w:rsidRPr="003E37B1" w:rsidRDefault="003E37B1" w:rsidP="003E37B1">
      <w:pPr>
        <w:spacing w:line="360" w:lineRule="auto"/>
        <w:jc w:val="center"/>
        <w:rPr>
          <w:b/>
          <w:sz w:val="32"/>
          <w:szCs w:val="32"/>
        </w:rPr>
      </w:pPr>
      <w:r w:rsidRPr="003E37B1">
        <w:rPr>
          <w:b/>
          <w:sz w:val="32"/>
          <w:szCs w:val="32"/>
        </w:rPr>
        <w:t>DR RAHEELA SHEIKH</w:t>
      </w:r>
    </w:p>
    <w:p w14:paraId="6F1F7FDC" w14:textId="60AB9092" w:rsidR="003E37B1" w:rsidRDefault="003E37B1" w:rsidP="003E37B1">
      <w:pPr>
        <w:spacing w:line="360" w:lineRule="auto"/>
        <w:jc w:val="center"/>
        <w:rPr>
          <w:b/>
          <w:sz w:val="32"/>
          <w:szCs w:val="32"/>
        </w:rPr>
      </w:pPr>
      <w:r w:rsidRPr="003E37B1">
        <w:rPr>
          <w:b/>
          <w:sz w:val="32"/>
          <w:szCs w:val="32"/>
        </w:rPr>
        <w:t>PORTFOLIO – TWO TASKS</w:t>
      </w:r>
    </w:p>
    <w:p w14:paraId="414EC202" w14:textId="77777777" w:rsidR="007E1DA8" w:rsidRDefault="007E1DA8" w:rsidP="003E37B1">
      <w:pPr>
        <w:spacing w:line="360" w:lineRule="auto"/>
        <w:jc w:val="center"/>
        <w:rPr>
          <w:b/>
          <w:sz w:val="32"/>
          <w:szCs w:val="32"/>
        </w:rPr>
      </w:pPr>
    </w:p>
    <w:p w14:paraId="60AD8F2D" w14:textId="77777777" w:rsidR="007E1DA8" w:rsidRDefault="007E1DA8" w:rsidP="003E37B1">
      <w:pPr>
        <w:spacing w:line="360" w:lineRule="auto"/>
        <w:jc w:val="center"/>
        <w:rPr>
          <w:b/>
          <w:sz w:val="32"/>
          <w:szCs w:val="32"/>
        </w:rPr>
      </w:pPr>
    </w:p>
    <w:p w14:paraId="7D5A9586" w14:textId="77777777" w:rsidR="007E1DA8" w:rsidRDefault="007E1DA8" w:rsidP="003E37B1">
      <w:pPr>
        <w:spacing w:line="360" w:lineRule="auto"/>
        <w:jc w:val="center"/>
        <w:rPr>
          <w:b/>
          <w:sz w:val="32"/>
          <w:szCs w:val="32"/>
        </w:rPr>
      </w:pPr>
    </w:p>
    <w:p w14:paraId="0575A8D0" w14:textId="11D35A07" w:rsidR="007E1DA8" w:rsidRDefault="007E1DA8" w:rsidP="003E37B1">
      <w:pPr>
        <w:spacing w:line="360" w:lineRule="auto"/>
        <w:jc w:val="center"/>
        <w:rPr>
          <w:b/>
          <w:sz w:val="32"/>
          <w:szCs w:val="32"/>
        </w:rPr>
      </w:pPr>
      <w:r>
        <w:rPr>
          <w:b/>
          <w:sz w:val="32"/>
          <w:szCs w:val="32"/>
        </w:rPr>
        <w:t>Student Name:</w:t>
      </w:r>
      <w:r w:rsidR="00BE3FE9">
        <w:rPr>
          <w:b/>
          <w:sz w:val="32"/>
          <w:szCs w:val="32"/>
        </w:rPr>
        <w:t xml:space="preserve"> </w:t>
      </w:r>
      <w:proofErr w:type="spellStart"/>
      <w:r w:rsidR="00BE3FE9">
        <w:rPr>
          <w:b/>
          <w:sz w:val="32"/>
          <w:szCs w:val="32"/>
        </w:rPr>
        <w:t>Majolie</w:t>
      </w:r>
      <w:proofErr w:type="spellEnd"/>
      <w:r w:rsidR="00BE3FE9">
        <w:rPr>
          <w:b/>
          <w:sz w:val="32"/>
          <w:szCs w:val="32"/>
        </w:rPr>
        <w:t xml:space="preserve"> Ther</w:t>
      </w:r>
      <w:r>
        <w:rPr>
          <w:b/>
          <w:sz w:val="32"/>
          <w:szCs w:val="32"/>
        </w:rPr>
        <w:br/>
        <w:t>Student Number:</w:t>
      </w:r>
      <w:r w:rsidR="00BE3FE9">
        <w:rPr>
          <w:b/>
          <w:sz w:val="32"/>
          <w:szCs w:val="32"/>
        </w:rPr>
        <w:t xml:space="preserve"> 2441312</w:t>
      </w:r>
    </w:p>
    <w:p w14:paraId="17273044" w14:textId="77777777" w:rsidR="007E1DA8" w:rsidRDefault="007E1DA8" w:rsidP="003E37B1">
      <w:pPr>
        <w:spacing w:line="360" w:lineRule="auto"/>
        <w:jc w:val="center"/>
        <w:rPr>
          <w:b/>
          <w:sz w:val="32"/>
          <w:szCs w:val="32"/>
        </w:rPr>
      </w:pPr>
    </w:p>
    <w:p w14:paraId="55735A79" w14:textId="77777777" w:rsidR="007E1DA8" w:rsidRDefault="007E1DA8" w:rsidP="003E37B1">
      <w:pPr>
        <w:spacing w:line="360" w:lineRule="auto"/>
        <w:jc w:val="center"/>
        <w:rPr>
          <w:b/>
          <w:sz w:val="32"/>
          <w:szCs w:val="32"/>
        </w:rPr>
      </w:pPr>
    </w:p>
    <w:p w14:paraId="37D00CEF" w14:textId="2C6A4846" w:rsidR="007E1DA8" w:rsidRPr="003E37B1" w:rsidRDefault="007E1DA8" w:rsidP="003E37B1">
      <w:pPr>
        <w:spacing w:line="360" w:lineRule="auto"/>
        <w:jc w:val="center"/>
        <w:rPr>
          <w:b/>
          <w:sz w:val="32"/>
          <w:szCs w:val="32"/>
        </w:rPr>
      </w:pPr>
      <w:r>
        <w:rPr>
          <w:b/>
          <w:sz w:val="32"/>
          <w:szCs w:val="32"/>
        </w:rPr>
        <w:t xml:space="preserve">Word count: </w:t>
      </w:r>
      <w:r w:rsidR="00417D7B">
        <w:rPr>
          <w:b/>
          <w:sz w:val="32"/>
          <w:szCs w:val="32"/>
        </w:rPr>
        <w:t>1500 (Including poster)</w:t>
      </w:r>
    </w:p>
    <w:p w14:paraId="162C6C98" w14:textId="77777777" w:rsidR="007E1DA8" w:rsidRDefault="007E1DA8">
      <w:pPr>
        <w:rPr>
          <w:b/>
        </w:rPr>
      </w:pPr>
      <w:r>
        <w:rPr>
          <w:b/>
        </w:rPr>
        <w:br w:type="page"/>
      </w:r>
    </w:p>
    <w:sdt>
      <w:sdtPr>
        <w:rPr>
          <w:rFonts w:ascii="Arial" w:eastAsia="Arial" w:hAnsi="Arial" w:cs="Arial"/>
          <w:b w:val="0"/>
          <w:color w:val="auto"/>
          <w:sz w:val="22"/>
          <w:szCs w:val="22"/>
          <w:lang w:val="en-GB" w:eastAsia="en-GB"/>
        </w:rPr>
        <w:id w:val="-163711491"/>
        <w:docPartObj>
          <w:docPartGallery w:val="Table of Contents"/>
          <w:docPartUnique/>
        </w:docPartObj>
      </w:sdtPr>
      <w:sdtEndPr>
        <w:rPr>
          <w:bCs/>
          <w:noProof/>
        </w:rPr>
      </w:sdtEndPr>
      <w:sdtContent>
        <w:p w14:paraId="2EA2679C" w14:textId="00348D59" w:rsidR="007B2CDF" w:rsidRPr="007B2CDF" w:rsidRDefault="007B2CDF" w:rsidP="007B2CDF">
          <w:pPr>
            <w:pStyle w:val="TOCHeading"/>
            <w:spacing w:line="360" w:lineRule="auto"/>
            <w:jc w:val="center"/>
            <w:rPr>
              <w:rFonts w:ascii="Arial" w:hAnsi="Arial" w:cs="Arial"/>
              <w:color w:val="000000" w:themeColor="text1"/>
              <w:sz w:val="22"/>
              <w:szCs w:val="22"/>
            </w:rPr>
          </w:pPr>
          <w:r w:rsidRPr="007B2CDF">
            <w:rPr>
              <w:rFonts w:ascii="Arial" w:hAnsi="Arial" w:cs="Arial"/>
              <w:color w:val="000000" w:themeColor="text1"/>
              <w:sz w:val="22"/>
              <w:szCs w:val="22"/>
            </w:rPr>
            <w:t>Table of Contents</w:t>
          </w:r>
        </w:p>
        <w:p w14:paraId="0727A3B7" w14:textId="77777777" w:rsidR="001D07CD" w:rsidRDefault="007B2CDF" w:rsidP="001D07CD">
          <w:pPr>
            <w:pStyle w:val="TOC1"/>
            <w:tabs>
              <w:tab w:val="right" w:leader="dot" w:pos="9019"/>
            </w:tabs>
            <w:spacing w:line="360" w:lineRule="auto"/>
            <w:jc w:val="both"/>
            <w:rPr>
              <w:rFonts w:asciiTheme="minorHAnsi" w:eastAsiaTheme="minorEastAsia" w:hAnsiTheme="minorHAnsi" w:cstheme="minorBidi"/>
              <w:noProof/>
            </w:rPr>
          </w:pPr>
          <w:r w:rsidRPr="007B2CDF">
            <w:rPr>
              <w:color w:val="000000" w:themeColor="text1"/>
            </w:rPr>
            <w:fldChar w:fldCharType="begin"/>
          </w:r>
          <w:r w:rsidRPr="007B2CDF">
            <w:rPr>
              <w:color w:val="000000" w:themeColor="text1"/>
            </w:rPr>
            <w:instrText xml:space="preserve"> TOC \o "1-3" \h \z \u </w:instrText>
          </w:r>
          <w:r w:rsidRPr="007B2CDF">
            <w:rPr>
              <w:color w:val="000000" w:themeColor="text1"/>
            </w:rPr>
            <w:fldChar w:fldCharType="separate"/>
          </w:r>
          <w:hyperlink w:anchor="_Toc211449529" w:history="1">
            <w:r w:rsidR="001D07CD" w:rsidRPr="0055310A">
              <w:rPr>
                <w:rStyle w:val="Hyperlink"/>
                <w:noProof/>
              </w:rPr>
              <w:t>Task 1: Poster presentation</w:t>
            </w:r>
            <w:r w:rsidR="001D07CD">
              <w:rPr>
                <w:noProof/>
                <w:webHidden/>
              </w:rPr>
              <w:tab/>
            </w:r>
            <w:r w:rsidR="001D07CD">
              <w:rPr>
                <w:noProof/>
                <w:webHidden/>
              </w:rPr>
              <w:fldChar w:fldCharType="begin"/>
            </w:r>
            <w:r w:rsidR="001D07CD">
              <w:rPr>
                <w:noProof/>
                <w:webHidden/>
              </w:rPr>
              <w:instrText xml:space="preserve"> PAGEREF _Toc211449529 \h </w:instrText>
            </w:r>
            <w:r w:rsidR="001D07CD">
              <w:rPr>
                <w:noProof/>
                <w:webHidden/>
              </w:rPr>
            </w:r>
            <w:r w:rsidR="001D07CD">
              <w:rPr>
                <w:noProof/>
                <w:webHidden/>
              </w:rPr>
              <w:fldChar w:fldCharType="separate"/>
            </w:r>
            <w:r w:rsidR="001D07CD">
              <w:rPr>
                <w:noProof/>
                <w:webHidden/>
              </w:rPr>
              <w:t>3</w:t>
            </w:r>
            <w:r w:rsidR="001D07CD">
              <w:rPr>
                <w:noProof/>
                <w:webHidden/>
              </w:rPr>
              <w:fldChar w:fldCharType="end"/>
            </w:r>
          </w:hyperlink>
        </w:p>
        <w:p w14:paraId="16C06220" w14:textId="77777777" w:rsidR="001D07CD" w:rsidRDefault="001D07CD" w:rsidP="001D07CD">
          <w:pPr>
            <w:pStyle w:val="TOC1"/>
            <w:tabs>
              <w:tab w:val="right" w:leader="dot" w:pos="9019"/>
            </w:tabs>
            <w:spacing w:line="360" w:lineRule="auto"/>
            <w:jc w:val="both"/>
            <w:rPr>
              <w:rFonts w:asciiTheme="minorHAnsi" w:eastAsiaTheme="minorEastAsia" w:hAnsiTheme="minorHAnsi" w:cstheme="minorBidi"/>
              <w:noProof/>
            </w:rPr>
          </w:pPr>
          <w:hyperlink w:anchor="_Toc211449530" w:history="1">
            <w:r w:rsidRPr="0055310A">
              <w:rPr>
                <w:rStyle w:val="Hyperlink"/>
                <w:noProof/>
              </w:rPr>
              <w:t>Task 2: Essay</w:t>
            </w:r>
            <w:r>
              <w:rPr>
                <w:noProof/>
                <w:webHidden/>
              </w:rPr>
              <w:tab/>
            </w:r>
            <w:r>
              <w:rPr>
                <w:noProof/>
                <w:webHidden/>
              </w:rPr>
              <w:fldChar w:fldCharType="begin"/>
            </w:r>
            <w:r>
              <w:rPr>
                <w:noProof/>
                <w:webHidden/>
              </w:rPr>
              <w:instrText xml:space="preserve"> PAGEREF _Toc211449530 \h </w:instrText>
            </w:r>
            <w:r>
              <w:rPr>
                <w:noProof/>
                <w:webHidden/>
              </w:rPr>
            </w:r>
            <w:r>
              <w:rPr>
                <w:noProof/>
                <w:webHidden/>
              </w:rPr>
              <w:fldChar w:fldCharType="separate"/>
            </w:r>
            <w:r>
              <w:rPr>
                <w:noProof/>
                <w:webHidden/>
              </w:rPr>
              <w:t>4</w:t>
            </w:r>
            <w:r>
              <w:rPr>
                <w:noProof/>
                <w:webHidden/>
              </w:rPr>
              <w:fldChar w:fldCharType="end"/>
            </w:r>
          </w:hyperlink>
        </w:p>
        <w:p w14:paraId="6D811367" w14:textId="77777777" w:rsidR="001D07CD" w:rsidRDefault="001D07CD" w:rsidP="001D07CD">
          <w:pPr>
            <w:pStyle w:val="TOC2"/>
            <w:tabs>
              <w:tab w:val="right" w:leader="dot" w:pos="9019"/>
            </w:tabs>
            <w:spacing w:line="360" w:lineRule="auto"/>
            <w:jc w:val="both"/>
            <w:rPr>
              <w:rFonts w:asciiTheme="minorHAnsi" w:eastAsiaTheme="minorEastAsia" w:hAnsiTheme="minorHAnsi" w:cstheme="minorBidi"/>
              <w:noProof/>
            </w:rPr>
          </w:pPr>
          <w:hyperlink w:anchor="_Toc211449531" w:history="1">
            <w:r w:rsidRPr="0055310A">
              <w:rPr>
                <w:rStyle w:val="Hyperlink"/>
                <w:noProof/>
              </w:rPr>
              <w:t>Introduction</w:t>
            </w:r>
            <w:r>
              <w:rPr>
                <w:noProof/>
                <w:webHidden/>
              </w:rPr>
              <w:tab/>
            </w:r>
            <w:r>
              <w:rPr>
                <w:noProof/>
                <w:webHidden/>
              </w:rPr>
              <w:fldChar w:fldCharType="begin"/>
            </w:r>
            <w:r>
              <w:rPr>
                <w:noProof/>
                <w:webHidden/>
              </w:rPr>
              <w:instrText xml:space="preserve"> PAGEREF _Toc211449531 \h </w:instrText>
            </w:r>
            <w:r>
              <w:rPr>
                <w:noProof/>
                <w:webHidden/>
              </w:rPr>
            </w:r>
            <w:r>
              <w:rPr>
                <w:noProof/>
                <w:webHidden/>
              </w:rPr>
              <w:fldChar w:fldCharType="separate"/>
            </w:r>
            <w:r>
              <w:rPr>
                <w:noProof/>
                <w:webHidden/>
              </w:rPr>
              <w:t>4</w:t>
            </w:r>
            <w:r>
              <w:rPr>
                <w:noProof/>
                <w:webHidden/>
              </w:rPr>
              <w:fldChar w:fldCharType="end"/>
            </w:r>
          </w:hyperlink>
        </w:p>
        <w:p w14:paraId="0BD255F3" w14:textId="77777777" w:rsidR="001D07CD" w:rsidRDefault="001D07CD" w:rsidP="001D07CD">
          <w:pPr>
            <w:pStyle w:val="TOC2"/>
            <w:tabs>
              <w:tab w:val="right" w:leader="dot" w:pos="9019"/>
            </w:tabs>
            <w:spacing w:line="360" w:lineRule="auto"/>
            <w:jc w:val="both"/>
            <w:rPr>
              <w:rFonts w:asciiTheme="minorHAnsi" w:eastAsiaTheme="minorEastAsia" w:hAnsiTheme="minorHAnsi" w:cstheme="minorBidi"/>
              <w:noProof/>
            </w:rPr>
          </w:pPr>
          <w:hyperlink w:anchor="_Toc211449532" w:history="1">
            <w:r w:rsidRPr="0055310A">
              <w:rPr>
                <w:rStyle w:val="Hyperlink"/>
                <w:noProof/>
              </w:rPr>
              <w:t>Origin and historical context of National Health Service (NHS)</w:t>
            </w:r>
            <w:r>
              <w:rPr>
                <w:noProof/>
                <w:webHidden/>
              </w:rPr>
              <w:tab/>
            </w:r>
            <w:r>
              <w:rPr>
                <w:noProof/>
                <w:webHidden/>
              </w:rPr>
              <w:fldChar w:fldCharType="begin"/>
            </w:r>
            <w:r>
              <w:rPr>
                <w:noProof/>
                <w:webHidden/>
              </w:rPr>
              <w:instrText xml:space="preserve"> PAGEREF _Toc211449532 \h </w:instrText>
            </w:r>
            <w:r>
              <w:rPr>
                <w:noProof/>
                <w:webHidden/>
              </w:rPr>
            </w:r>
            <w:r>
              <w:rPr>
                <w:noProof/>
                <w:webHidden/>
              </w:rPr>
              <w:fldChar w:fldCharType="separate"/>
            </w:r>
            <w:r>
              <w:rPr>
                <w:noProof/>
                <w:webHidden/>
              </w:rPr>
              <w:t>4</w:t>
            </w:r>
            <w:r>
              <w:rPr>
                <w:noProof/>
                <w:webHidden/>
              </w:rPr>
              <w:fldChar w:fldCharType="end"/>
            </w:r>
          </w:hyperlink>
        </w:p>
        <w:p w14:paraId="1F3804C0" w14:textId="77777777" w:rsidR="001D07CD" w:rsidRDefault="001D07CD" w:rsidP="001D07CD">
          <w:pPr>
            <w:pStyle w:val="TOC2"/>
            <w:tabs>
              <w:tab w:val="right" w:leader="dot" w:pos="9019"/>
            </w:tabs>
            <w:spacing w:line="360" w:lineRule="auto"/>
            <w:jc w:val="both"/>
            <w:rPr>
              <w:rFonts w:asciiTheme="minorHAnsi" w:eastAsiaTheme="minorEastAsia" w:hAnsiTheme="minorHAnsi" w:cstheme="minorBidi"/>
              <w:noProof/>
            </w:rPr>
          </w:pPr>
          <w:hyperlink w:anchor="_Toc211449533" w:history="1">
            <w:r w:rsidRPr="0055310A">
              <w:rPr>
                <w:rStyle w:val="Hyperlink"/>
                <w:noProof/>
              </w:rPr>
              <w:t>Key principles associated with NHS establishment</w:t>
            </w:r>
            <w:r>
              <w:rPr>
                <w:noProof/>
                <w:webHidden/>
              </w:rPr>
              <w:tab/>
            </w:r>
            <w:r>
              <w:rPr>
                <w:noProof/>
                <w:webHidden/>
              </w:rPr>
              <w:fldChar w:fldCharType="begin"/>
            </w:r>
            <w:r>
              <w:rPr>
                <w:noProof/>
                <w:webHidden/>
              </w:rPr>
              <w:instrText xml:space="preserve"> PAGEREF _Toc211449533 \h </w:instrText>
            </w:r>
            <w:r>
              <w:rPr>
                <w:noProof/>
                <w:webHidden/>
              </w:rPr>
            </w:r>
            <w:r>
              <w:rPr>
                <w:noProof/>
                <w:webHidden/>
              </w:rPr>
              <w:fldChar w:fldCharType="separate"/>
            </w:r>
            <w:r>
              <w:rPr>
                <w:noProof/>
                <w:webHidden/>
              </w:rPr>
              <w:t>4</w:t>
            </w:r>
            <w:r>
              <w:rPr>
                <w:noProof/>
                <w:webHidden/>
              </w:rPr>
              <w:fldChar w:fldCharType="end"/>
            </w:r>
          </w:hyperlink>
        </w:p>
        <w:p w14:paraId="431AF970" w14:textId="77777777" w:rsidR="001D07CD" w:rsidRDefault="001D07CD" w:rsidP="001D07CD">
          <w:pPr>
            <w:pStyle w:val="TOC2"/>
            <w:tabs>
              <w:tab w:val="right" w:leader="dot" w:pos="9019"/>
            </w:tabs>
            <w:spacing w:line="360" w:lineRule="auto"/>
            <w:jc w:val="both"/>
            <w:rPr>
              <w:rFonts w:asciiTheme="minorHAnsi" w:eastAsiaTheme="minorEastAsia" w:hAnsiTheme="minorHAnsi" w:cstheme="minorBidi"/>
              <w:noProof/>
            </w:rPr>
          </w:pPr>
          <w:hyperlink w:anchor="_Toc211449534" w:history="1">
            <w:r w:rsidRPr="0055310A">
              <w:rPr>
                <w:rStyle w:val="Hyperlink"/>
                <w:noProof/>
              </w:rPr>
              <w:t>Current structure and functioning of NHS</w:t>
            </w:r>
            <w:r>
              <w:rPr>
                <w:noProof/>
                <w:webHidden/>
              </w:rPr>
              <w:tab/>
            </w:r>
            <w:r>
              <w:rPr>
                <w:noProof/>
                <w:webHidden/>
              </w:rPr>
              <w:fldChar w:fldCharType="begin"/>
            </w:r>
            <w:r>
              <w:rPr>
                <w:noProof/>
                <w:webHidden/>
              </w:rPr>
              <w:instrText xml:space="preserve"> PAGEREF _Toc211449534 \h </w:instrText>
            </w:r>
            <w:r>
              <w:rPr>
                <w:noProof/>
                <w:webHidden/>
              </w:rPr>
            </w:r>
            <w:r>
              <w:rPr>
                <w:noProof/>
                <w:webHidden/>
              </w:rPr>
              <w:fldChar w:fldCharType="separate"/>
            </w:r>
            <w:r>
              <w:rPr>
                <w:noProof/>
                <w:webHidden/>
              </w:rPr>
              <w:t>4</w:t>
            </w:r>
            <w:r>
              <w:rPr>
                <w:noProof/>
                <w:webHidden/>
              </w:rPr>
              <w:fldChar w:fldCharType="end"/>
            </w:r>
          </w:hyperlink>
        </w:p>
        <w:p w14:paraId="7CE026A9" w14:textId="77777777" w:rsidR="001D07CD" w:rsidRDefault="001D07CD" w:rsidP="001D07CD">
          <w:pPr>
            <w:pStyle w:val="TOC2"/>
            <w:tabs>
              <w:tab w:val="right" w:leader="dot" w:pos="9019"/>
            </w:tabs>
            <w:spacing w:line="360" w:lineRule="auto"/>
            <w:jc w:val="both"/>
            <w:rPr>
              <w:rFonts w:asciiTheme="minorHAnsi" w:eastAsiaTheme="minorEastAsia" w:hAnsiTheme="minorHAnsi" w:cstheme="minorBidi"/>
              <w:noProof/>
            </w:rPr>
          </w:pPr>
          <w:hyperlink w:anchor="_Toc211449535" w:history="1">
            <w:r w:rsidRPr="0055310A">
              <w:rPr>
                <w:rStyle w:val="Hyperlink"/>
                <w:noProof/>
              </w:rPr>
              <w:t>Conclusion</w:t>
            </w:r>
            <w:r>
              <w:rPr>
                <w:noProof/>
                <w:webHidden/>
              </w:rPr>
              <w:tab/>
            </w:r>
            <w:r>
              <w:rPr>
                <w:noProof/>
                <w:webHidden/>
              </w:rPr>
              <w:fldChar w:fldCharType="begin"/>
            </w:r>
            <w:r>
              <w:rPr>
                <w:noProof/>
                <w:webHidden/>
              </w:rPr>
              <w:instrText xml:space="preserve"> PAGEREF _Toc211449535 \h </w:instrText>
            </w:r>
            <w:r>
              <w:rPr>
                <w:noProof/>
                <w:webHidden/>
              </w:rPr>
            </w:r>
            <w:r>
              <w:rPr>
                <w:noProof/>
                <w:webHidden/>
              </w:rPr>
              <w:fldChar w:fldCharType="separate"/>
            </w:r>
            <w:r>
              <w:rPr>
                <w:noProof/>
                <w:webHidden/>
              </w:rPr>
              <w:t>5</w:t>
            </w:r>
            <w:r>
              <w:rPr>
                <w:noProof/>
                <w:webHidden/>
              </w:rPr>
              <w:fldChar w:fldCharType="end"/>
            </w:r>
          </w:hyperlink>
        </w:p>
        <w:p w14:paraId="3E380D97" w14:textId="77777777" w:rsidR="001D07CD" w:rsidRDefault="001D07CD" w:rsidP="001D07CD">
          <w:pPr>
            <w:pStyle w:val="TOC1"/>
            <w:tabs>
              <w:tab w:val="right" w:leader="dot" w:pos="9019"/>
            </w:tabs>
            <w:spacing w:line="360" w:lineRule="auto"/>
            <w:jc w:val="both"/>
            <w:rPr>
              <w:rFonts w:asciiTheme="minorHAnsi" w:eastAsiaTheme="minorEastAsia" w:hAnsiTheme="minorHAnsi" w:cstheme="minorBidi"/>
              <w:noProof/>
            </w:rPr>
          </w:pPr>
          <w:hyperlink w:anchor="_Toc211449536" w:history="1">
            <w:r w:rsidRPr="0055310A">
              <w:rPr>
                <w:rStyle w:val="Hyperlink"/>
                <w:noProof/>
              </w:rPr>
              <w:t>Reference list</w:t>
            </w:r>
            <w:r>
              <w:rPr>
                <w:noProof/>
                <w:webHidden/>
              </w:rPr>
              <w:tab/>
            </w:r>
            <w:r>
              <w:rPr>
                <w:noProof/>
                <w:webHidden/>
              </w:rPr>
              <w:fldChar w:fldCharType="begin"/>
            </w:r>
            <w:r>
              <w:rPr>
                <w:noProof/>
                <w:webHidden/>
              </w:rPr>
              <w:instrText xml:space="preserve"> PAGEREF _Toc211449536 \h </w:instrText>
            </w:r>
            <w:r>
              <w:rPr>
                <w:noProof/>
                <w:webHidden/>
              </w:rPr>
            </w:r>
            <w:r>
              <w:rPr>
                <w:noProof/>
                <w:webHidden/>
              </w:rPr>
              <w:fldChar w:fldCharType="separate"/>
            </w:r>
            <w:r>
              <w:rPr>
                <w:noProof/>
                <w:webHidden/>
              </w:rPr>
              <w:t>6</w:t>
            </w:r>
            <w:r>
              <w:rPr>
                <w:noProof/>
                <w:webHidden/>
              </w:rPr>
              <w:fldChar w:fldCharType="end"/>
            </w:r>
          </w:hyperlink>
        </w:p>
        <w:p w14:paraId="276D9A50" w14:textId="1C9AF84E" w:rsidR="007B2CDF" w:rsidRDefault="007B2CDF" w:rsidP="007B2CDF">
          <w:pPr>
            <w:spacing w:line="360" w:lineRule="auto"/>
          </w:pPr>
          <w:r w:rsidRPr="007B2CDF">
            <w:rPr>
              <w:b/>
              <w:bCs/>
              <w:noProof/>
              <w:color w:val="000000" w:themeColor="text1"/>
            </w:rPr>
            <w:fldChar w:fldCharType="end"/>
          </w:r>
        </w:p>
      </w:sdtContent>
    </w:sdt>
    <w:p w14:paraId="5C2DB6F8" w14:textId="77777777" w:rsidR="007B2CDF" w:rsidRDefault="007B2CDF">
      <w:pPr>
        <w:rPr>
          <w:b/>
        </w:rPr>
      </w:pPr>
      <w:r>
        <w:br w:type="page"/>
      </w:r>
    </w:p>
    <w:p w14:paraId="00000005" w14:textId="281F8493" w:rsidR="00FD6665" w:rsidRDefault="007267EF" w:rsidP="002563E0">
      <w:pPr>
        <w:pStyle w:val="Heading1"/>
      </w:pPr>
      <w:bookmarkStart w:id="0" w:name="_Toc211449529"/>
      <w:r>
        <w:lastRenderedPageBreak/>
        <w:t>Task 1: Poster presentation</w:t>
      </w:r>
      <w:bookmarkEnd w:id="0"/>
      <w:r>
        <w:t xml:space="preserve"> </w:t>
      </w:r>
    </w:p>
    <w:p w14:paraId="549F98B3" w14:textId="1F649FD2" w:rsidR="00BE612A" w:rsidRDefault="0042493D" w:rsidP="002866FC">
      <w:pPr>
        <w:jc w:val="center"/>
        <w:rPr>
          <w:b/>
        </w:rPr>
      </w:pPr>
      <w:r>
        <w:rPr>
          <w:noProof/>
        </w:rPr>
        <w:drawing>
          <wp:inline distT="0" distB="0" distL="0" distR="0" wp14:anchorId="7253F222" wp14:editId="526A89FF">
            <wp:extent cx="4048125" cy="7162800"/>
            <wp:effectExtent l="19050" t="19050" r="2857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48125" cy="7162800"/>
                    </a:xfrm>
                    <a:prstGeom prst="rect">
                      <a:avLst/>
                    </a:prstGeom>
                    <a:ln>
                      <a:solidFill>
                        <a:schemeClr val="tx1"/>
                      </a:solidFill>
                    </a:ln>
                  </pic:spPr>
                </pic:pic>
              </a:graphicData>
            </a:graphic>
          </wp:inline>
        </w:drawing>
      </w:r>
    </w:p>
    <w:p w14:paraId="321AB811" w14:textId="09B1DE5A" w:rsidR="00615405" w:rsidRDefault="00615405" w:rsidP="002866FC">
      <w:pPr>
        <w:jc w:val="center"/>
        <w:rPr>
          <w:b/>
        </w:rPr>
      </w:pPr>
      <w:r>
        <w:rPr>
          <w:b/>
        </w:rPr>
        <w:br w:type="page"/>
      </w:r>
    </w:p>
    <w:p w14:paraId="00000027" w14:textId="57E9742D" w:rsidR="00FD6665" w:rsidRDefault="007267EF" w:rsidP="00615405">
      <w:pPr>
        <w:pStyle w:val="Heading1"/>
      </w:pPr>
      <w:bookmarkStart w:id="1" w:name="_Toc211449530"/>
      <w:r>
        <w:lastRenderedPageBreak/>
        <w:t>Task 2: Essay</w:t>
      </w:r>
      <w:bookmarkEnd w:id="1"/>
      <w:r>
        <w:t xml:space="preserve"> </w:t>
      </w:r>
    </w:p>
    <w:p w14:paraId="00000028" w14:textId="77777777" w:rsidR="00FD6665" w:rsidRDefault="007267EF" w:rsidP="00615405">
      <w:pPr>
        <w:pStyle w:val="Heading2"/>
      </w:pPr>
      <w:bookmarkStart w:id="2" w:name="_Toc211449531"/>
      <w:r>
        <w:t>Introduction</w:t>
      </w:r>
      <w:bookmarkEnd w:id="2"/>
      <w:r>
        <w:t xml:space="preserve"> </w:t>
      </w:r>
    </w:p>
    <w:p w14:paraId="00000029" w14:textId="7F164BB5" w:rsidR="00FD6665" w:rsidRDefault="007267EF">
      <w:pPr>
        <w:spacing w:line="360" w:lineRule="auto"/>
        <w:jc w:val="both"/>
      </w:pPr>
      <w:r>
        <w:t xml:space="preserve">The National Health Service (NHS) is one of the greatest social reforms in the history of Britain, based on the premise that access to health care should be made available to everybody, irrespective of income. The essay explains the background and fundamental principles that contributed to its establishment and </w:t>
      </w:r>
      <w:r w:rsidR="00615405">
        <w:t>analyses</w:t>
      </w:r>
      <w:r>
        <w:t xml:space="preserve"> critically the current structure and operation of the NHS.</w:t>
      </w:r>
    </w:p>
    <w:p w14:paraId="0000002A" w14:textId="77777777" w:rsidR="00FD6665" w:rsidRDefault="007267EF" w:rsidP="00615405">
      <w:pPr>
        <w:pStyle w:val="Heading2"/>
      </w:pPr>
      <w:bookmarkStart w:id="3" w:name="_Toc211449532"/>
      <w:r>
        <w:t>Origin and historical context of National Health Service (NHS)</w:t>
      </w:r>
      <w:bookmarkEnd w:id="3"/>
    </w:p>
    <w:p w14:paraId="0000002B" w14:textId="1D98ADAC" w:rsidR="00FD6665" w:rsidRDefault="007267EF">
      <w:pPr>
        <w:spacing w:line="360" w:lineRule="auto"/>
        <w:jc w:val="both"/>
      </w:pPr>
      <w:r>
        <w:t xml:space="preserve">Prior to 1948, the healthcare within the United Kingdom was solely dependent on the person’s ability to pay for the medical services. </w:t>
      </w:r>
      <w:r w:rsidR="009E524C">
        <w:t>Also, t</w:t>
      </w:r>
      <w:r>
        <w:t xml:space="preserve">he medical treatment was basically provided through local, private and charitable authorities so that it can be affordable by families of middle to high income class people. The Second World War revealed profound disparities in access to medical care, which led to political discussion regarding post-war reconstruction and social justice. </w:t>
      </w:r>
      <w:r w:rsidR="00EF6071">
        <w:t>Also, i</w:t>
      </w:r>
      <w:r>
        <w:t xml:space="preserve">n the 1942 Beveridge Report, Sir William Beveridge identified five giants which needed to be handled by Britain to acquire success economically and socially including Want, Disease, Ignorance, Squalor and Idleness (Parliament, 2025). </w:t>
      </w:r>
    </w:p>
    <w:p w14:paraId="0000002C" w14:textId="76D05DFE" w:rsidR="00FD6665" w:rsidRDefault="007267EF">
      <w:pPr>
        <w:spacing w:line="360" w:lineRule="auto"/>
        <w:jc w:val="both"/>
      </w:pPr>
      <w:r>
        <w:t>The driving force for establishing the NHS was Aneurin Bevan who was the Minister of Health in 1945. Aneurin Bevan’s vision was to keep the medical service free for all (Davies, 2024). The NHS officially started working in 1948 that brings together both hospitals, dentists, general practitioners, opticians, and pharmacists under one single system that is publicly funded. Hence, currently the NHS works on its values of commitment to quality, respect and dignity, working together for patients, compassion, improving lives and counting everyone (</w:t>
      </w:r>
      <w:proofErr w:type="spellStart"/>
      <w:r>
        <w:t>Nhs</w:t>
      </w:r>
      <w:proofErr w:type="spellEnd"/>
      <w:r>
        <w:t xml:space="preserve">, 2025). </w:t>
      </w:r>
    </w:p>
    <w:p w14:paraId="0000002D" w14:textId="77777777" w:rsidR="00FD6665" w:rsidRDefault="007267EF" w:rsidP="00615405">
      <w:pPr>
        <w:pStyle w:val="Heading2"/>
      </w:pPr>
      <w:bookmarkStart w:id="4" w:name="_Toc211449533"/>
      <w:r>
        <w:t>Key principles associated with NHS establishment</w:t>
      </w:r>
      <w:bookmarkEnd w:id="4"/>
    </w:p>
    <w:p w14:paraId="0000002E" w14:textId="5DDF2090" w:rsidR="00FD6665" w:rsidRDefault="007267EF">
      <w:pPr>
        <w:spacing w:line="360" w:lineRule="auto"/>
        <w:jc w:val="both"/>
      </w:pPr>
      <w:r>
        <w:t xml:space="preserve">Based on the key principles associated with the establishment of the NHS, the principle of universality has been maintained for providing access to medical services to all. Also, the charge for the medical services remains free, and it is ensured that the medical services are to be provided based on clinical need, and not on the ability of individuals to pay (Gov.uk, 2025). NHS, as per the principles, need to provide support and promote health and wellbeing to the patients. NHS ensures fair use of resources, works across organisational boundaries, and remains accountable to patients, communities and publics.  </w:t>
      </w:r>
    </w:p>
    <w:p w14:paraId="0000002F" w14:textId="77777777" w:rsidR="00FD6665" w:rsidRDefault="007267EF" w:rsidP="00615405">
      <w:pPr>
        <w:pStyle w:val="Heading2"/>
      </w:pPr>
      <w:bookmarkStart w:id="5" w:name="_Toc211449534"/>
      <w:r>
        <w:t>Current structure and functioning of NHS</w:t>
      </w:r>
      <w:bookmarkEnd w:id="5"/>
    </w:p>
    <w:p w14:paraId="00000030" w14:textId="52743811" w:rsidR="00FD6665" w:rsidRDefault="007267EF">
      <w:pPr>
        <w:spacing w:line="360" w:lineRule="auto"/>
        <w:jc w:val="both"/>
      </w:pPr>
      <w:r>
        <w:lastRenderedPageBreak/>
        <w:t>The contemporary NHS has developed into an intricate, multi-faceted system and is made up of hundreds of different organisations of differing sizes. The UK's health services have evolved, with four distinct NHS systems such as Wales, England, Scotland and in Northern Ireland that deal with local health policy and provision (</w:t>
      </w:r>
      <w:proofErr w:type="spellStart"/>
      <w:r>
        <w:t>Nhs</w:t>
      </w:r>
      <w:proofErr w:type="spellEnd"/>
      <w:r>
        <w:t>, 2025). In England, the NHS is governed by the Department of Health and Social Care (DHSC), headed by the Secretary of State for Health. Policy guidance and funding are coordinated by NHS England, which commissions services through Integrated Care Systems (ICSs) collaborations between local councils, hospitals, and GPs to organize care within areas. Based on functioning, the NHS works with the government for effectively funding along with providing support to local organisations to plan for high-quality service delivery (</w:t>
      </w:r>
      <w:proofErr w:type="spellStart"/>
      <w:r>
        <w:t>Nhs</w:t>
      </w:r>
      <w:proofErr w:type="spellEnd"/>
      <w:r>
        <w:t xml:space="preserve">, 2025). </w:t>
      </w:r>
      <w:r w:rsidR="006611AD">
        <w:t>NHS</w:t>
      </w:r>
      <w:r>
        <w:t xml:space="preserve"> supervises safe healthcare service, facilitates innovation, and improvement across the NHS. </w:t>
      </w:r>
    </w:p>
    <w:p w14:paraId="00000031" w14:textId="77777777" w:rsidR="00FD6665" w:rsidRDefault="007267EF" w:rsidP="00615405">
      <w:pPr>
        <w:pStyle w:val="Heading2"/>
      </w:pPr>
      <w:bookmarkStart w:id="6" w:name="_Toc211449535"/>
      <w:r w:rsidRPr="00615405">
        <w:t>Conclusion</w:t>
      </w:r>
      <w:bookmarkEnd w:id="6"/>
    </w:p>
    <w:p w14:paraId="00000032" w14:textId="77777777" w:rsidR="00FD6665" w:rsidRDefault="007267EF">
      <w:pPr>
        <w:spacing w:line="360" w:lineRule="auto"/>
        <w:jc w:val="both"/>
      </w:pPr>
      <w:r>
        <w:t>It can be concluded that establishment of the NHS in the year 1948 helps in bringing transformative responses to social inequalities, and demand for universal healthcare practice. This essay highlights that the NHS works strictly on its key principles and has evolved with time that enables the NHS to provide universal medical solutions. Therefore, its future viability will depend upon successful reform, innovation, and a resounding reaffirmation of its founding principles: health care for all, on the basis of need, not affluence.</w:t>
      </w:r>
    </w:p>
    <w:p w14:paraId="00000033" w14:textId="77777777" w:rsidR="00FD6665" w:rsidRDefault="00FD6665">
      <w:pPr>
        <w:spacing w:line="360" w:lineRule="auto"/>
        <w:jc w:val="both"/>
      </w:pPr>
    </w:p>
    <w:p w14:paraId="00000034" w14:textId="77777777" w:rsidR="00FD6665" w:rsidRDefault="00FD6665">
      <w:pPr>
        <w:spacing w:line="360" w:lineRule="auto"/>
        <w:jc w:val="both"/>
      </w:pPr>
    </w:p>
    <w:p w14:paraId="00000035" w14:textId="77777777" w:rsidR="00FD6665" w:rsidRDefault="007267EF">
      <w:pPr>
        <w:spacing w:line="360" w:lineRule="auto"/>
        <w:jc w:val="both"/>
      </w:pPr>
      <w:r>
        <w:br w:type="page"/>
      </w:r>
    </w:p>
    <w:p w14:paraId="00000036" w14:textId="77777777" w:rsidR="00FD6665" w:rsidRDefault="007267EF" w:rsidP="00615405">
      <w:pPr>
        <w:pStyle w:val="Heading1"/>
      </w:pPr>
      <w:bookmarkStart w:id="7" w:name="_Toc211449536"/>
      <w:r>
        <w:lastRenderedPageBreak/>
        <w:t>Reference list</w:t>
      </w:r>
      <w:bookmarkEnd w:id="7"/>
    </w:p>
    <w:p w14:paraId="625C57FC" w14:textId="4FC17D0D" w:rsidR="00615405" w:rsidRPr="00615405" w:rsidRDefault="00615405">
      <w:pPr>
        <w:spacing w:before="240" w:after="240" w:line="360" w:lineRule="auto"/>
        <w:jc w:val="both"/>
        <w:rPr>
          <w:b/>
          <w:i/>
          <w:color w:val="222222"/>
          <w:highlight w:val="white"/>
        </w:rPr>
      </w:pPr>
      <w:r>
        <w:rPr>
          <w:b/>
          <w:i/>
          <w:color w:val="222222"/>
          <w:highlight w:val="white"/>
        </w:rPr>
        <w:t>Task 1</w:t>
      </w:r>
    </w:p>
    <w:p w14:paraId="4CC44AEC" w14:textId="77777777" w:rsidR="00615405" w:rsidRDefault="00615405">
      <w:pPr>
        <w:spacing w:before="240" w:after="240" w:line="360" w:lineRule="auto"/>
        <w:jc w:val="both"/>
      </w:pPr>
      <w:r>
        <w:rPr>
          <w:color w:val="222222"/>
          <w:highlight w:val="white"/>
        </w:rPr>
        <w:t xml:space="preserve">Amara, N., Naser, A.Y. and </w:t>
      </w:r>
      <w:proofErr w:type="spellStart"/>
      <w:r>
        <w:rPr>
          <w:color w:val="222222"/>
          <w:highlight w:val="white"/>
        </w:rPr>
        <w:t>Esra’O</w:t>
      </w:r>
      <w:proofErr w:type="spellEnd"/>
      <w:r>
        <w:rPr>
          <w:color w:val="222222"/>
          <w:highlight w:val="white"/>
        </w:rPr>
        <w:t xml:space="preserve">, T., (2023). Patient satisfaction with pharmaceutical services in Jordan: A cross-sectional study. </w:t>
      </w:r>
      <w:r>
        <w:rPr>
          <w:i/>
        </w:rPr>
        <w:t>Jordan Journal of Pharmaceutical Sciences</w:t>
      </w:r>
      <w:r>
        <w:t xml:space="preserve">, </w:t>
      </w:r>
      <w:r>
        <w:rPr>
          <w:i/>
        </w:rPr>
        <w:t>16</w:t>
      </w:r>
      <w:r>
        <w:t>(1), pp.1-10.</w:t>
      </w:r>
    </w:p>
    <w:p w14:paraId="217B1814" w14:textId="77777777" w:rsidR="00615405" w:rsidRDefault="00615405">
      <w:pPr>
        <w:spacing w:before="240" w:after="240" w:line="360" w:lineRule="auto"/>
        <w:jc w:val="both"/>
      </w:pPr>
      <w:r>
        <w:t xml:space="preserve">Dee, J., </w:t>
      </w:r>
      <w:proofErr w:type="spellStart"/>
      <w:r>
        <w:t>Dhuhaibawi</w:t>
      </w:r>
      <w:proofErr w:type="spellEnd"/>
      <w:r>
        <w:t xml:space="preserve">, N. and Hayden, J.C., (2023). A systematic review and pooled prevalence of burnout in pharmacists. </w:t>
      </w:r>
      <w:r>
        <w:rPr>
          <w:i/>
        </w:rPr>
        <w:t>International Journal of Clinical Pharmacy</w:t>
      </w:r>
      <w:r>
        <w:t xml:space="preserve">, </w:t>
      </w:r>
      <w:r>
        <w:rPr>
          <w:i/>
        </w:rPr>
        <w:t>45</w:t>
      </w:r>
      <w:r>
        <w:t>(5), pp.1027-1036.</w:t>
      </w:r>
    </w:p>
    <w:p w14:paraId="0A5770AA" w14:textId="77777777" w:rsidR="00615405" w:rsidRDefault="00615405">
      <w:pPr>
        <w:spacing w:before="240" w:after="240" w:line="360" w:lineRule="auto"/>
        <w:jc w:val="both"/>
      </w:pPr>
      <w:r>
        <w:t xml:space="preserve">Emadi, F., </w:t>
      </w:r>
      <w:proofErr w:type="spellStart"/>
      <w:r>
        <w:t>Ghanbarzadegan</w:t>
      </w:r>
      <w:proofErr w:type="spellEnd"/>
      <w:r>
        <w:t xml:space="preserve">, A., Ghahramani, S., Bastani, P. and </w:t>
      </w:r>
      <w:proofErr w:type="spellStart"/>
      <w:r>
        <w:t>Baysari</w:t>
      </w:r>
      <w:proofErr w:type="spellEnd"/>
      <w:r>
        <w:t xml:space="preserve">, M.T., (2022). Factors affecting medication adherence among older adults using tele-pharmacy services: a scoping review. </w:t>
      </w:r>
      <w:r>
        <w:rPr>
          <w:i/>
        </w:rPr>
        <w:t>Archives of Public Health</w:t>
      </w:r>
      <w:r>
        <w:t xml:space="preserve">, </w:t>
      </w:r>
      <w:r>
        <w:rPr>
          <w:i/>
        </w:rPr>
        <w:t>80</w:t>
      </w:r>
      <w:r>
        <w:t>(1), p.199.</w:t>
      </w:r>
    </w:p>
    <w:p w14:paraId="5789E27A" w14:textId="77777777" w:rsidR="00615405" w:rsidRDefault="00615405">
      <w:pPr>
        <w:spacing w:before="240" w:after="240" w:line="360" w:lineRule="auto"/>
        <w:jc w:val="both"/>
      </w:pPr>
      <w:r>
        <w:t xml:space="preserve">Legislation (2025) </w:t>
      </w:r>
      <w:r>
        <w:rPr>
          <w:i/>
        </w:rPr>
        <w:t>The Pharmacy Act 1852.</w:t>
      </w:r>
      <w:r>
        <w:t xml:space="preserve"> Available at:</w:t>
      </w:r>
      <w:hyperlink r:id="rId9">
        <w:r>
          <w:t xml:space="preserve"> </w:t>
        </w:r>
      </w:hyperlink>
      <w:hyperlink r:id="rId10">
        <w:r>
          <w:rPr>
            <w:color w:val="1155CC"/>
            <w:u w:val="single"/>
          </w:rPr>
          <w:t>https://www.legislation.gov.uk/ukpga/Vict/15-16/56/contents/enacted</w:t>
        </w:r>
      </w:hyperlink>
      <w:r>
        <w:t xml:space="preserve"> (Accessed: 12 October 2025)</w:t>
      </w:r>
    </w:p>
    <w:p w14:paraId="5FC24F6A" w14:textId="77777777" w:rsidR="00615405" w:rsidRDefault="00615405">
      <w:pPr>
        <w:spacing w:before="240" w:after="240" w:line="360" w:lineRule="auto"/>
        <w:jc w:val="both"/>
      </w:pPr>
      <w:r>
        <w:t xml:space="preserve">Pribadi, P., Kristina, S.A. and Syahlani, S.P., (2021). Building Patient Loyalty in Pharmacy Service: A Comprehensive Model. </w:t>
      </w:r>
      <w:r>
        <w:rPr>
          <w:i/>
        </w:rPr>
        <w:t>Indonesian Journal of Pharmacy/</w:t>
      </w:r>
      <w:proofErr w:type="spellStart"/>
      <w:r>
        <w:rPr>
          <w:i/>
        </w:rPr>
        <w:t>Majalah</w:t>
      </w:r>
      <w:proofErr w:type="spellEnd"/>
      <w:r>
        <w:rPr>
          <w:i/>
        </w:rPr>
        <w:t xml:space="preserve"> Farmasi Indonesia</w:t>
      </w:r>
      <w:r>
        <w:t xml:space="preserve">, </w:t>
      </w:r>
      <w:r>
        <w:rPr>
          <w:i/>
        </w:rPr>
        <w:t>32</w:t>
      </w:r>
      <w:r>
        <w:t>(2).</w:t>
      </w:r>
    </w:p>
    <w:p w14:paraId="3C6D8155" w14:textId="77777777" w:rsidR="00615405" w:rsidRDefault="00615405">
      <w:pPr>
        <w:spacing w:before="240" w:after="240" w:line="360" w:lineRule="auto"/>
        <w:jc w:val="both"/>
      </w:pPr>
      <w:r>
        <w:t xml:space="preserve">Shukar, S., Zahoor, F., Hayat, K., Saeed, A., Gillani, A.H., Omer, S., Hu, S., Babar, Z.U.D., Fang, Y. and Yang, C., (2021). Drug shortage: causes, impact, and mitigation strategies. </w:t>
      </w:r>
      <w:r>
        <w:rPr>
          <w:i/>
        </w:rPr>
        <w:t>Frontiers in pharmacology</w:t>
      </w:r>
      <w:r>
        <w:t xml:space="preserve">, </w:t>
      </w:r>
      <w:r>
        <w:rPr>
          <w:i/>
        </w:rPr>
        <w:t>12</w:t>
      </w:r>
      <w:r>
        <w:t>, p.693426.</w:t>
      </w:r>
    </w:p>
    <w:p w14:paraId="0000003D" w14:textId="5DCAFFE7" w:rsidR="00FD6665" w:rsidRDefault="00615405">
      <w:pPr>
        <w:spacing w:before="240" w:after="240" w:line="360" w:lineRule="auto"/>
        <w:jc w:val="both"/>
        <w:rPr>
          <w:b/>
        </w:rPr>
      </w:pPr>
      <w:r>
        <w:rPr>
          <w:b/>
        </w:rPr>
        <w:t>Task 2</w:t>
      </w:r>
    </w:p>
    <w:p w14:paraId="75A146DD" w14:textId="77777777" w:rsidR="00615405" w:rsidRDefault="00615405">
      <w:pPr>
        <w:spacing w:before="240" w:after="240" w:line="360" w:lineRule="auto"/>
        <w:jc w:val="both"/>
      </w:pPr>
      <w:r>
        <w:t xml:space="preserve">Davies, N., (2024). The language of priorities: Aneurin Bevan, Welsh labour and the politics of the past. </w:t>
      </w:r>
      <w:r>
        <w:rPr>
          <w:i/>
        </w:rPr>
        <w:t>The British Journal of Politics and International Relations</w:t>
      </w:r>
      <w:r>
        <w:t xml:space="preserve">, </w:t>
      </w:r>
      <w:r>
        <w:rPr>
          <w:i/>
        </w:rPr>
        <w:t>26</w:t>
      </w:r>
      <w:r>
        <w:t>(1), pp.62-78.</w:t>
      </w:r>
    </w:p>
    <w:p w14:paraId="4728830C" w14:textId="77777777" w:rsidR="00615405" w:rsidRDefault="00615405">
      <w:pPr>
        <w:spacing w:before="240" w:after="240" w:line="360" w:lineRule="auto"/>
        <w:jc w:val="both"/>
      </w:pPr>
      <w:r>
        <w:t xml:space="preserve">Gov.uk (2025) </w:t>
      </w:r>
      <w:r>
        <w:rPr>
          <w:i/>
        </w:rPr>
        <w:t>The NHS Constitution for England</w:t>
      </w:r>
      <w:r>
        <w:t>. Available at:</w:t>
      </w:r>
      <w:hyperlink r:id="rId11">
        <w:r>
          <w:t xml:space="preserve"> </w:t>
        </w:r>
      </w:hyperlink>
      <w:hyperlink r:id="rId12">
        <w:r>
          <w:rPr>
            <w:color w:val="1155CC"/>
            <w:u w:val="single"/>
          </w:rPr>
          <w:t>https://www.gov.uk/government/publications/the-nhs-constitution-for-england/the-nhs-constitution-for-england</w:t>
        </w:r>
      </w:hyperlink>
      <w:r>
        <w:t xml:space="preserve"> (Accessed: 12 October 2025)</w:t>
      </w:r>
    </w:p>
    <w:p w14:paraId="78383973" w14:textId="77777777" w:rsidR="00615405" w:rsidRDefault="00615405">
      <w:pPr>
        <w:spacing w:before="240" w:after="240" w:line="360" w:lineRule="auto"/>
        <w:jc w:val="both"/>
      </w:pPr>
      <w:proofErr w:type="spellStart"/>
      <w:r>
        <w:t>Nhs</w:t>
      </w:r>
      <w:proofErr w:type="spellEnd"/>
      <w:r>
        <w:t xml:space="preserve"> (2025) </w:t>
      </w:r>
      <w:r>
        <w:rPr>
          <w:i/>
        </w:rPr>
        <w:t>The NHS values.</w:t>
      </w:r>
      <w:r>
        <w:t xml:space="preserve"> Available at:</w:t>
      </w:r>
      <w:hyperlink r:id="rId13">
        <w:r>
          <w:t xml:space="preserve"> </w:t>
        </w:r>
      </w:hyperlink>
      <w:hyperlink r:id="rId14">
        <w:r>
          <w:rPr>
            <w:color w:val="1155CC"/>
            <w:u w:val="single"/>
          </w:rPr>
          <w:t>https://www.healthcareers.nhs.uk/working-health/working-nhs/nhs-constitution</w:t>
        </w:r>
      </w:hyperlink>
      <w:r>
        <w:t xml:space="preserve"> (Accessed: 12 October 2025)</w:t>
      </w:r>
    </w:p>
    <w:p w14:paraId="2000E5AB" w14:textId="77777777" w:rsidR="00615405" w:rsidRDefault="00615405">
      <w:pPr>
        <w:spacing w:before="240" w:after="240" w:line="360" w:lineRule="auto"/>
        <w:jc w:val="both"/>
      </w:pPr>
      <w:proofErr w:type="spellStart"/>
      <w:r>
        <w:t>Nhs</w:t>
      </w:r>
      <w:proofErr w:type="spellEnd"/>
      <w:r>
        <w:t xml:space="preserve"> (2025) </w:t>
      </w:r>
      <w:r>
        <w:rPr>
          <w:i/>
        </w:rPr>
        <w:t>UK health systems</w:t>
      </w:r>
      <w:r>
        <w:t>. Available at:</w:t>
      </w:r>
      <w:hyperlink r:id="rId15">
        <w:r>
          <w:t xml:space="preserve"> </w:t>
        </w:r>
      </w:hyperlink>
      <w:hyperlink r:id="rId16">
        <w:r>
          <w:rPr>
            <w:color w:val="1155CC"/>
            <w:u w:val="single"/>
          </w:rPr>
          <w:t>https://www.healthcareers.nhs.uk/working-health/uk-health-systems</w:t>
        </w:r>
      </w:hyperlink>
      <w:r>
        <w:t xml:space="preserve"> (Accessed: 12 October 2025)</w:t>
      </w:r>
    </w:p>
    <w:p w14:paraId="5D779262" w14:textId="77777777" w:rsidR="00615405" w:rsidRDefault="00615405">
      <w:pPr>
        <w:spacing w:before="240" w:after="240" w:line="360" w:lineRule="auto"/>
        <w:jc w:val="both"/>
      </w:pPr>
      <w:proofErr w:type="spellStart"/>
      <w:r>
        <w:lastRenderedPageBreak/>
        <w:t>Nhs</w:t>
      </w:r>
      <w:proofErr w:type="spellEnd"/>
      <w:r>
        <w:t xml:space="preserve"> (2025) </w:t>
      </w:r>
      <w:r>
        <w:rPr>
          <w:i/>
        </w:rPr>
        <w:t>What we do</w:t>
      </w:r>
      <w:r>
        <w:t>. Available at:</w:t>
      </w:r>
      <w:hyperlink r:id="rId17">
        <w:r>
          <w:t xml:space="preserve"> </w:t>
        </w:r>
      </w:hyperlink>
      <w:hyperlink r:id="rId18">
        <w:r>
          <w:rPr>
            <w:color w:val="1155CC"/>
            <w:u w:val="single"/>
          </w:rPr>
          <w:t>https://www.england.nhs.uk/about/what-we-do/</w:t>
        </w:r>
      </w:hyperlink>
      <w:r>
        <w:t xml:space="preserve"> (Accessed: 12 October 2025)</w:t>
      </w:r>
    </w:p>
    <w:p w14:paraId="4F379B75" w14:textId="77777777" w:rsidR="00615405" w:rsidRDefault="00615405">
      <w:pPr>
        <w:spacing w:before="240" w:after="240" w:line="360" w:lineRule="auto"/>
        <w:jc w:val="both"/>
      </w:pPr>
      <w:r>
        <w:t xml:space="preserve">Parliament (2025) </w:t>
      </w:r>
      <w:r>
        <w:rPr>
          <w:i/>
        </w:rPr>
        <w:t>1942 Beveridge Report</w:t>
      </w:r>
      <w:r>
        <w:t>. Available at:</w:t>
      </w:r>
      <w:hyperlink r:id="rId19">
        <w:r>
          <w:t xml:space="preserve"> </w:t>
        </w:r>
      </w:hyperlink>
      <w:hyperlink r:id="rId20">
        <w:r>
          <w:rPr>
            <w:color w:val="1155CC"/>
            <w:u w:val="single"/>
          </w:rPr>
          <w:t>https://www.parliament.uk/about/living-heritage/transformingsociety/livinglearning/coll-9-health1/coll-9-health/</w:t>
        </w:r>
      </w:hyperlink>
      <w:r>
        <w:t xml:space="preserve"> (Accessed: 12 October 2025)</w:t>
      </w:r>
    </w:p>
    <w:p w14:paraId="00000044" w14:textId="77777777" w:rsidR="00FD6665" w:rsidRDefault="00FD6665">
      <w:pPr>
        <w:spacing w:line="360" w:lineRule="auto"/>
        <w:jc w:val="both"/>
      </w:pPr>
    </w:p>
    <w:sectPr w:rsidR="00FD6665">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035CC" w14:textId="77777777" w:rsidR="00592A1D" w:rsidRDefault="00592A1D" w:rsidP="00AD65F3">
      <w:pPr>
        <w:spacing w:line="240" w:lineRule="auto"/>
      </w:pPr>
      <w:r>
        <w:separator/>
      </w:r>
    </w:p>
  </w:endnote>
  <w:endnote w:type="continuationSeparator" w:id="0">
    <w:p w14:paraId="43DDFE5C" w14:textId="77777777" w:rsidR="00592A1D" w:rsidRDefault="00592A1D" w:rsidP="00AD65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006465"/>
      <w:docPartObj>
        <w:docPartGallery w:val="Page Numbers (Bottom of Page)"/>
        <w:docPartUnique/>
      </w:docPartObj>
    </w:sdtPr>
    <w:sdtEndPr>
      <w:rPr>
        <w:noProof/>
      </w:rPr>
    </w:sdtEndPr>
    <w:sdtContent>
      <w:p w14:paraId="6702769E" w14:textId="24374FDF" w:rsidR="00AD65F3" w:rsidRDefault="00AD65F3">
        <w:pPr>
          <w:pStyle w:val="Footer"/>
          <w:jc w:val="right"/>
        </w:pPr>
        <w:r>
          <w:fldChar w:fldCharType="begin"/>
        </w:r>
        <w:r>
          <w:instrText xml:space="preserve"> PAGE   \* MERGEFORMAT </w:instrText>
        </w:r>
        <w:r>
          <w:fldChar w:fldCharType="separate"/>
        </w:r>
        <w:r w:rsidR="00DF566D">
          <w:rPr>
            <w:noProof/>
          </w:rPr>
          <w:t>3</w:t>
        </w:r>
        <w:r>
          <w:rPr>
            <w:noProof/>
          </w:rPr>
          <w:fldChar w:fldCharType="end"/>
        </w:r>
      </w:p>
    </w:sdtContent>
  </w:sdt>
  <w:p w14:paraId="76E381FE" w14:textId="77777777" w:rsidR="00AD65F3" w:rsidRDefault="00AD6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86B06" w14:textId="77777777" w:rsidR="00592A1D" w:rsidRDefault="00592A1D" w:rsidP="00AD65F3">
      <w:pPr>
        <w:spacing w:line="240" w:lineRule="auto"/>
      </w:pPr>
      <w:r>
        <w:separator/>
      </w:r>
    </w:p>
  </w:footnote>
  <w:footnote w:type="continuationSeparator" w:id="0">
    <w:p w14:paraId="2F2BEFF7" w14:textId="77777777" w:rsidR="00592A1D" w:rsidRDefault="00592A1D" w:rsidP="00AD65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8458C"/>
    <w:multiLevelType w:val="multilevel"/>
    <w:tmpl w:val="BBD0B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E9B1058"/>
    <w:multiLevelType w:val="multilevel"/>
    <w:tmpl w:val="88303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8625CA"/>
    <w:multiLevelType w:val="multilevel"/>
    <w:tmpl w:val="FDE25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0175906">
    <w:abstractNumId w:val="1"/>
  </w:num>
  <w:num w:numId="2" w16cid:durableId="498691341">
    <w:abstractNumId w:val="2"/>
  </w:num>
  <w:num w:numId="3" w16cid:durableId="939796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665"/>
    <w:rsid w:val="000F7E6E"/>
    <w:rsid w:val="0015079B"/>
    <w:rsid w:val="001D07CD"/>
    <w:rsid w:val="002563E0"/>
    <w:rsid w:val="002866FC"/>
    <w:rsid w:val="002E763E"/>
    <w:rsid w:val="002F57B3"/>
    <w:rsid w:val="003A5D04"/>
    <w:rsid w:val="003E37B1"/>
    <w:rsid w:val="00417D7B"/>
    <w:rsid w:val="0042493D"/>
    <w:rsid w:val="00592A1D"/>
    <w:rsid w:val="005D3B58"/>
    <w:rsid w:val="00615405"/>
    <w:rsid w:val="00615A14"/>
    <w:rsid w:val="006611AD"/>
    <w:rsid w:val="00692A3B"/>
    <w:rsid w:val="007267EF"/>
    <w:rsid w:val="007B2CDF"/>
    <w:rsid w:val="007E1DA8"/>
    <w:rsid w:val="008D71B8"/>
    <w:rsid w:val="00932EB4"/>
    <w:rsid w:val="00991D63"/>
    <w:rsid w:val="009B732D"/>
    <w:rsid w:val="009E524C"/>
    <w:rsid w:val="009E7294"/>
    <w:rsid w:val="00AD65F3"/>
    <w:rsid w:val="00B31E71"/>
    <w:rsid w:val="00B560B0"/>
    <w:rsid w:val="00BE3FE9"/>
    <w:rsid w:val="00BE612A"/>
    <w:rsid w:val="00C314AA"/>
    <w:rsid w:val="00CB10D3"/>
    <w:rsid w:val="00CF664A"/>
    <w:rsid w:val="00D03D44"/>
    <w:rsid w:val="00DB47AE"/>
    <w:rsid w:val="00DF566D"/>
    <w:rsid w:val="00EF6071"/>
    <w:rsid w:val="00FD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A7F7"/>
  <w15:docId w15:val="{A98D6AE6-5F94-42B9-8BA0-9E6465958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563E0"/>
    <w:pPr>
      <w:spacing w:before="240" w:after="240" w:line="360" w:lineRule="auto"/>
      <w:jc w:val="both"/>
      <w:outlineLvl w:val="0"/>
    </w:pPr>
    <w:rPr>
      <w:b/>
    </w:rPr>
  </w:style>
  <w:style w:type="paragraph" w:styleId="Heading2">
    <w:name w:val="heading 2"/>
    <w:basedOn w:val="Normal"/>
    <w:next w:val="Normal"/>
    <w:rsid w:val="00615405"/>
    <w:pPr>
      <w:spacing w:before="240" w:after="240" w:line="360" w:lineRule="auto"/>
      <w:jc w:val="both"/>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2563E0"/>
    <w:pPr>
      <w:spacing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B2CDF"/>
    <w:pPr>
      <w:spacing w:after="100"/>
    </w:pPr>
  </w:style>
  <w:style w:type="paragraph" w:styleId="TOC2">
    <w:name w:val="toc 2"/>
    <w:basedOn w:val="Normal"/>
    <w:next w:val="Normal"/>
    <w:autoRedefine/>
    <w:uiPriority w:val="39"/>
    <w:unhideWhenUsed/>
    <w:rsid w:val="007B2CDF"/>
    <w:pPr>
      <w:spacing w:after="100"/>
      <w:ind w:left="220"/>
    </w:pPr>
  </w:style>
  <w:style w:type="character" w:styleId="Hyperlink">
    <w:name w:val="Hyperlink"/>
    <w:basedOn w:val="DefaultParagraphFont"/>
    <w:uiPriority w:val="99"/>
    <w:unhideWhenUsed/>
    <w:rsid w:val="007B2CDF"/>
    <w:rPr>
      <w:color w:val="0000FF" w:themeColor="hyperlink"/>
      <w:u w:val="single"/>
    </w:rPr>
  </w:style>
  <w:style w:type="paragraph" w:styleId="Header">
    <w:name w:val="header"/>
    <w:basedOn w:val="Normal"/>
    <w:link w:val="HeaderChar"/>
    <w:uiPriority w:val="99"/>
    <w:unhideWhenUsed/>
    <w:rsid w:val="00AD65F3"/>
    <w:pPr>
      <w:tabs>
        <w:tab w:val="center" w:pos="4513"/>
        <w:tab w:val="right" w:pos="9026"/>
      </w:tabs>
      <w:spacing w:line="240" w:lineRule="auto"/>
    </w:pPr>
  </w:style>
  <w:style w:type="character" w:customStyle="1" w:styleId="HeaderChar">
    <w:name w:val="Header Char"/>
    <w:basedOn w:val="DefaultParagraphFont"/>
    <w:link w:val="Header"/>
    <w:uiPriority w:val="99"/>
    <w:rsid w:val="00AD65F3"/>
  </w:style>
  <w:style w:type="paragraph" w:styleId="Footer">
    <w:name w:val="footer"/>
    <w:basedOn w:val="Normal"/>
    <w:link w:val="FooterChar"/>
    <w:uiPriority w:val="99"/>
    <w:unhideWhenUsed/>
    <w:rsid w:val="00AD65F3"/>
    <w:pPr>
      <w:tabs>
        <w:tab w:val="center" w:pos="4513"/>
        <w:tab w:val="right" w:pos="9026"/>
      </w:tabs>
      <w:spacing w:line="240" w:lineRule="auto"/>
    </w:pPr>
  </w:style>
  <w:style w:type="character" w:customStyle="1" w:styleId="FooterChar">
    <w:name w:val="Footer Char"/>
    <w:basedOn w:val="DefaultParagraphFont"/>
    <w:link w:val="Footer"/>
    <w:uiPriority w:val="99"/>
    <w:rsid w:val="00AD6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careers.nhs.uk/working-health/working-nhs/nhs-constitution" TargetMode="External"/><Relationship Id="rId18" Type="http://schemas.openxmlformats.org/officeDocument/2006/relationships/hyperlink" Target="https://www.england.nhs.uk/about/what-we-d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the-nhs-constitution-for-england/the-nhs-constitution-for-england" TargetMode="External"/><Relationship Id="rId17" Type="http://schemas.openxmlformats.org/officeDocument/2006/relationships/hyperlink" Target="https://www.england.nhs.uk/about/what-we-do/" TargetMode="External"/><Relationship Id="rId2" Type="http://schemas.openxmlformats.org/officeDocument/2006/relationships/numbering" Target="numbering.xml"/><Relationship Id="rId16" Type="http://schemas.openxmlformats.org/officeDocument/2006/relationships/hyperlink" Target="https://www.healthcareers.nhs.uk/working-health/uk-health-systems" TargetMode="External"/><Relationship Id="rId20" Type="http://schemas.openxmlformats.org/officeDocument/2006/relationships/hyperlink" Target="https://www.parliament.uk/about/living-heritage/transformingsociety/livinglearning/coll-9-health1/coll-9-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nhs-constitution-for-england/the-nhs-constitution-for-england" TargetMode="External"/><Relationship Id="rId5" Type="http://schemas.openxmlformats.org/officeDocument/2006/relationships/webSettings" Target="webSettings.xml"/><Relationship Id="rId15" Type="http://schemas.openxmlformats.org/officeDocument/2006/relationships/hyperlink" Target="https://www.healthcareers.nhs.uk/working-health/uk-health-systems" TargetMode="External"/><Relationship Id="rId23" Type="http://schemas.openxmlformats.org/officeDocument/2006/relationships/theme" Target="theme/theme1.xml"/><Relationship Id="rId10" Type="http://schemas.openxmlformats.org/officeDocument/2006/relationships/hyperlink" Target="https://www.legislation.gov.uk/ukpga/Vict/15-16/56/contents/enacted" TargetMode="External"/><Relationship Id="rId19" Type="http://schemas.openxmlformats.org/officeDocument/2006/relationships/hyperlink" Target="https://www.parliament.uk/about/living-heritage/transformingsociety/livinglearning/coll-9-health1/coll-9-health/" TargetMode="External"/><Relationship Id="rId4" Type="http://schemas.openxmlformats.org/officeDocument/2006/relationships/settings" Target="settings.xml"/><Relationship Id="rId9" Type="http://schemas.openxmlformats.org/officeDocument/2006/relationships/hyperlink" Target="https://www.legislation.gov.uk/ukpga/Vict/15-16/56/contents/enacted" TargetMode="External"/><Relationship Id="rId14" Type="http://schemas.openxmlformats.org/officeDocument/2006/relationships/hyperlink" Target="https://www.healthcareers.nhs.uk/working-health/working-nhs/nhs-constitu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026F6-D433-43AC-AF98-05EA8FF9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1251</Words>
  <Characters>7136</Characters>
  <Application>Microsoft Office Word</Application>
  <DocSecurity>0</DocSecurity>
  <Lines>59</Lines>
  <Paragraphs>16</Paragraphs>
  <ScaleCrop>false</ScaleCrop>
  <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Tchos</dc:creator>
  <cp:lastModifiedBy>Kirsty Tchos</cp:lastModifiedBy>
  <cp:revision>2</cp:revision>
  <dcterms:created xsi:type="dcterms:W3CDTF">2025-10-19T09:09:00Z</dcterms:created>
  <dcterms:modified xsi:type="dcterms:W3CDTF">2025-10-19T09:09:00Z</dcterms:modified>
</cp:coreProperties>
</file>