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C6121" w:rsidRDefault="00EC6121" w:rsidP="00637C6E">
      <w:pPr>
        <w:shd w:val="clear" w:color="auto" w:fill="FFFFFF"/>
        <w:jc w:val="center"/>
        <w:rPr>
          <w:rFonts w:ascii="Times New Roman" w:eastAsia="Times New Roman" w:hAnsi="Times New Roman" w:cs="Times New Roman"/>
          <w:sz w:val="24"/>
          <w:szCs w:val="24"/>
        </w:rPr>
      </w:pPr>
    </w:p>
    <w:p w14:paraId="4060D886" w14:textId="77777777" w:rsidR="007A3C97" w:rsidRDefault="007A3C97" w:rsidP="00637C6E">
      <w:pPr>
        <w:shd w:val="clear" w:color="auto" w:fill="FFFFFF"/>
        <w:jc w:val="center"/>
        <w:rPr>
          <w:rFonts w:ascii="Times New Roman" w:eastAsia="Times New Roman" w:hAnsi="Times New Roman" w:cs="Times New Roman"/>
          <w:sz w:val="24"/>
          <w:szCs w:val="24"/>
        </w:rPr>
      </w:pPr>
    </w:p>
    <w:p w14:paraId="0F2E93FF" w14:textId="77777777" w:rsidR="007A3C97" w:rsidRDefault="007A3C97" w:rsidP="00637C6E">
      <w:pPr>
        <w:shd w:val="clear" w:color="auto" w:fill="FFFFFF"/>
        <w:jc w:val="center"/>
        <w:rPr>
          <w:rFonts w:ascii="Times New Roman" w:eastAsia="Times New Roman" w:hAnsi="Times New Roman" w:cs="Times New Roman"/>
          <w:sz w:val="24"/>
          <w:szCs w:val="24"/>
        </w:rPr>
      </w:pPr>
    </w:p>
    <w:p w14:paraId="00000002" w14:textId="243EA499" w:rsidR="00EC6121" w:rsidRDefault="00EC6121">
      <w:pPr>
        <w:shd w:val="clear" w:color="auto" w:fill="FFFFFF"/>
        <w:jc w:val="center"/>
        <w:rPr>
          <w:rFonts w:ascii="Times New Roman" w:eastAsia="Times New Roman" w:hAnsi="Times New Roman" w:cs="Times New Roman"/>
          <w:sz w:val="24"/>
          <w:szCs w:val="24"/>
        </w:rPr>
      </w:pPr>
    </w:p>
    <w:p w14:paraId="00000003" w14:textId="4DE3626F" w:rsidR="00EC6121" w:rsidRDefault="00EC6121" w:rsidP="007A3C97">
      <w:pPr>
        <w:shd w:val="clear" w:color="auto" w:fill="FFFFFF"/>
        <w:rPr>
          <w:rFonts w:ascii="Times New Roman" w:eastAsia="Times New Roman" w:hAnsi="Times New Roman" w:cs="Times New Roman"/>
          <w:sz w:val="24"/>
          <w:szCs w:val="24"/>
        </w:rPr>
      </w:pPr>
    </w:p>
    <w:p w14:paraId="230920DA" w14:textId="77777777" w:rsidR="007A3C97" w:rsidRPr="007A3C97" w:rsidRDefault="007A3C97" w:rsidP="007A3C97">
      <w:pPr>
        <w:jc w:val="center"/>
        <w:rPr>
          <w:rFonts w:ascii="Times New Roman" w:hAnsi="Times New Roman" w:cs="Times New Roman"/>
          <w:sz w:val="24"/>
          <w:szCs w:val="24"/>
        </w:rPr>
      </w:pPr>
      <w:r w:rsidRPr="007A3C97">
        <w:rPr>
          <w:rFonts w:ascii="Times New Roman" w:hAnsi="Times New Roman" w:cs="Times New Roman"/>
          <w:sz w:val="24"/>
          <w:szCs w:val="24"/>
        </w:rPr>
        <w:t>HINKLEY POINT C NUCLEAR POWER PLANT PROJECT</w:t>
      </w:r>
    </w:p>
    <w:p w14:paraId="303DFE4C" w14:textId="590BED8F" w:rsidR="007A3C97" w:rsidRPr="007A3C97" w:rsidRDefault="007A3C97" w:rsidP="007A3C97">
      <w:pPr>
        <w:tabs>
          <w:tab w:val="left" w:pos="3080"/>
          <w:tab w:val="left" w:pos="3800"/>
        </w:tabs>
        <w:jc w:val="center"/>
        <w:rPr>
          <w:rFonts w:ascii="Times New Roman" w:hAnsi="Times New Roman" w:cs="Times New Roman"/>
          <w:sz w:val="24"/>
          <w:szCs w:val="24"/>
        </w:rPr>
      </w:pPr>
      <w:r w:rsidRPr="007A3C97">
        <w:rPr>
          <w:rFonts w:ascii="Times New Roman" w:hAnsi="Times New Roman" w:cs="Times New Roman"/>
          <w:sz w:val="24"/>
          <w:szCs w:val="24"/>
        </w:rPr>
        <w:t xml:space="preserve">Assessment </w:t>
      </w:r>
      <w:r w:rsidRPr="007A3C97">
        <w:rPr>
          <w:rFonts w:ascii="Times New Roman" w:hAnsi="Times New Roman" w:cs="Times New Roman"/>
          <w:sz w:val="24"/>
          <w:szCs w:val="24"/>
        </w:rPr>
        <w:t>2</w:t>
      </w:r>
    </w:p>
    <w:p w14:paraId="55517ECD" w14:textId="77777777" w:rsidR="007A3C97" w:rsidRPr="007A3C97" w:rsidRDefault="007A3C97" w:rsidP="007A3C97">
      <w:pPr>
        <w:rPr>
          <w:rFonts w:ascii="Times New Roman" w:hAnsi="Times New Roman" w:cs="Times New Roman"/>
          <w:sz w:val="24"/>
          <w:szCs w:val="24"/>
        </w:rPr>
      </w:pPr>
    </w:p>
    <w:p w14:paraId="327A6C78" w14:textId="77777777" w:rsidR="007A3C97" w:rsidRPr="007A3C97" w:rsidRDefault="007A3C97" w:rsidP="007A3C97">
      <w:pPr>
        <w:rPr>
          <w:rFonts w:ascii="Times New Roman" w:hAnsi="Times New Roman" w:cs="Times New Roman"/>
          <w:sz w:val="24"/>
          <w:szCs w:val="24"/>
        </w:rPr>
      </w:pPr>
    </w:p>
    <w:p w14:paraId="1DA003F3" w14:textId="77777777" w:rsidR="007A3C97" w:rsidRPr="007A3C97" w:rsidRDefault="007A3C97" w:rsidP="007A3C97">
      <w:pPr>
        <w:rPr>
          <w:rFonts w:ascii="Times New Roman" w:hAnsi="Times New Roman" w:cs="Times New Roman"/>
          <w:sz w:val="24"/>
          <w:szCs w:val="24"/>
        </w:rPr>
      </w:pPr>
    </w:p>
    <w:p w14:paraId="1EC43847" w14:textId="77777777" w:rsidR="007A3C97" w:rsidRPr="007A3C97" w:rsidRDefault="007A3C97" w:rsidP="007A3C97">
      <w:pPr>
        <w:rPr>
          <w:rFonts w:ascii="Times New Roman" w:hAnsi="Times New Roman" w:cs="Times New Roman"/>
          <w:sz w:val="24"/>
          <w:szCs w:val="24"/>
        </w:rPr>
      </w:pPr>
    </w:p>
    <w:p w14:paraId="68AFBBB4" w14:textId="77777777" w:rsidR="007A3C97" w:rsidRPr="007A3C97" w:rsidRDefault="007A3C97" w:rsidP="007A3C97">
      <w:pPr>
        <w:rPr>
          <w:rFonts w:ascii="Times New Roman" w:hAnsi="Times New Roman" w:cs="Times New Roman"/>
          <w:sz w:val="24"/>
          <w:szCs w:val="24"/>
        </w:rPr>
      </w:pPr>
    </w:p>
    <w:p w14:paraId="77E4919B" w14:textId="77777777" w:rsidR="007A3C97" w:rsidRPr="007A3C97" w:rsidRDefault="007A3C97" w:rsidP="00393359">
      <w:pPr>
        <w:rPr>
          <w:rFonts w:ascii="Times New Roman" w:hAnsi="Times New Roman" w:cs="Times New Roman"/>
          <w:sz w:val="24"/>
          <w:szCs w:val="24"/>
        </w:rPr>
      </w:pPr>
    </w:p>
    <w:p w14:paraId="16B2D049" w14:textId="77777777" w:rsidR="007A3C97" w:rsidRPr="007A3C97" w:rsidRDefault="007A3C97" w:rsidP="007A3C97">
      <w:pPr>
        <w:jc w:val="center"/>
        <w:rPr>
          <w:rFonts w:ascii="Times New Roman" w:hAnsi="Times New Roman" w:cs="Times New Roman"/>
          <w:sz w:val="24"/>
          <w:szCs w:val="24"/>
        </w:rPr>
      </w:pPr>
    </w:p>
    <w:p w14:paraId="64ED466D" w14:textId="77777777" w:rsidR="007A3C97" w:rsidRPr="007A3C97" w:rsidRDefault="007A3C97" w:rsidP="007A3C97">
      <w:pPr>
        <w:jc w:val="center"/>
        <w:rPr>
          <w:rFonts w:ascii="Times New Roman" w:hAnsi="Times New Roman" w:cs="Times New Roman"/>
          <w:sz w:val="24"/>
          <w:szCs w:val="24"/>
        </w:rPr>
      </w:pPr>
      <w:r w:rsidRPr="007A3C97">
        <w:rPr>
          <w:rFonts w:ascii="Times New Roman" w:hAnsi="Times New Roman" w:cs="Times New Roman"/>
          <w:sz w:val="24"/>
          <w:szCs w:val="24"/>
        </w:rPr>
        <w:t>Student ID: 2023296</w:t>
      </w:r>
    </w:p>
    <w:p w14:paraId="7DB3AF7E" w14:textId="77777777" w:rsidR="007A3C97" w:rsidRPr="007A3C97" w:rsidRDefault="007A3C97" w:rsidP="007A3C97">
      <w:pPr>
        <w:jc w:val="center"/>
        <w:rPr>
          <w:rFonts w:ascii="Times New Roman" w:hAnsi="Times New Roman" w:cs="Times New Roman"/>
          <w:sz w:val="24"/>
          <w:szCs w:val="24"/>
        </w:rPr>
      </w:pPr>
      <w:r w:rsidRPr="007A3C97">
        <w:rPr>
          <w:rFonts w:ascii="Times New Roman" w:hAnsi="Times New Roman" w:cs="Times New Roman"/>
          <w:sz w:val="24"/>
          <w:szCs w:val="24"/>
        </w:rPr>
        <w:t>Student: Larisa Tamas</w:t>
      </w:r>
    </w:p>
    <w:p w14:paraId="71606430" w14:textId="77777777" w:rsidR="007A3C97" w:rsidRPr="007A3C97" w:rsidRDefault="007A3C97" w:rsidP="007A3C97">
      <w:pPr>
        <w:jc w:val="center"/>
        <w:rPr>
          <w:rFonts w:ascii="Times New Roman" w:hAnsi="Times New Roman" w:cs="Times New Roman"/>
          <w:sz w:val="24"/>
          <w:szCs w:val="24"/>
        </w:rPr>
      </w:pPr>
      <w:r w:rsidRPr="007A3C97">
        <w:rPr>
          <w:rFonts w:ascii="Times New Roman" w:hAnsi="Times New Roman" w:cs="Times New Roman"/>
          <w:sz w:val="24"/>
          <w:szCs w:val="24"/>
        </w:rPr>
        <w:t>Module Code: LCBB5005</w:t>
      </w:r>
    </w:p>
    <w:p w14:paraId="19F0898A" w14:textId="77777777" w:rsidR="007A3C97" w:rsidRPr="007A3C97" w:rsidRDefault="007A3C97" w:rsidP="007A3C97">
      <w:pPr>
        <w:jc w:val="center"/>
        <w:rPr>
          <w:rFonts w:ascii="Times New Roman" w:hAnsi="Times New Roman" w:cs="Times New Roman"/>
          <w:sz w:val="24"/>
          <w:szCs w:val="24"/>
        </w:rPr>
      </w:pPr>
      <w:r w:rsidRPr="007A3C97">
        <w:rPr>
          <w:rFonts w:ascii="Times New Roman" w:hAnsi="Times New Roman" w:cs="Times New Roman"/>
          <w:sz w:val="24"/>
          <w:szCs w:val="24"/>
        </w:rPr>
        <w:t>Lecturer: Dr Xavier Matieni</w:t>
      </w:r>
    </w:p>
    <w:p w14:paraId="3BD92F9A" w14:textId="77777777" w:rsidR="007A3C97" w:rsidRPr="007A3C97" w:rsidRDefault="007A3C97" w:rsidP="007A3C97">
      <w:pPr>
        <w:jc w:val="center"/>
        <w:rPr>
          <w:rFonts w:ascii="Times New Roman" w:hAnsi="Times New Roman" w:cs="Times New Roman"/>
          <w:sz w:val="24"/>
          <w:szCs w:val="24"/>
        </w:rPr>
      </w:pPr>
      <w:r w:rsidRPr="007A3C97">
        <w:rPr>
          <w:rFonts w:ascii="Times New Roman" w:hAnsi="Times New Roman" w:cs="Times New Roman"/>
          <w:sz w:val="24"/>
          <w:szCs w:val="24"/>
        </w:rPr>
        <w:t>BA Business Management</w:t>
      </w:r>
    </w:p>
    <w:p w14:paraId="1603F0D4" w14:textId="77777777" w:rsidR="007A3C97" w:rsidRDefault="007A3C97" w:rsidP="007A3C97">
      <w:pPr>
        <w:jc w:val="center"/>
        <w:rPr>
          <w:rFonts w:ascii="Times New Roman" w:hAnsi="Times New Roman" w:cs="Times New Roman"/>
          <w:sz w:val="24"/>
          <w:szCs w:val="24"/>
        </w:rPr>
      </w:pPr>
      <w:r w:rsidRPr="007A3C97">
        <w:rPr>
          <w:rFonts w:ascii="Times New Roman" w:hAnsi="Times New Roman" w:cs="Times New Roman"/>
          <w:sz w:val="24"/>
          <w:szCs w:val="24"/>
        </w:rPr>
        <w:fldChar w:fldCharType="begin"/>
      </w:r>
      <w:r w:rsidRPr="007A3C97">
        <w:rPr>
          <w:rFonts w:ascii="Times New Roman" w:hAnsi="Times New Roman" w:cs="Times New Roman"/>
          <w:sz w:val="24"/>
          <w:szCs w:val="24"/>
        </w:rPr>
        <w:instrText xml:space="preserve"> DATE \@ "d MMMM yyyy" </w:instrText>
      </w:r>
      <w:r w:rsidRPr="007A3C97">
        <w:rPr>
          <w:rFonts w:ascii="Times New Roman" w:hAnsi="Times New Roman" w:cs="Times New Roman"/>
          <w:sz w:val="24"/>
          <w:szCs w:val="24"/>
        </w:rPr>
        <w:fldChar w:fldCharType="separate"/>
      </w:r>
      <w:r w:rsidRPr="007A3C97">
        <w:rPr>
          <w:rFonts w:ascii="Times New Roman" w:hAnsi="Times New Roman" w:cs="Times New Roman"/>
          <w:noProof/>
          <w:sz w:val="24"/>
          <w:szCs w:val="24"/>
        </w:rPr>
        <w:t>29 April 2023</w:t>
      </w:r>
      <w:r w:rsidRPr="007A3C97">
        <w:rPr>
          <w:rFonts w:ascii="Times New Roman" w:hAnsi="Times New Roman" w:cs="Times New Roman"/>
          <w:sz w:val="24"/>
          <w:szCs w:val="24"/>
        </w:rPr>
        <w:fldChar w:fldCharType="end"/>
      </w:r>
    </w:p>
    <w:p w14:paraId="5DB194EF" w14:textId="77777777" w:rsidR="004F00B4" w:rsidRDefault="004F00B4" w:rsidP="007A3C97">
      <w:pPr>
        <w:jc w:val="center"/>
        <w:rPr>
          <w:rFonts w:ascii="Times New Roman" w:hAnsi="Times New Roman" w:cs="Times New Roman"/>
          <w:sz w:val="24"/>
          <w:szCs w:val="24"/>
        </w:rPr>
      </w:pPr>
    </w:p>
    <w:p w14:paraId="4C9E9779" w14:textId="77777777" w:rsidR="004F00B4" w:rsidRDefault="004F00B4" w:rsidP="007A3C97">
      <w:pPr>
        <w:jc w:val="center"/>
        <w:rPr>
          <w:rFonts w:ascii="Times New Roman" w:hAnsi="Times New Roman" w:cs="Times New Roman"/>
          <w:sz w:val="24"/>
          <w:szCs w:val="24"/>
        </w:rPr>
      </w:pPr>
    </w:p>
    <w:p w14:paraId="740D5FFF" w14:textId="77777777" w:rsidR="004F00B4" w:rsidRPr="007A3C97" w:rsidRDefault="004F00B4" w:rsidP="007A3C97">
      <w:pPr>
        <w:jc w:val="center"/>
        <w:rPr>
          <w:rFonts w:ascii="Times New Roman" w:hAnsi="Times New Roman" w:cs="Times New Roman"/>
          <w:sz w:val="24"/>
          <w:szCs w:val="24"/>
        </w:rPr>
      </w:pPr>
    </w:p>
    <w:sdt>
      <w:sdtPr>
        <w:id w:val="1628503312"/>
        <w:docPartObj>
          <w:docPartGallery w:val="Table of Contents"/>
          <w:docPartUnique/>
        </w:docPartObj>
      </w:sdtPr>
      <w:sdtEndPr>
        <w:rPr>
          <w:rFonts w:ascii="Calibri" w:eastAsia="Calibri" w:hAnsi="Calibri" w:cs="Calibri"/>
          <w:b/>
          <w:bCs/>
          <w:noProof/>
          <w:color w:val="auto"/>
          <w:sz w:val="22"/>
          <w:szCs w:val="22"/>
          <w:lang w:val="en-GB"/>
        </w:rPr>
      </w:sdtEndPr>
      <w:sdtContent>
        <w:p w14:paraId="0245B163" w14:textId="77777777" w:rsidR="004F00B4" w:rsidRDefault="004F00B4" w:rsidP="004F00B4">
          <w:pPr>
            <w:pStyle w:val="TOCHeading"/>
          </w:pPr>
        </w:p>
        <w:p w14:paraId="114284B3" w14:textId="0BEC45FD" w:rsidR="004F00B4" w:rsidRPr="004F00B4" w:rsidRDefault="004F00B4" w:rsidP="004F00B4">
          <w:pPr>
            <w:pStyle w:val="TOCHeading"/>
            <w:rPr>
              <w:rFonts w:ascii="Times New Roman" w:hAnsi="Times New Roman" w:cs="Times New Roman"/>
            </w:rPr>
          </w:pPr>
          <w:r w:rsidRPr="004F00B4">
            <w:rPr>
              <w:rFonts w:ascii="Times New Roman" w:hAnsi="Times New Roman" w:cs="Times New Roman"/>
            </w:rPr>
            <w:t>Table of Contents</w:t>
          </w:r>
        </w:p>
        <w:p w14:paraId="0BE62CCB" w14:textId="77777777" w:rsidR="004F00B4" w:rsidRPr="004F00B4" w:rsidRDefault="004F00B4" w:rsidP="004F00B4">
          <w:pPr>
            <w:spacing w:line="360" w:lineRule="auto"/>
            <w:jc w:val="left"/>
            <w:rPr>
              <w:lang w:val="en-US"/>
            </w:rPr>
          </w:pPr>
        </w:p>
        <w:p w14:paraId="072F816D" w14:textId="56AF1A66" w:rsidR="004F00B4" w:rsidRPr="004F00B4" w:rsidRDefault="004F00B4" w:rsidP="004F00B4">
          <w:pPr>
            <w:pStyle w:val="TOC1"/>
            <w:tabs>
              <w:tab w:val="right" w:leader="dot" w:pos="9350"/>
            </w:tabs>
            <w:jc w:val="left"/>
            <w:rPr>
              <w:rFonts w:ascii="Times New Roman" w:eastAsiaTheme="minorEastAsia" w:hAnsi="Times New Roman" w:cs="Times New Roman"/>
              <w:noProof/>
              <w:sz w:val="24"/>
              <w:szCs w:val="24"/>
              <w:lang w:eastAsia="ko-KR"/>
            </w:rPr>
          </w:pPr>
          <w:r w:rsidRPr="004F00B4">
            <w:rPr>
              <w:rFonts w:ascii="Times New Roman" w:hAnsi="Times New Roman" w:cs="Times New Roman"/>
              <w:sz w:val="24"/>
              <w:szCs w:val="24"/>
            </w:rPr>
            <w:fldChar w:fldCharType="begin"/>
          </w:r>
          <w:r w:rsidRPr="004F00B4">
            <w:rPr>
              <w:rFonts w:ascii="Times New Roman" w:hAnsi="Times New Roman" w:cs="Times New Roman"/>
              <w:sz w:val="24"/>
              <w:szCs w:val="24"/>
            </w:rPr>
            <w:instrText xml:space="preserve"> TOC \o "1-3" \h \z \u </w:instrText>
          </w:r>
          <w:r w:rsidRPr="004F00B4">
            <w:rPr>
              <w:rFonts w:ascii="Times New Roman" w:hAnsi="Times New Roman" w:cs="Times New Roman"/>
              <w:sz w:val="24"/>
              <w:szCs w:val="24"/>
            </w:rPr>
            <w:fldChar w:fldCharType="separate"/>
          </w:r>
          <w:hyperlink w:anchor="_Toc133620342" w:history="1">
            <w:r w:rsidRPr="004F00B4">
              <w:rPr>
                <w:rStyle w:val="Hyperlink"/>
                <w:rFonts w:ascii="Times New Roman" w:hAnsi="Times New Roman" w:cs="Times New Roman"/>
                <w:b/>
                <w:bCs/>
                <w:noProof/>
                <w:sz w:val="24"/>
                <w:szCs w:val="24"/>
              </w:rPr>
              <w:t>Introduction</w:t>
            </w:r>
            <w:r w:rsidRPr="004F00B4">
              <w:rPr>
                <w:rFonts w:ascii="Times New Roman" w:hAnsi="Times New Roman" w:cs="Times New Roman"/>
                <w:noProof/>
                <w:webHidden/>
                <w:sz w:val="24"/>
                <w:szCs w:val="24"/>
              </w:rPr>
              <w:tab/>
            </w:r>
            <w:r w:rsidRPr="004F00B4">
              <w:rPr>
                <w:rFonts w:ascii="Times New Roman" w:hAnsi="Times New Roman" w:cs="Times New Roman"/>
                <w:noProof/>
                <w:webHidden/>
                <w:sz w:val="24"/>
                <w:szCs w:val="24"/>
              </w:rPr>
              <w:fldChar w:fldCharType="begin"/>
            </w:r>
            <w:r w:rsidRPr="004F00B4">
              <w:rPr>
                <w:rFonts w:ascii="Times New Roman" w:hAnsi="Times New Roman" w:cs="Times New Roman"/>
                <w:noProof/>
                <w:webHidden/>
                <w:sz w:val="24"/>
                <w:szCs w:val="24"/>
              </w:rPr>
              <w:instrText xml:space="preserve"> PAGEREF _Toc133620342 \h </w:instrText>
            </w:r>
            <w:r w:rsidRPr="004F00B4">
              <w:rPr>
                <w:rFonts w:ascii="Times New Roman" w:hAnsi="Times New Roman" w:cs="Times New Roman"/>
                <w:noProof/>
                <w:webHidden/>
                <w:sz w:val="24"/>
                <w:szCs w:val="24"/>
              </w:rPr>
            </w:r>
            <w:r w:rsidRPr="004F00B4">
              <w:rPr>
                <w:rFonts w:ascii="Times New Roman" w:hAnsi="Times New Roman" w:cs="Times New Roman"/>
                <w:noProof/>
                <w:webHidden/>
                <w:sz w:val="24"/>
                <w:szCs w:val="24"/>
              </w:rPr>
              <w:fldChar w:fldCharType="separate"/>
            </w:r>
            <w:r w:rsidRPr="004F00B4">
              <w:rPr>
                <w:rFonts w:ascii="Times New Roman" w:hAnsi="Times New Roman" w:cs="Times New Roman"/>
                <w:noProof/>
                <w:webHidden/>
                <w:sz w:val="24"/>
                <w:szCs w:val="24"/>
              </w:rPr>
              <w:t>3</w:t>
            </w:r>
            <w:r w:rsidRPr="004F00B4">
              <w:rPr>
                <w:rFonts w:ascii="Times New Roman" w:hAnsi="Times New Roman" w:cs="Times New Roman"/>
                <w:noProof/>
                <w:webHidden/>
                <w:sz w:val="24"/>
                <w:szCs w:val="24"/>
              </w:rPr>
              <w:fldChar w:fldCharType="end"/>
            </w:r>
          </w:hyperlink>
        </w:p>
        <w:p w14:paraId="4484D8A9" w14:textId="63FF1BC8" w:rsidR="004F00B4" w:rsidRPr="004F00B4" w:rsidRDefault="004F00B4" w:rsidP="004F00B4">
          <w:pPr>
            <w:pStyle w:val="TOC1"/>
            <w:tabs>
              <w:tab w:val="right" w:leader="dot" w:pos="9350"/>
            </w:tabs>
            <w:jc w:val="left"/>
            <w:rPr>
              <w:rFonts w:ascii="Times New Roman" w:eastAsiaTheme="minorEastAsia" w:hAnsi="Times New Roman" w:cs="Times New Roman"/>
              <w:noProof/>
              <w:sz w:val="24"/>
              <w:szCs w:val="24"/>
              <w:lang w:eastAsia="ko-KR"/>
            </w:rPr>
          </w:pPr>
          <w:hyperlink w:anchor="_Toc133620343" w:history="1">
            <w:r w:rsidRPr="004F00B4">
              <w:rPr>
                <w:rStyle w:val="Hyperlink"/>
                <w:rFonts w:ascii="Times New Roman" w:hAnsi="Times New Roman" w:cs="Times New Roman"/>
                <w:b/>
                <w:bCs/>
                <w:noProof/>
                <w:sz w:val="24"/>
                <w:szCs w:val="24"/>
              </w:rPr>
              <w:t>The Current Progress &amp; Success of the Hinkley Point C Nuclear Power Plant Project</w:t>
            </w:r>
            <w:r w:rsidRPr="004F00B4">
              <w:rPr>
                <w:rFonts w:ascii="Times New Roman" w:hAnsi="Times New Roman" w:cs="Times New Roman"/>
                <w:noProof/>
                <w:webHidden/>
                <w:sz w:val="24"/>
                <w:szCs w:val="24"/>
              </w:rPr>
              <w:tab/>
            </w:r>
            <w:r w:rsidRPr="004F00B4">
              <w:rPr>
                <w:rFonts w:ascii="Times New Roman" w:hAnsi="Times New Roman" w:cs="Times New Roman"/>
                <w:noProof/>
                <w:webHidden/>
                <w:sz w:val="24"/>
                <w:szCs w:val="24"/>
              </w:rPr>
              <w:fldChar w:fldCharType="begin"/>
            </w:r>
            <w:r w:rsidRPr="004F00B4">
              <w:rPr>
                <w:rFonts w:ascii="Times New Roman" w:hAnsi="Times New Roman" w:cs="Times New Roman"/>
                <w:noProof/>
                <w:webHidden/>
                <w:sz w:val="24"/>
                <w:szCs w:val="24"/>
              </w:rPr>
              <w:instrText xml:space="preserve"> PAGEREF _Toc133620343 \h </w:instrText>
            </w:r>
            <w:r w:rsidRPr="004F00B4">
              <w:rPr>
                <w:rFonts w:ascii="Times New Roman" w:hAnsi="Times New Roman" w:cs="Times New Roman"/>
                <w:noProof/>
                <w:webHidden/>
                <w:sz w:val="24"/>
                <w:szCs w:val="24"/>
              </w:rPr>
            </w:r>
            <w:r w:rsidRPr="004F00B4">
              <w:rPr>
                <w:rFonts w:ascii="Times New Roman" w:hAnsi="Times New Roman" w:cs="Times New Roman"/>
                <w:noProof/>
                <w:webHidden/>
                <w:sz w:val="24"/>
                <w:szCs w:val="24"/>
              </w:rPr>
              <w:fldChar w:fldCharType="separate"/>
            </w:r>
            <w:r w:rsidRPr="004F00B4">
              <w:rPr>
                <w:rFonts w:ascii="Times New Roman" w:hAnsi="Times New Roman" w:cs="Times New Roman"/>
                <w:noProof/>
                <w:webHidden/>
                <w:sz w:val="24"/>
                <w:szCs w:val="24"/>
              </w:rPr>
              <w:t>4</w:t>
            </w:r>
            <w:r w:rsidRPr="004F00B4">
              <w:rPr>
                <w:rFonts w:ascii="Times New Roman" w:hAnsi="Times New Roman" w:cs="Times New Roman"/>
                <w:noProof/>
                <w:webHidden/>
                <w:sz w:val="24"/>
                <w:szCs w:val="24"/>
              </w:rPr>
              <w:fldChar w:fldCharType="end"/>
            </w:r>
          </w:hyperlink>
        </w:p>
        <w:p w14:paraId="3778AFB9" w14:textId="7281B619" w:rsidR="004F00B4" w:rsidRPr="004F00B4" w:rsidRDefault="004F00B4" w:rsidP="004F00B4">
          <w:pPr>
            <w:pStyle w:val="TOC1"/>
            <w:tabs>
              <w:tab w:val="right" w:leader="dot" w:pos="9350"/>
            </w:tabs>
            <w:jc w:val="left"/>
            <w:rPr>
              <w:rFonts w:ascii="Times New Roman" w:eastAsiaTheme="minorEastAsia" w:hAnsi="Times New Roman" w:cs="Times New Roman"/>
              <w:noProof/>
              <w:sz w:val="24"/>
              <w:szCs w:val="24"/>
              <w:lang w:eastAsia="ko-KR"/>
            </w:rPr>
          </w:pPr>
          <w:hyperlink w:anchor="_Toc133620344" w:history="1">
            <w:r w:rsidRPr="004F00B4">
              <w:rPr>
                <w:rStyle w:val="Hyperlink"/>
                <w:rFonts w:ascii="Times New Roman" w:hAnsi="Times New Roman" w:cs="Times New Roman"/>
                <w:b/>
                <w:bCs/>
                <w:noProof/>
                <w:sz w:val="24"/>
                <w:szCs w:val="24"/>
              </w:rPr>
              <w:t>Challenges to Success</w:t>
            </w:r>
            <w:r w:rsidRPr="004F00B4">
              <w:rPr>
                <w:rFonts w:ascii="Times New Roman" w:hAnsi="Times New Roman" w:cs="Times New Roman"/>
                <w:noProof/>
                <w:webHidden/>
                <w:sz w:val="24"/>
                <w:szCs w:val="24"/>
              </w:rPr>
              <w:tab/>
            </w:r>
            <w:r w:rsidRPr="004F00B4">
              <w:rPr>
                <w:rFonts w:ascii="Times New Roman" w:hAnsi="Times New Roman" w:cs="Times New Roman"/>
                <w:noProof/>
                <w:webHidden/>
                <w:sz w:val="24"/>
                <w:szCs w:val="24"/>
              </w:rPr>
              <w:fldChar w:fldCharType="begin"/>
            </w:r>
            <w:r w:rsidRPr="004F00B4">
              <w:rPr>
                <w:rFonts w:ascii="Times New Roman" w:hAnsi="Times New Roman" w:cs="Times New Roman"/>
                <w:noProof/>
                <w:webHidden/>
                <w:sz w:val="24"/>
                <w:szCs w:val="24"/>
              </w:rPr>
              <w:instrText xml:space="preserve"> PAGEREF _Toc133620344 \h </w:instrText>
            </w:r>
            <w:r w:rsidRPr="004F00B4">
              <w:rPr>
                <w:rFonts w:ascii="Times New Roman" w:hAnsi="Times New Roman" w:cs="Times New Roman"/>
                <w:noProof/>
                <w:webHidden/>
                <w:sz w:val="24"/>
                <w:szCs w:val="24"/>
              </w:rPr>
            </w:r>
            <w:r w:rsidRPr="004F00B4">
              <w:rPr>
                <w:rFonts w:ascii="Times New Roman" w:hAnsi="Times New Roman" w:cs="Times New Roman"/>
                <w:noProof/>
                <w:webHidden/>
                <w:sz w:val="24"/>
                <w:szCs w:val="24"/>
              </w:rPr>
              <w:fldChar w:fldCharType="separate"/>
            </w:r>
            <w:r w:rsidRPr="004F00B4">
              <w:rPr>
                <w:rFonts w:ascii="Times New Roman" w:hAnsi="Times New Roman" w:cs="Times New Roman"/>
                <w:noProof/>
                <w:webHidden/>
                <w:sz w:val="24"/>
                <w:szCs w:val="24"/>
              </w:rPr>
              <w:t>7</w:t>
            </w:r>
            <w:r w:rsidRPr="004F00B4">
              <w:rPr>
                <w:rFonts w:ascii="Times New Roman" w:hAnsi="Times New Roman" w:cs="Times New Roman"/>
                <w:noProof/>
                <w:webHidden/>
                <w:sz w:val="24"/>
                <w:szCs w:val="24"/>
              </w:rPr>
              <w:fldChar w:fldCharType="end"/>
            </w:r>
          </w:hyperlink>
        </w:p>
        <w:p w14:paraId="2BFA2E5D" w14:textId="655DBAB8" w:rsidR="004F00B4" w:rsidRPr="004F00B4" w:rsidRDefault="004F00B4" w:rsidP="004F00B4">
          <w:pPr>
            <w:pStyle w:val="TOC1"/>
            <w:tabs>
              <w:tab w:val="right" w:leader="dot" w:pos="9350"/>
            </w:tabs>
            <w:jc w:val="left"/>
            <w:rPr>
              <w:rFonts w:ascii="Times New Roman" w:eastAsiaTheme="minorEastAsia" w:hAnsi="Times New Roman" w:cs="Times New Roman"/>
              <w:noProof/>
              <w:sz w:val="24"/>
              <w:szCs w:val="24"/>
              <w:lang w:eastAsia="ko-KR"/>
            </w:rPr>
          </w:pPr>
          <w:hyperlink w:anchor="_Toc133620345" w:history="1">
            <w:r w:rsidRPr="004F00B4">
              <w:rPr>
                <w:rStyle w:val="Hyperlink"/>
                <w:rFonts w:ascii="Times New Roman" w:hAnsi="Times New Roman" w:cs="Times New Roman"/>
                <w:b/>
                <w:bCs/>
                <w:noProof/>
                <w:sz w:val="24"/>
                <w:szCs w:val="24"/>
              </w:rPr>
              <w:t>Recommendations</w:t>
            </w:r>
            <w:r w:rsidRPr="004F00B4">
              <w:rPr>
                <w:rFonts w:ascii="Times New Roman" w:hAnsi="Times New Roman" w:cs="Times New Roman"/>
                <w:noProof/>
                <w:webHidden/>
                <w:sz w:val="24"/>
                <w:szCs w:val="24"/>
              </w:rPr>
              <w:tab/>
            </w:r>
            <w:r w:rsidRPr="004F00B4">
              <w:rPr>
                <w:rFonts w:ascii="Times New Roman" w:hAnsi="Times New Roman" w:cs="Times New Roman"/>
                <w:noProof/>
                <w:webHidden/>
                <w:sz w:val="24"/>
                <w:szCs w:val="24"/>
              </w:rPr>
              <w:fldChar w:fldCharType="begin"/>
            </w:r>
            <w:r w:rsidRPr="004F00B4">
              <w:rPr>
                <w:rFonts w:ascii="Times New Roman" w:hAnsi="Times New Roman" w:cs="Times New Roman"/>
                <w:noProof/>
                <w:webHidden/>
                <w:sz w:val="24"/>
                <w:szCs w:val="24"/>
              </w:rPr>
              <w:instrText xml:space="preserve"> PAGEREF _Toc133620345 \h </w:instrText>
            </w:r>
            <w:r w:rsidRPr="004F00B4">
              <w:rPr>
                <w:rFonts w:ascii="Times New Roman" w:hAnsi="Times New Roman" w:cs="Times New Roman"/>
                <w:noProof/>
                <w:webHidden/>
                <w:sz w:val="24"/>
                <w:szCs w:val="24"/>
              </w:rPr>
            </w:r>
            <w:r w:rsidRPr="004F00B4">
              <w:rPr>
                <w:rFonts w:ascii="Times New Roman" w:hAnsi="Times New Roman" w:cs="Times New Roman"/>
                <w:noProof/>
                <w:webHidden/>
                <w:sz w:val="24"/>
                <w:szCs w:val="24"/>
              </w:rPr>
              <w:fldChar w:fldCharType="separate"/>
            </w:r>
            <w:r w:rsidRPr="004F00B4">
              <w:rPr>
                <w:rFonts w:ascii="Times New Roman" w:hAnsi="Times New Roman" w:cs="Times New Roman"/>
                <w:noProof/>
                <w:webHidden/>
                <w:sz w:val="24"/>
                <w:szCs w:val="24"/>
              </w:rPr>
              <w:t>8</w:t>
            </w:r>
            <w:r w:rsidRPr="004F00B4">
              <w:rPr>
                <w:rFonts w:ascii="Times New Roman" w:hAnsi="Times New Roman" w:cs="Times New Roman"/>
                <w:noProof/>
                <w:webHidden/>
                <w:sz w:val="24"/>
                <w:szCs w:val="24"/>
              </w:rPr>
              <w:fldChar w:fldCharType="end"/>
            </w:r>
          </w:hyperlink>
        </w:p>
        <w:p w14:paraId="37D17DAD" w14:textId="6C5BC655" w:rsidR="004F00B4" w:rsidRPr="004F00B4" w:rsidRDefault="004F00B4" w:rsidP="004F00B4">
          <w:pPr>
            <w:pStyle w:val="TOC1"/>
            <w:tabs>
              <w:tab w:val="right" w:leader="dot" w:pos="9350"/>
            </w:tabs>
            <w:jc w:val="left"/>
            <w:rPr>
              <w:rFonts w:ascii="Times New Roman" w:eastAsiaTheme="minorEastAsia" w:hAnsi="Times New Roman" w:cs="Times New Roman"/>
              <w:noProof/>
              <w:sz w:val="24"/>
              <w:szCs w:val="24"/>
              <w:lang w:eastAsia="ko-KR"/>
            </w:rPr>
          </w:pPr>
          <w:hyperlink w:anchor="_Toc133620346" w:history="1">
            <w:r w:rsidRPr="004F00B4">
              <w:rPr>
                <w:rStyle w:val="Hyperlink"/>
                <w:rFonts w:ascii="Times New Roman" w:hAnsi="Times New Roman" w:cs="Times New Roman"/>
                <w:b/>
                <w:bCs/>
                <w:noProof/>
                <w:sz w:val="24"/>
                <w:szCs w:val="24"/>
              </w:rPr>
              <w:t>Conclusion</w:t>
            </w:r>
            <w:r w:rsidRPr="004F00B4">
              <w:rPr>
                <w:rFonts w:ascii="Times New Roman" w:hAnsi="Times New Roman" w:cs="Times New Roman"/>
                <w:noProof/>
                <w:webHidden/>
                <w:sz w:val="24"/>
                <w:szCs w:val="24"/>
              </w:rPr>
              <w:tab/>
            </w:r>
            <w:r w:rsidRPr="004F00B4">
              <w:rPr>
                <w:rFonts w:ascii="Times New Roman" w:hAnsi="Times New Roman" w:cs="Times New Roman"/>
                <w:noProof/>
                <w:webHidden/>
                <w:sz w:val="24"/>
                <w:szCs w:val="24"/>
              </w:rPr>
              <w:fldChar w:fldCharType="begin"/>
            </w:r>
            <w:r w:rsidRPr="004F00B4">
              <w:rPr>
                <w:rFonts w:ascii="Times New Roman" w:hAnsi="Times New Roman" w:cs="Times New Roman"/>
                <w:noProof/>
                <w:webHidden/>
                <w:sz w:val="24"/>
                <w:szCs w:val="24"/>
              </w:rPr>
              <w:instrText xml:space="preserve"> PAGEREF _Toc133620346 \h </w:instrText>
            </w:r>
            <w:r w:rsidRPr="004F00B4">
              <w:rPr>
                <w:rFonts w:ascii="Times New Roman" w:hAnsi="Times New Roman" w:cs="Times New Roman"/>
                <w:noProof/>
                <w:webHidden/>
                <w:sz w:val="24"/>
                <w:szCs w:val="24"/>
              </w:rPr>
            </w:r>
            <w:r w:rsidRPr="004F00B4">
              <w:rPr>
                <w:rFonts w:ascii="Times New Roman" w:hAnsi="Times New Roman" w:cs="Times New Roman"/>
                <w:noProof/>
                <w:webHidden/>
                <w:sz w:val="24"/>
                <w:szCs w:val="24"/>
              </w:rPr>
              <w:fldChar w:fldCharType="separate"/>
            </w:r>
            <w:r w:rsidRPr="004F00B4">
              <w:rPr>
                <w:rFonts w:ascii="Times New Roman" w:hAnsi="Times New Roman" w:cs="Times New Roman"/>
                <w:noProof/>
                <w:webHidden/>
                <w:sz w:val="24"/>
                <w:szCs w:val="24"/>
              </w:rPr>
              <w:t>9</w:t>
            </w:r>
            <w:r w:rsidRPr="004F00B4">
              <w:rPr>
                <w:rFonts w:ascii="Times New Roman" w:hAnsi="Times New Roman" w:cs="Times New Roman"/>
                <w:noProof/>
                <w:webHidden/>
                <w:sz w:val="24"/>
                <w:szCs w:val="24"/>
              </w:rPr>
              <w:fldChar w:fldCharType="end"/>
            </w:r>
          </w:hyperlink>
        </w:p>
        <w:p w14:paraId="7ACF3228" w14:textId="37E11769" w:rsidR="004F00B4" w:rsidRPr="004F00B4" w:rsidRDefault="004F00B4" w:rsidP="004F00B4">
          <w:pPr>
            <w:pStyle w:val="TOC1"/>
            <w:tabs>
              <w:tab w:val="right" w:leader="dot" w:pos="9350"/>
            </w:tabs>
            <w:spacing w:line="360" w:lineRule="auto"/>
            <w:jc w:val="left"/>
            <w:rPr>
              <w:rFonts w:ascii="Times New Roman" w:eastAsiaTheme="minorEastAsia" w:hAnsi="Times New Roman" w:cs="Times New Roman"/>
              <w:noProof/>
              <w:sz w:val="24"/>
              <w:szCs w:val="24"/>
              <w:lang w:eastAsia="ko-KR"/>
            </w:rPr>
          </w:pPr>
          <w:hyperlink w:anchor="_Toc133620347" w:history="1">
            <w:r w:rsidRPr="004F00B4">
              <w:rPr>
                <w:rStyle w:val="Hyperlink"/>
                <w:rFonts w:ascii="Times New Roman" w:hAnsi="Times New Roman" w:cs="Times New Roman"/>
                <w:b/>
                <w:bCs/>
                <w:noProof/>
                <w:sz w:val="24"/>
                <w:szCs w:val="24"/>
              </w:rPr>
              <w:t>References</w:t>
            </w:r>
            <w:r w:rsidRPr="004F00B4">
              <w:rPr>
                <w:rFonts w:ascii="Times New Roman" w:hAnsi="Times New Roman" w:cs="Times New Roman"/>
                <w:noProof/>
                <w:webHidden/>
                <w:sz w:val="24"/>
                <w:szCs w:val="24"/>
              </w:rPr>
              <w:tab/>
            </w:r>
            <w:r w:rsidRPr="004F00B4">
              <w:rPr>
                <w:rFonts w:ascii="Times New Roman" w:hAnsi="Times New Roman" w:cs="Times New Roman"/>
                <w:noProof/>
                <w:webHidden/>
                <w:sz w:val="24"/>
                <w:szCs w:val="24"/>
              </w:rPr>
              <w:fldChar w:fldCharType="begin"/>
            </w:r>
            <w:r w:rsidRPr="004F00B4">
              <w:rPr>
                <w:rFonts w:ascii="Times New Roman" w:hAnsi="Times New Roman" w:cs="Times New Roman"/>
                <w:noProof/>
                <w:webHidden/>
                <w:sz w:val="24"/>
                <w:szCs w:val="24"/>
              </w:rPr>
              <w:instrText xml:space="preserve"> PAGEREF _Toc133620347 \h </w:instrText>
            </w:r>
            <w:r w:rsidRPr="004F00B4">
              <w:rPr>
                <w:rFonts w:ascii="Times New Roman" w:hAnsi="Times New Roman" w:cs="Times New Roman"/>
                <w:noProof/>
                <w:webHidden/>
                <w:sz w:val="24"/>
                <w:szCs w:val="24"/>
              </w:rPr>
            </w:r>
            <w:r w:rsidRPr="004F00B4">
              <w:rPr>
                <w:rFonts w:ascii="Times New Roman" w:hAnsi="Times New Roman" w:cs="Times New Roman"/>
                <w:noProof/>
                <w:webHidden/>
                <w:sz w:val="24"/>
                <w:szCs w:val="24"/>
              </w:rPr>
              <w:fldChar w:fldCharType="separate"/>
            </w:r>
            <w:r w:rsidRPr="004F00B4">
              <w:rPr>
                <w:rFonts w:ascii="Times New Roman" w:hAnsi="Times New Roman" w:cs="Times New Roman"/>
                <w:noProof/>
                <w:webHidden/>
                <w:sz w:val="24"/>
                <w:szCs w:val="24"/>
              </w:rPr>
              <w:t>11</w:t>
            </w:r>
            <w:r w:rsidRPr="004F00B4">
              <w:rPr>
                <w:rFonts w:ascii="Times New Roman" w:hAnsi="Times New Roman" w:cs="Times New Roman"/>
                <w:noProof/>
                <w:webHidden/>
                <w:sz w:val="24"/>
                <w:szCs w:val="24"/>
              </w:rPr>
              <w:fldChar w:fldCharType="end"/>
            </w:r>
          </w:hyperlink>
        </w:p>
        <w:p w14:paraId="3FE97BED" w14:textId="514BECF0" w:rsidR="004F00B4" w:rsidRDefault="004F00B4" w:rsidP="004F00B4">
          <w:pPr>
            <w:spacing w:line="360" w:lineRule="auto"/>
            <w:jc w:val="left"/>
          </w:pPr>
          <w:r w:rsidRPr="004F00B4">
            <w:rPr>
              <w:rFonts w:ascii="Times New Roman" w:hAnsi="Times New Roman" w:cs="Times New Roman"/>
              <w:b/>
              <w:bCs/>
              <w:noProof/>
              <w:sz w:val="24"/>
              <w:szCs w:val="24"/>
            </w:rPr>
            <w:fldChar w:fldCharType="end"/>
          </w:r>
        </w:p>
      </w:sdtContent>
    </w:sdt>
    <w:p w14:paraId="00000008" w14:textId="122B6968" w:rsidR="007A3C97" w:rsidRDefault="007A3C9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8DCA8E5" w14:textId="416E7745" w:rsidR="00EC6121" w:rsidRPr="00393359" w:rsidRDefault="00393359" w:rsidP="00393359">
      <w:pPr>
        <w:pStyle w:val="Heading1"/>
        <w:jc w:val="center"/>
        <w:rPr>
          <w:rFonts w:ascii="Times New Roman" w:hAnsi="Times New Roman" w:cs="Times New Roman"/>
          <w:b/>
          <w:bCs/>
          <w:color w:val="000000" w:themeColor="text1"/>
          <w:sz w:val="24"/>
          <w:szCs w:val="24"/>
        </w:rPr>
      </w:pPr>
      <w:bookmarkStart w:id="0" w:name="_Toc131809235"/>
      <w:bookmarkStart w:id="1" w:name="_Toc133620342"/>
      <w:r w:rsidRPr="00393359">
        <w:rPr>
          <w:rFonts w:ascii="Times New Roman" w:hAnsi="Times New Roman" w:cs="Times New Roman"/>
          <w:b/>
          <w:bCs/>
          <w:color w:val="000000" w:themeColor="text1"/>
          <w:sz w:val="24"/>
          <w:szCs w:val="24"/>
        </w:rPr>
        <w:lastRenderedPageBreak/>
        <w:t>Introduction</w:t>
      </w:r>
      <w:bookmarkEnd w:id="0"/>
      <w:bookmarkEnd w:id="1"/>
    </w:p>
    <w:p w14:paraId="00000012" w14:textId="04A42455" w:rsidR="00EC6121" w:rsidRPr="007A3C97" w:rsidRDefault="00000000" w:rsidP="004D4843">
      <w:pPr>
        <w:shd w:val="clear" w:color="auto" w:fill="FFFFFF"/>
        <w:ind w:firstLine="720"/>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Different projects often face the uncertainty of achieving their goals and objectives, as depicted by their progress. Considering the analysis of such projects, it is possible to conclude the success or failure of the project for the future of such projects. The assessment of Hinkley Point C indicates that the vast nuclear plant is under construction in Somerset, UK (Smyth, Lecoeuvre, and Vaesken,</w:t>
      </w:r>
      <w:r w:rsidR="004D4843" w:rsidRPr="007A3C97">
        <w:rPr>
          <w:rFonts w:ascii="Times New Roman" w:eastAsia="Times New Roman" w:hAnsi="Times New Roman" w:cs="Times New Roman"/>
          <w:sz w:val="24"/>
          <w:szCs w:val="24"/>
        </w:rPr>
        <w:t xml:space="preserve"> </w:t>
      </w:r>
      <w:r w:rsidRPr="007A3C97">
        <w:rPr>
          <w:rFonts w:ascii="Times New Roman" w:eastAsia="Times New Roman" w:hAnsi="Times New Roman" w:cs="Times New Roman"/>
          <w:sz w:val="24"/>
          <w:szCs w:val="24"/>
        </w:rPr>
        <w:t xml:space="preserve">2018, p.170). The plant is an expensive nuclear power plant with an estimated construction cost of 25–26 billion pounds. The project, considered an essential aspect of energy security in the UK, plans to include 3200 MW of energy. Moreover, it is planned to contribute approximately 7% of the total energy requirements in the UK, reducing the reliance on energy carriers and imports into the region (Smyth et al., 2018, p.170). The project is deemed to cater to the energy requirements of several households with low-carbon energy. Creating jobs and creating positions for training specialists are some of the project's anticipated outcomes. More significantly, boosting the economy is another element that is considered an element of </w:t>
      </w:r>
      <w:r w:rsidR="00393359" w:rsidRPr="007A3C97">
        <w:rPr>
          <w:rFonts w:ascii="Times New Roman" w:eastAsia="Times New Roman" w:hAnsi="Times New Roman" w:cs="Times New Roman"/>
          <w:sz w:val="24"/>
          <w:szCs w:val="24"/>
        </w:rPr>
        <w:t>analysing</w:t>
      </w:r>
      <w:r w:rsidRPr="007A3C97">
        <w:rPr>
          <w:rFonts w:ascii="Times New Roman" w:eastAsia="Times New Roman" w:hAnsi="Times New Roman" w:cs="Times New Roman"/>
          <w:sz w:val="24"/>
          <w:szCs w:val="24"/>
        </w:rPr>
        <w:t xml:space="preserve"> its success in the British economy. </w:t>
      </w:r>
    </w:p>
    <w:p w14:paraId="00000013" w14:textId="77777777" w:rsidR="00EC6121" w:rsidRPr="007A3C97" w:rsidRDefault="00000000">
      <w:pPr>
        <w:shd w:val="clear" w:color="auto" w:fill="FFFFFF"/>
        <w:ind w:firstLine="720"/>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Additionally, the assessment indicates that Hinkley Point C has enduring operations that will enhance the UK's environmental state, besides its immediate economic benefits. Desnz and Dbeis (2020) indicate that the project's operational phase is anticipated to last for 60 years, while the emission of carbon dioxide gas is expected to be reduced by approximately 600 million tons. These reductions will be mainly contributed by the different reactor systems of the EPR-type station, which will compensate for the emissions. However, the assessment indicates that despite the project's environmental and economic benefits and attractiveness, several issues are being faced by it. Such issues include construction delays, inflated final costs, and substantial overruns. </w:t>
      </w:r>
      <w:r w:rsidRPr="007A3C97">
        <w:rPr>
          <w:rFonts w:ascii="Times New Roman" w:eastAsia="Times New Roman" w:hAnsi="Times New Roman" w:cs="Times New Roman"/>
          <w:sz w:val="24"/>
          <w:szCs w:val="24"/>
        </w:rPr>
        <w:lastRenderedPageBreak/>
        <w:t>As a result, doubts and discontent have been the significant characteristics of the public's attitude toward the effectiveness of investment in the project. During the analysis of such projects, the success or failure can be concluded based on assessing how the plant handles and aligns its objectives and aims to accomplish ultimate sustainability.</w:t>
      </w:r>
    </w:p>
    <w:p w14:paraId="00000014" w14:textId="2EBFB10D" w:rsidR="00EC6121" w:rsidRPr="007A3C97" w:rsidRDefault="00000000">
      <w:pPr>
        <w:shd w:val="clear" w:color="auto" w:fill="FFFFFF"/>
        <w:ind w:firstLine="720"/>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This paper includes a detailed narrative of the project based on current progress, citing it as a success or failure in the future UK energy sector. Likewise, the paper will highlight the lessons that could be learned from the project and recommend a similar nuclear power plant project. The assessment report included a critical analysis of the major risk factors, time, budget, and quality stakeholders associated with the Hinkley Point C project’s current design progress and original plan. The previous assessment included different methods for identifying the possible and present risks and issues and the possible opportunities and benefits for further project development. The assessment provided a couple of recommendations that could influence the management of such projects in the future. Some of these recommendations will be included in this paper, while others will be included in the project's success. The project's success will be </w:t>
      </w:r>
      <w:r w:rsidR="00813B25" w:rsidRPr="007A3C97">
        <w:rPr>
          <w:rFonts w:ascii="Times New Roman" w:eastAsia="Times New Roman" w:hAnsi="Times New Roman" w:cs="Times New Roman"/>
          <w:sz w:val="24"/>
          <w:szCs w:val="24"/>
        </w:rPr>
        <w:t>analysed</w:t>
      </w:r>
      <w:r w:rsidRPr="007A3C97">
        <w:rPr>
          <w:rFonts w:ascii="Times New Roman" w:eastAsia="Times New Roman" w:hAnsi="Times New Roman" w:cs="Times New Roman"/>
          <w:sz w:val="24"/>
          <w:szCs w:val="24"/>
        </w:rPr>
        <w:t xml:space="preserve"> based on its ability to succeed in various aspects of life in the UK. The recommendations of this paper will enhance the management of projects </w:t>
      </w:r>
      <w:r w:rsidR="00393359" w:rsidRPr="007A3C97">
        <w:rPr>
          <w:rFonts w:ascii="Times New Roman" w:eastAsia="Times New Roman" w:hAnsi="Times New Roman" w:cs="Times New Roman"/>
          <w:sz w:val="24"/>
          <w:szCs w:val="24"/>
        </w:rPr>
        <w:t>like</w:t>
      </w:r>
      <w:r w:rsidRPr="007A3C97">
        <w:rPr>
          <w:rFonts w:ascii="Times New Roman" w:eastAsia="Times New Roman" w:hAnsi="Times New Roman" w:cs="Times New Roman"/>
          <w:sz w:val="24"/>
          <w:szCs w:val="24"/>
        </w:rPr>
        <w:t xml:space="preserve"> the Hinkley Point C Nuclear Power Plant project with a practical approach for future innovations in nuclear energy. </w:t>
      </w:r>
    </w:p>
    <w:p w14:paraId="00000015" w14:textId="41088A78" w:rsidR="00EC6121" w:rsidRPr="00393359" w:rsidRDefault="00000000" w:rsidP="00393359">
      <w:pPr>
        <w:pStyle w:val="Heading1"/>
        <w:jc w:val="center"/>
        <w:rPr>
          <w:rFonts w:ascii="Times New Roman" w:hAnsi="Times New Roman" w:cs="Times New Roman"/>
          <w:b/>
          <w:bCs/>
          <w:color w:val="000000" w:themeColor="text1"/>
          <w:sz w:val="24"/>
          <w:szCs w:val="24"/>
        </w:rPr>
      </w:pPr>
      <w:bookmarkStart w:id="2" w:name="_Toc133620343"/>
      <w:r w:rsidRPr="00393359">
        <w:rPr>
          <w:rFonts w:ascii="Times New Roman" w:hAnsi="Times New Roman" w:cs="Times New Roman"/>
          <w:b/>
          <w:bCs/>
          <w:color w:val="000000" w:themeColor="text1"/>
          <w:sz w:val="24"/>
          <w:szCs w:val="24"/>
        </w:rPr>
        <w:t xml:space="preserve">The Current Progress </w:t>
      </w:r>
      <w:r w:rsidR="0095246F" w:rsidRPr="00393359">
        <w:rPr>
          <w:rFonts w:ascii="Times New Roman" w:hAnsi="Times New Roman" w:cs="Times New Roman"/>
          <w:b/>
          <w:bCs/>
          <w:color w:val="000000" w:themeColor="text1"/>
          <w:sz w:val="24"/>
          <w:szCs w:val="24"/>
        </w:rPr>
        <w:t>&amp;</w:t>
      </w:r>
      <w:r w:rsidRPr="00393359">
        <w:rPr>
          <w:rFonts w:ascii="Times New Roman" w:hAnsi="Times New Roman" w:cs="Times New Roman"/>
          <w:b/>
          <w:bCs/>
          <w:color w:val="000000" w:themeColor="text1"/>
          <w:sz w:val="24"/>
          <w:szCs w:val="24"/>
        </w:rPr>
        <w:t xml:space="preserve"> Success of the Hinkley Point C Nuclear Power Plant Project</w:t>
      </w:r>
      <w:bookmarkEnd w:id="2"/>
    </w:p>
    <w:p w14:paraId="00000016" w14:textId="77777777" w:rsidR="00EC6121" w:rsidRPr="007A3C97" w:rsidRDefault="00000000" w:rsidP="00813B25">
      <w:pPr>
        <w:ind w:firstLine="708"/>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The nuclear power plant has been one of the companies that have successfully revitalized the nuclear supply chain in the UK. It was approved in 2013 by a British company, whose construction bid in Somerset, in the southwest of England, was submitted by China General </w:t>
      </w:r>
      <w:r w:rsidRPr="007A3C97">
        <w:rPr>
          <w:rFonts w:ascii="Times New Roman" w:eastAsia="Times New Roman" w:hAnsi="Times New Roman" w:cs="Times New Roman"/>
          <w:sz w:val="24"/>
          <w:szCs w:val="24"/>
        </w:rPr>
        <w:lastRenderedPageBreak/>
        <w:t>Nuclear Power Corporation (CGN) and EDF Energy in 2008 (Schaps and De Clercq, 2013). Schaps and De Clercq (2013) denote that construction faced technical and funding issues. The EPR architecture had a lengthy UK certification procedure, like previous reactor constructs, before receiving its permit in December 2012. This process resulted in significant redesigns that allowed the layout to satisfy particular UK legal demands. The energy facility is the inaugural UK EPR (European Pressurized Reactor) technology. In September 2016, the construction was launched fully, with some of the first base units completed in June 2019, followed by the second unit in June 2020. The site has employed approximately 22,000 workers in Britain under the project supply and approximately 8,000 employed on site (Daniel and Daniel, 2019, p.1017).</w:t>
      </w:r>
    </w:p>
    <w:p w14:paraId="00000017" w14:textId="77777777" w:rsidR="00EC6121" w:rsidRPr="007A3C97" w:rsidRDefault="00000000" w:rsidP="00813B25">
      <w:pPr>
        <w:ind w:firstLine="708"/>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The replication strategy that has contributed to the project's success has been depicted by the evidence in other projects. Replication is a critical component in lowering schedule and cost risks. These assertions are based on findings from other projects throughout the globe. This is supported by experience from Hinkley Point C, where unit 2 work saw similar strong productivity increases. The adjacent, nearly similar facility at Sizewell C in Suffolk will reap the rewards. The project also gains from technologies like digital designs, massive prefabrication, and the expertise gathered at Taishan and Flamanville. Notwithstanding concerns that the construction effort experienced such an 11-year postponement, arrangements for Hinkley Point C are still "unchanged." According to information revealed by Moore (2022), the project in Somerset will not be operational until 2036, 11 years after it was first scheduled to be finished in 2025. Moore (2022) described the sentiments of the project's spokesperson, indicating that Hinkley Point C's timetable has just undergone a thorough assessment and is unaltered. The spokesperson claims Britain needs the power station's sustainable, domestically produced power </w:t>
      </w:r>
      <w:r w:rsidRPr="007A3C97">
        <w:rPr>
          <w:rFonts w:ascii="Times New Roman" w:eastAsia="Times New Roman" w:hAnsi="Times New Roman" w:cs="Times New Roman"/>
          <w:sz w:val="24"/>
          <w:szCs w:val="24"/>
        </w:rPr>
        <w:lastRenderedPageBreak/>
        <w:t>to give the UK reliable, cost-effective energy and help it break its dependence on gasoline. Therefore, Hinkley Point C management is putting much effort into getting the plant up and running as soon as feasible (Moore, 2022).</w:t>
      </w:r>
    </w:p>
    <w:p w14:paraId="00000018" w14:textId="77777777" w:rsidR="00EC6121" w:rsidRPr="007A3C97" w:rsidRDefault="00000000">
      <w:pPr>
        <w:ind w:firstLine="708"/>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Another justification for the plant's success is the project's ambitiousness. Despite the cost overruns and delays, the construction's present phase has succeeded. The preliminary reactor is anticipated to be completed by 2025, and the scheme is currently under development. The Hinkley Point C project has proven successful for Britain's potential energy industry. The development will assist in lessening the UK's dependence on the importation of energy resources and is projected to meet 7% of the UK's energy demand, sufficient to supply power for over six million households. In addition, the construction is anticipated to bring in profits and generate 25,000 new jobs in the area. Concerning how society perceives it, the project proved to be successful. There have been no demonstrations or public resistance, and the UK government has given it considerable backing. This is the case despite the project's delays, expenditures, and excess costs. The initiative's findings include that construction projects are difficult to oversee and can experience delays and cost overruns. To sustain community backing and confidence, the execution of projects must additionally be more transparent.</w:t>
      </w:r>
    </w:p>
    <w:p w14:paraId="00000019" w14:textId="53E86CF9" w:rsidR="00EC6121" w:rsidRPr="007A3C97" w:rsidRDefault="00000000">
      <w:pPr>
        <w:ind w:firstLine="708"/>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The project is poised to be a vital renewable power source, creating employment. Still, its present issues and costly errors must be </w:t>
      </w:r>
      <w:r w:rsidR="00813B25" w:rsidRPr="007A3C97">
        <w:rPr>
          <w:rFonts w:ascii="Times New Roman" w:eastAsia="Times New Roman" w:hAnsi="Times New Roman" w:cs="Times New Roman"/>
          <w:sz w:val="24"/>
          <w:szCs w:val="24"/>
        </w:rPr>
        <w:t>analysed</w:t>
      </w:r>
      <w:r w:rsidRPr="007A3C97">
        <w:rPr>
          <w:rFonts w:ascii="Times New Roman" w:eastAsia="Times New Roman" w:hAnsi="Times New Roman" w:cs="Times New Roman"/>
          <w:sz w:val="24"/>
          <w:szCs w:val="24"/>
        </w:rPr>
        <w:t xml:space="preserve"> and evaluated carefully. Additional consideration must be given to enhanced flexibility, the evaluation and control of risks, and the participation of local stakeholders and suppliers in decision-making processes to maximize the cost-effectiveness and efficiency of the project. Additionally, the choice to construct the project generated much debate and opposition. According to several professionals, this choice was made </w:t>
      </w:r>
      <w:r w:rsidRPr="007A3C97">
        <w:rPr>
          <w:rFonts w:ascii="Times New Roman" w:eastAsia="Times New Roman" w:hAnsi="Times New Roman" w:cs="Times New Roman"/>
          <w:sz w:val="24"/>
          <w:szCs w:val="24"/>
        </w:rPr>
        <w:lastRenderedPageBreak/>
        <w:t>too quickly and without enough consideration of the risks (Thomas, 2016, p.421). Several construction critics reportedly worried about the power's complicated environmental and security effects. Complaints have resulted from increased concerns about the sustainability of the project and its capacity to contend with greener and less expensive energy sources. The program's significant cost overruns throughout the development cycle have been some of its key problems. The projected cost for the construction ranged from £18 billion to £24.5 billion from 2013 to 2015. Several things brought this about, including rising safety expenses, altered funding terms, and sluggish development.</w:t>
      </w:r>
    </w:p>
    <w:p w14:paraId="0000001A" w14:textId="77777777" w:rsidR="00EC6121" w:rsidRPr="00393359" w:rsidRDefault="00000000" w:rsidP="00393359">
      <w:pPr>
        <w:pStyle w:val="Heading1"/>
        <w:jc w:val="center"/>
        <w:rPr>
          <w:rFonts w:ascii="Times New Roman" w:hAnsi="Times New Roman" w:cs="Times New Roman"/>
          <w:b/>
          <w:bCs/>
          <w:color w:val="000000" w:themeColor="text1"/>
          <w:sz w:val="24"/>
          <w:szCs w:val="24"/>
        </w:rPr>
      </w:pPr>
      <w:bookmarkStart w:id="3" w:name="_Toc133620344"/>
      <w:r w:rsidRPr="00393359">
        <w:rPr>
          <w:rFonts w:ascii="Times New Roman" w:hAnsi="Times New Roman" w:cs="Times New Roman"/>
          <w:b/>
          <w:bCs/>
          <w:color w:val="000000" w:themeColor="text1"/>
          <w:sz w:val="24"/>
          <w:szCs w:val="24"/>
        </w:rPr>
        <w:t>Challenges to Success</w:t>
      </w:r>
      <w:bookmarkEnd w:id="3"/>
    </w:p>
    <w:p w14:paraId="0000001B" w14:textId="77777777" w:rsidR="00EC6121" w:rsidRPr="007A3C97" w:rsidRDefault="00000000">
      <w:pPr>
        <w:ind w:firstLine="708"/>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The plant’s success has faced several challenges, including delays. Because of setbacks brought on by the COVID-19 pandemic, the date for completion was projected to be June 2026. The plant said earlier this year that there could be an additional year-long postponement plus a £1 billion budget rise (Ambrose, 2017). Therefore, Unit 1 reactor construction would begin in June 2027 and cost between £25 billion and £26 billion, up from the prior estimate of £23 billion. Following a new agreement between the British government and EDF Energy Customers Company saying that Hinkley will still be paid regardless of whether it does not begin running until 2036, fresh worries about potential disruptions have emerged. If the project does not start producing power by November 1, 2033, as stipulated in the initial agreement, this governmental funding might be revoked. Officials wanted to keep China's role in construction to a minimum. Therefore, their administration announced that CGN would leave Sizewell C. Hinkley Point C's engagement with CGN reportedly untouched (Chu, 2016). However, the discussions will give </w:t>
      </w:r>
      <w:r w:rsidRPr="007A3C97">
        <w:rPr>
          <w:rFonts w:ascii="Times New Roman" w:eastAsia="Times New Roman" w:hAnsi="Times New Roman" w:cs="Times New Roman"/>
          <w:sz w:val="24"/>
          <w:szCs w:val="24"/>
        </w:rPr>
        <w:lastRenderedPageBreak/>
        <w:t>the construction more freedom to start. The UK government's partner in the deal, the Low Carbon Contracts Company (LCCC), claims that EDF is still under a legal obligation to start up the reactor. The agreement conditions offer motivation to finish licensing as quickly as necessary.</w:t>
      </w:r>
    </w:p>
    <w:p w14:paraId="0000001C" w14:textId="77777777" w:rsidR="00EC6121" w:rsidRPr="00393359" w:rsidRDefault="00000000" w:rsidP="00393359">
      <w:pPr>
        <w:pStyle w:val="Heading1"/>
        <w:jc w:val="center"/>
        <w:rPr>
          <w:rFonts w:ascii="Times New Roman" w:hAnsi="Times New Roman" w:cs="Times New Roman"/>
          <w:b/>
          <w:bCs/>
          <w:color w:val="000000" w:themeColor="text1"/>
          <w:sz w:val="24"/>
          <w:szCs w:val="24"/>
        </w:rPr>
      </w:pPr>
      <w:bookmarkStart w:id="4" w:name="_Toc133620345"/>
      <w:r w:rsidRPr="00393359">
        <w:rPr>
          <w:rFonts w:ascii="Times New Roman" w:hAnsi="Times New Roman" w:cs="Times New Roman"/>
          <w:b/>
          <w:bCs/>
          <w:color w:val="000000" w:themeColor="text1"/>
          <w:sz w:val="24"/>
          <w:szCs w:val="24"/>
        </w:rPr>
        <w:t>Recommendations</w:t>
      </w:r>
      <w:bookmarkEnd w:id="4"/>
    </w:p>
    <w:p w14:paraId="0000001D" w14:textId="38144EE3" w:rsidR="00EC6121" w:rsidRPr="007A3C97" w:rsidRDefault="00000000">
      <w:pPr>
        <w:ind w:firstLine="708"/>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For projects of the exact nature of Hinkley Point C Nuclear Power, I would advise ensuring more openness in handling the project. The increase in public participation, the adoption of open contracting practices, the use of freely accessible data and software, and the creation of autonomous monitoring organizations are all ways. Authorities can also encourage more openness by making the specifics of their agreements with private companies public and mandating that those businesses disclose their project performance reports. It would be crucial to make sure that the initiative has widespread public support and that the public is informed of its advantages. Authorities might also enact regulations demanding the publication of certain accounting details pertaining to the initiative, such as associated income and costs (Department for Energy Security and Net Zero and Department for Business, Energy &amp; Industrial Strategy, 2020). It is the role of a project of such kind to adhere to the ethical </w:t>
      </w:r>
      <w:r w:rsidR="00393359" w:rsidRPr="007A3C97">
        <w:rPr>
          <w:rFonts w:ascii="Times New Roman" w:eastAsia="Times New Roman" w:hAnsi="Times New Roman" w:cs="Times New Roman"/>
          <w:sz w:val="24"/>
          <w:szCs w:val="24"/>
        </w:rPr>
        <w:t>and</w:t>
      </w:r>
      <w:r w:rsidRPr="007A3C97">
        <w:rPr>
          <w:rFonts w:ascii="Times New Roman" w:eastAsia="Times New Roman" w:hAnsi="Times New Roman" w:cs="Times New Roman"/>
          <w:sz w:val="24"/>
          <w:szCs w:val="24"/>
        </w:rPr>
        <w:t xml:space="preserve"> legal considerations which will enhance its public support. One of the major strategies for enhancing public support is the practice of green advertising and marketing strategies. These must start with production strategies, including green sustainable energy production. </w:t>
      </w:r>
    </w:p>
    <w:p w14:paraId="0000001E" w14:textId="77777777" w:rsidR="00EC6121" w:rsidRPr="007A3C97" w:rsidRDefault="00000000">
      <w:pPr>
        <w:ind w:firstLine="708"/>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An additional suggestion is to address any cost overruns and delays swiftly. This recommendation depends on thorough, efficient risk control, open dialogue, and preparation. The </w:t>
      </w:r>
      <w:r w:rsidRPr="007A3C97">
        <w:rPr>
          <w:rFonts w:ascii="Times New Roman" w:eastAsia="Times New Roman" w:hAnsi="Times New Roman" w:cs="Times New Roman"/>
          <w:sz w:val="24"/>
          <w:szCs w:val="24"/>
        </w:rPr>
        <w:lastRenderedPageBreak/>
        <w:t>success of any project management process solely lies in strict quality control mechanisms, efficient costing and planning, precise goals and objectives, and strong leadership. Tools used in modern management include forecasting possible issues by teams to solve them before they become insurmountable. Finally, a sufficient contingency plan would be crucial to handling any unanticipated issues. Plans for contingencies aid in ensuring that a project can continue even in the event of an unforeseen event. They may be adapted to a particular project and can cover a variety of possible hazards. Emergency strategies include handling construction delays, adjustments to the legal environment, and changes to technologies. Solutions for addressing unforeseen issues with money and various challenges can also be included.</w:t>
      </w:r>
    </w:p>
    <w:p w14:paraId="0000001F" w14:textId="77777777" w:rsidR="00EC6121" w:rsidRPr="004F00B4" w:rsidRDefault="00000000" w:rsidP="004F00B4">
      <w:pPr>
        <w:pStyle w:val="Heading1"/>
        <w:jc w:val="center"/>
        <w:rPr>
          <w:rFonts w:ascii="Times New Roman" w:hAnsi="Times New Roman" w:cs="Times New Roman"/>
          <w:b/>
          <w:bCs/>
          <w:color w:val="000000" w:themeColor="text1"/>
          <w:sz w:val="24"/>
          <w:szCs w:val="24"/>
        </w:rPr>
      </w:pPr>
      <w:bookmarkStart w:id="5" w:name="_Toc133620346"/>
      <w:r w:rsidRPr="004F00B4">
        <w:rPr>
          <w:rFonts w:ascii="Times New Roman" w:hAnsi="Times New Roman" w:cs="Times New Roman"/>
          <w:b/>
          <w:bCs/>
          <w:color w:val="000000" w:themeColor="text1"/>
          <w:sz w:val="24"/>
          <w:szCs w:val="24"/>
        </w:rPr>
        <w:t>Conclusion</w:t>
      </w:r>
      <w:bookmarkEnd w:id="5"/>
    </w:p>
    <w:p w14:paraId="00000020" w14:textId="46DD0F6B" w:rsidR="00EC6121" w:rsidRPr="007A3C97" w:rsidRDefault="00000000">
      <w:pPr>
        <w:ind w:firstLine="708"/>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The discussion around sustainability has been a major topic for companies and governments in the 21st century, especially in the UK. Most companies in the UK have been working to enhance sustainability through green production strategies. However, handling these projects to success has not been smooth for the associated organizations due to their different challenges while executing their plans and objectives. The possibility of facing uncertainties in any project and working towards achieving some set goals and objectives increases the difficulty of handling these objectives. During the analysis of such projects, the success or failure can be concluded based on assessing how the plant handles and aligns its objectives and aims to accomplish ultimate sustainability. An example of such projects included in this paper is the Hinkley Point C Nuclear Power plant. The project has been linked with a significant result in sustaining households across the UK with sustainable and cheap energy. The reductions in </w:t>
      </w:r>
      <w:r w:rsidRPr="007A3C97">
        <w:rPr>
          <w:rFonts w:ascii="Times New Roman" w:eastAsia="Times New Roman" w:hAnsi="Times New Roman" w:cs="Times New Roman"/>
          <w:sz w:val="24"/>
          <w:szCs w:val="24"/>
        </w:rPr>
        <w:lastRenderedPageBreak/>
        <w:t>environmental emissions by the plant will be mainly contributed by the different reactor systems of the EPR-type station, which will compensate for the emissions.</w:t>
      </w:r>
    </w:p>
    <w:p w14:paraId="00000021" w14:textId="54C8C59F" w:rsidR="00EC6121" w:rsidRPr="007A3C97" w:rsidRDefault="00000000">
      <w:pPr>
        <w:ind w:firstLine="708"/>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The plant's success is based on its success in revitalizing the nuclear supply chain in the UK. The replication strategy has contributed to the project's success, as mainly depicted by the evidence in other projects. Britain needs the power station's sustainable, domestically produced power to give the UK reliable, cost-effective energy and help it break its dependence on gasoline. Adopting these elements has increased the nature of the plant's success and explained its dominance in the UK as the most sustainable plant for producing sustainable energy. Despite adopting these elements, the plant's success faced several challenges, including delays. For instance, the setbacks brought on by the COVID-19 pandemic led to the postponement of the completion data, which has increased the overall budget for the project. Despite the cost overruns and delays, the construction's present phase has succeeded. The preliminary reactor is anticipated to be completed in a few years, and the scheme is currently under development. The Hinkley Point C project has proven successful for Britain's potential energy industry. For other projects that would resemble the Hinkley Point C Nuclear Power Plant Project, the projects </w:t>
      </w:r>
      <w:r w:rsidR="00393359" w:rsidRPr="007A3C97">
        <w:rPr>
          <w:rFonts w:ascii="Times New Roman" w:eastAsia="Times New Roman" w:hAnsi="Times New Roman" w:cs="Times New Roman"/>
          <w:sz w:val="24"/>
          <w:szCs w:val="24"/>
        </w:rPr>
        <w:t>must</w:t>
      </w:r>
      <w:r w:rsidRPr="007A3C97">
        <w:rPr>
          <w:rFonts w:ascii="Times New Roman" w:eastAsia="Times New Roman" w:hAnsi="Times New Roman" w:cs="Times New Roman"/>
          <w:sz w:val="24"/>
          <w:szCs w:val="24"/>
        </w:rPr>
        <w:t xml:space="preserve"> adopt different recommendations. The project's sustainability </w:t>
      </w:r>
      <w:r w:rsidR="00393359" w:rsidRPr="007A3C97">
        <w:rPr>
          <w:rFonts w:ascii="Times New Roman" w:eastAsia="Times New Roman" w:hAnsi="Times New Roman" w:cs="Times New Roman"/>
          <w:sz w:val="24"/>
          <w:szCs w:val="24"/>
        </w:rPr>
        <w:t>must</w:t>
      </w:r>
      <w:r w:rsidRPr="007A3C97">
        <w:rPr>
          <w:rFonts w:ascii="Times New Roman" w:eastAsia="Times New Roman" w:hAnsi="Times New Roman" w:cs="Times New Roman"/>
          <w:sz w:val="24"/>
          <w:szCs w:val="24"/>
        </w:rPr>
        <w:t xml:space="preserve"> be the first element of consideration. One of the major strategies for enhancing public support is the practice of green production. This is one of the major considerations for the Hinkley Point C Nuclear Power Plant Project, which could be a recommendation for other companies. The replication strategy that has contributed to the success of the Hinkley Point C Nuclear Power Plant should also be adopted by companies of the same kind. </w:t>
      </w:r>
    </w:p>
    <w:p w14:paraId="00000023" w14:textId="17E50A67" w:rsidR="00EC6121" w:rsidRPr="007A3C97" w:rsidRDefault="00EC6121" w:rsidP="004F00B4">
      <w:pPr>
        <w:pBdr>
          <w:left w:val="none" w:sz="0" w:space="28" w:color="auto"/>
        </w:pBdr>
        <w:shd w:val="clear" w:color="auto" w:fill="FFFFFF"/>
        <w:rPr>
          <w:rFonts w:ascii="Times New Roman" w:eastAsia="Times New Roman" w:hAnsi="Times New Roman" w:cs="Times New Roman"/>
          <w:sz w:val="24"/>
          <w:szCs w:val="24"/>
        </w:rPr>
      </w:pPr>
    </w:p>
    <w:p w14:paraId="00000024" w14:textId="07DF7918" w:rsidR="00EC6121" w:rsidRPr="004F00B4" w:rsidRDefault="00000000" w:rsidP="004F00B4">
      <w:pPr>
        <w:pStyle w:val="Heading1"/>
        <w:jc w:val="center"/>
        <w:rPr>
          <w:rFonts w:ascii="Times New Roman" w:hAnsi="Times New Roman" w:cs="Times New Roman"/>
          <w:b/>
          <w:bCs/>
          <w:color w:val="000000" w:themeColor="text1"/>
          <w:sz w:val="24"/>
          <w:szCs w:val="24"/>
        </w:rPr>
      </w:pPr>
      <w:bookmarkStart w:id="6" w:name="_Toc133620347"/>
      <w:r w:rsidRPr="004F00B4">
        <w:rPr>
          <w:rFonts w:ascii="Times New Roman" w:hAnsi="Times New Roman" w:cs="Times New Roman"/>
          <w:b/>
          <w:bCs/>
          <w:color w:val="000000" w:themeColor="text1"/>
          <w:sz w:val="24"/>
          <w:szCs w:val="24"/>
        </w:rPr>
        <w:lastRenderedPageBreak/>
        <w:t>Reference</w:t>
      </w:r>
      <w:r w:rsidR="00BF7812" w:rsidRPr="004F00B4">
        <w:rPr>
          <w:rFonts w:ascii="Times New Roman" w:hAnsi="Times New Roman" w:cs="Times New Roman"/>
          <w:b/>
          <w:bCs/>
          <w:color w:val="000000" w:themeColor="text1"/>
          <w:sz w:val="24"/>
          <w:szCs w:val="24"/>
        </w:rPr>
        <w:t>s</w:t>
      </w:r>
      <w:bookmarkEnd w:id="6"/>
    </w:p>
    <w:p w14:paraId="00000025" w14:textId="77777777" w:rsidR="00EC6121" w:rsidRPr="007A3C97" w:rsidRDefault="00000000" w:rsidP="00284052">
      <w:pPr>
        <w:ind w:left="720" w:hanging="720"/>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Ambrose, J. (2017) “Cost of Hinkley Point nuclear plant climbs another £1.5bn to over £20bn, as project faces further delay,” </w:t>
      </w:r>
      <w:r w:rsidRPr="007A3C97">
        <w:rPr>
          <w:rFonts w:ascii="Times New Roman" w:eastAsia="Times New Roman" w:hAnsi="Times New Roman" w:cs="Times New Roman"/>
          <w:i/>
          <w:sz w:val="24"/>
          <w:szCs w:val="24"/>
        </w:rPr>
        <w:t>The Telegraph</w:t>
      </w:r>
      <w:r w:rsidRPr="007A3C97">
        <w:rPr>
          <w:rFonts w:ascii="Times New Roman" w:eastAsia="Times New Roman" w:hAnsi="Times New Roman" w:cs="Times New Roman"/>
          <w:sz w:val="24"/>
          <w:szCs w:val="24"/>
        </w:rPr>
        <w:t xml:space="preserve">, 3 July. Available at: </w:t>
      </w:r>
      <w:hyperlink r:id="rId6">
        <w:r w:rsidRPr="007A3C97">
          <w:rPr>
            <w:rFonts w:ascii="Times New Roman" w:eastAsia="Times New Roman" w:hAnsi="Times New Roman" w:cs="Times New Roman"/>
            <w:sz w:val="24"/>
            <w:szCs w:val="24"/>
          </w:rPr>
          <w:t>https://www.telegraph.co.uk/business/2017/07/03/hinkley-nuclear-costs-climb-almost-20bn-start-delayed/</w:t>
        </w:r>
      </w:hyperlink>
      <w:r w:rsidRPr="007A3C97">
        <w:rPr>
          <w:rFonts w:ascii="Times New Roman" w:eastAsia="Times New Roman" w:hAnsi="Times New Roman" w:cs="Times New Roman"/>
          <w:sz w:val="24"/>
          <w:szCs w:val="24"/>
        </w:rPr>
        <w:t xml:space="preserve"> (Accessed: April 24, 2023).</w:t>
      </w:r>
    </w:p>
    <w:p w14:paraId="00000026" w14:textId="799FCEC9" w:rsidR="00EC6121" w:rsidRPr="007A3C97" w:rsidRDefault="00000000" w:rsidP="00284052">
      <w:pPr>
        <w:ind w:left="720" w:hanging="720"/>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Chu, B. (2016) “Why is the Hinkley Point nuclear plant so controversial?” </w:t>
      </w:r>
      <w:r w:rsidRPr="007A3C97">
        <w:rPr>
          <w:rFonts w:ascii="Times New Roman" w:eastAsia="Times New Roman" w:hAnsi="Times New Roman" w:cs="Times New Roman"/>
          <w:i/>
          <w:sz w:val="24"/>
          <w:szCs w:val="24"/>
        </w:rPr>
        <w:t>The Independent</w:t>
      </w:r>
      <w:r w:rsidRPr="007A3C97">
        <w:rPr>
          <w:rFonts w:ascii="Times New Roman" w:eastAsia="Times New Roman" w:hAnsi="Times New Roman" w:cs="Times New Roman"/>
          <w:sz w:val="24"/>
          <w:szCs w:val="24"/>
        </w:rPr>
        <w:t xml:space="preserve">, 28 July. Available at: </w:t>
      </w:r>
      <w:hyperlink r:id="rId7">
        <w:r w:rsidRPr="007A3C97">
          <w:rPr>
            <w:rFonts w:ascii="Times New Roman" w:eastAsia="Times New Roman" w:hAnsi="Times New Roman" w:cs="Times New Roman"/>
            <w:sz w:val="24"/>
            <w:szCs w:val="24"/>
          </w:rPr>
          <w:t>https://www.independent.co.uk/news/business/analysis-and-features/why-is-the-hinkley-point-nuclear-plant-so-controversial-a7160781.html</w:t>
        </w:r>
      </w:hyperlink>
      <w:r w:rsidRPr="007A3C97">
        <w:rPr>
          <w:rFonts w:ascii="Times New Roman" w:eastAsia="Times New Roman" w:hAnsi="Times New Roman" w:cs="Times New Roman"/>
          <w:sz w:val="24"/>
          <w:szCs w:val="24"/>
        </w:rPr>
        <w:t xml:space="preserve"> (Accessed: April 24, 2023).</w:t>
      </w:r>
    </w:p>
    <w:p w14:paraId="00000027" w14:textId="36627142" w:rsidR="00EC6121" w:rsidRPr="007A3C97" w:rsidRDefault="00000000" w:rsidP="00284052">
      <w:pPr>
        <w:ind w:left="720" w:hanging="720"/>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Daniel, E. and Daniel, P.A. (2019) “Megaprojects as complex adaptive systems: The Hinkley point C case,” </w:t>
      </w:r>
      <w:r w:rsidRPr="007A3C97">
        <w:rPr>
          <w:rFonts w:ascii="Times New Roman" w:eastAsia="Times New Roman" w:hAnsi="Times New Roman" w:cs="Times New Roman"/>
          <w:i/>
          <w:sz w:val="24"/>
          <w:szCs w:val="24"/>
        </w:rPr>
        <w:t>International Journal of Project Management</w:t>
      </w:r>
      <w:r w:rsidRPr="007A3C97">
        <w:rPr>
          <w:rFonts w:ascii="Times New Roman" w:eastAsia="Times New Roman" w:hAnsi="Times New Roman" w:cs="Times New Roman"/>
          <w:sz w:val="24"/>
          <w:szCs w:val="24"/>
        </w:rPr>
        <w:t xml:space="preserve">, 37(8), pp. 1017–1033. Available at: </w:t>
      </w:r>
      <w:hyperlink r:id="rId8">
        <w:r w:rsidRPr="007A3C97">
          <w:rPr>
            <w:rFonts w:ascii="Times New Roman" w:eastAsia="Times New Roman" w:hAnsi="Times New Roman" w:cs="Times New Roman"/>
            <w:sz w:val="24"/>
            <w:szCs w:val="24"/>
          </w:rPr>
          <w:t>https://doi.org/10.1016/j.ijproman.2019.05.001</w:t>
        </w:r>
      </w:hyperlink>
    </w:p>
    <w:p w14:paraId="00000028" w14:textId="21703D2A" w:rsidR="00EC6121" w:rsidRPr="007A3C97" w:rsidRDefault="00000000" w:rsidP="00284052">
      <w:pPr>
        <w:ind w:left="720" w:hanging="720"/>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Department for Energy Security and Net Zero and Department for Business, Energy &amp; Industrial Strategy (2020) </w:t>
      </w:r>
      <w:r w:rsidRPr="007A3C97">
        <w:rPr>
          <w:rFonts w:ascii="Times New Roman" w:eastAsia="Times New Roman" w:hAnsi="Times New Roman" w:cs="Times New Roman"/>
          <w:i/>
          <w:sz w:val="24"/>
          <w:szCs w:val="24"/>
        </w:rPr>
        <w:t>Energy white paper: Powering our net zero future</w:t>
      </w:r>
      <w:r w:rsidRPr="007A3C97">
        <w:rPr>
          <w:rFonts w:ascii="Times New Roman" w:eastAsia="Times New Roman" w:hAnsi="Times New Roman" w:cs="Times New Roman"/>
          <w:sz w:val="24"/>
          <w:szCs w:val="24"/>
        </w:rPr>
        <w:t xml:space="preserve">. APS Group. Available at: </w:t>
      </w:r>
      <w:hyperlink r:id="rId9">
        <w:r w:rsidRPr="007A3C97">
          <w:rPr>
            <w:rFonts w:ascii="Times New Roman" w:eastAsia="Times New Roman" w:hAnsi="Times New Roman" w:cs="Times New Roman"/>
            <w:sz w:val="24"/>
            <w:szCs w:val="24"/>
          </w:rPr>
          <w:t>https://www.gov.uk/government/publications/energy-white-paper-powering-our-net-zero-future</w:t>
        </w:r>
      </w:hyperlink>
      <w:r w:rsidRPr="007A3C97">
        <w:rPr>
          <w:rFonts w:ascii="Times New Roman" w:eastAsia="Times New Roman" w:hAnsi="Times New Roman" w:cs="Times New Roman"/>
          <w:sz w:val="24"/>
          <w:szCs w:val="24"/>
        </w:rPr>
        <w:t>. (Accessed: April 2</w:t>
      </w:r>
      <w:r w:rsidR="00DB1C34" w:rsidRPr="007A3C97">
        <w:rPr>
          <w:rFonts w:ascii="Times New Roman" w:eastAsia="Times New Roman" w:hAnsi="Times New Roman" w:cs="Times New Roman"/>
          <w:sz w:val="24"/>
          <w:szCs w:val="24"/>
        </w:rPr>
        <w:t>2,</w:t>
      </w:r>
      <w:r w:rsidRPr="007A3C97">
        <w:rPr>
          <w:rFonts w:ascii="Times New Roman" w:eastAsia="Times New Roman" w:hAnsi="Times New Roman" w:cs="Times New Roman"/>
          <w:sz w:val="24"/>
          <w:szCs w:val="24"/>
        </w:rPr>
        <w:t xml:space="preserve"> 2023).</w:t>
      </w:r>
    </w:p>
    <w:p w14:paraId="00000029" w14:textId="156C6801" w:rsidR="00EC6121" w:rsidRPr="007A3C97" w:rsidRDefault="00000000" w:rsidP="00284052">
      <w:pPr>
        <w:ind w:left="720" w:hanging="720"/>
        <w:jc w:val="left"/>
        <w:rPr>
          <w:rFonts w:ascii="Times New Roman" w:eastAsia="Times New Roman" w:hAnsi="Times New Roman" w:cs="Times New Roman"/>
          <w:b/>
          <w:sz w:val="24"/>
          <w:szCs w:val="24"/>
        </w:rPr>
      </w:pPr>
      <w:r w:rsidRPr="007A3C97">
        <w:rPr>
          <w:rFonts w:ascii="Times New Roman" w:eastAsia="Times New Roman" w:hAnsi="Times New Roman" w:cs="Times New Roman"/>
          <w:sz w:val="24"/>
          <w:szCs w:val="24"/>
        </w:rPr>
        <w:t xml:space="preserve">Moore, C. (2022, December 1). </w:t>
      </w:r>
      <w:r w:rsidRPr="007A3C97">
        <w:rPr>
          <w:rFonts w:ascii="Times New Roman" w:eastAsia="Times New Roman" w:hAnsi="Times New Roman" w:cs="Times New Roman"/>
          <w:i/>
          <w:sz w:val="24"/>
          <w:szCs w:val="24"/>
        </w:rPr>
        <w:t>Hinkley Point C schedule “remains unchanged” despite fears of 11-year delay</w:t>
      </w:r>
      <w:r w:rsidRPr="007A3C97">
        <w:rPr>
          <w:rFonts w:ascii="Times New Roman" w:eastAsia="Times New Roman" w:hAnsi="Times New Roman" w:cs="Times New Roman"/>
          <w:sz w:val="24"/>
          <w:szCs w:val="24"/>
        </w:rPr>
        <w:t xml:space="preserve">. New Civil Engineer. </w:t>
      </w:r>
      <w:hyperlink r:id="rId10">
        <w:r w:rsidRPr="007A3C97">
          <w:rPr>
            <w:rFonts w:ascii="Times New Roman" w:eastAsia="Times New Roman" w:hAnsi="Times New Roman" w:cs="Times New Roman"/>
            <w:sz w:val="24"/>
            <w:szCs w:val="24"/>
          </w:rPr>
          <w:t>https://www.newcivilengineer.com/latest/hinkley-schedule-remains-unchanged-despite-fears-of-11-year-delay-01-12-2022/</w:t>
        </w:r>
      </w:hyperlink>
      <w:r w:rsidRPr="007A3C97">
        <w:rPr>
          <w:rFonts w:ascii="Times New Roman" w:eastAsia="Times New Roman" w:hAnsi="Times New Roman" w:cs="Times New Roman"/>
          <w:sz w:val="24"/>
          <w:szCs w:val="24"/>
        </w:rPr>
        <w:t>. (Accessed: April 2</w:t>
      </w:r>
      <w:r w:rsidR="006535EA" w:rsidRPr="007A3C97">
        <w:rPr>
          <w:rFonts w:ascii="Times New Roman" w:eastAsia="Times New Roman" w:hAnsi="Times New Roman" w:cs="Times New Roman"/>
          <w:sz w:val="24"/>
          <w:szCs w:val="24"/>
        </w:rPr>
        <w:t>2</w:t>
      </w:r>
      <w:r w:rsidRPr="007A3C97">
        <w:rPr>
          <w:rFonts w:ascii="Times New Roman" w:eastAsia="Times New Roman" w:hAnsi="Times New Roman" w:cs="Times New Roman"/>
          <w:sz w:val="24"/>
          <w:szCs w:val="24"/>
        </w:rPr>
        <w:t>, 2023).</w:t>
      </w:r>
    </w:p>
    <w:p w14:paraId="0000002A" w14:textId="5791BC82" w:rsidR="00EC6121" w:rsidRPr="007A3C97" w:rsidRDefault="00000000" w:rsidP="00284052">
      <w:pPr>
        <w:ind w:left="720" w:hanging="720"/>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lastRenderedPageBreak/>
        <w:t xml:space="preserve">Schaps, K. and De Clercq, G. (2013) “Britain to build Europe’s first nuclear plant since Fukushima,” </w:t>
      </w:r>
      <w:r w:rsidRPr="007A3C97">
        <w:rPr>
          <w:rFonts w:ascii="Times New Roman" w:eastAsia="Times New Roman" w:hAnsi="Times New Roman" w:cs="Times New Roman"/>
          <w:i/>
          <w:sz w:val="24"/>
          <w:szCs w:val="24"/>
        </w:rPr>
        <w:t>Reuters</w:t>
      </w:r>
      <w:r w:rsidRPr="007A3C97">
        <w:rPr>
          <w:rFonts w:ascii="Times New Roman" w:eastAsia="Times New Roman" w:hAnsi="Times New Roman" w:cs="Times New Roman"/>
          <w:sz w:val="24"/>
          <w:szCs w:val="24"/>
        </w:rPr>
        <w:t xml:space="preserve">, 20 October. Available at: </w:t>
      </w:r>
      <w:hyperlink r:id="rId11">
        <w:r w:rsidRPr="007A3C97">
          <w:rPr>
            <w:rFonts w:ascii="Times New Roman" w:eastAsia="Times New Roman" w:hAnsi="Times New Roman" w:cs="Times New Roman"/>
            <w:sz w:val="24"/>
            <w:szCs w:val="24"/>
            <w:u w:val="single"/>
          </w:rPr>
          <w:t>https://www.reuters.com/article/us-britain-nuclear-hinkley-idUSBRE99J03T20131020</w:t>
        </w:r>
      </w:hyperlink>
      <w:r w:rsidRPr="007A3C97">
        <w:rPr>
          <w:rFonts w:ascii="Times New Roman" w:eastAsia="Times New Roman" w:hAnsi="Times New Roman" w:cs="Times New Roman"/>
          <w:sz w:val="24"/>
          <w:szCs w:val="24"/>
        </w:rPr>
        <w:t xml:space="preserve"> (Accessed: April 2</w:t>
      </w:r>
      <w:r w:rsidR="00490EE3" w:rsidRPr="007A3C97">
        <w:rPr>
          <w:rFonts w:ascii="Times New Roman" w:eastAsia="Times New Roman" w:hAnsi="Times New Roman" w:cs="Times New Roman"/>
          <w:sz w:val="24"/>
          <w:szCs w:val="24"/>
        </w:rPr>
        <w:t>2</w:t>
      </w:r>
      <w:r w:rsidRPr="007A3C97">
        <w:rPr>
          <w:rFonts w:ascii="Times New Roman" w:eastAsia="Times New Roman" w:hAnsi="Times New Roman" w:cs="Times New Roman"/>
          <w:sz w:val="24"/>
          <w:szCs w:val="24"/>
        </w:rPr>
        <w:t>, 2023).</w:t>
      </w:r>
    </w:p>
    <w:p w14:paraId="0000002B" w14:textId="32026650" w:rsidR="00EC6121" w:rsidRPr="007A3C97" w:rsidRDefault="00000000" w:rsidP="00284052">
      <w:pPr>
        <w:ind w:left="720" w:hanging="720"/>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Smyth, H., Lecoeuvre, L., &amp; Vaesken, P. (2018). Co-creation of value and the project context: Towards application on the case of Hinkley Point C Nuclear Power Station. </w:t>
      </w:r>
      <w:r w:rsidRPr="007A3C97">
        <w:rPr>
          <w:rFonts w:ascii="Times New Roman" w:eastAsia="Times New Roman" w:hAnsi="Times New Roman" w:cs="Times New Roman"/>
          <w:i/>
          <w:sz w:val="24"/>
          <w:szCs w:val="24"/>
        </w:rPr>
        <w:t xml:space="preserve">International journal of </w:t>
      </w:r>
      <w:r w:rsidR="00E22B88" w:rsidRPr="007A3C97">
        <w:rPr>
          <w:rFonts w:ascii="Times New Roman" w:eastAsia="Times New Roman" w:hAnsi="Times New Roman" w:cs="Times New Roman"/>
          <w:i/>
          <w:sz w:val="24"/>
          <w:szCs w:val="24"/>
        </w:rPr>
        <w:t>Project Management</w:t>
      </w:r>
      <w:r w:rsidRPr="007A3C97">
        <w:rPr>
          <w:rFonts w:ascii="Times New Roman" w:eastAsia="Times New Roman" w:hAnsi="Times New Roman" w:cs="Times New Roman"/>
          <w:sz w:val="24"/>
          <w:szCs w:val="24"/>
        </w:rPr>
        <w:t xml:space="preserve">, </w:t>
      </w:r>
      <w:r w:rsidRPr="007A3C97">
        <w:rPr>
          <w:rFonts w:ascii="Times New Roman" w:eastAsia="Times New Roman" w:hAnsi="Times New Roman" w:cs="Times New Roman"/>
          <w:i/>
          <w:sz w:val="24"/>
          <w:szCs w:val="24"/>
        </w:rPr>
        <w:t>36</w:t>
      </w:r>
      <w:r w:rsidRPr="007A3C97">
        <w:rPr>
          <w:rFonts w:ascii="Times New Roman" w:eastAsia="Times New Roman" w:hAnsi="Times New Roman" w:cs="Times New Roman"/>
          <w:sz w:val="24"/>
          <w:szCs w:val="24"/>
        </w:rPr>
        <w:t>(1), 170-183</w:t>
      </w:r>
      <w:r w:rsidR="00E22B88" w:rsidRPr="007A3C97">
        <w:rPr>
          <w:rFonts w:ascii="Times New Roman" w:eastAsia="Times New Roman" w:hAnsi="Times New Roman" w:cs="Times New Roman"/>
          <w:sz w:val="24"/>
          <w:szCs w:val="24"/>
        </w:rPr>
        <w:t>. Available at: https://doi.org/10.1016/j.ijproman.2017.04.013</w:t>
      </w:r>
    </w:p>
    <w:p w14:paraId="0000002C" w14:textId="28435729" w:rsidR="00EC6121" w:rsidRPr="007A3C97" w:rsidRDefault="00000000" w:rsidP="00284052">
      <w:pPr>
        <w:ind w:left="720" w:hanging="720"/>
        <w:jc w:val="left"/>
        <w:rPr>
          <w:rFonts w:ascii="Times New Roman" w:eastAsia="Times New Roman" w:hAnsi="Times New Roman" w:cs="Times New Roman"/>
          <w:sz w:val="24"/>
          <w:szCs w:val="24"/>
        </w:rPr>
      </w:pPr>
      <w:r w:rsidRPr="007A3C97">
        <w:rPr>
          <w:rFonts w:ascii="Times New Roman" w:eastAsia="Times New Roman" w:hAnsi="Times New Roman" w:cs="Times New Roman"/>
          <w:sz w:val="24"/>
          <w:szCs w:val="24"/>
        </w:rPr>
        <w:t xml:space="preserve">Thomas, S.H. (2016) “The Hinkley Point decision: An analysis of the policy process,” </w:t>
      </w:r>
      <w:r w:rsidRPr="007A3C97">
        <w:rPr>
          <w:rFonts w:ascii="Times New Roman" w:eastAsia="Times New Roman" w:hAnsi="Times New Roman" w:cs="Times New Roman"/>
          <w:i/>
          <w:sz w:val="24"/>
          <w:szCs w:val="24"/>
        </w:rPr>
        <w:t>Energy Policy</w:t>
      </w:r>
      <w:r w:rsidRPr="007A3C97">
        <w:rPr>
          <w:rFonts w:ascii="Times New Roman" w:eastAsia="Times New Roman" w:hAnsi="Times New Roman" w:cs="Times New Roman"/>
          <w:sz w:val="24"/>
          <w:szCs w:val="24"/>
        </w:rPr>
        <w:t xml:space="preserve">, 96, pp. 421–431. Available at: </w:t>
      </w:r>
      <w:hyperlink r:id="rId12">
        <w:r w:rsidRPr="007A3C97">
          <w:rPr>
            <w:rFonts w:ascii="Times New Roman" w:eastAsia="Times New Roman" w:hAnsi="Times New Roman" w:cs="Times New Roman"/>
            <w:sz w:val="24"/>
            <w:szCs w:val="24"/>
          </w:rPr>
          <w:t>https://doi.org/10.1016/j.enpol.2016.06.021</w:t>
        </w:r>
      </w:hyperlink>
    </w:p>
    <w:p w14:paraId="0000002D" w14:textId="77777777" w:rsidR="00EC6121" w:rsidRPr="007A3C97" w:rsidRDefault="00EC6121" w:rsidP="00284052">
      <w:pPr>
        <w:ind w:left="720" w:hanging="720"/>
        <w:jc w:val="left"/>
        <w:rPr>
          <w:rFonts w:ascii="Times New Roman" w:eastAsia="Times New Roman" w:hAnsi="Times New Roman" w:cs="Times New Roman"/>
          <w:sz w:val="24"/>
          <w:szCs w:val="24"/>
        </w:rPr>
      </w:pPr>
    </w:p>
    <w:sectPr w:rsidR="00EC6121" w:rsidRPr="007A3C97">
      <w:headerReference w:type="default" r:id="rId13"/>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7B567" w14:textId="77777777" w:rsidR="00F732D3" w:rsidRDefault="00F732D3">
      <w:pPr>
        <w:spacing w:line="240" w:lineRule="auto"/>
      </w:pPr>
      <w:r>
        <w:separator/>
      </w:r>
    </w:p>
  </w:endnote>
  <w:endnote w:type="continuationSeparator" w:id="0">
    <w:p w14:paraId="77BABA1A" w14:textId="77777777" w:rsidR="00F732D3" w:rsidRDefault="00F732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2835136"/>
      <w:docPartObj>
        <w:docPartGallery w:val="Page Numbers (Bottom of Page)"/>
        <w:docPartUnique/>
      </w:docPartObj>
    </w:sdtPr>
    <w:sdtEndPr>
      <w:rPr>
        <w:noProof/>
      </w:rPr>
    </w:sdtEndPr>
    <w:sdtContent>
      <w:p w14:paraId="0AE18068" w14:textId="2F4D68CE" w:rsidR="007A3C97" w:rsidRDefault="007A3C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FC13C7" w14:textId="77777777" w:rsidR="007A3C97" w:rsidRDefault="007A3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78EE5" w14:textId="77777777" w:rsidR="00F732D3" w:rsidRDefault="00F732D3">
      <w:pPr>
        <w:spacing w:line="240" w:lineRule="auto"/>
      </w:pPr>
      <w:r>
        <w:separator/>
      </w:r>
    </w:p>
  </w:footnote>
  <w:footnote w:type="continuationSeparator" w:id="0">
    <w:p w14:paraId="6E09D1AF" w14:textId="77777777" w:rsidR="00F732D3" w:rsidRDefault="00F732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E" w14:textId="77777777" w:rsidR="00EC6121" w:rsidRDefault="007A3C97" w:rsidP="007A3C97">
    <w:pPr>
      <w:pBdr>
        <w:top w:val="nil"/>
        <w:left w:val="nil"/>
        <w:bottom w:val="nil"/>
        <w:right w:val="nil"/>
        <w:between w:val="nil"/>
      </w:pBdr>
      <w:tabs>
        <w:tab w:val="center" w:pos="4680"/>
        <w:tab w:val="right" w:pos="9360"/>
      </w:tabs>
      <w:spacing w:line="240" w:lineRule="auto"/>
      <w:jc w:val="left"/>
      <w:rPr>
        <w:rFonts w:ascii="Times New Roman" w:eastAsia="Times New Roman" w:hAnsi="Times New Roman" w:cs="Times New Roman"/>
        <w:color w:val="000000"/>
        <w:sz w:val="24"/>
        <w:szCs w:val="24"/>
      </w:rPr>
    </w:pPr>
    <w:r>
      <w:rPr>
        <w:noProof/>
      </w:rPr>
      <w:drawing>
        <wp:inline distT="0" distB="0" distL="0" distR="0" wp14:anchorId="2072684E" wp14:editId="60183F71">
          <wp:extent cx="1955800" cy="1032510"/>
          <wp:effectExtent l="0" t="0" r="635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9833" cy="105575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121"/>
    <w:rsid w:val="000028D4"/>
    <w:rsid w:val="0014301E"/>
    <w:rsid w:val="002658E6"/>
    <w:rsid w:val="00273DF5"/>
    <w:rsid w:val="00284052"/>
    <w:rsid w:val="00393359"/>
    <w:rsid w:val="003C5C5B"/>
    <w:rsid w:val="003F7D69"/>
    <w:rsid w:val="00490EE3"/>
    <w:rsid w:val="004D4843"/>
    <w:rsid w:val="004F00B4"/>
    <w:rsid w:val="00637C6E"/>
    <w:rsid w:val="006535EA"/>
    <w:rsid w:val="007A3C97"/>
    <w:rsid w:val="00813B25"/>
    <w:rsid w:val="0095246F"/>
    <w:rsid w:val="00A368E5"/>
    <w:rsid w:val="00AE03A4"/>
    <w:rsid w:val="00BF7812"/>
    <w:rsid w:val="00C009DB"/>
    <w:rsid w:val="00CF6023"/>
    <w:rsid w:val="00D45AB6"/>
    <w:rsid w:val="00DB1C34"/>
    <w:rsid w:val="00E22B88"/>
    <w:rsid w:val="00E24D38"/>
    <w:rsid w:val="00EC6121"/>
    <w:rsid w:val="00EF1B49"/>
    <w:rsid w:val="00F732D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BA2B7"/>
  <w15:docId w15:val="{EEB842D4-4912-4569-8A1C-6B0C5EFBF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color w:val="2F5496"/>
      <w:sz w:val="32"/>
      <w:szCs w:val="32"/>
    </w:rPr>
  </w:style>
  <w:style w:type="paragraph" w:styleId="Heading2">
    <w:name w:val="heading 2"/>
    <w:basedOn w:val="Normal"/>
    <w:next w:val="Normal"/>
    <w:uiPriority w:val="9"/>
    <w:semiHidden/>
    <w:unhideWhenUsed/>
    <w:qFormat/>
    <w:pPr>
      <w:keepNext/>
      <w:keepLines/>
      <w:spacing w:before="40"/>
      <w:outlineLvl w:val="1"/>
    </w:pPr>
    <w:rPr>
      <w:color w:val="2F5496"/>
      <w:sz w:val="26"/>
      <w:szCs w:val="26"/>
    </w:rPr>
  </w:style>
  <w:style w:type="paragraph" w:styleId="Heading3">
    <w:name w:val="heading 3"/>
    <w:basedOn w:val="Normal"/>
    <w:next w:val="Normal"/>
    <w:uiPriority w:val="9"/>
    <w:semiHidden/>
    <w:unhideWhenUsed/>
    <w:qFormat/>
    <w:pPr>
      <w:keepNext/>
      <w:keepLines/>
      <w:spacing w:before="40"/>
      <w:outlineLvl w:val="2"/>
    </w:pPr>
    <w:rPr>
      <w:color w:val="1F3763"/>
      <w:sz w:val="24"/>
      <w:szCs w:val="24"/>
    </w:rPr>
  </w:style>
  <w:style w:type="paragraph" w:styleId="Heading4">
    <w:name w:val="heading 4"/>
    <w:basedOn w:val="Normal"/>
    <w:next w:val="Normal"/>
    <w:uiPriority w:val="9"/>
    <w:semiHidden/>
    <w:unhideWhenUsed/>
    <w:qFormat/>
    <w:pPr>
      <w:keepNext/>
      <w:keepLines/>
      <w:spacing w:before="40"/>
      <w:outlineLvl w:val="3"/>
    </w:pPr>
    <w:rPr>
      <w:i/>
      <w:color w:val="2F5496"/>
    </w:rPr>
  </w:style>
  <w:style w:type="paragraph" w:styleId="Heading5">
    <w:name w:val="heading 5"/>
    <w:basedOn w:val="Normal"/>
    <w:next w:val="Normal"/>
    <w:uiPriority w:val="9"/>
    <w:semiHidden/>
    <w:unhideWhenUsed/>
    <w:qFormat/>
    <w:pPr>
      <w:keepNext/>
      <w:keepLines/>
      <w:spacing w:before="40"/>
      <w:outlineLvl w:val="4"/>
    </w:pPr>
    <w:rPr>
      <w:color w:val="2F5496"/>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paragraph" w:styleId="Header">
    <w:name w:val="header"/>
    <w:basedOn w:val="Normal"/>
    <w:link w:val="HeaderChar"/>
    <w:uiPriority w:val="99"/>
    <w:unhideWhenUsed/>
    <w:rsid w:val="00A368E5"/>
    <w:pPr>
      <w:tabs>
        <w:tab w:val="center" w:pos="4680"/>
        <w:tab w:val="right" w:pos="9360"/>
      </w:tabs>
      <w:spacing w:line="240" w:lineRule="auto"/>
    </w:pPr>
  </w:style>
  <w:style w:type="character" w:customStyle="1" w:styleId="HeaderChar">
    <w:name w:val="Header Char"/>
    <w:basedOn w:val="DefaultParagraphFont"/>
    <w:link w:val="Header"/>
    <w:uiPriority w:val="99"/>
    <w:rsid w:val="00A368E5"/>
  </w:style>
  <w:style w:type="paragraph" w:styleId="Footer">
    <w:name w:val="footer"/>
    <w:basedOn w:val="Normal"/>
    <w:link w:val="FooterChar"/>
    <w:uiPriority w:val="99"/>
    <w:unhideWhenUsed/>
    <w:rsid w:val="00A368E5"/>
    <w:pPr>
      <w:tabs>
        <w:tab w:val="center" w:pos="4680"/>
        <w:tab w:val="right" w:pos="9360"/>
      </w:tabs>
      <w:spacing w:line="240" w:lineRule="auto"/>
    </w:pPr>
  </w:style>
  <w:style w:type="character" w:customStyle="1" w:styleId="FooterChar">
    <w:name w:val="Footer Char"/>
    <w:basedOn w:val="DefaultParagraphFont"/>
    <w:link w:val="Footer"/>
    <w:uiPriority w:val="99"/>
    <w:rsid w:val="00A368E5"/>
  </w:style>
  <w:style w:type="paragraph" w:styleId="TOCHeading">
    <w:name w:val="TOC Heading"/>
    <w:basedOn w:val="Heading1"/>
    <w:next w:val="Normal"/>
    <w:uiPriority w:val="39"/>
    <w:unhideWhenUsed/>
    <w:qFormat/>
    <w:rsid w:val="007A3C97"/>
    <w:pPr>
      <w:spacing w:line="259" w:lineRule="auto"/>
      <w:jc w:val="left"/>
      <w:outlineLvl w:val="9"/>
    </w:pPr>
    <w:rPr>
      <w:rFonts w:asciiTheme="majorHAnsi" w:eastAsiaTheme="majorEastAsia" w:hAnsiTheme="majorHAnsi" w:cstheme="majorBidi"/>
      <w:color w:val="365F91" w:themeColor="accent1" w:themeShade="BF"/>
      <w:lang w:val="en-US"/>
    </w:rPr>
  </w:style>
  <w:style w:type="paragraph" w:styleId="TOC1">
    <w:name w:val="toc 1"/>
    <w:basedOn w:val="Normal"/>
    <w:next w:val="Normal"/>
    <w:autoRedefine/>
    <w:uiPriority w:val="39"/>
    <w:unhideWhenUsed/>
    <w:rsid w:val="004F00B4"/>
    <w:pPr>
      <w:spacing w:after="100"/>
    </w:pPr>
  </w:style>
  <w:style w:type="character" w:styleId="Hyperlink">
    <w:name w:val="Hyperlink"/>
    <w:basedOn w:val="DefaultParagraphFont"/>
    <w:uiPriority w:val="99"/>
    <w:unhideWhenUsed/>
    <w:rsid w:val="004F00B4"/>
    <w:rPr>
      <w:color w:val="0000FF" w:themeColor="hyperlink"/>
      <w:u w:val="single"/>
    </w:rPr>
  </w:style>
  <w:style w:type="paragraph" w:styleId="Date">
    <w:name w:val="Date"/>
    <w:basedOn w:val="Normal"/>
    <w:next w:val="Normal"/>
    <w:link w:val="DateChar"/>
    <w:uiPriority w:val="99"/>
    <w:semiHidden/>
    <w:unhideWhenUsed/>
    <w:rsid w:val="004F00B4"/>
  </w:style>
  <w:style w:type="character" w:customStyle="1" w:styleId="DateChar">
    <w:name w:val="Date Char"/>
    <w:basedOn w:val="DefaultParagraphFont"/>
    <w:link w:val="Date"/>
    <w:uiPriority w:val="99"/>
    <w:semiHidden/>
    <w:rsid w:val="004F0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016/j.ijproman.2019.05.001"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independent.co.uk/news/business/analysis-and-features/why-is-the-hinkley-point-nuclear-plant-so-controversial-a7160781.html" TargetMode="External"/><Relationship Id="rId12" Type="http://schemas.openxmlformats.org/officeDocument/2006/relationships/hyperlink" Target="https://doi.org/10.1016/j.enpol.2016.06.021"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elegraph.co.uk/business/2017/07/03/hinkley-nuclear-costs-climb-almost-20bn-start-delayed/" TargetMode="External"/><Relationship Id="rId11" Type="http://schemas.openxmlformats.org/officeDocument/2006/relationships/hyperlink" Target="https://www.reuters.com/article/us-britain-nuclear-hinkley-idUSBRE99J03T20131020"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newcivilengineer.com/latest/hinkley-schedule-remains-unchanged-despite-fears-of-11-year-delay-01-12-2022/" TargetMode="External"/><Relationship Id="rId4" Type="http://schemas.openxmlformats.org/officeDocument/2006/relationships/footnotes" Target="footnotes.xml"/><Relationship Id="rId9" Type="http://schemas.openxmlformats.org/officeDocument/2006/relationships/hyperlink" Target="https://www.gov.uk/government/publications/energy-white-paper-powering-our-net-zero-futur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12</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Larisa Tamas</cp:lastModifiedBy>
  <cp:revision>2</cp:revision>
  <dcterms:created xsi:type="dcterms:W3CDTF">2023-04-28T23:12:00Z</dcterms:created>
  <dcterms:modified xsi:type="dcterms:W3CDTF">2023-04-28T23:28:00Z</dcterms:modified>
</cp:coreProperties>
</file>