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1DE43" w14:textId="77777777" w:rsidR="007660A7" w:rsidRPr="007660A7" w:rsidRDefault="007660A7" w:rsidP="007660A7">
      <w:pPr>
        <w:spacing w:before="240" w:after="0" w:line="240" w:lineRule="auto"/>
        <w:jc w:val="center"/>
        <w:outlineLvl w:val="0"/>
        <w:rPr>
          <w:rFonts w:ascii="Times New Roman" w:eastAsia="Times New Roman" w:hAnsi="Times New Roman" w:cs="Times New Roman"/>
          <w:b/>
          <w:bCs/>
          <w:kern w:val="36"/>
          <w:sz w:val="28"/>
          <w:szCs w:val="28"/>
          <w:u w:val="single"/>
          <w:lang w:eastAsia="en-GB"/>
        </w:rPr>
      </w:pPr>
      <w:bookmarkStart w:id="0" w:name="_Toc303070346"/>
      <w:r w:rsidRPr="007660A7">
        <w:rPr>
          <w:rFonts w:ascii="Times New Roman" w:eastAsia="Times New Roman" w:hAnsi="Times New Roman" w:cs="Times New Roman"/>
          <w:b/>
          <w:bCs/>
          <w:noProof/>
          <w:kern w:val="36"/>
          <w:sz w:val="28"/>
          <w:szCs w:val="28"/>
          <w:lang w:eastAsia="en-GB"/>
        </w:rPr>
        <w:drawing>
          <wp:inline distT="0" distB="0" distL="0" distR="0" wp14:anchorId="4CE70F1D" wp14:editId="573BAC91">
            <wp:extent cx="2876550" cy="113347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bookmarkEnd w:id="0"/>
    <w:p w14:paraId="13488DEE" w14:textId="77777777" w:rsidR="007660A7" w:rsidRPr="007660A7" w:rsidRDefault="007660A7" w:rsidP="007660A7">
      <w:pPr>
        <w:spacing w:after="0" w:line="240" w:lineRule="auto"/>
        <w:jc w:val="center"/>
        <w:rPr>
          <w:rFonts w:ascii="Times New Roman" w:eastAsia="Times New Roman" w:hAnsi="Times New Roman" w:cs="Times New Roman"/>
          <w:sz w:val="24"/>
          <w:szCs w:val="24"/>
          <w:lang w:eastAsia="en-GB"/>
        </w:rPr>
      </w:pPr>
    </w:p>
    <w:tbl>
      <w:tblPr>
        <w:tblW w:w="0" w:type="auto"/>
        <w:tblInd w:w="288" w:type="dxa"/>
        <w:tblCellMar>
          <w:left w:w="0" w:type="dxa"/>
          <w:right w:w="0" w:type="dxa"/>
        </w:tblCellMar>
        <w:tblLook w:val="04A0" w:firstRow="1" w:lastRow="0" w:firstColumn="1" w:lastColumn="0" w:noHBand="0" w:noVBand="1"/>
      </w:tblPr>
      <w:tblGrid>
        <w:gridCol w:w="8718"/>
      </w:tblGrid>
      <w:tr w:rsidR="007660A7" w:rsidRPr="007660A7" w14:paraId="0FDFAF87" w14:textId="77777777" w:rsidTr="007660A7">
        <w:tc>
          <w:tcPr>
            <w:tcW w:w="8730" w:type="dxa"/>
            <w:tcBorders>
              <w:top w:val="single" w:sz="8" w:space="0" w:color="auto"/>
              <w:left w:val="single" w:sz="8" w:space="0" w:color="auto"/>
              <w:bottom w:val="nil"/>
              <w:right w:val="single" w:sz="8" w:space="0" w:color="auto"/>
            </w:tcBorders>
            <w:shd w:val="clear" w:color="auto" w:fill="D9D9D9"/>
            <w:tcMar>
              <w:top w:w="0" w:type="dxa"/>
              <w:left w:w="108" w:type="dxa"/>
              <w:bottom w:w="0" w:type="dxa"/>
              <w:right w:w="108" w:type="dxa"/>
            </w:tcMar>
          </w:tcPr>
          <w:p w14:paraId="617991EA" w14:textId="77777777" w:rsidR="007660A7" w:rsidRPr="007660A7" w:rsidRDefault="007660A7" w:rsidP="007660A7">
            <w:pPr>
              <w:spacing w:after="0" w:line="276" w:lineRule="auto"/>
              <w:ind w:left="180" w:right="-199"/>
              <w:jc w:val="center"/>
              <w:rPr>
                <w:rFonts w:ascii="Times New Roman" w:eastAsia="Times New Roman" w:hAnsi="Times New Roman" w:cs="Times New Roman"/>
                <w:sz w:val="24"/>
                <w:szCs w:val="24"/>
              </w:rPr>
            </w:pPr>
          </w:p>
        </w:tc>
      </w:tr>
      <w:tr w:rsidR="007660A7" w:rsidRPr="007660A7" w14:paraId="3A3ABAEA" w14:textId="77777777" w:rsidTr="007660A7">
        <w:tc>
          <w:tcPr>
            <w:tcW w:w="8730"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35D88A4" w14:textId="77777777" w:rsidR="007660A7" w:rsidRPr="007660A7" w:rsidRDefault="007660A7" w:rsidP="007660A7">
            <w:pPr>
              <w:spacing w:before="240" w:after="0" w:line="276" w:lineRule="auto"/>
              <w:jc w:val="center"/>
              <w:outlineLvl w:val="0"/>
              <w:rPr>
                <w:rFonts w:ascii="Times New Roman" w:eastAsia="Times New Roman" w:hAnsi="Times New Roman" w:cs="Times New Roman"/>
                <w:b/>
                <w:bCs/>
                <w:kern w:val="36"/>
                <w:sz w:val="28"/>
                <w:szCs w:val="28"/>
                <w:u w:val="single"/>
              </w:rPr>
            </w:pPr>
            <w:r w:rsidRPr="007660A7">
              <w:rPr>
                <w:rFonts w:ascii="Times New Roman" w:eastAsia="Times New Roman" w:hAnsi="Times New Roman" w:cs="Times New Roman"/>
                <w:b/>
                <w:bCs/>
                <w:kern w:val="36"/>
                <w:sz w:val="28"/>
                <w:szCs w:val="28"/>
                <w:u w:val="single"/>
              </w:rPr>
              <w:t>DRAFT RESEARCH PROPOSAL FORM</w:t>
            </w:r>
          </w:p>
          <w:p w14:paraId="064FB0B5" w14:textId="765454B4" w:rsidR="007660A7" w:rsidRPr="007660A7" w:rsidRDefault="007660A7" w:rsidP="007660A7">
            <w:pPr>
              <w:spacing w:before="240" w:after="0" w:line="276" w:lineRule="auto"/>
              <w:jc w:val="center"/>
              <w:outlineLvl w:val="0"/>
              <w:rPr>
                <w:rFonts w:ascii="Times New Roman" w:eastAsia="Times New Roman" w:hAnsi="Times New Roman" w:cs="Times New Roman"/>
                <w:b/>
                <w:bCs/>
                <w:kern w:val="36"/>
                <w:sz w:val="28"/>
                <w:szCs w:val="28"/>
                <w:u w:val="single"/>
              </w:rPr>
            </w:pPr>
            <w:r w:rsidRPr="007660A7">
              <w:rPr>
                <w:rFonts w:ascii="Times New Roman" w:eastAsia="Times New Roman" w:hAnsi="Times New Roman" w:cs="Times New Roman"/>
                <w:b/>
                <w:bCs/>
                <w:kern w:val="36"/>
                <w:sz w:val="28"/>
                <w:szCs w:val="28"/>
                <w:u w:val="single"/>
              </w:rPr>
              <w:t xml:space="preserve">(FOR LEVEL </w:t>
            </w:r>
            <w:r w:rsidR="000744B3">
              <w:rPr>
                <w:rFonts w:ascii="Times New Roman" w:eastAsia="Times New Roman" w:hAnsi="Times New Roman" w:cs="Times New Roman"/>
                <w:b/>
                <w:bCs/>
                <w:kern w:val="36"/>
                <w:sz w:val="28"/>
                <w:szCs w:val="28"/>
                <w:u w:val="single"/>
              </w:rPr>
              <w:t>6</w:t>
            </w:r>
            <w:r w:rsidRPr="007660A7">
              <w:rPr>
                <w:rFonts w:ascii="Times New Roman" w:eastAsia="Times New Roman" w:hAnsi="Times New Roman" w:cs="Times New Roman"/>
                <w:b/>
                <w:bCs/>
                <w:kern w:val="36"/>
                <w:sz w:val="28"/>
                <w:szCs w:val="28"/>
                <w:u w:val="single"/>
              </w:rPr>
              <w:t xml:space="preserve"> </w:t>
            </w:r>
            <w:r w:rsidR="000744B3">
              <w:rPr>
                <w:rFonts w:ascii="Times New Roman" w:eastAsia="Times New Roman" w:hAnsi="Times New Roman" w:cs="Times New Roman"/>
                <w:b/>
                <w:bCs/>
                <w:kern w:val="36"/>
                <w:sz w:val="28"/>
                <w:szCs w:val="28"/>
                <w:u w:val="single"/>
              </w:rPr>
              <w:t>Individual Projects</w:t>
            </w:r>
            <w:r w:rsidRPr="007660A7">
              <w:rPr>
                <w:rFonts w:ascii="Times New Roman" w:eastAsia="Times New Roman" w:hAnsi="Times New Roman" w:cs="Times New Roman"/>
                <w:b/>
                <w:bCs/>
                <w:kern w:val="36"/>
                <w:sz w:val="28"/>
                <w:szCs w:val="28"/>
                <w:u w:val="single"/>
              </w:rPr>
              <w:t>)</w:t>
            </w:r>
          </w:p>
        </w:tc>
      </w:tr>
    </w:tbl>
    <w:p w14:paraId="7A216E75" w14:textId="77777777" w:rsidR="007660A7" w:rsidRPr="007660A7" w:rsidRDefault="007660A7" w:rsidP="007660A7">
      <w:pPr>
        <w:spacing w:after="0" w:line="240" w:lineRule="auto"/>
        <w:ind w:right="-199"/>
        <w:rPr>
          <w:rFonts w:ascii="Times New Roman" w:eastAsia="Times New Roman" w:hAnsi="Times New Roman" w:cs="Times New Roman"/>
          <w:sz w:val="24"/>
          <w:szCs w:val="24"/>
          <w:lang w:eastAsia="en-GB"/>
        </w:rPr>
      </w:pPr>
      <w:r w:rsidRPr="007660A7">
        <w:rPr>
          <w:rFonts w:ascii="Times New Roman" w:eastAsia="Times New Roman" w:hAnsi="Times New Roman" w:cs="Times New Roman"/>
          <w:b/>
          <w:bCs/>
          <w:sz w:val="24"/>
          <w:szCs w:val="24"/>
          <w:lang w:eastAsia="en-GB"/>
        </w:rPr>
        <w:t xml:space="preserve"> </w:t>
      </w:r>
    </w:p>
    <w:p w14:paraId="7C02CCB8" w14:textId="77777777" w:rsidR="007660A7" w:rsidRPr="007660A7" w:rsidRDefault="007660A7" w:rsidP="007660A7">
      <w:pPr>
        <w:spacing w:after="0" w:line="240" w:lineRule="auto"/>
        <w:rPr>
          <w:rFonts w:ascii="Times New Roman" w:eastAsia="Times New Roman" w:hAnsi="Times New Roman" w:cs="Times New Roman"/>
          <w:sz w:val="24"/>
          <w:szCs w:val="24"/>
          <w:lang w:eastAsia="en-GB"/>
        </w:rPr>
      </w:pPr>
    </w:p>
    <w:p w14:paraId="22B6C250" w14:textId="1A937CC9" w:rsidR="007660A7" w:rsidRPr="007660A7" w:rsidRDefault="007660A7" w:rsidP="007660A7">
      <w:pPr>
        <w:spacing w:after="0" w:line="240" w:lineRule="auto"/>
        <w:rPr>
          <w:rFonts w:ascii="Times New Roman" w:eastAsia="Times New Roman" w:hAnsi="Times New Roman" w:cs="Times New Roman"/>
          <w:sz w:val="24"/>
          <w:szCs w:val="24"/>
          <w:lang w:eastAsia="en-GB"/>
        </w:rPr>
      </w:pPr>
    </w:p>
    <w:tbl>
      <w:tblPr>
        <w:tblW w:w="0" w:type="auto"/>
        <w:tblInd w:w="288" w:type="dxa"/>
        <w:tblCellMar>
          <w:left w:w="0" w:type="dxa"/>
          <w:right w:w="0" w:type="dxa"/>
        </w:tblCellMar>
        <w:tblLook w:val="04A0" w:firstRow="1" w:lastRow="0" w:firstColumn="1" w:lastColumn="0" w:noHBand="0" w:noVBand="1"/>
      </w:tblPr>
      <w:tblGrid>
        <w:gridCol w:w="5200"/>
        <w:gridCol w:w="3518"/>
      </w:tblGrid>
      <w:tr w:rsidR="007660A7" w:rsidRPr="007660A7" w14:paraId="2C5E6B56" w14:textId="77777777" w:rsidTr="4A0F8BDE">
        <w:tc>
          <w:tcPr>
            <w:tcW w:w="520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492A76" w14:textId="06B6B3B8" w:rsidR="007660A7" w:rsidRPr="007660A7" w:rsidRDefault="007660A7" w:rsidP="007660A7">
            <w:pPr>
              <w:spacing w:before="240" w:after="0" w:line="276" w:lineRule="auto"/>
              <w:rPr>
                <w:rFonts w:ascii="Times New Roman" w:eastAsia="Times New Roman" w:hAnsi="Times New Roman" w:cs="Times New Roman"/>
                <w:b/>
                <w:bCs/>
                <w:sz w:val="40"/>
                <w:szCs w:val="40"/>
              </w:rPr>
            </w:pPr>
            <w:r w:rsidRPr="007660A7">
              <w:rPr>
                <w:rFonts w:ascii="Times New Roman" w:eastAsia="Times New Roman" w:hAnsi="Times New Roman" w:cs="Times New Roman"/>
                <w:b/>
                <w:bCs/>
                <w:sz w:val="24"/>
                <w:szCs w:val="24"/>
              </w:rPr>
              <w:t xml:space="preserve">NAME: </w:t>
            </w:r>
            <w:r w:rsidR="008E4E09">
              <w:rPr>
                <w:rFonts w:ascii="Times New Roman" w:eastAsia="Times New Roman" w:hAnsi="Times New Roman" w:cs="Times New Roman"/>
                <w:b/>
                <w:bCs/>
                <w:sz w:val="24"/>
                <w:szCs w:val="24"/>
              </w:rPr>
              <w:t xml:space="preserve">Mihaela Irina Costache </w:t>
            </w:r>
          </w:p>
        </w:tc>
        <w:tc>
          <w:tcPr>
            <w:tcW w:w="3523" w:type="dxa"/>
            <w:tcBorders>
              <w:top w:val="single" w:sz="8" w:space="0" w:color="auto"/>
              <w:left w:val="single" w:sz="8" w:space="0" w:color="auto"/>
              <w:bottom w:val="single" w:sz="8" w:space="0" w:color="auto"/>
              <w:right w:val="single" w:sz="8" w:space="0" w:color="auto"/>
            </w:tcBorders>
            <w:hideMark/>
          </w:tcPr>
          <w:p w14:paraId="09EEE1F0" w14:textId="33E7CA92" w:rsidR="007660A7" w:rsidRPr="007660A7" w:rsidRDefault="007660A7" w:rsidP="007660A7">
            <w:pPr>
              <w:spacing w:before="240" w:after="0" w:line="276" w:lineRule="auto"/>
              <w:rPr>
                <w:rFonts w:ascii="Times New Roman" w:eastAsia="Times New Roman" w:hAnsi="Times New Roman" w:cs="Times New Roman"/>
                <w:sz w:val="24"/>
                <w:szCs w:val="24"/>
              </w:rPr>
            </w:pPr>
            <w:r w:rsidRPr="007660A7">
              <w:rPr>
                <w:rFonts w:ascii="Times New Roman" w:eastAsia="Times New Roman" w:hAnsi="Times New Roman" w:cs="Times New Roman"/>
                <w:b/>
                <w:bCs/>
                <w:sz w:val="24"/>
                <w:szCs w:val="24"/>
              </w:rPr>
              <w:t xml:space="preserve"> Student No.: </w:t>
            </w:r>
            <w:r w:rsidR="008E4E09">
              <w:rPr>
                <w:rFonts w:ascii="Times New Roman" w:eastAsia="Times New Roman" w:hAnsi="Times New Roman" w:cs="Times New Roman"/>
                <w:b/>
                <w:bCs/>
                <w:sz w:val="24"/>
                <w:szCs w:val="24"/>
              </w:rPr>
              <w:t>2027281</w:t>
            </w:r>
          </w:p>
        </w:tc>
      </w:tr>
      <w:tr w:rsidR="007660A7" w:rsidRPr="007660A7" w14:paraId="17900F6B" w14:textId="77777777" w:rsidTr="4A0F8BDE">
        <w:tc>
          <w:tcPr>
            <w:tcW w:w="873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3DB9CD" w14:textId="23013894" w:rsidR="00B92495" w:rsidRDefault="007660A7" w:rsidP="007660A7">
            <w:pPr>
              <w:spacing w:before="240" w:after="0" w:line="276" w:lineRule="auto"/>
              <w:rPr>
                <w:rFonts w:ascii="Times New Roman" w:eastAsia="Times New Roman" w:hAnsi="Times New Roman" w:cs="Times New Roman"/>
                <w:b/>
                <w:bCs/>
                <w:sz w:val="24"/>
                <w:szCs w:val="24"/>
              </w:rPr>
            </w:pPr>
            <w:r w:rsidRPr="007660A7">
              <w:rPr>
                <w:rFonts w:ascii="Times New Roman" w:eastAsia="Times New Roman" w:hAnsi="Times New Roman" w:cs="Times New Roman"/>
                <w:b/>
                <w:bCs/>
                <w:sz w:val="24"/>
                <w:szCs w:val="24"/>
              </w:rPr>
              <w:t>DRAFT RESEARCH TITLE</w:t>
            </w:r>
            <w:r w:rsidR="00B92495">
              <w:rPr>
                <w:rFonts w:ascii="Times New Roman" w:eastAsia="Times New Roman" w:hAnsi="Times New Roman" w:cs="Times New Roman"/>
                <w:b/>
                <w:bCs/>
                <w:sz w:val="24"/>
                <w:szCs w:val="24"/>
              </w:rPr>
              <w:t xml:space="preserve">: </w:t>
            </w:r>
            <w:r w:rsidR="00B92495" w:rsidRPr="00B92495">
              <w:rPr>
                <w:rFonts w:ascii="Times New Roman" w:eastAsia="Times New Roman" w:hAnsi="Times New Roman" w:cs="Times New Roman"/>
                <w:b/>
                <w:bCs/>
                <w:sz w:val="24"/>
                <w:szCs w:val="24"/>
              </w:rPr>
              <w:t>UK Employment Equality: A Comprehensive Analysis of HR Strategies in Action</w:t>
            </w:r>
          </w:p>
          <w:p w14:paraId="3D489018" w14:textId="02D7DE93" w:rsidR="007660A7" w:rsidRPr="007660A7" w:rsidRDefault="00B92495" w:rsidP="007660A7">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RESEARCH </w:t>
            </w:r>
            <w:r w:rsidR="007660A7" w:rsidRPr="007660A7">
              <w:rPr>
                <w:rFonts w:ascii="Times New Roman" w:eastAsia="Times New Roman" w:hAnsi="Times New Roman" w:cs="Times New Roman"/>
                <w:b/>
                <w:bCs/>
                <w:sz w:val="24"/>
                <w:szCs w:val="24"/>
              </w:rPr>
              <w:t xml:space="preserve">QUESTION: </w:t>
            </w:r>
            <w:r w:rsidR="008E4E09">
              <w:rPr>
                <w:rFonts w:ascii="Times New Roman" w:eastAsia="Times New Roman" w:hAnsi="Times New Roman" w:cs="Times New Roman"/>
                <w:b/>
                <w:bCs/>
                <w:sz w:val="24"/>
                <w:szCs w:val="24"/>
              </w:rPr>
              <w:t>How Human Resources Departments</w:t>
            </w:r>
            <w:r>
              <w:rPr>
                <w:rFonts w:ascii="Times New Roman" w:eastAsia="Times New Roman" w:hAnsi="Times New Roman" w:cs="Times New Roman"/>
                <w:b/>
                <w:bCs/>
                <w:sz w:val="24"/>
                <w:szCs w:val="24"/>
              </w:rPr>
              <w:t xml:space="preserve"> from United Kingdom</w:t>
            </w:r>
            <w:r w:rsidR="008E4E09">
              <w:rPr>
                <w:rFonts w:ascii="Times New Roman" w:eastAsia="Times New Roman" w:hAnsi="Times New Roman" w:cs="Times New Roman"/>
                <w:b/>
                <w:bCs/>
                <w:sz w:val="24"/>
                <w:szCs w:val="24"/>
              </w:rPr>
              <w:t xml:space="preserve"> achieve Equal Employment Opportunities?</w:t>
            </w:r>
          </w:p>
          <w:p w14:paraId="23CCB7FF" w14:textId="0C75A6D9" w:rsidR="007660A7" w:rsidRPr="007660A7" w:rsidRDefault="007660A7" w:rsidP="007660A7">
            <w:pPr>
              <w:spacing w:after="0" w:line="276" w:lineRule="auto"/>
              <w:rPr>
                <w:rFonts w:ascii="Times New Roman" w:eastAsia="Times New Roman" w:hAnsi="Times New Roman" w:cs="Times New Roman"/>
                <w:sz w:val="24"/>
                <w:szCs w:val="24"/>
              </w:rPr>
            </w:pPr>
            <w:r w:rsidRPr="007660A7">
              <w:rPr>
                <w:rFonts w:ascii="Times New Roman" w:eastAsia="Times New Roman" w:hAnsi="Times New Roman" w:cs="Times New Roman"/>
                <w:b/>
                <w:bCs/>
                <w:sz w:val="24"/>
                <w:szCs w:val="24"/>
              </w:rPr>
              <w:t xml:space="preserve"> </w:t>
            </w:r>
          </w:p>
          <w:p w14:paraId="400193CE" w14:textId="693F3149" w:rsidR="007660A7" w:rsidRPr="007660A7" w:rsidRDefault="007660A7" w:rsidP="006F3D89">
            <w:pPr>
              <w:spacing w:after="0" w:line="276" w:lineRule="auto"/>
              <w:rPr>
                <w:rFonts w:ascii="Times New Roman" w:eastAsia="Times New Roman" w:hAnsi="Times New Roman" w:cs="Times New Roman"/>
                <w:sz w:val="24"/>
                <w:szCs w:val="24"/>
              </w:rPr>
            </w:pPr>
            <w:r w:rsidRPr="007660A7">
              <w:rPr>
                <w:rFonts w:ascii="Times New Roman" w:eastAsia="Times New Roman" w:hAnsi="Times New Roman" w:cs="Times New Roman"/>
                <w:b/>
                <w:bCs/>
                <w:sz w:val="24"/>
                <w:szCs w:val="24"/>
              </w:rPr>
              <w:t xml:space="preserve"> </w:t>
            </w:r>
          </w:p>
        </w:tc>
      </w:tr>
      <w:tr w:rsidR="007660A7" w:rsidRPr="00622176" w14:paraId="273F9EDD" w14:textId="77777777" w:rsidTr="4A0F8BDE">
        <w:tc>
          <w:tcPr>
            <w:tcW w:w="873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7FDB11" w14:textId="01EFA3F2" w:rsidR="009F788B" w:rsidRPr="00622176" w:rsidRDefault="007660A7" w:rsidP="00622176">
            <w:pPr>
              <w:spacing w:after="0" w:line="276" w:lineRule="auto"/>
              <w:jc w:val="both"/>
              <w:rPr>
                <w:rFonts w:eastAsia="Times New Roman" w:cstheme="minorHAnsi"/>
                <w:b/>
                <w:bCs/>
                <w:i/>
                <w:iCs/>
                <w:sz w:val="20"/>
                <w:szCs w:val="20"/>
              </w:rPr>
            </w:pPr>
            <w:r w:rsidRPr="00622176">
              <w:rPr>
                <w:rFonts w:eastAsia="Times New Roman" w:cstheme="minorHAnsi"/>
                <w:b/>
                <w:bCs/>
                <w:sz w:val="24"/>
                <w:szCs w:val="24"/>
              </w:rPr>
              <w:t xml:space="preserve">SUMMARY OF RESEARCH OBJECTIVES: </w:t>
            </w:r>
          </w:p>
          <w:p w14:paraId="21718639" w14:textId="77777777" w:rsidR="00734899" w:rsidRDefault="00B92495" w:rsidP="00734899">
            <w:pPr>
              <w:pStyle w:val="ListParagraph"/>
              <w:numPr>
                <w:ilvl w:val="0"/>
                <w:numId w:val="2"/>
              </w:numPr>
              <w:jc w:val="both"/>
              <w:rPr>
                <w:rFonts w:cstheme="minorHAnsi"/>
                <w:b/>
                <w:bCs/>
              </w:rPr>
            </w:pPr>
            <w:r w:rsidRPr="00622176">
              <w:rPr>
                <w:rFonts w:cstheme="minorHAnsi"/>
                <w:b/>
                <w:bCs/>
              </w:rPr>
              <w:t xml:space="preserve">Research aim: </w:t>
            </w:r>
          </w:p>
          <w:p w14:paraId="05754D32" w14:textId="7FD683FF" w:rsidR="00734899" w:rsidRPr="00734899" w:rsidRDefault="00734899" w:rsidP="00734899">
            <w:pPr>
              <w:jc w:val="both"/>
              <w:rPr>
                <w:rFonts w:cstheme="minorHAnsi"/>
                <w:b/>
                <w:bCs/>
              </w:rPr>
            </w:pPr>
            <w:r>
              <w:t xml:space="preserve"> </w:t>
            </w:r>
            <w:r w:rsidRPr="00734899">
              <w:t xml:space="preserve">The primary objective of this research is to conduct a comprehensive analysis of the strategies employed by human resources departments in the United Kingdom </w:t>
            </w:r>
            <w:proofErr w:type="gramStart"/>
            <w:r w:rsidRPr="00734899">
              <w:t>in order to</w:t>
            </w:r>
            <w:proofErr w:type="gramEnd"/>
            <w:r w:rsidRPr="00734899">
              <w:t xml:space="preserve"> achieve Equal Employment Opportunity (EEO). The research aims to examine different aspects, such as organisational activities, legal structures, human resources policies, and age, to identify strategies for creating a fair and inclusive work environment that accommodates all employees, regardless of their disability, gender, age, religion, or any other legally protected characteristic.</w:t>
            </w:r>
          </w:p>
          <w:p w14:paraId="029A0FDC" w14:textId="2CF875FB" w:rsidR="00B92495" w:rsidRPr="00622176" w:rsidRDefault="00B92495" w:rsidP="00622176">
            <w:pPr>
              <w:pStyle w:val="ListParagraph"/>
              <w:numPr>
                <w:ilvl w:val="0"/>
                <w:numId w:val="2"/>
              </w:numPr>
              <w:jc w:val="both"/>
              <w:rPr>
                <w:rFonts w:cstheme="minorHAnsi"/>
                <w:b/>
                <w:bCs/>
              </w:rPr>
            </w:pPr>
            <w:r w:rsidRPr="00622176">
              <w:rPr>
                <w:rFonts w:cstheme="minorHAnsi"/>
                <w:b/>
                <w:bCs/>
              </w:rPr>
              <w:t>Research objectives:</w:t>
            </w:r>
          </w:p>
          <w:p w14:paraId="6B5F2729" w14:textId="77777777" w:rsidR="00B92495" w:rsidRPr="00622176" w:rsidRDefault="00B92495" w:rsidP="00622176">
            <w:pPr>
              <w:pStyle w:val="ListParagraph"/>
              <w:numPr>
                <w:ilvl w:val="0"/>
                <w:numId w:val="3"/>
              </w:numPr>
              <w:jc w:val="both"/>
              <w:rPr>
                <w:rFonts w:cstheme="minorHAnsi"/>
              </w:rPr>
            </w:pPr>
            <w:r w:rsidRPr="00622176">
              <w:rPr>
                <w:rFonts w:cstheme="minorHAnsi"/>
              </w:rPr>
              <w:t>Review existing literature on EEO in the UK, focusing on HR practices.</w:t>
            </w:r>
          </w:p>
          <w:p w14:paraId="3C6E5199" w14:textId="77777777" w:rsidR="00B92495" w:rsidRPr="00622176" w:rsidRDefault="00B92495" w:rsidP="00622176">
            <w:pPr>
              <w:pStyle w:val="ListParagraph"/>
              <w:numPr>
                <w:ilvl w:val="0"/>
                <w:numId w:val="3"/>
              </w:numPr>
              <w:jc w:val="both"/>
              <w:rPr>
                <w:rFonts w:cstheme="minorHAnsi"/>
              </w:rPr>
            </w:pPr>
            <w:r w:rsidRPr="00622176">
              <w:rPr>
                <w:rFonts w:cstheme="minorHAnsi"/>
              </w:rPr>
              <w:t>Assess the impact of the Equality Act on HR approaches to EEO.</w:t>
            </w:r>
          </w:p>
          <w:p w14:paraId="6F3D352B" w14:textId="77777777" w:rsidR="00B92495" w:rsidRPr="00622176" w:rsidRDefault="00B92495" w:rsidP="00622176">
            <w:pPr>
              <w:pStyle w:val="ListParagraph"/>
              <w:numPr>
                <w:ilvl w:val="0"/>
                <w:numId w:val="3"/>
              </w:numPr>
              <w:jc w:val="both"/>
              <w:rPr>
                <w:rFonts w:cstheme="minorHAnsi"/>
              </w:rPr>
            </w:pPr>
            <w:r w:rsidRPr="00622176">
              <w:rPr>
                <w:rFonts w:cstheme="minorHAnsi"/>
              </w:rPr>
              <w:t>Identify challenges in implementing and sustaining EEO in UK organizations.</w:t>
            </w:r>
          </w:p>
          <w:p w14:paraId="63EA9493" w14:textId="6E0C2BD6" w:rsidR="00B92495" w:rsidRDefault="00B92495" w:rsidP="00622176">
            <w:pPr>
              <w:pStyle w:val="ListParagraph"/>
              <w:numPr>
                <w:ilvl w:val="0"/>
                <w:numId w:val="3"/>
              </w:numPr>
              <w:jc w:val="both"/>
              <w:rPr>
                <w:rFonts w:cstheme="minorHAnsi"/>
              </w:rPr>
            </w:pPr>
            <w:r w:rsidRPr="00622176">
              <w:rPr>
                <w:rFonts w:cstheme="minorHAnsi"/>
              </w:rPr>
              <w:t>Provide practical recommendations for enhancing EEO strategies in HRM.</w:t>
            </w:r>
          </w:p>
          <w:p w14:paraId="192315CC" w14:textId="77777777" w:rsidR="00791E1D" w:rsidRPr="00622176" w:rsidRDefault="00791E1D" w:rsidP="00791E1D">
            <w:pPr>
              <w:pStyle w:val="ListParagraph"/>
              <w:jc w:val="both"/>
              <w:rPr>
                <w:rFonts w:cstheme="minorHAnsi"/>
              </w:rPr>
            </w:pPr>
          </w:p>
          <w:p w14:paraId="3952C3BD" w14:textId="77777777" w:rsidR="00B92495" w:rsidRPr="00622176" w:rsidRDefault="00B92495" w:rsidP="00622176">
            <w:pPr>
              <w:pStyle w:val="ListParagraph"/>
              <w:numPr>
                <w:ilvl w:val="0"/>
                <w:numId w:val="2"/>
              </w:numPr>
              <w:jc w:val="both"/>
              <w:rPr>
                <w:rFonts w:cstheme="minorHAnsi"/>
                <w:b/>
                <w:bCs/>
              </w:rPr>
            </w:pPr>
            <w:r w:rsidRPr="00622176">
              <w:rPr>
                <w:rFonts w:cstheme="minorHAnsi"/>
                <w:b/>
                <w:bCs/>
              </w:rPr>
              <w:t>Research Purpose:</w:t>
            </w:r>
          </w:p>
          <w:p w14:paraId="024C8189" w14:textId="0E4C51A9" w:rsidR="00734899" w:rsidRPr="00734899" w:rsidRDefault="00734899" w:rsidP="00734899">
            <w:pPr>
              <w:spacing w:after="0" w:line="276" w:lineRule="auto"/>
              <w:jc w:val="both"/>
              <w:rPr>
                <w:rFonts w:eastAsia="Times New Roman" w:cstheme="minorHAnsi"/>
                <w:sz w:val="24"/>
                <w:szCs w:val="24"/>
              </w:rPr>
            </w:pPr>
            <w:r w:rsidRPr="00734899">
              <w:rPr>
                <w:rFonts w:eastAsia="Times New Roman" w:cstheme="minorHAnsi"/>
                <w:sz w:val="24"/>
                <w:szCs w:val="24"/>
              </w:rPr>
              <w:t xml:space="preserve">The primary purpose of this research is to get a comprehensive understanding of the methods employed by human resources departments in the United Kingdom to enforce Equal Employment Opportunity (EEO) regulations and procedures. The aim of this study </w:t>
            </w:r>
            <w:r w:rsidRPr="00734899">
              <w:rPr>
                <w:rFonts w:eastAsia="Times New Roman" w:cstheme="minorHAnsi"/>
                <w:sz w:val="24"/>
                <w:szCs w:val="24"/>
              </w:rPr>
              <w:lastRenderedPageBreak/>
              <w:t>is to address gaps in information and offer suggestions for human resources practices by analysing organizational actions, strategies, and policies. The primary goal is to create a welcoming and equitable work environment that caters to all employees, regardless of their protected characteristics (Smith, 2022; Johnson, 2019).</w:t>
            </w:r>
          </w:p>
          <w:p w14:paraId="2F6C9D3F" w14:textId="77777777" w:rsidR="00537B03" w:rsidRDefault="00537B03" w:rsidP="00622176">
            <w:pPr>
              <w:spacing w:after="0" w:line="276" w:lineRule="auto"/>
              <w:jc w:val="both"/>
              <w:rPr>
                <w:rFonts w:eastAsia="Times New Roman" w:cstheme="minorHAnsi"/>
                <w:sz w:val="24"/>
                <w:szCs w:val="24"/>
              </w:rPr>
            </w:pPr>
          </w:p>
          <w:p w14:paraId="38C34503" w14:textId="517733BA" w:rsidR="00791E1D" w:rsidRPr="00791E1D" w:rsidRDefault="00791E1D" w:rsidP="00791E1D">
            <w:pPr>
              <w:pStyle w:val="ListParagraph"/>
              <w:numPr>
                <w:ilvl w:val="0"/>
                <w:numId w:val="2"/>
              </w:numPr>
              <w:jc w:val="both"/>
              <w:rPr>
                <w:rFonts w:cstheme="minorHAnsi"/>
                <w:b/>
                <w:bCs/>
              </w:rPr>
            </w:pPr>
            <w:r w:rsidRPr="00622176">
              <w:rPr>
                <w:rFonts w:cstheme="minorHAnsi"/>
                <w:b/>
                <w:bCs/>
              </w:rPr>
              <w:t>Research Significance:</w:t>
            </w:r>
          </w:p>
          <w:p w14:paraId="54284082" w14:textId="7AE0B45A" w:rsidR="007660A7" w:rsidRPr="00622176" w:rsidRDefault="00734899" w:rsidP="00734899">
            <w:pPr>
              <w:rPr>
                <w:rFonts w:eastAsia="Times New Roman" w:cstheme="minorHAnsi"/>
                <w:sz w:val="24"/>
                <w:szCs w:val="24"/>
              </w:rPr>
            </w:pPr>
            <w:r w:rsidRPr="00734899">
              <w:rPr>
                <w:rFonts w:eastAsia="Times New Roman" w:cstheme="minorHAnsi"/>
                <w:sz w:val="24"/>
                <w:szCs w:val="24"/>
              </w:rPr>
              <w:t xml:space="preserve">The main aim of the study is to get a thorough comprehension of the tactics utilised by HR departments in the United Kingdom to implement Equal Employment Opportunity (EEO) legislation and standards. The primary emphasis of this study concerns organisational activities, human resource policies, and strategies. The main goal is to address knowledge gaps and promote behaviour that creates a fair and unbiased work environment for all employees, regardless of their protected characteristics (Smith, 2022; Johnson, 2019). </w:t>
            </w:r>
          </w:p>
        </w:tc>
      </w:tr>
      <w:tr w:rsidR="007660A7" w:rsidRPr="00622176" w14:paraId="62B78E8A" w14:textId="77777777" w:rsidTr="4A0F8BDE">
        <w:tc>
          <w:tcPr>
            <w:tcW w:w="873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BE55F5" w14:textId="77777777" w:rsidR="007660A7" w:rsidRPr="00622176" w:rsidRDefault="007660A7" w:rsidP="00622176">
            <w:pPr>
              <w:spacing w:after="0" w:line="276" w:lineRule="auto"/>
              <w:jc w:val="both"/>
              <w:rPr>
                <w:rFonts w:eastAsia="Times New Roman" w:cstheme="minorHAnsi"/>
                <w:b/>
                <w:bCs/>
                <w:sz w:val="24"/>
                <w:szCs w:val="24"/>
              </w:rPr>
            </w:pPr>
            <w:r w:rsidRPr="00622176">
              <w:rPr>
                <w:rFonts w:eastAsia="Times New Roman" w:cstheme="minorHAnsi"/>
                <w:b/>
                <w:bCs/>
                <w:sz w:val="24"/>
                <w:szCs w:val="24"/>
              </w:rPr>
              <w:lastRenderedPageBreak/>
              <w:t>THEORETICAL CONTEXT:</w:t>
            </w:r>
          </w:p>
          <w:p w14:paraId="24171A64" w14:textId="77777777" w:rsidR="00B92495" w:rsidRPr="00622176" w:rsidRDefault="00B92495" w:rsidP="00622176">
            <w:pPr>
              <w:spacing w:after="0" w:line="276" w:lineRule="auto"/>
              <w:jc w:val="both"/>
              <w:rPr>
                <w:rFonts w:eastAsia="Times New Roman" w:cstheme="minorHAnsi"/>
                <w:sz w:val="24"/>
                <w:szCs w:val="24"/>
              </w:rPr>
            </w:pPr>
          </w:p>
          <w:p w14:paraId="58B460C7" w14:textId="46939148" w:rsidR="00B92495" w:rsidRPr="00734899" w:rsidRDefault="00734899" w:rsidP="00734899">
            <w:r>
              <w:t xml:space="preserve"> </w:t>
            </w:r>
            <w:r w:rsidRPr="00734899">
              <w:t>The United Kingdom's commitment to Equal Employment Opportunity (EEO) is deeply rooted in its historical and regulatory foundations. This literature study examines the theoretical foundation of Equal Employment Opportunity (EEO) programmes in the United Kingdom. The concentration lies on contemporary publications, including magazines, textbooks, and articles. The convergence of HR practices, legal statutes, and social dynamics is emphasised.</w:t>
            </w:r>
            <w:r w:rsidR="007E6AE1">
              <w:t xml:space="preserve"> </w:t>
            </w:r>
            <w:r w:rsidR="007E6AE1">
              <w:br/>
            </w:r>
          </w:p>
          <w:p w14:paraId="1AF1A263" w14:textId="77777777" w:rsidR="00B92495" w:rsidRPr="007E6AE1" w:rsidRDefault="00B92495" w:rsidP="00622176">
            <w:pPr>
              <w:spacing w:after="0" w:line="276" w:lineRule="auto"/>
              <w:jc w:val="both"/>
              <w:rPr>
                <w:rFonts w:eastAsia="Times New Roman" w:cstheme="minorHAnsi"/>
                <w:b/>
                <w:bCs/>
                <w:sz w:val="24"/>
                <w:szCs w:val="24"/>
              </w:rPr>
            </w:pPr>
            <w:r w:rsidRPr="007E6AE1">
              <w:rPr>
                <w:rFonts w:eastAsia="Times New Roman" w:cstheme="minorHAnsi"/>
                <w:b/>
                <w:bCs/>
                <w:sz w:val="24"/>
                <w:szCs w:val="24"/>
              </w:rPr>
              <w:t>•</w:t>
            </w:r>
            <w:r w:rsidRPr="007E6AE1">
              <w:rPr>
                <w:rFonts w:eastAsia="Times New Roman" w:cstheme="minorHAnsi"/>
                <w:b/>
                <w:bCs/>
                <w:sz w:val="24"/>
                <w:szCs w:val="24"/>
              </w:rPr>
              <w:tab/>
              <w:t>Historical Context and Legislative Frameworks:</w:t>
            </w:r>
          </w:p>
          <w:p w14:paraId="42EF7F9D" w14:textId="77777777" w:rsidR="00B92495" w:rsidRPr="00622176" w:rsidRDefault="00B92495" w:rsidP="00622176">
            <w:pPr>
              <w:spacing w:after="0" w:line="276" w:lineRule="auto"/>
              <w:jc w:val="both"/>
              <w:rPr>
                <w:rFonts w:eastAsia="Times New Roman" w:cstheme="minorHAnsi"/>
                <w:sz w:val="24"/>
                <w:szCs w:val="24"/>
              </w:rPr>
            </w:pPr>
          </w:p>
          <w:p w14:paraId="2D6FA4E2" w14:textId="77777777" w:rsidR="00734899" w:rsidRPr="00734899" w:rsidRDefault="00734899" w:rsidP="00734899">
            <w:pPr>
              <w:rPr>
                <w:rFonts w:eastAsia="Times New Roman" w:cstheme="minorHAnsi"/>
                <w:sz w:val="24"/>
                <w:szCs w:val="24"/>
              </w:rPr>
            </w:pPr>
            <w:r w:rsidRPr="00734899">
              <w:rPr>
                <w:rFonts w:eastAsia="Times New Roman" w:cstheme="minorHAnsi"/>
                <w:sz w:val="24"/>
                <w:szCs w:val="24"/>
              </w:rPr>
              <w:t>The implementation of Equal Employment Opportunities (EEO) measures in the United Kingdom began with significant legislative advancements and historical occurrences. The evolution of [subject] has been impacted by global factors and regional legal systems. In his study, Berg (1964) examines the Civil Rights Act of 1964 in the United States to explore the worldwide impact of laws related to equal employment. Berg's inquiry, focused on the United States, has significant global ramifications. The impact of this organisation to worldwide conversations on workplace equality is significant.</w:t>
            </w:r>
          </w:p>
          <w:p w14:paraId="1B391FE8" w14:textId="77777777" w:rsidR="0031263B" w:rsidRPr="0031263B" w:rsidRDefault="0031263B" w:rsidP="0031263B">
            <w:pPr>
              <w:spacing w:after="0" w:line="276" w:lineRule="auto"/>
              <w:jc w:val="both"/>
              <w:rPr>
                <w:rFonts w:eastAsia="Times New Roman" w:cstheme="minorHAnsi"/>
                <w:sz w:val="24"/>
                <w:szCs w:val="24"/>
              </w:rPr>
            </w:pPr>
          </w:p>
          <w:p w14:paraId="2E4B8F34" w14:textId="65DBF783" w:rsidR="00B92495" w:rsidRPr="00622176" w:rsidRDefault="0031263B" w:rsidP="0031263B">
            <w:pPr>
              <w:spacing w:after="0" w:line="276" w:lineRule="auto"/>
              <w:jc w:val="both"/>
              <w:rPr>
                <w:rFonts w:eastAsia="Times New Roman" w:cstheme="minorHAnsi"/>
                <w:sz w:val="24"/>
                <w:szCs w:val="24"/>
              </w:rPr>
            </w:pPr>
            <w:r w:rsidRPr="0031263B">
              <w:rPr>
                <w:rFonts w:eastAsia="Times New Roman" w:cstheme="minorHAnsi"/>
                <w:sz w:val="24"/>
                <w:szCs w:val="24"/>
              </w:rPr>
              <w:t xml:space="preserve">Crompton (2019) also analyses the history of equal opportunities in the UK. Crompton's study on equal chances' origins, evolution, and challenges helps us understand the sociological and legal influences that have shaped the </w:t>
            </w:r>
            <w:r w:rsidR="007E6AE1">
              <w:rPr>
                <w:rFonts w:eastAsia="Times New Roman" w:cstheme="minorHAnsi"/>
                <w:sz w:val="24"/>
                <w:szCs w:val="24"/>
              </w:rPr>
              <w:t>situation.</w:t>
            </w:r>
          </w:p>
          <w:p w14:paraId="23C18274" w14:textId="77777777" w:rsidR="00B92495" w:rsidRDefault="00B92495" w:rsidP="00622176">
            <w:pPr>
              <w:spacing w:after="0" w:line="276" w:lineRule="auto"/>
              <w:jc w:val="both"/>
              <w:rPr>
                <w:rFonts w:eastAsia="Times New Roman" w:cstheme="minorHAnsi"/>
                <w:sz w:val="24"/>
                <w:szCs w:val="24"/>
              </w:rPr>
            </w:pPr>
            <w:r w:rsidRPr="00622176">
              <w:rPr>
                <w:rFonts w:eastAsia="Times New Roman" w:cstheme="minorHAnsi"/>
                <w:sz w:val="24"/>
                <w:szCs w:val="24"/>
              </w:rPr>
              <w:t>Hepple (2006) contributes to the discourse by analysing the new legal framework surrounding equality in the UK. Offering insights into legislative changes, Hepple's work aids in evaluating how legal mechanisms have influenced the pursuit of equal opportunities, providing a crucial backdrop for understanding contemporary HR practices.</w:t>
            </w:r>
          </w:p>
          <w:p w14:paraId="138059A3" w14:textId="77777777" w:rsidR="0031263B" w:rsidRDefault="0031263B" w:rsidP="00622176">
            <w:pPr>
              <w:spacing w:after="0" w:line="276" w:lineRule="auto"/>
              <w:jc w:val="both"/>
              <w:rPr>
                <w:rFonts w:eastAsia="Times New Roman" w:cstheme="minorHAnsi"/>
                <w:sz w:val="24"/>
                <w:szCs w:val="24"/>
              </w:rPr>
            </w:pPr>
          </w:p>
          <w:p w14:paraId="3C37EFC6" w14:textId="127A2E62" w:rsidR="00734899" w:rsidRPr="00734899" w:rsidRDefault="00734899" w:rsidP="00734899">
            <w:pPr>
              <w:spacing w:after="0" w:line="276" w:lineRule="auto"/>
              <w:jc w:val="both"/>
              <w:rPr>
                <w:rFonts w:eastAsia="Times New Roman" w:cstheme="minorHAnsi"/>
                <w:sz w:val="20"/>
                <w:szCs w:val="20"/>
              </w:rPr>
            </w:pPr>
            <w:r>
              <w:rPr>
                <w:rFonts w:eastAsia="Times New Roman" w:cstheme="minorHAnsi"/>
                <w:sz w:val="20"/>
                <w:szCs w:val="20"/>
              </w:rPr>
              <w:lastRenderedPageBreak/>
              <w:t xml:space="preserve">      </w:t>
            </w:r>
            <w:r w:rsidRPr="00734899">
              <w:rPr>
                <w:rFonts w:eastAsia="Times New Roman" w:cstheme="minorHAnsi"/>
                <w:sz w:val="20"/>
                <w:szCs w:val="20"/>
              </w:rPr>
              <w:t>Fredman's (2016) consideration of the conceptual obstacles, constraints, and justifications of discrimination legislation enriches the discussion. This article elucidates the process of understanding the legal underpinnings of EEO policies and the intricacies involved in interpreting and implementing principles of equality.</w:t>
            </w:r>
          </w:p>
          <w:p w14:paraId="48F6643C" w14:textId="77777777" w:rsidR="00734899" w:rsidRPr="00734899" w:rsidRDefault="00734899" w:rsidP="00734899">
            <w:pPr>
              <w:spacing w:after="0" w:line="276" w:lineRule="auto"/>
              <w:jc w:val="both"/>
              <w:rPr>
                <w:rFonts w:eastAsia="Times New Roman" w:cstheme="minorHAnsi"/>
                <w:sz w:val="20"/>
                <w:szCs w:val="20"/>
              </w:rPr>
            </w:pPr>
          </w:p>
          <w:p w14:paraId="2F701B74" w14:textId="77777777" w:rsidR="00734899" w:rsidRPr="00734899" w:rsidRDefault="00734899" w:rsidP="00734899">
            <w:pPr>
              <w:spacing w:after="0" w:line="276" w:lineRule="auto"/>
              <w:jc w:val="both"/>
              <w:rPr>
                <w:rFonts w:eastAsia="Times New Roman" w:cstheme="minorHAnsi"/>
                <w:sz w:val="20"/>
                <w:szCs w:val="20"/>
              </w:rPr>
            </w:pPr>
            <w:r w:rsidRPr="00734899">
              <w:rPr>
                <w:rFonts w:eastAsia="Times New Roman" w:cstheme="minorHAnsi"/>
                <w:sz w:val="20"/>
                <w:szCs w:val="20"/>
              </w:rPr>
              <w:t>Hepple (2006) examines the newly implemented equality rules in the United Kingdom, adding to the ongoing discussion. Hepple's research illuminates how legislative changes affect equality. It functions as the foundation for current human resources protocols.</w:t>
            </w:r>
          </w:p>
          <w:p w14:paraId="7AD9F9D1" w14:textId="77777777" w:rsidR="00734899" w:rsidRDefault="00734899" w:rsidP="00734899">
            <w:pPr>
              <w:spacing w:after="0" w:line="276" w:lineRule="auto"/>
              <w:jc w:val="both"/>
              <w:rPr>
                <w:rFonts w:eastAsia="Times New Roman" w:cstheme="minorHAnsi"/>
                <w:sz w:val="20"/>
                <w:szCs w:val="20"/>
              </w:rPr>
            </w:pPr>
            <w:r w:rsidRPr="00734899">
              <w:rPr>
                <w:rFonts w:eastAsia="Times New Roman" w:cstheme="minorHAnsi"/>
                <w:sz w:val="20"/>
                <w:szCs w:val="20"/>
              </w:rPr>
              <w:t>Smith (2002) analyses the origins of equal pay and gender mainstreaming in the United Kingdom. Smith examines the progression of EEO's growth, focusing on important milestones and shifts in focus, to thoroughly analyse its complexity.</w:t>
            </w:r>
          </w:p>
          <w:p w14:paraId="0C316A99" w14:textId="77777777" w:rsidR="00734899" w:rsidRPr="00734899" w:rsidRDefault="00734899" w:rsidP="00734899">
            <w:pPr>
              <w:spacing w:after="0" w:line="276" w:lineRule="auto"/>
              <w:jc w:val="both"/>
              <w:rPr>
                <w:rFonts w:eastAsia="Times New Roman" w:cstheme="minorHAnsi"/>
                <w:sz w:val="20"/>
                <w:szCs w:val="20"/>
              </w:rPr>
            </w:pPr>
          </w:p>
          <w:p w14:paraId="1751CE79" w14:textId="71F26460" w:rsidR="00734899" w:rsidRPr="00734899" w:rsidRDefault="00734899" w:rsidP="00734899">
            <w:pPr>
              <w:spacing w:after="0" w:line="276" w:lineRule="auto"/>
              <w:jc w:val="both"/>
              <w:rPr>
                <w:rFonts w:eastAsia="Times New Roman" w:cstheme="minorHAnsi"/>
                <w:sz w:val="20"/>
                <w:szCs w:val="20"/>
              </w:rPr>
            </w:pPr>
            <w:r>
              <w:rPr>
                <w:rFonts w:eastAsia="Times New Roman" w:cstheme="minorHAnsi"/>
                <w:sz w:val="20"/>
                <w:szCs w:val="20"/>
              </w:rPr>
              <w:t xml:space="preserve">     </w:t>
            </w:r>
            <w:r w:rsidRPr="00734899">
              <w:rPr>
                <w:rFonts w:eastAsia="Times New Roman" w:cstheme="minorHAnsi"/>
                <w:sz w:val="20"/>
                <w:szCs w:val="20"/>
              </w:rPr>
              <w:t>The UK Equality Act of 2010 is essential for fostering inclusive workplaces through the implementation of HR practices. The 2010 Equality Act provides protection for attributes such as race, gender, age, religion, and disability, therefore creating a strong legal basis for the study of human resources.</w:t>
            </w:r>
          </w:p>
          <w:p w14:paraId="795D8666" w14:textId="7B019CA0" w:rsidR="00734899" w:rsidRPr="00734899" w:rsidRDefault="00734899" w:rsidP="00734899">
            <w:pPr>
              <w:spacing w:after="0" w:line="276" w:lineRule="auto"/>
              <w:jc w:val="both"/>
              <w:rPr>
                <w:rFonts w:eastAsia="Times New Roman" w:cstheme="minorHAnsi"/>
                <w:sz w:val="20"/>
                <w:szCs w:val="20"/>
              </w:rPr>
            </w:pPr>
            <w:r w:rsidRPr="00734899">
              <w:rPr>
                <w:rFonts w:eastAsia="Times New Roman" w:cstheme="minorHAnsi"/>
                <w:sz w:val="20"/>
                <w:szCs w:val="20"/>
              </w:rPr>
              <w:t xml:space="preserve">A comprehensive understanding of the historical underpinnings and legislative establishments that have shaped equal employment opportunity (EEO) initiatives in the United Kingdom is enriched by diverse viewpoints and supplementary resources. Berg (1964), Crompton (2019), </w:t>
            </w:r>
            <w:proofErr w:type="spellStart"/>
            <w:r w:rsidRPr="00734899">
              <w:rPr>
                <w:rFonts w:eastAsia="Times New Roman" w:cstheme="minorHAnsi"/>
                <w:sz w:val="20"/>
                <w:szCs w:val="20"/>
              </w:rPr>
              <w:t>D'Auglli</w:t>
            </w:r>
            <w:proofErr w:type="spellEnd"/>
            <w:r w:rsidRPr="00734899">
              <w:rPr>
                <w:rFonts w:eastAsia="Times New Roman" w:cstheme="minorHAnsi"/>
                <w:sz w:val="20"/>
                <w:szCs w:val="20"/>
              </w:rPr>
              <w:t xml:space="preserve"> (1989), the Equality Act (2010), Fredman (2016), Hepple (2006), and Smith (2002) have provided foundational ideas that form a strong framework for analysing current human resources practices and the notion of workplace equality.</w:t>
            </w:r>
          </w:p>
          <w:p w14:paraId="62E1D0A8" w14:textId="13F9F503" w:rsidR="0031263B" w:rsidRDefault="0031263B" w:rsidP="0031263B">
            <w:pPr>
              <w:spacing w:after="0" w:line="276" w:lineRule="auto"/>
              <w:jc w:val="both"/>
              <w:rPr>
                <w:rFonts w:eastAsia="Times New Roman" w:cstheme="minorHAnsi"/>
                <w:sz w:val="20"/>
                <w:szCs w:val="20"/>
              </w:rPr>
            </w:pPr>
          </w:p>
          <w:p w14:paraId="71D31D0A" w14:textId="77777777" w:rsidR="0031263B" w:rsidRPr="00622176" w:rsidRDefault="0031263B" w:rsidP="0031263B">
            <w:pPr>
              <w:spacing w:after="0" w:line="276" w:lineRule="auto"/>
              <w:jc w:val="both"/>
              <w:rPr>
                <w:rFonts w:eastAsia="Times New Roman" w:cstheme="minorHAnsi"/>
                <w:sz w:val="20"/>
                <w:szCs w:val="20"/>
              </w:rPr>
            </w:pPr>
          </w:p>
          <w:p w14:paraId="687DB22D" w14:textId="77777777" w:rsidR="006C3B46" w:rsidRPr="007E6AE1" w:rsidRDefault="006C3B46" w:rsidP="00622176">
            <w:pPr>
              <w:pStyle w:val="ListParagraph"/>
              <w:numPr>
                <w:ilvl w:val="0"/>
                <w:numId w:val="2"/>
              </w:numPr>
              <w:jc w:val="both"/>
              <w:rPr>
                <w:rFonts w:cstheme="minorHAnsi"/>
                <w:b/>
                <w:bCs/>
              </w:rPr>
            </w:pPr>
            <w:r w:rsidRPr="007E6AE1">
              <w:rPr>
                <w:rFonts w:cstheme="minorHAnsi"/>
                <w:b/>
                <w:bCs/>
              </w:rPr>
              <w:t>Theoretical Foundations and Societal Dynamics:</w:t>
            </w:r>
          </w:p>
          <w:p w14:paraId="39295106" w14:textId="77777777" w:rsidR="006C3B46" w:rsidRPr="00622176" w:rsidRDefault="006C3B46" w:rsidP="00622176">
            <w:pPr>
              <w:jc w:val="both"/>
              <w:rPr>
                <w:rFonts w:cstheme="minorHAnsi"/>
              </w:rPr>
            </w:pPr>
          </w:p>
          <w:p w14:paraId="18125E25" w14:textId="77777777" w:rsidR="007E6AE1" w:rsidRDefault="0031263B" w:rsidP="007E6AE1">
            <w:pPr>
              <w:jc w:val="both"/>
            </w:pPr>
            <w:r>
              <w:rPr>
                <w:rFonts w:eastAsia="Times New Roman" w:cstheme="minorHAnsi"/>
                <w:sz w:val="24"/>
                <w:szCs w:val="24"/>
              </w:rPr>
              <w:t xml:space="preserve">      </w:t>
            </w:r>
            <w:proofErr w:type="spellStart"/>
            <w:r w:rsidR="007E6AE1">
              <w:t>D'Augelli's</w:t>
            </w:r>
            <w:proofErr w:type="spellEnd"/>
            <w:r w:rsidR="007E6AE1">
              <w:t xml:space="preserve"> (1989) debate centres around the visibility, empowerment, and educational leadership of lesbian and gay college students. Although each workplace has its own distinct characteristics, discussions on equality typically centre around matters of visibility and empowerment. </w:t>
            </w:r>
            <w:proofErr w:type="spellStart"/>
            <w:r w:rsidR="007E6AE1">
              <w:t>D'Augelli's</w:t>
            </w:r>
            <w:proofErr w:type="spellEnd"/>
            <w:r w:rsidR="007E6AE1">
              <w:t xml:space="preserve"> objective is to comprehend the mechanisms via which HR rules facilitate the creation of an inclusive work environment by allowing individuals to overcome characteristics that are legally safeguarded. His emphasis on empowerment contributes to the achievement of this objective.</w:t>
            </w:r>
          </w:p>
          <w:p w14:paraId="549B7B0F" w14:textId="6B9219B7" w:rsidR="005C7B24" w:rsidRDefault="007E6AE1" w:rsidP="007E6AE1">
            <w:pPr>
              <w:jc w:val="both"/>
            </w:pPr>
            <w:r>
              <w:t xml:space="preserve"> </w:t>
            </w:r>
            <w:r>
              <w:br/>
              <w:t xml:space="preserve">       To have a comprehensive picture of Equal Employment Opportunity (EEO) programmes in the United Kingdom, it is necessary to conduct research commencing in 2019. The ongoing study will comprehensively address the evolving societal viewpoints, human resources trends, and equal employment opportunity approaches </w:t>
            </w:r>
            <w:proofErr w:type="gramStart"/>
            <w:r>
              <w:t>in order to</w:t>
            </w:r>
            <w:proofErr w:type="gramEnd"/>
            <w:r>
              <w:t xml:space="preserve"> effectively cater to the requirements of UK firms, notwithstanding the absence of any specific references to the year 2019.</w:t>
            </w:r>
          </w:p>
          <w:p w14:paraId="52573EFF" w14:textId="5EF17013" w:rsidR="005C7B24" w:rsidRDefault="005C7B24" w:rsidP="005C7B24">
            <w:pPr>
              <w:jc w:val="both"/>
            </w:pPr>
            <w:r>
              <w:t xml:space="preserve">The primary objective of this literature investigation was to examine the theoretical and historical foundations of the Equal Employment Opportunity (EEO) regulations in the United Kingdom. It emphasised the correlation among human resources, legal considerations, and society. This evaluation establishes the foundation for future research on the human resources policy and practices related to equal employment opportunity in the United Kingdom. </w:t>
            </w:r>
          </w:p>
          <w:p w14:paraId="2966397B" w14:textId="77777777" w:rsidR="005C7B24" w:rsidRDefault="005C7B24" w:rsidP="007E6AE1">
            <w:pPr>
              <w:jc w:val="both"/>
            </w:pPr>
          </w:p>
          <w:p w14:paraId="201F5DF9" w14:textId="77777777" w:rsidR="005C7B24" w:rsidRDefault="005C7B24" w:rsidP="007E6AE1">
            <w:pPr>
              <w:jc w:val="both"/>
            </w:pPr>
          </w:p>
          <w:p w14:paraId="2E6CA399" w14:textId="77777777" w:rsidR="005C7B24" w:rsidRDefault="005C7B24" w:rsidP="007E6AE1">
            <w:pPr>
              <w:jc w:val="both"/>
            </w:pPr>
          </w:p>
          <w:p w14:paraId="70210AB9" w14:textId="0BAF975B" w:rsidR="007E6AE1" w:rsidRPr="005C7B24" w:rsidRDefault="007E6AE1" w:rsidP="007E6AE1">
            <w:pPr>
              <w:jc w:val="both"/>
            </w:pPr>
            <w:r>
              <w:t xml:space="preserve">Relevant publications emphasise the impact on laws, theoretical frameworks, and current developments. Examples of legislation that promote equality include the Equality Act of 2010, as well as the Berg (1964) and </w:t>
            </w:r>
            <w:proofErr w:type="spellStart"/>
            <w:r>
              <w:t>D'Augelli</w:t>
            </w:r>
            <w:proofErr w:type="spellEnd"/>
            <w:r>
              <w:t xml:space="preserve"> (1989) cases. </w:t>
            </w:r>
          </w:p>
          <w:p w14:paraId="663036EA" w14:textId="3B3DB498" w:rsidR="0031263B" w:rsidRPr="00622176" w:rsidRDefault="0031263B" w:rsidP="0031263B">
            <w:pPr>
              <w:jc w:val="both"/>
              <w:rPr>
                <w:rFonts w:eastAsia="Times New Roman" w:cstheme="minorHAnsi"/>
                <w:sz w:val="24"/>
                <w:szCs w:val="24"/>
              </w:rPr>
            </w:pPr>
          </w:p>
        </w:tc>
      </w:tr>
    </w:tbl>
    <w:p w14:paraId="6BC5A3F1" w14:textId="222CA613" w:rsidR="007660A7" w:rsidRPr="00622176" w:rsidRDefault="007660A7" w:rsidP="00622176">
      <w:pPr>
        <w:spacing w:after="0" w:line="240" w:lineRule="auto"/>
        <w:jc w:val="both"/>
        <w:rPr>
          <w:rFonts w:eastAsia="Times New Roman" w:cstheme="minorHAnsi"/>
          <w:sz w:val="24"/>
          <w:szCs w:val="24"/>
          <w:lang w:eastAsia="en-GB"/>
        </w:rPr>
      </w:pPr>
    </w:p>
    <w:tbl>
      <w:tblPr>
        <w:tblW w:w="9138" w:type="dxa"/>
        <w:tblInd w:w="288" w:type="dxa"/>
        <w:tblCellMar>
          <w:left w:w="0" w:type="dxa"/>
          <w:right w:w="0" w:type="dxa"/>
        </w:tblCellMar>
        <w:tblLook w:val="04A0" w:firstRow="1" w:lastRow="0" w:firstColumn="1" w:lastColumn="0" w:noHBand="0" w:noVBand="1"/>
      </w:tblPr>
      <w:tblGrid>
        <w:gridCol w:w="9242"/>
      </w:tblGrid>
      <w:tr w:rsidR="007660A7" w:rsidRPr="00622176" w14:paraId="223BDDA7" w14:textId="77777777" w:rsidTr="005C7B24">
        <w:trPr>
          <w:trHeight w:val="9436"/>
        </w:trPr>
        <w:tc>
          <w:tcPr>
            <w:tcW w:w="913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DC8DCC8" w14:textId="77777777" w:rsidR="00537B03" w:rsidRDefault="00537B03" w:rsidP="00622176">
            <w:pPr>
              <w:spacing w:after="0" w:line="276" w:lineRule="auto"/>
              <w:jc w:val="both"/>
              <w:rPr>
                <w:rFonts w:eastAsia="Times New Roman" w:cstheme="minorHAnsi"/>
                <w:b/>
                <w:bCs/>
                <w:sz w:val="24"/>
                <w:szCs w:val="24"/>
              </w:rPr>
            </w:pPr>
            <w:r>
              <w:rPr>
                <w:rFonts w:eastAsia="Times New Roman" w:cstheme="minorHAnsi"/>
                <w:b/>
                <w:bCs/>
                <w:sz w:val="24"/>
                <w:szCs w:val="24"/>
              </w:rPr>
              <w:t xml:space="preserve"> </w:t>
            </w:r>
          </w:p>
          <w:p w14:paraId="182F3F40" w14:textId="1E542980" w:rsidR="007660A7" w:rsidRDefault="006C3B46" w:rsidP="00622176">
            <w:pPr>
              <w:spacing w:after="0" w:line="276" w:lineRule="auto"/>
              <w:jc w:val="both"/>
              <w:rPr>
                <w:rFonts w:eastAsia="Times New Roman" w:cstheme="minorHAnsi"/>
                <w:b/>
                <w:bCs/>
                <w:sz w:val="24"/>
                <w:szCs w:val="24"/>
              </w:rPr>
            </w:pPr>
            <w:r w:rsidRPr="00622176">
              <w:rPr>
                <w:rFonts w:eastAsia="Times New Roman" w:cstheme="minorHAnsi"/>
                <w:b/>
                <w:bCs/>
                <w:sz w:val="24"/>
                <w:szCs w:val="24"/>
              </w:rPr>
              <w:t xml:space="preserve">METHODOLOGY. </w:t>
            </w:r>
            <w:r w:rsidR="007660A7" w:rsidRPr="00622176">
              <w:rPr>
                <w:rFonts w:eastAsia="Times New Roman" w:cstheme="minorHAnsi"/>
                <w:b/>
                <w:bCs/>
                <w:sz w:val="24"/>
                <w:szCs w:val="24"/>
              </w:rPr>
              <w:t>SUMMARY OF RESEARCH</w:t>
            </w:r>
          </w:p>
          <w:p w14:paraId="23EFB759" w14:textId="77777777" w:rsidR="00537B03" w:rsidRPr="00622176" w:rsidRDefault="00537B03" w:rsidP="00622176">
            <w:pPr>
              <w:spacing w:after="0" w:line="276" w:lineRule="auto"/>
              <w:jc w:val="both"/>
              <w:rPr>
                <w:rFonts w:eastAsia="Times New Roman" w:cstheme="minorHAnsi"/>
                <w:b/>
                <w:bCs/>
                <w:sz w:val="24"/>
                <w:szCs w:val="24"/>
              </w:rPr>
            </w:pPr>
          </w:p>
          <w:p w14:paraId="4259E504" w14:textId="58B22992" w:rsidR="005C7B24" w:rsidRPr="005C7B24" w:rsidRDefault="00622176" w:rsidP="005C7B24">
            <w:pPr>
              <w:jc w:val="both"/>
              <w:rPr>
                <w:rFonts w:cstheme="minorHAnsi"/>
              </w:rPr>
            </w:pPr>
            <w:r w:rsidRPr="00622176">
              <w:rPr>
                <w:rFonts w:cstheme="minorHAnsi"/>
              </w:rPr>
              <w:t xml:space="preserve">     </w:t>
            </w:r>
            <w:r w:rsidR="005C7B24" w:rsidRPr="005C7B24">
              <w:rPr>
                <w:rFonts w:cstheme="minorHAnsi"/>
              </w:rPr>
              <w:t>Further investigation is required in the field of human resources on the idea of equal employment opportunity (EEO). The primary objective of this method should be to attain workplace equality, which involves the efficient execution of legislation frameworks (Brown, 2019; Davis, 2016). The proposed methodology considers the complex nature of the topic by including both quantitative and qualitative techniques.</w:t>
            </w:r>
          </w:p>
          <w:p w14:paraId="29098059" w14:textId="2A7035ED" w:rsidR="0031263B" w:rsidRPr="0031263B" w:rsidRDefault="005C7B24" w:rsidP="005C7B24">
            <w:pPr>
              <w:jc w:val="both"/>
              <w:rPr>
                <w:rFonts w:cstheme="minorHAnsi"/>
              </w:rPr>
            </w:pPr>
            <w:r w:rsidRPr="005C7B24">
              <w:rPr>
                <w:rFonts w:cstheme="minorHAnsi"/>
              </w:rPr>
              <w:t xml:space="preserve">This study utilised a mixed-methods approach to investigate Equal Employment Opportunity (EEO) activities within Human Resources (HR) departments. Both quantitative and qualitative data were collected and analysed. The process of measuring levels, patterns, and employee effectiveness is achieved by utilising statistical and numerical data in the field of Equal Employment Opportunity (EEO). This detailed evaluation evaluates the HR initiatives that are designed to enhance workplace equity. </w:t>
            </w:r>
          </w:p>
          <w:p w14:paraId="453072DD" w14:textId="77777777" w:rsidR="005C7B24" w:rsidRDefault="007E6AE1" w:rsidP="005C7B24">
            <w:pPr>
              <w:jc w:val="both"/>
            </w:pPr>
            <w:r>
              <w:t xml:space="preserve">       </w:t>
            </w:r>
            <w:r w:rsidR="005C7B24">
              <w:t xml:space="preserve">The study focuses on intricate and refined manifestations of prejudice in the workplace. This feature enriches the quantitative data and analysis by providing insight into the lived experiences of those who have faced discrimination. </w:t>
            </w:r>
            <w:proofErr w:type="gramStart"/>
            <w:r w:rsidR="005C7B24">
              <w:t>In order to</w:t>
            </w:r>
            <w:proofErr w:type="gramEnd"/>
            <w:r w:rsidR="005C7B24">
              <w:t xml:space="preserve"> obtain insight into the subjective experiences of individuals with Equal Employment Opportunity (EEO), the qualitative technique necessitates the creation of a study cohort. This pool is more suitable for evaluations of workplace equality problems. </w:t>
            </w:r>
          </w:p>
          <w:p w14:paraId="6EB3705C" w14:textId="77777777" w:rsidR="005C7B24" w:rsidRDefault="005C7B24" w:rsidP="005C7B24">
            <w:pPr>
              <w:jc w:val="both"/>
            </w:pPr>
          </w:p>
          <w:p w14:paraId="74EA5EB9" w14:textId="77777777" w:rsidR="005C7B24" w:rsidRDefault="005C7B24" w:rsidP="005C7B24">
            <w:pPr>
              <w:jc w:val="both"/>
            </w:pPr>
            <w:r>
              <w:t xml:space="preserve">        The objective of quantitative research is to identify patterns, correlations, and trends in numerical data. Creswell and Creswell (2017) employed a rigorous and empirical approach in their investigation, enabling impartial assessments of various elements and their impact on the study's objectives.</w:t>
            </w:r>
          </w:p>
          <w:p w14:paraId="5E40CF39" w14:textId="77777777" w:rsidR="005C7B24" w:rsidRDefault="005C7B24" w:rsidP="005C7B24">
            <w:pPr>
              <w:jc w:val="both"/>
            </w:pPr>
            <w:r>
              <w:t xml:space="preserve"> </w:t>
            </w:r>
          </w:p>
          <w:p w14:paraId="775AACD3" w14:textId="77777777" w:rsidR="005C7B24" w:rsidRDefault="005C7B24" w:rsidP="005C7B24">
            <w:pPr>
              <w:jc w:val="both"/>
            </w:pPr>
            <w:r>
              <w:t xml:space="preserve">     Qualitative research is an in-depth exploration of intricate human attitudes, acts, and experiences. According to Merriam and Tisdell (2016), qualitative data, such as interviews, observations, and open-ended survey questions, can offer a detailed and intricate understanding of social processes. </w:t>
            </w:r>
          </w:p>
          <w:p w14:paraId="6CA502CD" w14:textId="77777777" w:rsidR="005C7B24" w:rsidRDefault="005C7B24" w:rsidP="005C7B24">
            <w:pPr>
              <w:jc w:val="both"/>
            </w:pPr>
          </w:p>
          <w:p w14:paraId="3D218CB1" w14:textId="77777777" w:rsidR="005C7B24" w:rsidRDefault="005C7B24" w:rsidP="007E6AE1">
            <w:pPr>
              <w:jc w:val="both"/>
            </w:pPr>
            <w:r>
              <w:t>The research will consist of fifty structured questions, comprising both quantitative and qualitative components. Human resources specialists will evaluate the questionnaires to choose individuals who possess a favourable combination of demographics, job experience, and education.</w:t>
            </w:r>
          </w:p>
          <w:p w14:paraId="515E1AED" w14:textId="01DE02E4" w:rsidR="007660A7" w:rsidRPr="007E6AE1" w:rsidRDefault="007E6AE1" w:rsidP="007E6AE1">
            <w:pPr>
              <w:jc w:val="both"/>
            </w:pPr>
            <w:r>
              <w:br/>
            </w:r>
          </w:p>
        </w:tc>
      </w:tr>
      <w:tr w:rsidR="007660A7" w:rsidRPr="007660A7" w14:paraId="6B5C6098" w14:textId="77777777" w:rsidTr="005C7B24">
        <w:trPr>
          <w:trHeight w:val="10295"/>
        </w:trPr>
        <w:tc>
          <w:tcPr>
            <w:tcW w:w="91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888288" w14:textId="77777777" w:rsidR="00537B03" w:rsidRDefault="00537B03" w:rsidP="007660A7">
            <w:pPr>
              <w:spacing w:after="0" w:line="276" w:lineRule="auto"/>
              <w:rPr>
                <w:rFonts w:ascii="Times New Roman" w:eastAsia="Times New Roman" w:hAnsi="Times New Roman" w:cs="Times New Roman"/>
                <w:b/>
                <w:bCs/>
                <w:sz w:val="24"/>
                <w:szCs w:val="24"/>
              </w:rPr>
            </w:pPr>
          </w:p>
          <w:p w14:paraId="6DB30431" w14:textId="462FA98E" w:rsidR="007660A7" w:rsidRDefault="007660A7" w:rsidP="007660A7">
            <w:pPr>
              <w:spacing w:after="0" w:line="276" w:lineRule="auto"/>
              <w:rPr>
                <w:rFonts w:ascii="Times New Roman" w:eastAsia="Times New Roman" w:hAnsi="Times New Roman" w:cs="Times New Roman"/>
                <w:b/>
                <w:bCs/>
                <w:sz w:val="20"/>
                <w:szCs w:val="20"/>
              </w:rPr>
            </w:pPr>
            <w:r w:rsidRPr="4A0F8BDE">
              <w:rPr>
                <w:rFonts w:ascii="Times New Roman" w:eastAsia="Times New Roman" w:hAnsi="Times New Roman" w:cs="Times New Roman"/>
                <w:b/>
                <w:bCs/>
                <w:sz w:val="24"/>
                <w:szCs w:val="24"/>
              </w:rPr>
              <w:t>SUMMARY OF SAMPLING FRAMEWORK</w:t>
            </w:r>
            <w:r w:rsidRPr="4A0F8BDE">
              <w:rPr>
                <w:rFonts w:ascii="Times New Roman" w:eastAsia="Times New Roman" w:hAnsi="Times New Roman" w:cs="Times New Roman"/>
                <w:b/>
                <w:bCs/>
                <w:sz w:val="20"/>
                <w:szCs w:val="20"/>
              </w:rPr>
              <w:t xml:space="preserve">: </w:t>
            </w:r>
          </w:p>
          <w:p w14:paraId="0E62272E" w14:textId="77777777" w:rsidR="00537B03" w:rsidRPr="007660A7" w:rsidRDefault="00537B03" w:rsidP="007660A7">
            <w:pPr>
              <w:spacing w:after="0" w:line="276" w:lineRule="auto"/>
              <w:rPr>
                <w:rFonts w:ascii="Times New Roman" w:eastAsia="Times New Roman" w:hAnsi="Times New Roman" w:cs="Times New Roman"/>
                <w:sz w:val="24"/>
                <w:szCs w:val="24"/>
              </w:rPr>
            </w:pPr>
          </w:p>
          <w:p w14:paraId="55CAE8E1" w14:textId="77777777" w:rsidR="005C7B24" w:rsidRDefault="005C7B24" w:rsidP="005C7B24">
            <w:pPr>
              <w:spacing w:after="0" w:line="276" w:lineRule="auto"/>
            </w:pPr>
            <w:r>
              <w:t xml:space="preserve">The study delves into the examination of Equal Employment Opportunity (EEO) in HR departments, employing a qualitative sample technique to demonstrate its intricate and profound nature. By considering all the ramifications and explanations of EEO, this approach enables a more profound understanding of the idea. </w:t>
            </w:r>
          </w:p>
          <w:p w14:paraId="7CD0674E" w14:textId="57F5CA88" w:rsidR="006C3B46" w:rsidRPr="005C7B24" w:rsidRDefault="005C7B24" w:rsidP="006C3B46">
            <w:pPr>
              <w:spacing w:after="0" w:line="276" w:lineRule="auto"/>
            </w:pPr>
            <w:r>
              <w:t>The HR department's staff members have divergent interpretations of EEO, as evidenced by the qualitative sample approach. The objective of our selection process, which includes individuals from many backgrounds, is to offer a complete examination of the impact of Equal Employment Opportunity (EEO) on the workplace.</w:t>
            </w:r>
            <w:r w:rsidR="0031263B">
              <w:br/>
            </w:r>
          </w:p>
          <w:p w14:paraId="49385222" w14:textId="77777777" w:rsidR="006C3B46" w:rsidRPr="006C3B46" w:rsidRDefault="006C3B46" w:rsidP="006C3B46">
            <w:pPr>
              <w:rPr>
                <w:b/>
                <w:bCs/>
              </w:rPr>
            </w:pPr>
            <w:r w:rsidRPr="006C3B46">
              <w:rPr>
                <w:b/>
                <w:bCs/>
              </w:rPr>
              <w:t>Connotations Analysis:</w:t>
            </w:r>
          </w:p>
          <w:p w14:paraId="2EF80BF6" w14:textId="306F9092" w:rsidR="005C7B24" w:rsidRDefault="006C3B46" w:rsidP="005C7B24">
            <w:r>
              <w:t xml:space="preserve"> </w:t>
            </w:r>
            <w:r w:rsidR="005C7B24">
              <w:t xml:space="preserve">Within the participation selection process, the objective is to incorporate a diverse array of viewpoints on Equal Employment Opportunity (EEO). One of these tasks involves contemplating the intended meaning behind discussions on workplace equality and how individuals perceive its nuances. </w:t>
            </w:r>
          </w:p>
          <w:p w14:paraId="0636B212" w14:textId="568F1CC0" w:rsidR="005C7B24" w:rsidRDefault="005C7B24" w:rsidP="0031263B">
            <w:r>
              <w:t xml:space="preserve">The purpose is to identify concealed assumptions that may impact HR practices and regulations. The qualitative survey approach we employ considers several interpretations and consequences to ensure a comprehensive knowledge of how Equal Employment Opportunity (EEO) is seen in Human Resources (HR) departments. A thorough examination is necessary to fully understand the many distinctions and situational variations in the implementation and interpretation of equal employment opportunity laws in the workplace. </w:t>
            </w:r>
          </w:p>
          <w:p w14:paraId="48D79E9E" w14:textId="77777777" w:rsidR="005C7B24" w:rsidRDefault="005C7B24" w:rsidP="0031263B"/>
          <w:p w14:paraId="25B51614" w14:textId="77777777" w:rsidR="005C7B24" w:rsidRDefault="005C7B24" w:rsidP="0031263B"/>
          <w:p w14:paraId="7ABAFA6F" w14:textId="77777777" w:rsidR="005C7B24" w:rsidRDefault="005C7B24" w:rsidP="0031263B"/>
          <w:p w14:paraId="4703BFCB" w14:textId="77777777" w:rsidR="005C7B24" w:rsidRDefault="005C7B24" w:rsidP="0031263B"/>
          <w:p w14:paraId="6AF0EC7A" w14:textId="77777777" w:rsidR="005C7B24" w:rsidRDefault="005C7B24" w:rsidP="0031263B"/>
          <w:p w14:paraId="7EE79039" w14:textId="77777777" w:rsidR="005C7B24" w:rsidRDefault="005C7B24" w:rsidP="0031263B"/>
          <w:p w14:paraId="2CCD17E9" w14:textId="77777777" w:rsidR="005C7B24" w:rsidRDefault="005C7B24" w:rsidP="0031263B"/>
          <w:p w14:paraId="4DF07F21" w14:textId="77777777" w:rsidR="005C7B24" w:rsidRDefault="005C7B24" w:rsidP="0031263B"/>
          <w:p w14:paraId="17645548" w14:textId="77777777" w:rsidR="005C7B24" w:rsidRDefault="005C7B24" w:rsidP="0031263B"/>
          <w:p w14:paraId="4DE53A71" w14:textId="77777777" w:rsidR="005C7B24" w:rsidRDefault="005C7B24" w:rsidP="0031263B"/>
          <w:p w14:paraId="0B99ED36" w14:textId="77777777" w:rsidR="005C7B24" w:rsidRDefault="005C7B24" w:rsidP="0031263B"/>
          <w:p w14:paraId="1A15C415" w14:textId="77777777" w:rsidR="005C7B24" w:rsidRDefault="005C7B24" w:rsidP="0031263B"/>
          <w:p w14:paraId="10B3BCCB" w14:textId="50102887" w:rsidR="0031263B" w:rsidRPr="006C3B46" w:rsidRDefault="0031263B" w:rsidP="0031263B">
            <w:r>
              <w:br/>
            </w:r>
            <w:r>
              <w:br/>
            </w:r>
          </w:p>
          <w:p w14:paraId="356E811F" w14:textId="2B9246ED" w:rsidR="007660A7" w:rsidRPr="006C3B46" w:rsidRDefault="007660A7" w:rsidP="006C3B46"/>
        </w:tc>
      </w:tr>
      <w:tr w:rsidR="007660A7" w:rsidRPr="007660A7" w14:paraId="6243AD08" w14:textId="77777777" w:rsidTr="005C7B24">
        <w:trPr>
          <w:trHeight w:val="4809"/>
        </w:trPr>
        <w:tc>
          <w:tcPr>
            <w:tcW w:w="913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19E9C11" w14:textId="193A19F8" w:rsidR="007660A7" w:rsidRDefault="0078079F" w:rsidP="007660A7">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Appendix 1: Dissertation </w:t>
            </w:r>
            <w:r w:rsidR="005D2E09">
              <w:rPr>
                <w:rFonts w:ascii="Times New Roman" w:eastAsia="Times New Roman" w:hAnsi="Times New Roman" w:cs="Times New Roman"/>
                <w:sz w:val="24"/>
                <w:szCs w:val="24"/>
              </w:rPr>
              <w:t>Gantt Chart</w:t>
            </w:r>
          </w:p>
          <w:p w14:paraId="7099DA6E" w14:textId="77777777" w:rsidR="005D2E09" w:rsidRDefault="005D2E09" w:rsidP="007660A7">
            <w:pPr>
              <w:spacing w:after="0" w:line="276" w:lineRule="auto"/>
              <w:rPr>
                <w:rFonts w:ascii="Times New Roman" w:eastAsia="Times New Roman" w:hAnsi="Times New Roman" w:cs="Times New Roman"/>
                <w:sz w:val="24"/>
                <w:szCs w:val="24"/>
              </w:rPr>
            </w:pPr>
          </w:p>
          <w:p w14:paraId="712E03FB" w14:textId="77777777" w:rsidR="005D2E09" w:rsidRDefault="005D2E09" w:rsidP="007660A7">
            <w:pPr>
              <w:spacing w:after="0" w:line="276" w:lineRule="auto"/>
              <w:rPr>
                <w:rFonts w:ascii="Times New Roman" w:eastAsia="Times New Roman" w:hAnsi="Times New Roman" w:cs="Times New Roman"/>
                <w:sz w:val="24"/>
                <w:szCs w:val="24"/>
              </w:rPr>
            </w:pPr>
            <w:r w:rsidRPr="005C4667">
              <w:rPr>
                <w:noProof/>
              </w:rPr>
              <w:drawing>
                <wp:inline distT="0" distB="0" distL="0" distR="0" wp14:anchorId="04D7121F" wp14:editId="051FBA8F">
                  <wp:extent cx="5419604" cy="3363685"/>
                  <wp:effectExtent l="0" t="0" r="0" b="8255"/>
                  <wp:docPr id="168125249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36970" cy="3374463"/>
                          </a:xfrm>
                          <a:prstGeom prst="rect">
                            <a:avLst/>
                          </a:prstGeom>
                          <a:noFill/>
                          <a:ln>
                            <a:noFill/>
                          </a:ln>
                        </pic:spPr>
                      </pic:pic>
                    </a:graphicData>
                  </a:graphic>
                </wp:inline>
              </w:drawing>
            </w:r>
          </w:p>
          <w:p w14:paraId="0EAEB38C" w14:textId="77777777" w:rsidR="005C7B24" w:rsidRDefault="005C7B24" w:rsidP="007660A7">
            <w:pPr>
              <w:spacing w:after="0" w:line="276" w:lineRule="auto"/>
              <w:rPr>
                <w:rFonts w:ascii="Times New Roman" w:eastAsia="Times New Roman" w:hAnsi="Times New Roman" w:cs="Times New Roman"/>
                <w:sz w:val="24"/>
                <w:szCs w:val="24"/>
              </w:rPr>
            </w:pPr>
          </w:p>
          <w:p w14:paraId="05F404FA" w14:textId="77777777" w:rsidR="005C7B24" w:rsidRDefault="005C7B24" w:rsidP="007660A7">
            <w:pPr>
              <w:spacing w:after="0" w:line="276" w:lineRule="auto"/>
              <w:rPr>
                <w:rFonts w:ascii="Times New Roman" w:eastAsia="Times New Roman" w:hAnsi="Times New Roman" w:cs="Times New Roman"/>
                <w:sz w:val="24"/>
                <w:szCs w:val="24"/>
              </w:rPr>
            </w:pPr>
          </w:p>
          <w:p w14:paraId="3D9D00D8" w14:textId="77777777" w:rsidR="005C7B24" w:rsidRDefault="005C7B24" w:rsidP="007660A7">
            <w:pPr>
              <w:spacing w:after="0" w:line="276" w:lineRule="auto"/>
              <w:rPr>
                <w:rFonts w:ascii="Times New Roman" w:eastAsia="Times New Roman" w:hAnsi="Times New Roman" w:cs="Times New Roman"/>
                <w:sz w:val="24"/>
                <w:szCs w:val="24"/>
              </w:rPr>
            </w:pPr>
          </w:p>
          <w:p w14:paraId="77DC1A3C" w14:textId="77777777" w:rsidR="005C7B24" w:rsidRDefault="005C7B24" w:rsidP="007660A7">
            <w:pPr>
              <w:spacing w:after="0" w:line="276" w:lineRule="auto"/>
              <w:rPr>
                <w:rFonts w:ascii="Times New Roman" w:eastAsia="Times New Roman" w:hAnsi="Times New Roman" w:cs="Times New Roman"/>
                <w:sz w:val="24"/>
                <w:szCs w:val="24"/>
              </w:rPr>
            </w:pPr>
          </w:p>
          <w:p w14:paraId="33B864AA" w14:textId="77777777" w:rsidR="005C7B24" w:rsidRDefault="005C7B24" w:rsidP="007660A7">
            <w:pPr>
              <w:spacing w:after="0" w:line="276" w:lineRule="auto"/>
              <w:rPr>
                <w:rFonts w:ascii="Times New Roman" w:eastAsia="Times New Roman" w:hAnsi="Times New Roman" w:cs="Times New Roman"/>
                <w:sz w:val="24"/>
                <w:szCs w:val="24"/>
              </w:rPr>
            </w:pPr>
          </w:p>
          <w:p w14:paraId="02FC3EBF" w14:textId="77777777" w:rsidR="005C7B24" w:rsidRDefault="005C7B24" w:rsidP="007660A7">
            <w:pPr>
              <w:spacing w:after="0" w:line="276" w:lineRule="auto"/>
              <w:rPr>
                <w:rFonts w:ascii="Times New Roman" w:eastAsia="Times New Roman" w:hAnsi="Times New Roman" w:cs="Times New Roman"/>
                <w:sz w:val="24"/>
                <w:szCs w:val="24"/>
              </w:rPr>
            </w:pPr>
          </w:p>
          <w:p w14:paraId="71A4EBA2" w14:textId="77777777" w:rsidR="005C7B24" w:rsidRDefault="005C7B24" w:rsidP="007660A7">
            <w:pPr>
              <w:spacing w:after="0" w:line="276" w:lineRule="auto"/>
              <w:rPr>
                <w:rFonts w:ascii="Times New Roman" w:eastAsia="Times New Roman" w:hAnsi="Times New Roman" w:cs="Times New Roman"/>
                <w:sz w:val="24"/>
                <w:szCs w:val="24"/>
              </w:rPr>
            </w:pPr>
          </w:p>
          <w:p w14:paraId="517B34B2" w14:textId="77777777" w:rsidR="005C7B24" w:rsidRDefault="005C7B24" w:rsidP="007660A7">
            <w:pPr>
              <w:spacing w:after="0" w:line="276" w:lineRule="auto"/>
              <w:rPr>
                <w:rFonts w:ascii="Times New Roman" w:eastAsia="Times New Roman" w:hAnsi="Times New Roman" w:cs="Times New Roman"/>
                <w:sz w:val="24"/>
                <w:szCs w:val="24"/>
              </w:rPr>
            </w:pPr>
          </w:p>
          <w:p w14:paraId="0FF5DA42" w14:textId="77777777" w:rsidR="005C7B24" w:rsidRDefault="005C7B24" w:rsidP="007660A7">
            <w:pPr>
              <w:spacing w:after="0" w:line="276" w:lineRule="auto"/>
              <w:rPr>
                <w:rFonts w:ascii="Times New Roman" w:eastAsia="Times New Roman" w:hAnsi="Times New Roman" w:cs="Times New Roman"/>
                <w:sz w:val="24"/>
                <w:szCs w:val="24"/>
              </w:rPr>
            </w:pPr>
          </w:p>
          <w:p w14:paraId="7B080C35" w14:textId="77777777" w:rsidR="005C7B24" w:rsidRDefault="005C7B24" w:rsidP="007660A7">
            <w:pPr>
              <w:spacing w:after="0" w:line="276" w:lineRule="auto"/>
              <w:rPr>
                <w:rFonts w:ascii="Times New Roman" w:eastAsia="Times New Roman" w:hAnsi="Times New Roman" w:cs="Times New Roman"/>
                <w:sz w:val="24"/>
                <w:szCs w:val="24"/>
              </w:rPr>
            </w:pPr>
          </w:p>
          <w:p w14:paraId="0C42CC87" w14:textId="77777777" w:rsidR="005C7B24" w:rsidRDefault="005C7B24" w:rsidP="007660A7">
            <w:pPr>
              <w:spacing w:after="0" w:line="276" w:lineRule="auto"/>
              <w:rPr>
                <w:rFonts w:ascii="Times New Roman" w:eastAsia="Times New Roman" w:hAnsi="Times New Roman" w:cs="Times New Roman"/>
                <w:sz w:val="24"/>
                <w:szCs w:val="24"/>
              </w:rPr>
            </w:pPr>
          </w:p>
          <w:p w14:paraId="01D7BB32" w14:textId="77777777" w:rsidR="005C7B24" w:rsidRDefault="005C7B24" w:rsidP="007660A7">
            <w:pPr>
              <w:spacing w:after="0" w:line="276" w:lineRule="auto"/>
              <w:rPr>
                <w:rFonts w:ascii="Times New Roman" w:eastAsia="Times New Roman" w:hAnsi="Times New Roman" w:cs="Times New Roman"/>
                <w:sz w:val="24"/>
                <w:szCs w:val="24"/>
              </w:rPr>
            </w:pPr>
          </w:p>
          <w:p w14:paraId="2BD914C6" w14:textId="77777777" w:rsidR="005C7B24" w:rsidRDefault="005C7B24" w:rsidP="007660A7">
            <w:pPr>
              <w:spacing w:after="0" w:line="276" w:lineRule="auto"/>
              <w:rPr>
                <w:rFonts w:ascii="Times New Roman" w:eastAsia="Times New Roman" w:hAnsi="Times New Roman" w:cs="Times New Roman"/>
                <w:sz w:val="24"/>
                <w:szCs w:val="24"/>
              </w:rPr>
            </w:pPr>
          </w:p>
          <w:p w14:paraId="638FDEC4" w14:textId="77777777" w:rsidR="005C7B24" w:rsidRDefault="005C7B24" w:rsidP="007660A7">
            <w:pPr>
              <w:spacing w:after="0" w:line="276" w:lineRule="auto"/>
              <w:rPr>
                <w:rFonts w:ascii="Times New Roman" w:eastAsia="Times New Roman" w:hAnsi="Times New Roman" w:cs="Times New Roman"/>
                <w:sz w:val="24"/>
                <w:szCs w:val="24"/>
              </w:rPr>
            </w:pPr>
          </w:p>
          <w:p w14:paraId="46906E4F" w14:textId="77777777" w:rsidR="005C7B24" w:rsidRDefault="005C7B24" w:rsidP="007660A7">
            <w:pPr>
              <w:spacing w:after="0" w:line="276" w:lineRule="auto"/>
              <w:rPr>
                <w:rFonts w:ascii="Times New Roman" w:eastAsia="Times New Roman" w:hAnsi="Times New Roman" w:cs="Times New Roman"/>
                <w:sz w:val="24"/>
                <w:szCs w:val="24"/>
              </w:rPr>
            </w:pPr>
          </w:p>
          <w:p w14:paraId="38A7A45D" w14:textId="77777777" w:rsidR="005C7B24" w:rsidRDefault="005C7B24" w:rsidP="007660A7">
            <w:pPr>
              <w:spacing w:after="0" w:line="276" w:lineRule="auto"/>
              <w:rPr>
                <w:rFonts w:ascii="Times New Roman" w:eastAsia="Times New Roman" w:hAnsi="Times New Roman" w:cs="Times New Roman"/>
                <w:sz w:val="24"/>
                <w:szCs w:val="24"/>
              </w:rPr>
            </w:pPr>
          </w:p>
          <w:p w14:paraId="0A412B1A" w14:textId="77777777" w:rsidR="005C7B24" w:rsidRDefault="005C7B24" w:rsidP="007660A7">
            <w:pPr>
              <w:spacing w:after="0" w:line="276" w:lineRule="auto"/>
              <w:rPr>
                <w:rFonts w:ascii="Times New Roman" w:eastAsia="Times New Roman" w:hAnsi="Times New Roman" w:cs="Times New Roman"/>
                <w:sz w:val="24"/>
                <w:szCs w:val="24"/>
              </w:rPr>
            </w:pPr>
          </w:p>
          <w:p w14:paraId="254C8EEF" w14:textId="77777777" w:rsidR="005C7B24" w:rsidRDefault="005C7B24" w:rsidP="007660A7">
            <w:pPr>
              <w:spacing w:after="0" w:line="276" w:lineRule="auto"/>
              <w:rPr>
                <w:rFonts w:ascii="Times New Roman" w:eastAsia="Times New Roman" w:hAnsi="Times New Roman" w:cs="Times New Roman"/>
                <w:sz w:val="24"/>
                <w:szCs w:val="24"/>
              </w:rPr>
            </w:pPr>
          </w:p>
          <w:p w14:paraId="738EC79D" w14:textId="77777777" w:rsidR="005C7B24" w:rsidRDefault="005C7B24" w:rsidP="007660A7">
            <w:pPr>
              <w:spacing w:after="0" w:line="276" w:lineRule="auto"/>
              <w:rPr>
                <w:rFonts w:ascii="Times New Roman" w:eastAsia="Times New Roman" w:hAnsi="Times New Roman" w:cs="Times New Roman"/>
                <w:sz w:val="24"/>
                <w:szCs w:val="24"/>
              </w:rPr>
            </w:pPr>
          </w:p>
          <w:p w14:paraId="7BF96304" w14:textId="77777777" w:rsidR="005C7B24" w:rsidRDefault="005C7B24" w:rsidP="007660A7">
            <w:pPr>
              <w:spacing w:after="0" w:line="276" w:lineRule="auto"/>
              <w:rPr>
                <w:rFonts w:ascii="Times New Roman" w:eastAsia="Times New Roman" w:hAnsi="Times New Roman" w:cs="Times New Roman"/>
                <w:sz w:val="24"/>
                <w:szCs w:val="24"/>
              </w:rPr>
            </w:pPr>
          </w:p>
          <w:p w14:paraId="43314B8B" w14:textId="77777777" w:rsidR="005C7B24" w:rsidRDefault="005C7B24" w:rsidP="007660A7">
            <w:pPr>
              <w:spacing w:after="0" w:line="276" w:lineRule="auto"/>
              <w:rPr>
                <w:rFonts w:ascii="Times New Roman" w:eastAsia="Times New Roman" w:hAnsi="Times New Roman" w:cs="Times New Roman"/>
                <w:sz w:val="24"/>
                <w:szCs w:val="24"/>
              </w:rPr>
            </w:pPr>
          </w:p>
          <w:p w14:paraId="10E971AB" w14:textId="77777777" w:rsidR="005C7B24" w:rsidRDefault="005C7B24" w:rsidP="007660A7">
            <w:pPr>
              <w:spacing w:after="0" w:line="276" w:lineRule="auto"/>
              <w:rPr>
                <w:rFonts w:ascii="Times New Roman" w:eastAsia="Times New Roman" w:hAnsi="Times New Roman" w:cs="Times New Roman"/>
                <w:sz w:val="24"/>
                <w:szCs w:val="24"/>
              </w:rPr>
            </w:pPr>
          </w:p>
          <w:p w14:paraId="17B0F867" w14:textId="77777777" w:rsidR="005C7B24" w:rsidRDefault="005C7B24" w:rsidP="007660A7">
            <w:pPr>
              <w:spacing w:after="0" w:line="276" w:lineRule="auto"/>
              <w:rPr>
                <w:rFonts w:ascii="Times New Roman" w:eastAsia="Times New Roman" w:hAnsi="Times New Roman" w:cs="Times New Roman"/>
                <w:sz w:val="24"/>
                <w:szCs w:val="24"/>
              </w:rPr>
            </w:pPr>
          </w:p>
          <w:p w14:paraId="6C304155" w14:textId="77777777" w:rsidR="005C7B24" w:rsidRDefault="005C7B24" w:rsidP="007660A7">
            <w:pPr>
              <w:spacing w:after="0" w:line="276" w:lineRule="auto"/>
              <w:rPr>
                <w:rFonts w:ascii="Times New Roman" w:eastAsia="Times New Roman" w:hAnsi="Times New Roman" w:cs="Times New Roman"/>
                <w:sz w:val="24"/>
                <w:szCs w:val="24"/>
              </w:rPr>
            </w:pPr>
          </w:p>
          <w:p w14:paraId="550478A3" w14:textId="77777777" w:rsidR="005C7B24" w:rsidRDefault="005C7B24" w:rsidP="007660A7">
            <w:pPr>
              <w:spacing w:after="0" w:line="276" w:lineRule="auto"/>
              <w:rPr>
                <w:rFonts w:ascii="Times New Roman" w:eastAsia="Times New Roman" w:hAnsi="Times New Roman" w:cs="Times New Roman"/>
                <w:sz w:val="24"/>
                <w:szCs w:val="24"/>
              </w:rPr>
            </w:pPr>
          </w:p>
          <w:p w14:paraId="145AD7FA" w14:textId="77777777" w:rsidR="005C7B24" w:rsidRDefault="005C7B24" w:rsidP="007660A7">
            <w:pPr>
              <w:spacing w:after="0" w:line="276" w:lineRule="auto"/>
              <w:rPr>
                <w:rFonts w:ascii="Times New Roman" w:eastAsia="Times New Roman" w:hAnsi="Times New Roman" w:cs="Times New Roman"/>
                <w:sz w:val="24"/>
                <w:szCs w:val="24"/>
              </w:rPr>
            </w:pPr>
          </w:p>
          <w:p w14:paraId="0F91E0F4" w14:textId="459694BC" w:rsidR="00E51644" w:rsidRDefault="00E51644" w:rsidP="00E51644">
            <w:pPr>
              <w:spacing w:after="0" w:line="276" w:lineRule="auto"/>
              <w:rPr>
                <w:rFonts w:ascii="Times New Roman" w:eastAsia="Times New Roman" w:hAnsi="Times New Roman" w:cs="Times New Roman"/>
                <w:sz w:val="24"/>
                <w:szCs w:val="24"/>
              </w:rPr>
            </w:pPr>
            <w:r w:rsidRPr="00E51644">
              <w:rPr>
                <w:rFonts w:ascii="Times New Roman" w:eastAsia="Times New Roman" w:hAnsi="Times New Roman" w:cs="Times New Roman"/>
                <w:noProof/>
                <w:sz w:val="24"/>
                <w:szCs w:val="24"/>
              </w:rPr>
              <w:drawing>
                <wp:inline distT="0" distB="0" distL="0" distR="0" wp14:anchorId="6D5DEF81" wp14:editId="7B13E71F">
                  <wp:extent cx="5731510" cy="8254365"/>
                  <wp:effectExtent l="0" t="0" r="0" b="0"/>
                  <wp:docPr id="183887384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254365"/>
                          </a:xfrm>
                          <a:prstGeom prst="rect">
                            <a:avLst/>
                          </a:prstGeom>
                          <a:noFill/>
                          <a:ln>
                            <a:noFill/>
                          </a:ln>
                        </pic:spPr>
                      </pic:pic>
                    </a:graphicData>
                  </a:graphic>
                </wp:inline>
              </w:drawing>
            </w:r>
          </w:p>
          <w:p w14:paraId="59DACED8" w14:textId="77777777" w:rsidR="00E51644" w:rsidRDefault="00E51644" w:rsidP="00E51644">
            <w:pPr>
              <w:spacing w:after="0" w:line="276" w:lineRule="auto"/>
              <w:rPr>
                <w:rFonts w:ascii="Times New Roman" w:eastAsia="Times New Roman" w:hAnsi="Times New Roman" w:cs="Times New Roman"/>
                <w:sz w:val="24"/>
                <w:szCs w:val="24"/>
              </w:rPr>
            </w:pPr>
          </w:p>
          <w:p w14:paraId="0927C2F2" w14:textId="6861B820" w:rsidR="00E51644" w:rsidRDefault="00E51644" w:rsidP="00E51644">
            <w:pPr>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6. </w:t>
            </w:r>
            <w:r w:rsidRPr="00E51644">
              <w:rPr>
                <w:rFonts w:ascii="Times New Roman" w:eastAsia="Times New Roman" w:hAnsi="Times New Roman" w:cs="Times New Roman"/>
                <w:noProof/>
                <w:sz w:val="24"/>
                <w:szCs w:val="24"/>
              </w:rPr>
              <w:drawing>
                <wp:inline distT="0" distB="0" distL="0" distR="0" wp14:anchorId="340686F7" wp14:editId="0171088D">
                  <wp:extent cx="5731510" cy="7852410"/>
                  <wp:effectExtent l="0" t="0" r="0" b="0"/>
                  <wp:docPr id="2024157707"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852410"/>
                          </a:xfrm>
                          <a:prstGeom prst="rect">
                            <a:avLst/>
                          </a:prstGeom>
                          <a:noFill/>
                          <a:ln>
                            <a:noFill/>
                          </a:ln>
                        </pic:spPr>
                      </pic:pic>
                    </a:graphicData>
                  </a:graphic>
                </wp:inline>
              </w:drawing>
            </w:r>
          </w:p>
          <w:p w14:paraId="2EDF4F66" w14:textId="77777777" w:rsidR="00E51644" w:rsidRDefault="00E51644" w:rsidP="00E51644">
            <w:pPr>
              <w:spacing w:after="0" w:line="276" w:lineRule="auto"/>
              <w:rPr>
                <w:rFonts w:ascii="Times New Roman" w:eastAsia="Times New Roman" w:hAnsi="Times New Roman" w:cs="Times New Roman"/>
                <w:sz w:val="24"/>
                <w:szCs w:val="24"/>
              </w:rPr>
            </w:pPr>
          </w:p>
          <w:p w14:paraId="3BAE744A" w14:textId="77777777" w:rsidR="00E51644" w:rsidRDefault="00E51644" w:rsidP="00E51644">
            <w:pPr>
              <w:spacing w:after="0" w:line="276" w:lineRule="auto"/>
              <w:rPr>
                <w:rFonts w:ascii="Times New Roman" w:eastAsia="Times New Roman" w:hAnsi="Times New Roman" w:cs="Times New Roman"/>
                <w:sz w:val="24"/>
                <w:szCs w:val="24"/>
              </w:rPr>
            </w:pPr>
          </w:p>
          <w:p w14:paraId="31F88753" w14:textId="77777777" w:rsidR="00E51644" w:rsidRPr="00E51644" w:rsidRDefault="00E51644" w:rsidP="00E51644">
            <w:pPr>
              <w:spacing w:after="0" w:line="276" w:lineRule="auto"/>
              <w:rPr>
                <w:rFonts w:ascii="Times New Roman" w:eastAsia="Times New Roman" w:hAnsi="Times New Roman" w:cs="Times New Roman"/>
                <w:sz w:val="24"/>
                <w:szCs w:val="24"/>
              </w:rPr>
            </w:pPr>
          </w:p>
          <w:p w14:paraId="54345B28" w14:textId="6C6BEC76" w:rsidR="00E51644" w:rsidRDefault="00E51644" w:rsidP="007660A7">
            <w:pPr>
              <w:spacing w:after="0" w:line="276" w:lineRule="auto"/>
              <w:rPr>
                <w:rFonts w:ascii="Times New Roman" w:eastAsia="Times New Roman" w:hAnsi="Times New Roman" w:cs="Times New Roman"/>
                <w:sz w:val="24"/>
                <w:szCs w:val="24"/>
              </w:rPr>
            </w:pPr>
            <w:r w:rsidRPr="00E51644">
              <w:rPr>
                <w:rFonts w:ascii="Times New Roman" w:eastAsia="Times New Roman" w:hAnsi="Times New Roman" w:cs="Times New Roman"/>
                <w:noProof/>
                <w:sz w:val="24"/>
                <w:szCs w:val="24"/>
              </w:rPr>
              <w:lastRenderedPageBreak/>
              <w:drawing>
                <wp:inline distT="0" distB="0" distL="0" distR="0" wp14:anchorId="1425FE66" wp14:editId="79772FA6">
                  <wp:extent cx="5731510" cy="3219450"/>
                  <wp:effectExtent l="0" t="0" r="0" b="0"/>
                  <wp:docPr id="190168440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a:noFill/>
                          </a:ln>
                        </pic:spPr>
                      </pic:pic>
                    </a:graphicData>
                  </a:graphic>
                </wp:inline>
              </w:drawing>
            </w:r>
          </w:p>
          <w:p w14:paraId="7F906A1C" w14:textId="742B6423" w:rsidR="00E51644" w:rsidRPr="007660A7" w:rsidRDefault="00E51644" w:rsidP="007660A7">
            <w:pPr>
              <w:spacing w:after="0" w:line="276" w:lineRule="auto"/>
              <w:rPr>
                <w:rFonts w:ascii="Times New Roman" w:eastAsia="Times New Roman" w:hAnsi="Times New Roman" w:cs="Times New Roman"/>
                <w:sz w:val="24"/>
                <w:szCs w:val="24"/>
              </w:rPr>
            </w:pPr>
          </w:p>
        </w:tc>
      </w:tr>
    </w:tbl>
    <w:p w14:paraId="5951E54B" w14:textId="77777777" w:rsidR="007660A7" w:rsidRPr="007660A7" w:rsidRDefault="007660A7" w:rsidP="007660A7">
      <w:pPr>
        <w:spacing w:after="0" w:line="240" w:lineRule="auto"/>
        <w:rPr>
          <w:rFonts w:ascii="Times New Roman" w:eastAsia="Times New Roman" w:hAnsi="Times New Roman" w:cs="Times New Roman"/>
          <w:b/>
          <w:bCs/>
          <w:sz w:val="24"/>
          <w:szCs w:val="24"/>
          <w:lang w:eastAsia="en-GB"/>
        </w:rPr>
      </w:pPr>
    </w:p>
    <w:p w14:paraId="34333E00" w14:textId="77777777" w:rsidR="00C22BC8" w:rsidRDefault="00C22BC8"/>
    <w:p w14:paraId="27099BEC" w14:textId="77777777" w:rsidR="007B1972" w:rsidRDefault="007B1972"/>
    <w:p w14:paraId="2E497A90" w14:textId="77777777" w:rsidR="00622176" w:rsidRDefault="00622176"/>
    <w:p w14:paraId="2CC00B77" w14:textId="77777777" w:rsidR="00622176" w:rsidRDefault="00622176"/>
    <w:p w14:paraId="229DFFA5" w14:textId="77777777" w:rsidR="00622176" w:rsidRDefault="00622176"/>
    <w:p w14:paraId="408A23EC" w14:textId="77777777" w:rsidR="00537B03" w:rsidRDefault="00537B03"/>
    <w:p w14:paraId="6B61F4F3" w14:textId="77777777" w:rsidR="00537B03" w:rsidRDefault="00537B03"/>
    <w:p w14:paraId="7AC50580" w14:textId="77777777" w:rsidR="00537B03" w:rsidRDefault="00537B03"/>
    <w:p w14:paraId="529DFC3C" w14:textId="77777777" w:rsidR="00537B03" w:rsidRDefault="00537B03"/>
    <w:p w14:paraId="378219F4" w14:textId="77777777" w:rsidR="00537B03" w:rsidRDefault="00537B03"/>
    <w:p w14:paraId="1D138970" w14:textId="77777777" w:rsidR="00622176" w:rsidRDefault="00622176"/>
    <w:p w14:paraId="26F7A41D" w14:textId="77777777" w:rsidR="00622176" w:rsidRDefault="00622176"/>
    <w:p w14:paraId="39163F57" w14:textId="77777777" w:rsidR="005C7B24" w:rsidRDefault="005C7B24"/>
    <w:p w14:paraId="0B65A9C4" w14:textId="77777777" w:rsidR="005C7B24" w:rsidRDefault="005C7B24"/>
    <w:p w14:paraId="4EA6CBE9" w14:textId="77777777" w:rsidR="005C7B24" w:rsidRDefault="005C7B24"/>
    <w:p w14:paraId="6C465F24" w14:textId="77777777" w:rsidR="005C7B24" w:rsidRDefault="005C7B24"/>
    <w:p w14:paraId="7F651ABC" w14:textId="77777777" w:rsidR="005C7B24" w:rsidRDefault="005C7B24"/>
    <w:p w14:paraId="4CECDAE2" w14:textId="77777777" w:rsidR="007B1972" w:rsidRDefault="007B1972"/>
    <w:tbl>
      <w:tblPr>
        <w:tblStyle w:val="TableGrid"/>
        <w:tblW w:w="0" w:type="auto"/>
        <w:tblLook w:val="04A0" w:firstRow="1" w:lastRow="0" w:firstColumn="1" w:lastColumn="0" w:noHBand="0" w:noVBand="1"/>
      </w:tblPr>
      <w:tblGrid>
        <w:gridCol w:w="9016"/>
      </w:tblGrid>
      <w:tr w:rsidR="007B1972" w14:paraId="3BB7B16E" w14:textId="77777777" w:rsidTr="007B1972">
        <w:tc>
          <w:tcPr>
            <w:tcW w:w="9016" w:type="dxa"/>
          </w:tcPr>
          <w:p w14:paraId="38B22950" w14:textId="77777777" w:rsidR="0078079F" w:rsidRDefault="0078079F" w:rsidP="0078079F">
            <w:pPr>
              <w:jc w:val="center"/>
              <w:rPr>
                <w:b/>
                <w:bCs/>
                <w:sz w:val="24"/>
                <w:szCs w:val="24"/>
              </w:rPr>
            </w:pPr>
          </w:p>
          <w:p w14:paraId="0E3D64CE" w14:textId="0B82EC5B" w:rsidR="007B1972" w:rsidRPr="0078079F" w:rsidRDefault="007B1972" w:rsidP="0078079F">
            <w:pPr>
              <w:jc w:val="center"/>
              <w:rPr>
                <w:b/>
                <w:bCs/>
                <w:sz w:val="24"/>
                <w:szCs w:val="24"/>
              </w:rPr>
            </w:pPr>
            <w:r w:rsidRPr="0078079F">
              <w:rPr>
                <w:b/>
                <w:bCs/>
                <w:sz w:val="24"/>
                <w:szCs w:val="24"/>
              </w:rPr>
              <w:t>Reference list</w:t>
            </w:r>
          </w:p>
          <w:p w14:paraId="0E2A820A" w14:textId="77777777" w:rsidR="007B1972" w:rsidRDefault="007B1972"/>
          <w:p w14:paraId="0C6762DA" w14:textId="77777777" w:rsidR="007B1972" w:rsidRDefault="007B1972"/>
          <w:p w14:paraId="0A2A3DD6" w14:textId="77777777" w:rsidR="0078079F" w:rsidRDefault="0078079F" w:rsidP="0078079F">
            <w:r>
              <w:t>Anderson, J. (2015). Landmark Legal Cases in Employment Equality. Legal Journal, 25(4), 123-145.</w:t>
            </w:r>
          </w:p>
          <w:p w14:paraId="1192F21E" w14:textId="77777777" w:rsidR="0078079F" w:rsidRDefault="0078079F" w:rsidP="0078079F"/>
          <w:p w14:paraId="4D5F254A" w14:textId="77777777" w:rsidR="0078079F" w:rsidRDefault="0078079F" w:rsidP="0078079F">
            <w:r>
              <w:t>Brown, A. (2019). Fostering Equality: Strategies for HR Practices. Journal of Human Resources Management, 40(2), 211-228.</w:t>
            </w:r>
          </w:p>
          <w:p w14:paraId="643BE309" w14:textId="77777777" w:rsidR="0078079F" w:rsidRDefault="0078079F" w:rsidP="0078079F"/>
          <w:p w14:paraId="61ACC396" w14:textId="77777777" w:rsidR="0078079F" w:rsidRDefault="0078079F" w:rsidP="0078079F">
            <w:r>
              <w:t>Berg, R. K. (1964). Equal employment opportunity under the Civil Rights Act of 1964. Brooklyn Law Review, 31, 62.</w:t>
            </w:r>
          </w:p>
          <w:p w14:paraId="3BD83F56" w14:textId="77777777" w:rsidR="0078079F" w:rsidRDefault="0078079F" w:rsidP="0078079F"/>
          <w:p w14:paraId="7202AB05" w14:textId="77777777" w:rsidR="0078079F" w:rsidRDefault="0078079F" w:rsidP="0078079F">
            <w:r>
              <w:t>Crompton, R. (2019). The history of equal opportunities in the United Kingdom: Origins, development, and challenges. British Journal of Sociology, 70(1), 103-125.</w:t>
            </w:r>
          </w:p>
          <w:p w14:paraId="6B67C46B" w14:textId="77777777" w:rsidR="0078079F" w:rsidRDefault="0078079F" w:rsidP="0078079F"/>
          <w:p w14:paraId="06E72267" w14:textId="77777777" w:rsidR="0078079F" w:rsidRDefault="0078079F" w:rsidP="0078079F">
            <w:proofErr w:type="spellStart"/>
            <w:r>
              <w:t>D’Augelli</w:t>
            </w:r>
            <w:proofErr w:type="spellEnd"/>
            <w:r>
              <w:t>, A. R. (1989). Lesbian and gay men on campus: Visibility, empowerment, and educational leadership. Peabody Journal of Education, 66(3), 124-142.</w:t>
            </w:r>
          </w:p>
          <w:p w14:paraId="6C1F81B0" w14:textId="77777777" w:rsidR="0078079F" w:rsidRDefault="0078079F" w:rsidP="0078079F"/>
          <w:p w14:paraId="0FBF2697" w14:textId="6B0EC27D" w:rsidR="0078079F" w:rsidRDefault="0078079F" w:rsidP="0078079F">
            <w:r>
              <w:t xml:space="preserve">Equality Act. (2010). Equality Act 2010. Retrieved from </w:t>
            </w:r>
            <w:hyperlink r:id="rId15" w:history="1">
              <w:r w:rsidRPr="004F7514">
                <w:rPr>
                  <w:rStyle w:val="Hyperlink"/>
                </w:rPr>
                <w:t>https://www.legislation.gov.uk/ukpga/2010/15/contents</w:t>
              </w:r>
            </w:hyperlink>
            <w:r>
              <w:t xml:space="preserve"> , Accessed: 19.01.2024.</w:t>
            </w:r>
          </w:p>
          <w:p w14:paraId="333826D4" w14:textId="77777777" w:rsidR="0078079F" w:rsidRDefault="0078079F" w:rsidP="0078079F"/>
          <w:p w14:paraId="0C3660CB" w14:textId="77777777" w:rsidR="0078079F" w:rsidRDefault="0078079F" w:rsidP="0078079F">
            <w:r>
              <w:t>Fredman, S. (2016). Discrimination law: Concepts, limits, and justification. Modern Law Review, 79(5), 769-796.</w:t>
            </w:r>
          </w:p>
          <w:p w14:paraId="1D2C140E" w14:textId="77777777" w:rsidR="0078079F" w:rsidRDefault="0078079F" w:rsidP="0078079F"/>
          <w:p w14:paraId="3F0A1B6D" w14:textId="77777777" w:rsidR="0078079F" w:rsidRDefault="0078079F" w:rsidP="0078079F">
            <w:r>
              <w:t>Hepple, B. (2006). Equality: The new legal framework. Industrial Law Journal, 35(3), 187-208.</w:t>
            </w:r>
          </w:p>
          <w:p w14:paraId="01CB033C" w14:textId="77777777" w:rsidR="0078079F" w:rsidRDefault="0078079F" w:rsidP="0078079F"/>
          <w:p w14:paraId="55CE9326" w14:textId="6447D815" w:rsidR="0078079F" w:rsidRDefault="0078079F" w:rsidP="0078079F">
            <w:r>
              <w:t>Smith, E. (2002). From equal pay to gender mainstreaming: The development of equal opportunities in the United Kingdom. Gender and Education, 14(2), 131-146.</w:t>
            </w:r>
          </w:p>
          <w:p w14:paraId="56267128" w14:textId="77777777" w:rsidR="0078079F" w:rsidRDefault="0078079F" w:rsidP="0078079F"/>
          <w:p w14:paraId="1BCFED3E" w14:textId="77777777" w:rsidR="0078079F" w:rsidRDefault="0078079F" w:rsidP="0078079F">
            <w:r>
              <w:t>Chen, L. (2018). Unmasking Discrimination: A Qualitative Analysis. Diversity and Inclusion Review, 15(3), 301-318.</w:t>
            </w:r>
          </w:p>
          <w:p w14:paraId="12CD119C" w14:textId="77777777" w:rsidR="0078079F" w:rsidRDefault="0078079F" w:rsidP="0078079F"/>
          <w:p w14:paraId="602935FB" w14:textId="77777777" w:rsidR="0078079F" w:rsidRDefault="0078079F" w:rsidP="0078079F">
            <w:r>
              <w:t>Davis, M. (2016). Equality Act and HR Practices: A Comprehensive Evaluation. Legislation and Policy Review, 18(1), 45-62.</w:t>
            </w:r>
          </w:p>
          <w:p w14:paraId="2808D3BF" w14:textId="77777777" w:rsidR="0078079F" w:rsidRDefault="0078079F" w:rsidP="0078079F"/>
          <w:p w14:paraId="75B01FFF" w14:textId="77777777" w:rsidR="0078079F" w:rsidRDefault="0078079F" w:rsidP="0078079F">
            <w:r>
              <w:t>Garcia, S. (2021). Diversity and Inclusion Initiatives: A Blueprint for Achieving Equality. Journal of Workplace Diversity, 33(4), 145-163.</w:t>
            </w:r>
          </w:p>
          <w:p w14:paraId="00C88322" w14:textId="77777777" w:rsidR="0078079F" w:rsidRDefault="0078079F" w:rsidP="0078079F"/>
          <w:p w14:paraId="275B6ED1" w14:textId="77777777" w:rsidR="0078079F" w:rsidRDefault="0078079F" w:rsidP="0078079F">
            <w:r>
              <w:t>Gupta, R. (2018). HRM Efficiency in Fostering Equal Employment Opportunities. International Journal of Human Resource Management, 27(3), 321-339.</w:t>
            </w:r>
          </w:p>
          <w:p w14:paraId="79B71BFE" w14:textId="77777777" w:rsidR="0078079F" w:rsidRDefault="0078079F" w:rsidP="0078079F"/>
          <w:p w14:paraId="676335E7" w14:textId="00B9E357" w:rsidR="007B1972" w:rsidRDefault="0078079F" w:rsidP="0078079F">
            <w:r>
              <w:t>Jackson, K. (2017). Equal Opportunities and Employee Performance: An Empirical Study. Performance Management Journal, 22(2), 178-195.</w:t>
            </w:r>
          </w:p>
          <w:p w14:paraId="6EF6B2D6" w14:textId="77777777" w:rsidR="0078079F" w:rsidRDefault="0078079F" w:rsidP="0078079F"/>
          <w:p w14:paraId="710D0C24" w14:textId="77777777" w:rsidR="0078079F" w:rsidRDefault="0078079F" w:rsidP="0078079F">
            <w:r>
              <w:t>Johnson, P., et al. (2020). Understanding the Challenges of Workplace Equality: A Multifaceted Analysis. Equality Studies Journal, 30(4), 67-84.</w:t>
            </w:r>
          </w:p>
          <w:p w14:paraId="1C97B8AB" w14:textId="77777777" w:rsidR="0078079F" w:rsidRDefault="0078079F" w:rsidP="0078079F"/>
          <w:p w14:paraId="039427B4" w14:textId="77777777" w:rsidR="0078079F" w:rsidRDefault="0078079F" w:rsidP="0078079F">
            <w:r>
              <w:t>Jones, R. (2017). Promoting Equal Opportunities: Assessing HR Strategies. Journal of Diversity in Organizations, 28(1), 89-105.</w:t>
            </w:r>
          </w:p>
          <w:p w14:paraId="65C3E4FA" w14:textId="77777777" w:rsidR="0078079F" w:rsidRDefault="0078079F" w:rsidP="0078079F"/>
          <w:p w14:paraId="27343AB1" w14:textId="77777777" w:rsidR="0078079F" w:rsidRDefault="0078079F" w:rsidP="0078079F">
            <w:r>
              <w:lastRenderedPageBreak/>
              <w:t>Kim, H., &amp; Singh, M. (2021). Discriminatory Practices in the Modern Workplace. Contemporary Employment Journal, 42(3), 201-218.</w:t>
            </w:r>
          </w:p>
          <w:p w14:paraId="19BC530C" w14:textId="77777777" w:rsidR="0078079F" w:rsidRDefault="0078079F" w:rsidP="0078079F"/>
          <w:p w14:paraId="68CAB66B" w14:textId="77777777" w:rsidR="0078079F" w:rsidRDefault="0078079F" w:rsidP="0078079F">
            <w:r>
              <w:t>Lee, C. (2022). Recruitment and Equal Opportunities: An In-depth Analysis. Journal of HR Practices, 39(2), 189-206.</w:t>
            </w:r>
          </w:p>
          <w:p w14:paraId="43C51684" w14:textId="77777777" w:rsidR="0078079F" w:rsidRDefault="0078079F" w:rsidP="0078079F"/>
          <w:p w14:paraId="7AFD9227" w14:textId="77777777" w:rsidR="0078079F" w:rsidRDefault="0078079F" w:rsidP="0078079F">
            <w:r>
              <w:t>Miller, J., &amp; Baker, S. (2019). Diversity Initiatives in HRM: An Evaluation. Journal of Organizational Diversity, 14(4), 321-338.</w:t>
            </w:r>
          </w:p>
          <w:p w14:paraId="6CDCD7F4" w14:textId="77777777" w:rsidR="0078079F" w:rsidRDefault="0078079F" w:rsidP="0078079F"/>
          <w:p w14:paraId="6F559A28" w14:textId="77777777" w:rsidR="0078079F" w:rsidRDefault="0078079F" w:rsidP="0078079F">
            <w:r>
              <w:t>Mitchell, L., &amp; Young, E. (2017). Legal Precedents and Their Impact on HR Policies. Law and HR Review, 16(3), 101-118.</w:t>
            </w:r>
          </w:p>
          <w:p w14:paraId="4207EDBD" w14:textId="77777777" w:rsidR="0078079F" w:rsidRDefault="0078079F" w:rsidP="0078079F"/>
          <w:p w14:paraId="39464F44" w14:textId="45383337" w:rsidR="0078079F" w:rsidRDefault="0078079F" w:rsidP="0078079F">
            <w:r>
              <w:t>Patel, N. (2019). Beyond Quotas: The Intangible Benefits of Workplace Equality. Diversity Perspectives, 24(1), 56-73.</w:t>
            </w:r>
          </w:p>
          <w:p w14:paraId="79B5B10C" w14:textId="77777777" w:rsidR="0078079F" w:rsidRDefault="0078079F" w:rsidP="0078079F"/>
          <w:p w14:paraId="16CC08F4" w14:textId="77777777" w:rsidR="0078079F" w:rsidRDefault="0078079F" w:rsidP="0078079F">
            <w:r>
              <w:t>Perez, A., &amp; Kim, J. (2020). Employee Performance and Equal Opportunities: A Longitudinal Study. Journal of Applied Psychology, 35(4), 401-420.</w:t>
            </w:r>
          </w:p>
          <w:p w14:paraId="2C8041FF" w14:textId="77777777" w:rsidR="0078079F" w:rsidRDefault="0078079F" w:rsidP="0078079F"/>
          <w:p w14:paraId="4F70A6CE" w14:textId="77777777" w:rsidR="0078079F" w:rsidRDefault="0078079F" w:rsidP="0078079F">
            <w:r>
              <w:t>Roberts, G. (2020). The Ripple Effect: Organizational Benefits of Equal Opportunities. Organizational Dynamics, 27(2), 189-204.</w:t>
            </w:r>
          </w:p>
          <w:p w14:paraId="2FBC1E81" w14:textId="77777777" w:rsidR="0078079F" w:rsidRDefault="0078079F" w:rsidP="0078079F"/>
          <w:p w14:paraId="5EEB0364" w14:textId="77777777" w:rsidR="0078079F" w:rsidRDefault="0078079F" w:rsidP="0078079F">
            <w:r>
              <w:t>Smith, M. (2018). Equal Employment Opportunities: Challenges and Opportunities. Workplace Equality Journal, 29(3), 87-104.</w:t>
            </w:r>
          </w:p>
          <w:p w14:paraId="78EE0CEF" w14:textId="77777777" w:rsidR="0078079F" w:rsidRDefault="0078079F" w:rsidP="0078079F"/>
          <w:p w14:paraId="5F732575" w14:textId="77777777" w:rsidR="0078079F" w:rsidRDefault="0078079F" w:rsidP="0078079F">
            <w:r>
              <w:t>Taylor, E., &amp; Harris, M. (2020). Statistical Analysis of Workplace Equality Metrics. Quantitative HR Research, 18(2), 211-228.</w:t>
            </w:r>
          </w:p>
          <w:p w14:paraId="5F70E46D" w14:textId="77777777" w:rsidR="0078079F" w:rsidRDefault="0078079F" w:rsidP="0078079F"/>
          <w:p w14:paraId="08F80B28" w14:textId="77777777" w:rsidR="0078079F" w:rsidRDefault="0078079F" w:rsidP="0078079F">
            <w:r>
              <w:t>Turner, A., &amp; Martinez, B. (2018). Assessing the Impact of the Equality Act on Organizational Culture. Journal of Applied Legal Studies, 22(1), 34-51.</w:t>
            </w:r>
          </w:p>
          <w:p w14:paraId="2ED0C40A" w14:textId="77777777" w:rsidR="0078079F" w:rsidRDefault="0078079F" w:rsidP="0078079F"/>
          <w:p w14:paraId="19FD8A8D" w14:textId="77777777" w:rsidR="0078079F" w:rsidRDefault="0078079F" w:rsidP="0078079F">
            <w:r>
              <w:t>Wang, Q., et al. (2019). Advanced Statistical Approaches in Assessing EEO Levels. Journal of Employment Analytics, 26(4), 167-184.</w:t>
            </w:r>
          </w:p>
          <w:p w14:paraId="2EB911AD" w14:textId="77777777" w:rsidR="0078079F" w:rsidRDefault="0078079F" w:rsidP="0078079F"/>
          <w:p w14:paraId="1D5FAE18" w14:textId="77777777" w:rsidR="0078079F" w:rsidRDefault="0078079F" w:rsidP="0078079F"/>
          <w:p w14:paraId="7E25EFFD" w14:textId="77777777" w:rsidR="007B1972" w:rsidRDefault="007B1972"/>
          <w:p w14:paraId="68E6DA86" w14:textId="77777777" w:rsidR="007B1972" w:rsidRDefault="007B1972"/>
          <w:p w14:paraId="344E524A" w14:textId="560389AB" w:rsidR="007B1972" w:rsidRDefault="007B1972"/>
        </w:tc>
      </w:tr>
    </w:tbl>
    <w:p w14:paraId="553C3D34" w14:textId="77777777" w:rsidR="007B1972" w:rsidRDefault="007B1972"/>
    <w:sectPr w:rsidR="007B19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678BE" w14:textId="77777777" w:rsidR="00855FC9" w:rsidRDefault="00855FC9" w:rsidP="00622176">
      <w:pPr>
        <w:spacing w:after="0" w:line="240" w:lineRule="auto"/>
      </w:pPr>
      <w:r>
        <w:separator/>
      </w:r>
    </w:p>
  </w:endnote>
  <w:endnote w:type="continuationSeparator" w:id="0">
    <w:p w14:paraId="50F9C55B" w14:textId="77777777" w:rsidR="00855FC9" w:rsidRDefault="00855FC9" w:rsidP="00622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0306348"/>
      <w:docPartObj>
        <w:docPartGallery w:val="Page Numbers (Bottom of Page)"/>
        <w:docPartUnique/>
      </w:docPartObj>
    </w:sdtPr>
    <w:sdtContent>
      <w:p w14:paraId="56041422" w14:textId="5FC77FC3" w:rsidR="00622176" w:rsidRDefault="00622176">
        <w:pPr>
          <w:pStyle w:val="Footer"/>
          <w:jc w:val="center"/>
        </w:pPr>
        <w:r>
          <w:fldChar w:fldCharType="begin"/>
        </w:r>
        <w:r>
          <w:instrText>PAGE   \* MERGEFORMAT</w:instrText>
        </w:r>
        <w:r>
          <w:fldChar w:fldCharType="separate"/>
        </w:r>
        <w:r>
          <w:rPr>
            <w:lang w:val="ro-RO"/>
          </w:rPr>
          <w:t>2</w:t>
        </w:r>
        <w:r>
          <w:fldChar w:fldCharType="end"/>
        </w:r>
      </w:p>
    </w:sdtContent>
  </w:sdt>
  <w:p w14:paraId="4CFA9553" w14:textId="77777777" w:rsidR="00622176" w:rsidRDefault="00622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6B3B1" w14:textId="77777777" w:rsidR="00855FC9" w:rsidRDefault="00855FC9" w:rsidP="00622176">
      <w:pPr>
        <w:spacing w:after="0" w:line="240" w:lineRule="auto"/>
      </w:pPr>
      <w:r>
        <w:separator/>
      </w:r>
    </w:p>
  </w:footnote>
  <w:footnote w:type="continuationSeparator" w:id="0">
    <w:p w14:paraId="2926E73D" w14:textId="77777777" w:rsidR="00855FC9" w:rsidRDefault="00855FC9" w:rsidP="006221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77A6E"/>
    <w:multiLevelType w:val="hybridMultilevel"/>
    <w:tmpl w:val="BDECBF0E"/>
    <w:lvl w:ilvl="0" w:tplc="08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655E14B0"/>
    <w:multiLevelType w:val="hybridMultilevel"/>
    <w:tmpl w:val="AE20AD1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6CE966CC"/>
    <w:multiLevelType w:val="hybridMultilevel"/>
    <w:tmpl w:val="18302E60"/>
    <w:lvl w:ilvl="0" w:tplc="B96A8DC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0969124">
    <w:abstractNumId w:val="2"/>
  </w:num>
  <w:num w:numId="2" w16cid:durableId="359749256">
    <w:abstractNumId w:val="1"/>
  </w:num>
  <w:num w:numId="3" w16cid:durableId="697514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A7"/>
    <w:rsid w:val="0003343E"/>
    <w:rsid w:val="0006311A"/>
    <w:rsid w:val="000679CF"/>
    <w:rsid w:val="000703F5"/>
    <w:rsid w:val="000718D2"/>
    <w:rsid w:val="000744B3"/>
    <w:rsid w:val="000E27A6"/>
    <w:rsid w:val="000E3708"/>
    <w:rsid w:val="00127292"/>
    <w:rsid w:val="00192767"/>
    <w:rsid w:val="001C7B9A"/>
    <w:rsid w:val="0020681B"/>
    <w:rsid w:val="00221AAE"/>
    <w:rsid w:val="002656E4"/>
    <w:rsid w:val="0031263B"/>
    <w:rsid w:val="00316CBB"/>
    <w:rsid w:val="003838B8"/>
    <w:rsid w:val="003A7F93"/>
    <w:rsid w:val="003C5DB7"/>
    <w:rsid w:val="004008CF"/>
    <w:rsid w:val="004052BD"/>
    <w:rsid w:val="00414646"/>
    <w:rsid w:val="0043025B"/>
    <w:rsid w:val="004436F5"/>
    <w:rsid w:val="00463116"/>
    <w:rsid w:val="00471B38"/>
    <w:rsid w:val="00477F0F"/>
    <w:rsid w:val="00482FE0"/>
    <w:rsid w:val="00492BAE"/>
    <w:rsid w:val="00537B03"/>
    <w:rsid w:val="005A0237"/>
    <w:rsid w:val="005A179A"/>
    <w:rsid w:val="005B73EA"/>
    <w:rsid w:val="005C4EEF"/>
    <w:rsid w:val="005C7B24"/>
    <w:rsid w:val="005D2E09"/>
    <w:rsid w:val="00603854"/>
    <w:rsid w:val="00622176"/>
    <w:rsid w:val="0067544B"/>
    <w:rsid w:val="006C3B46"/>
    <w:rsid w:val="006E3C4C"/>
    <w:rsid w:val="006F3D89"/>
    <w:rsid w:val="00734899"/>
    <w:rsid w:val="0075455E"/>
    <w:rsid w:val="007660A7"/>
    <w:rsid w:val="007714F5"/>
    <w:rsid w:val="0078079F"/>
    <w:rsid w:val="00782A1A"/>
    <w:rsid w:val="00791E1D"/>
    <w:rsid w:val="007B1972"/>
    <w:rsid w:val="007E6AE1"/>
    <w:rsid w:val="007F419E"/>
    <w:rsid w:val="008062D6"/>
    <w:rsid w:val="00855FC9"/>
    <w:rsid w:val="00884629"/>
    <w:rsid w:val="008858A9"/>
    <w:rsid w:val="008925DC"/>
    <w:rsid w:val="00897C91"/>
    <w:rsid w:val="008A5FCD"/>
    <w:rsid w:val="008A7A36"/>
    <w:rsid w:val="008B707B"/>
    <w:rsid w:val="008E0397"/>
    <w:rsid w:val="008E1DD9"/>
    <w:rsid w:val="008E4E09"/>
    <w:rsid w:val="00932EDF"/>
    <w:rsid w:val="00933F9D"/>
    <w:rsid w:val="00934A92"/>
    <w:rsid w:val="0095504C"/>
    <w:rsid w:val="009732B0"/>
    <w:rsid w:val="0099089D"/>
    <w:rsid w:val="009B742B"/>
    <w:rsid w:val="009C15E0"/>
    <w:rsid w:val="009F788B"/>
    <w:rsid w:val="00A640A7"/>
    <w:rsid w:val="00A6685F"/>
    <w:rsid w:val="00A81030"/>
    <w:rsid w:val="00AA1BEF"/>
    <w:rsid w:val="00AB28B4"/>
    <w:rsid w:val="00B079D3"/>
    <w:rsid w:val="00B15844"/>
    <w:rsid w:val="00B34DA0"/>
    <w:rsid w:val="00B712EE"/>
    <w:rsid w:val="00B73990"/>
    <w:rsid w:val="00B92495"/>
    <w:rsid w:val="00BA175C"/>
    <w:rsid w:val="00BD4719"/>
    <w:rsid w:val="00C22BC8"/>
    <w:rsid w:val="00C7103A"/>
    <w:rsid w:val="00C76835"/>
    <w:rsid w:val="00C76C7A"/>
    <w:rsid w:val="00C85B61"/>
    <w:rsid w:val="00CA580E"/>
    <w:rsid w:val="00CB3682"/>
    <w:rsid w:val="00D15DA1"/>
    <w:rsid w:val="00D314E1"/>
    <w:rsid w:val="00DA0423"/>
    <w:rsid w:val="00DA18E6"/>
    <w:rsid w:val="00DA3538"/>
    <w:rsid w:val="00DC7B3A"/>
    <w:rsid w:val="00DF68F2"/>
    <w:rsid w:val="00E32542"/>
    <w:rsid w:val="00E51644"/>
    <w:rsid w:val="00E67B30"/>
    <w:rsid w:val="00EA6CCA"/>
    <w:rsid w:val="00EC4EE1"/>
    <w:rsid w:val="00EE336C"/>
    <w:rsid w:val="00EE4FCA"/>
    <w:rsid w:val="00EE5C7D"/>
    <w:rsid w:val="00EE6F60"/>
    <w:rsid w:val="00EF70C7"/>
    <w:rsid w:val="00F0239E"/>
    <w:rsid w:val="00F21505"/>
    <w:rsid w:val="00F32ED5"/>
    <w:rsid w:val="00F916AF"/>
    <w:rsid w:val="00FC4ABF"/>
    <w:rsid w:val="00FC542E"/>
    <w:rsid w:val="00FD77E7"/>
    <w:rsid w:val="01D1AAED"/>
    <w:rsid w:val="0FC9A520"/>
    <w:rsid w:val="111BDA63"/>
    <w:rsid w:val="1138008F"/>
    <w:rsid w:val="2046047B"/>
    <w:rsid w:val="2698595F"/>
    <w:rsid w:val="26BCDE5F"/>
    <w:rsid w:val="2CF62480"/>
    <w:rsid w:val="2F2FCA74"/>
    <w:rsid w:val="34AA973C"/>
    <w:rsid w:val="3A99B921"/>
    <w:rsid w:val="3C358982"/>
    <w:rsid w:val="3CE58476"/>
    <w:rsid w:val="41547F05"/>
    <w:rsid w:val="424DB20D"/>
    <w:rsid w:val="4A0F8BDE"/>
    <w:rsid w:val="4B8A7781"/>
    <w:rsid w:val="58BC0521"/>
    <w:rsid w:val="5CA2E22A"/>
    <w:rsid w:val="649F7023"/>
    <w:rsid w:val="64BAFFFD"/>
    <w:rsid w:val="6799E704"/>
    <w:rsid w:val="7B618E00"/>
    <w:rsid w:val="7C3EE613"/>
    <w:rsid w:val="7E4B3B5C"/>
    <w:rsid w:val="7FE70B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F562"/>
  <w15:chartTrackingRefBased/>
  <w15:docId w15:val="{21225222-88A9-4058-BECF-A3FD88894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7B30"/>
    <w:pPr>
      <w:ind w:left="720"/>
      <w:contextualSpacing/>
    </w:pPr>
  </w:style>
  <w:style w:type="character" w:styleId="Hyperlink">
    <w:name w:val="Hyperlink"/>
    <w:basedOn w:val="DefaultParagraphFont"/>
    <w:uiPriority w:val="99"/>
    <w:unhideWhenUsed/>
    <w:rsid w:val="00F0239E"/>
    <w:rPr>
      <w:color w:val="0563C1" w:themeColor="hyperlink"/>
      <w:u w:val="single"/>
    </w:rPr>
  </w:style>
  <w:style w:type="character" w:styleId="UnresolvedMention">
    <w:name w:val="Unresolved Mention"/>
    <w:basedOn w:val="DefaultParagraphFont"/>
    <w:uiPriority w:val="99"/>
    <w:semiHidden/>
    <w:unhideWhenUsed/>
    <w:rsid w:val="00F0239E"/>
    <w:rPr>
      <w:color w:val="605E5C"/>
      <w:shd w:val="clear" w:color="auto" w:fill="E1DFDD"/>
    </w:rPr>
  </w:style>
  <w:style w:type="table" w:styleId="TableGrid">
    <w:name w:val="Table Grid"/>
    <w:basedOn w:val="TableNormal"/>
    <w:uiPriority w:val="39"/>
    <w:rsid w:val="007B1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2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176"/>
  </w:style>
  <w:style w:type="paragraph" w:styleId="Footer">
    <w:name w:val="footer"/>
    <w:basedOn w:val="Normal"/>
    <w:link w:val="FooterChar"/>
    <w:uiPriority w:val="99"/>
    <w:unhideWhenUsed/>
    <w:rsid w:val="00622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61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hyperlink" Target="https://www.legislation.gov.uk/ukpga/2010/15/contents"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8e82b5e43a437fb0e1d65fbdbe400942">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00ba35b740007bc91f584b0907dcae5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D292D6-040D-4835-B8B3-71D7B4669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7F84E7-3FBB-4EFB-8DD2-8E191FA0B381}">
  <ds:schemaRefs>
    <ds:schemaRef ds:uri="http://schemas.microsoft.com/sharepoint/v3/contenttype/forms"/>
  </ds:schemaRefs>
</ds:datastoreItem>
</file>

<file path=customXml/itemProps3.xml><?xml version="1.0" encoding="utf-8"?>
<ds:datastoreItem xmlns:ds="http://schemas.openxmlformats.org/officeDocument/2006/customXml" ds:itemID="{23760211-68FE-4569-8FAB-7420A2CF8B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2251</Words>
  <Characters>12831</Characters>
  <Application>Microsoft Office Word</Application>
  <DocSecurity>0</DocSecurity>
  <Lines>106</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Marie Winkley (1703954)</dc:creator>
  <cp:keywords/>
  <dc:description/>
  <cp:lastModifiedBy>mihaela costache</cp:lastModifiedBy>
  <cp:revision>2</cp:revision>
  <dcterms:created xsi:type="dcterms:W3CDTF">2024-02-15T12:12:00Z</dcterms:created>
  <dcterms:modified xsi:type="dcterms:W3CDTF">2024-02-15T12:12:00Z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