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FEDF7BF" w:rsidP="00E62FC6" w:rsidRDefault="2FEDF7BF" w14:paraId="19DFBF03" w14:textId="482C9D39">
      <w:pPr>
        <w:pStyle w:val="Normal"/>
        <w:bidi w:val="0"/>
        <w:spacing w:before="0" w:beforeAutospacing="off" w:after="160" w:afterAutospacing="off" w:line="259" w:lineRule="auto"/>
        <w:ind w:left="0" w:right="0"/>
        <w:jc w:val="right"/>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MSc Logistics</w:t>
      </w:r>
    </w:p>
    <w:p w:rsidR="2FEDF7BF" w:rsidP="00E62FC6" w:rsidRDefault="2FEDF7BF" w14:paraId="414EAB74" w14:textId="3EBA3D03">
      <w:pPr>
        <w:pStyle w:val="Normal"/>
        <w:bidi w:val="0"/>
        <w:spacing w:before="0" w:beforeAutospacing="off" w:after="160" w:afterAutospacing="off" w:line="259" w:lineRule="auto"/>
        <w:ind w:left="0" w:right="0"/>
        <w:jc w:val="right"/>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M7X01265 Logistic </w:t>
      </w:r>
      <w:r w:rsidRPr="00E62FC6" w:rsidR="00E62FC6">
        <w:rPr>
          <w:rFonts w:ascii="Arial" w:hAnsi="Arial" w:eastAsia="Arial" w:cs="Arial"/>
          <w:noProof w:val="0"/>
          <w:sz w:val="22"/>
          <w:szCs w:val="22"/>
          <w:lang w:val="en-GB"/>
        </w:rPr>
        <w:t>Operations</w:t>
      </w:r>
      <w:r w:rsidRPr="00E62FC6" w:rsidR="00E62FC6">
        <w:rPr>
          <w:rFonts w:ascii="Arial" w:hAnsi="Arial" w:eastAsia="Arial" w:cs="Arial"/>
          <w:noProof w:val="0"/>
          <w:sz w:val="22"/>
          <w:szCs w:val="22"/>
          <w:lang w:val="en-GB"/>
        </w:rPr>
        <w:t xml:space="preserve"> and Strategies </w:t>
      </w:r>
    </w:p>
    <w:p w:rsidR="2FEDF7BF" w:rsidP="00E62FC6" w:rsidRDefault="2FEDF7BF" w14:paraId="00A69B90" w14:textId="7810825F">
      <w:pPr>
        <w:pStyle w:val="Normal"/>
        <w:bidi w:val="0"/>
        <w:spacing w:before="0" w:beforeAutospacing="off" w:after="160" w:afterAutospacing="off" w:line="259" w:lineRule="auto"/>
        <w:ind w:left="0" w:right="0"/>
        <w:jc w:val="right"/>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15 July 19</w:t>
      </w:r>
    </w:p>
    <w:p w:rsidR="2FEDF7BF" w:rsidP="00E62FC6" w:rsidRDefault="2FEDF7BF" w14:paraId="72C60C48" w14:textId="1C7D678C">
      <w:pPr>
        <w:pStyle w:val="Normal"/>
        <w:bidi w:val="0"/>
        <w:spacing w:before="0" w:beforeAutospacing="off" w:after="160" w:afterAutospacing="off" w:line="259" w:lineRule="auto"/>
        <w:ind w:left="0" w:right="0"/>
        <w:jc w:val="center"/>
        <w:rPr>
          <w:rFonts w:ascii="Arial" w:hAnsi="Arial" w:eastAsia="Arial" w:cs="Arial"/>
          <w:noProof w:val="0"/>
          <w:sz w:val="22"/>
          <w:szCs w:val="22"/>
          <w:lang w:val="en-GB"/>
        </w:rPr>
      </w:pPr>
    </w:p>
    <w:p w:rsidR="2FEDF7BF" w:rsidP="00E62FC6" w:rsidRDefault="2FEDF7BF" w14:paraId="0840D27E" w14:textId="50FFA7CE">
      <w:pPr>
        <w:pStyle w:val="Normal"/>
        <w:bidi w:val="0"/>
        <w:spacing w:before="0" w:beforeAutospacing="off" w:after="160" w:afterAutospacing="off" w:line="259" w:lineRule="auto"/>
        <w:ind w:left="0" w:right="0"/>
        <w:jc w:val="center"/>
        <w:rPr>
          <w:rFonts w:ascii="Arial" w:hAnsi="Arial" w:eastAsia="Arial" w:cs="Arial"/>
          <w:noProof w:val="0"/>
          <w:sz w:val="40"/>
          <w:szCs w:val="40"/>
          <w:lang w:val="en-GB"/>
        </w:rPr>
      </w:pPr>
      <w:r w:rsidRPr="00E62FC6" w:rsidR="00E62FC6">
        <w:rPr>
          <w:rFonts w:ascii="Arial" w:hAnsi="Arial" w:eastAsia="Arial" w:cs="Arial"/>
          <w:noProof w:val="0"/>
          <w:sz w:val="40"/>
          <w:szCs w:val="40"/>
          <w:lang w:val="en-GB"/>
        </w:rPr>
        <w:t xml:space="preserve">Using the DMAIC Problem Solving Methodology </w:t>
      </w:r>
    </w:p>
    <w:p w:rsidR="2FEDF7BF" w:rsidP="00E62FC6" w:rsidRDefault="2FEDF7BF" w14:paraId="4223A235" w14:textId="7678FFD4">
      <w:pPr>
        <w:pStyle w:val="Normal"/>
        <w:rPr>
          <w:rFonts w:ascii="Arial" w:hAnsi="Arial" w:eastAsia="Arial" w:cs="Arial"/>
          <w:noProof w:val="0"/>
          <w:sz w:val="22"/>
          <w:szCs w:val="22"/>
          <w:lang w:val="en-GB"/>
        </w:rPr>
      </w:pPr>
    </w:p>
    <w:p w:rsidR="00E62FC6" w:rsidP="00E62FC6" w:rsidRDefault="00E62FC6" w14:paraId="5B2CACF1" w14:textId="403234F2">
      <w:pPr>
        <w:pStyle w:val="Normal"/>
        <w:rPr>
          <w:rFonts w:ascii="Arial" w:hAnsi="Arial" w:eastAsia="Arial" w:cs="Arial"/>
          <w:noProof w:val="0"/>
          <w:sz w:val="22"/>
          <w:szCs w:val="22"/>
          <w:lang w:val="en-GB"/>
        </w:rPr>
      </w:pPr>
    </w:p>
    <w:p w:rsidR="00E62FC6" w:rsidP="00E62FC6" w:rsidRDefault="00E62FC6" w14:paraId="44E69783" w14:textId="397AF56D">
      <w:pPr>
        <w:pStyle w:val="Normal"/>
        <w:rPr>
          <w:rFonts w:ascii="Arial" w:hAnsi="Arial" w:eastAsia="Arial" w:cs="Arial"/>
          <w:noProof w:val="0"/>
          <w:sz w:val="22"/>
          <w:szCs w:val="22"/>
          <w:lang w:val="en-GB"/>
        </w:rPr>
      </w:pPr>
    </w:p>
    <w:p w:rsidR="00E62FC6" w:rsidP="00E62FC6" w:rsidRDefault="00E62FC6" w14:paraId="1F72D0F3" w14:textId="5CEA3FAB">
      <w:pPr>
        <w:pStyle w:val="Normal"/>
        <w:rPr>
          <w:rFonts w:ascii="Arial" w:hAnsi="Arial" w:eastAsia="Arial" w:cs="Arial"/>
          <w:noProof w:val="0"/>
          <w:sz w:val="22"/>
          <w:szCs w:val="22"/>
          <w:lang w:val="en-GB"/>
        </w:rPr>
      </w:pPr>
    </w:p>
    <w:p w:rsidR="00E62FC6" w:rsidP="00E62FC6" w:rsidRDefault="00E62FC6" w14:paraId="44A06916" w14:textId="237D5936">
      <w:pPr>
        <w:pStyle w:val="Normal"/>
        <w:rPr>
          <w:rFonts w:ascii="Arial" w:hAnsi="Arial" w:eastAsia="Arial" w:cs="Arial"/>
          <w:noProof w:val="0"/>
          <w:sz w:val="22"/>
          <w:szCs w:val="22"/>
          <w:lang w:val="en-GB"/>
        </w:rPr>
      </w:pPr>
    </w:p>
    <w:p w:rsidR="00E62FC6" w:rsidP="00E62FC6" w:rsidRDefault="00E62FC6" w14:paraId="1A09453C" w14:textId="2ED156CC">
      <w:pPr>
        <w:pStyle w:val="Normal"/>
        <w:rPr>
          <w:rFonts w:ascii="Arial" w:hAnsi="Arial" w:eastAsia="Arial" w:cs="Arial"/>
          <w:noProof w:val="0"/>
          <w:sz w:val="22"/>
          <w:szCs w:val="22"/>
          <w:lang w:val="en-GB"/>
        </w:rPr>
      </w:pPr>
    </w:p>
    <w:p w:rsidR="00E62FC6" w:rsidP="00E62FC6" w:rsidRDefault="00E62FC6" w14:paraId="41AAB931" w14:textId="0724CE13">
      <w:pPr>
        <w:pStyle w:val="Normal"/>
        <w:rPr>
          <w:rFonts w:ascii="Arial" w:hAnsi="Arial" w:eastAsia="Arial" w:cs="Arial"/>
          <w:noProof w:val="0"/>
          <w:sz w:val="22"/>
          <w:szCs w:val="22"/>
          <w:lang w:val="en-GB"/>
        </w:rPr>
      </w:pPr>
    </w:p>
    <w:p w:rsidR="00E62FC6" w:rsidP="00E62FC6" w:rsidRDefault="00E62FC6" w14:paraId="4387E42D" w14:textId="3CC0E82F">
      <w:pPr>
        <w:pStyle w:val="Normal"/>
        <w:rPr>
          <w:rFonts w:ascii="Arial" w:hAnsi="Arial" w:eastAsia="Arial" w:cs="Arial"/>
          <w:noProof w:val="0"/>
          <w:sz w:val="22"/>
          <w:szCs w:val="22"/>
          <w:lang w:val="en-GB"/>
        </w:rPr>
      </w:pPr>
    </w:p>
    <w:p w:rsidR="00E62FC6" w:rsidP="00E62FC6" w:rsidRDefault="00E62FC6" w14:paraId="68D2BEAA" w14:textId="107608FE">
      <w:pPr>
        <w:pStyle w:val="Normal"/>
        <w:rPr>
          <w:rFonts w:ascii="Arial" w:hAnsi="Arial" w:eastAsia="Arial" w:cs="Arial"/>
          <w:noProof w:val="0"/>
          <w:sz w:val="22"/>
          <w:szCs w:val="22"/>
          <w:lang w:val="en-GB"/>
        </w:rPr>
      </w:pPr>
    </w:p>
    <w:p w:rsidR="00E62FC6" w:rsidP="00E62FC6" w:rsidRDefault="00E62FC6" w14:paraId="6A1A73A8" w14:textId="74471345">
      <w:pPr>
        <w:pStyle w:val="Normal"/>
        <w:rPr>
          <w:rFonts w:ascii="Arial" w:hAnsi="Arial" w:eastAsia="Arial" w:cs="Arial"/>
          <w:noProof w:val="0"/>
          <w:sz w:val="22"/>
          <w:szCs w:val="22"/>
          <w:lang w:val="en-GB"/>
        </w:rPr>
      </w:pPr>
    </w:p>
    <w:p w:rsidR="00E62FC6" w:rsidP="00E62FC6" w:rsidRDefault="00E62FC6" w14:paraId="484188A3" w14:textId="0E124F9F">
      <w:pPr>
        <w:pStyle w:val="Normal"/>
        <w:rPr>
          <w:rFonts w:ascii="Arial" w:hAnsi="Arial" w:eastAsia="Arial" w:cs="Arial"/>
          <w:noProof w:val="0"/>
          <w:sz w:val="22"/>
          <w:szCs w:val="22"/>
          <w:lang w:val="en-GB"/>
        </w:rPr>
      </w:pPr>
    </w:p>
    <w:p w:rsidR="00E62FC6" w:rsidP="00E62FC6" w:rsidRDefault="00E62FC6" w14:paraId="784E9E1B" w14:textId="37E4EEC9">
      <w:pPr>
        <w:pStyle w:val="Normal"/>
        <w:rPr>
          <w:rFonts w:ascii="Arial" w:hAnsi="Arial" w:eastAsia="Arial" w:cs="Arial"/>
          <w:noProof w:val="0"/>
          <w:sz w:val="22"/>
          <w:szCs w:val="22"/>
          <w:lang w:val="en-GB"/>
        </w:rPr>
      </w:pPr>
    </w:p>
    <w:p w:rsidR="00E62FC6" w:rsidP="00E62FC6" w:rsidRDefault="00E62FC6" w14:paraId="1C9C09A1" w14:textId="7A2F18CA">
      <w:pPr>
        <w:pStyle w:val="Normal"/>
        <w:rPr>
          <w:rFonts w:ascii="Arial" w:hAnsi="Arial" w:eastAsia="Arial" w:cs="Arial"/>
          <w:noProof w:val="0"/>
          <w:sz w:val="22"/>
          <w:szCs w:val="22"/>
          <w:lang w:val="en-GB"/>
        </w:rPr>
      </w:pPr>
    </w:p>
    <w:p w:rsidR="00E62FC6" w:rsidP="00E62FC6" w:rsidRDefault="00E62FC6" w14:paraId="3A73F12F" w14:textId="0BCB9DAA">
      <w:pPr>
        <w:pStyle w:val="Normal"/>
        <w:rPr>
          <w:rFonts w:ascii="Arial" w:hAnsi="Arial" w:eastAsia="Arial" w:cs="Arial"/>
          <w:noProof w:val="0"/>
          <w:sz w:val="22"/>
          <w:szCs w:val="22"/>
          <w:lang w:val="en-GB"/>
        </w:rPr>
      </w:pPr>
    </w:p>
    <w:p w:rsidR="00E62FC6" w:rsidP="00E62FC6" w:rsidRDefault="00E62FC6" w14:paraId="54580223" w14:textId="054DCD93">
      <w:pPr>
        <w:pStyle w:val="Normal"/>
        <w:rPr>
          <w:rFonts w:ascii="Arial" w:hAnsi="Arial" w:eastAsia="Arial" w:cs="Arial"/>
          <w:noProof w:val="0"/>
          <w:sz w:val="22"/>
          <w:szCs w:val="22"/>
          <w:lang w:val="en-GB"/>
        </w:rPr>
      </w:pPr>
    </w:p>
    <w:p w:rsidR="00E62FC6" w:rsidP="00E62FC6" w:rsidRDefault="00E62FC6" w14:paraId="52742ED0" w14:textId="2B0D33E0">
      <w:pPr>
        <w:pStyle w:val="Normal"/>
        <w:rPr>
          <w:rFonts w:ascii="Arial" w:hAnsi="Arial" w:eastAsia="Arial" w:cs="Arial"/>
          <w:noProof w:val="0"/>
          <w:sz w:val="22"/>
          <w:szCs w:val="22"/>
          <w:lang w:val="en-GB"/>
        </w:rPr>
      </w:pPr>
    </w:p>
    <w:p w:rsidR="00E62FC6" w:rsidP="00E62FC6" w:rsidRDefault="00E62FC6" w14:paraId="6B26DDB2" w14:textId="2DA4E36E">
      <w:pPr>
        <w:pStyle w:val="Normal"/>
        <w:rPr>
          <w:rFonts w:ascii="Arial" w:hAnsi="Arial" w:eastAsia="Arial" w:cs="Arial"/>
          <w:noProof w:val="0"/>
          <w:sz w:val="22"/>
          <w:szCs w:val="22"/>
          <w:lang w:val="en-GB"/>
        </w:rPr>
      </w:pPr>
    </w:p>
    <w:p w:rsidR="00E62FC6" w:rsidP="00E62FC6" w:rsidRDefault="00E62FC6" w14:paraId="748514D1" w14:textId="428E45C6">
      <w:pPr>
        <w:pStyle w:val="Normal"/>
        <w:rPr>
          <w:rFonts w:ascii="Arial" w:hAnsi="Arial" w:eastAsia="Arial" w:cs="Arial"/>
          <w:noProof w:val="0"/>
          <w:sz w:val="22"/>
          <w:szCs w:val="22"/>
          <w:lang w:val="en-GB"/>
        </w:rPr>
      </w:pPr>
    </w:p>
    <w:p w:rsidR="00E62FC6" w:rsidP="00E62FC6" w:rsidRDefault="00E62FC6" w14:paraId="2E62712B" w14:textId="7C51A6EF">
      <w:pPr>
        <w:pStyle w:val="Normal"/>
        <w:rPr>
          <w:rFonts w:ascii="Arial" w:hAnsi="Arial" w:eastAsia="Arial" w:cs="Arial"/>
          <w:noProof w:val="0"/>
          <w:sz w:val="22"/>
          <w:szCs w:val="22"/>
          <w:lang w:val="en-GB"/>
        </w:rPr>
      </w:pPr>
    </w:p>
    <w:p w:rsidR="00E62FC6" w:rsidP="00E62FC6" w:rsidRDefault="00E62FC6" w14:paraId="256D3B6D" w14:textId="095D3C00">
      <w:pPr>
        <w:pStyle w:val="Normal"/>
        <w:rPr>
          <w:rFonts w:ascii="Arial" w:hAnsi="Arial" w:eastAsia="Arial" w:cs="Arial"/>
          <w:noProof w:val="0"/>
          <w:sz w:val="22"/>
          <w:szCs w:val="22"/>
          <w:lang w:val="en-GB"/>
        </w:rPr>
      </w:pPr>
    </w:p>
    <w:p w:rsidR="00E62FC6" w:rsidP="00E62FC6" w:rsidRDefault="00E62FC6" w14:paraId="0FC04408" w14:textId="2BAD8D40">
      <w:pPr>
        <w:pStyle w:val="Normal"/>
        <w:rPr>
          <w:rFonts w:ascii="Arial" w:hAnsi="Arial" w:eastAsia="Arial" w:cs="Arial"/>
          <w:noProof w:val="0"/>
          <w:sz w:val="22"/>
          <w:szCs w:val="22"/>
          <w:lang w:val="en-GB"/>
        </w:rPr>
      </w:pPr>
    </w:p>
    <w:p w:rsidR="00E62FC6" w:rsidP="00E62FC6" w:rsidRDefault="00E62FC6" w14:paraId="3825C435" w14:textId="073EE190">
      <w:pPr>
        <w:pStyle w:val="Normal"/>
        <w:rPr>
          <w:rFonts w:ascii="Arial" w:hAnsi="Arial" w:eastAsia="Arial" w:cs="Arial"/>
          <w:noProof w:val="0"/>
          <w:sz w:val="22"/>
          <w:szCs w:val="22"/>
          <w:lang w:val="en-GB"/>
        </w:rPr>
      </w:pPr>
    </w:p>
    <w:p w:rsidR="00E62FC6" w:rsidP="00E62FC6" w:rsidRDefault="00E62FC6" w14:paraId="44C7DDE5" w14:textId="7D806BBC">
      <w:pPr>
        <w:pStyle w:val="Normal"/>
        <w:rPr>
          <w:rFonts w:ascii="Arial" w:hAnsi="Arial" w:eastAsia="Arial" w:cs="Arial"/>
          <w:noProof w:val="0"/>
          <w:sz w:val="22"/>
          <w:szCs w:val="22"/>
          <w:lang w:val="en-GB"/>
        </w:rPr>
      </w:pPr>
    </w:p>
    <w:p w:rsidR="2FEDF7BF" w:rsidP="00E62FC6" w:rsidRDefault="2FEDF7BF" w14:paraId="5F0427D5" w14:textId="50914D66">
      <w:pPr>
        <w:pStyle w:val="Heading1"/>
        <w:rPr>
          <w:rFonts w:ascii="Arial" w:hAnsi="Arial" w:eastAsia="Arial" w:cs="Arial"/>
          <w:noProof w:val="0"/>
          <w:lang w:val="en-GB"/>
        </w:rPr>
      </w:pPr>
      <w:r w:rsidRPr="00E62FC6" w:rsidR="00E62FC6">
        <w:rPr>
          <w:rFonts w:ascii="Arial" w:hAnsi="Arial" w:eastAsia="Arial" w:cs="Arial"/>
          <w:noProof w:val="0"/>
          <w:lang w:val="en-GB"/>
        </w:rPr>
        <w:t>Contents:</w:t>
      </w:r>
    </w:p>
    <w:p w:rsidR="2FEDF7BF" w:rsidP="00E62FC6" w:rsidRDefault="2FEDF7BF" w14:paraId="4652559C" w14:textId="3C9C8C5C">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Introduction </w:t>
      </w:r>
    </w:p>
    <w:p w:rsidR="2FEDF7BF" w:rsidP="00E62FC6" w:rsidRDefault="2FEDF7BF" w14:paraId="3117C40F" w14:textId="72568D97">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Define Stage </w:t>
      </w:r>
    </w:p>
    <w:p w:rsidR="2FEDF7BF" w:rsidP="00E62FC6" w:rsidRDefault="2FEDF7BF" w14:paraId="5BFC2D4B" w14:textId="223038CF">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Measure Stage </w:t>
      </w:r>
    </w:p>
    <w:p w:rsidR="2FEDF7BF" w:rsidP="00E62FC6" w:rsidRDefault="2FEDF7BF" w14:paraId="0D8E0203" w14:textId="1601E449">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Analyse Stage </w:t>
      </w:r>
    </w:p>
    <w:p w:rsidR="2FEDF7BF" w:rsidP="00E62FC6" w:rsidRDefault="2FEDF7BF" w14:paraId="3B7815F6" w14:textId="17FF3B61">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Improve Stage </w:t>
      </w:r>
    </w:p>
    <w:p w:rsidR="2FEDF7BF" w:rsidP="00E62FC6" w:rsidRDefault="2FEDF7BF" w14:paraId="41CEDC18" w14:textId="27A7EA6C">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Conclusion</w:t>
      </w:r>
      <w:r w:rsidRPr="00E62FC6" w:rsidR="00E62FC6">
        <w:rPr>
          <w:rFonts w:ascii="Arial" w:hAnsi="Arial" w:eastAsia="Arial" w:cs="Arial"/>
          <w:noProof w:val="0"/>
          <w:sz w:val="22"/>
          <w:szCs w:val="22"/>
          <w:lang w:val="en-GB"/>
        </w:rPr>
        <w:t xml:space="preserve"> </w:t>
      </w:r>
    </w:p>
    <w:p w:rsidR="2FEDF7BF" w:rsidP="00E62FC6" w:rsidRDefault="2FEDF7BF" w14:paraId="4CD49234" w14:textId="19C84D4B">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References </w:t>
      </w:r>
    </w:p>
    <w:p w:rsidR="2FEDF7BF" w:rsidP="00E62FC6" w:rsidRDefault="2FEDF7BF" w14:paraId="1BE2CB2C" w14:textId="0D9843E5">
      <w:pPr>
        <w:pStyle w:val="Normal"/>
        <w:rPr>
          <w:rFonts w:ascii="Arial" w:hAnsi="Arial" w:eastAsia="Arial" w:cs="Arial"/>
          <w:noProof w:val="0"/>
          <w:sz w:val="22"/>
          <w:szCs w:val="22"/>
          <w:lang w:val="en-GB"/>
        </w:rPr>
      </w:pPr>
    </w:p>
    <w:p w:rsidR="2FEDF7BF" w:rsidP="00E62FC6" w:rsidRDefault="2FEDF7BF" w14:paraId="7528484B" w14:textId="68E7773B">
      <w:pPr>
        <w:pStyle w:val="Normal"/>
        <w:rPr>
          <w:rFonts w:ascii="Arial" w:hAnsi="Arial" w:eastAsia="Arial" w:cs="Arial"/>
          <w:noProof w:val="0"/>
          <w:sz w:val="22"/>
          <w:szCs w:val="22"/>
          <w:lang w:val="en-GB"/>
        </w:rPr>
      </w:pPr>
    </w:p>
    <w:p w:rsidR="2FEDF7BF" w:rsidP="00E62FC6" w:rsidRDefault="2FEDF7BF" w14:paraId="764FCD70" w14:textId="1B4CE94F">
      <w:pPr>
        <w:pStyle w:val="Heading1"/>
        <w:rPr>
          <w:rFonts w:ascii="Arial" w:hAnsi="Arial" w:eastAsia="Arial" w:cs="Arial"/>
          <w:noProof w:val="0"/>
          <w:lang w:val="en-GB"/>
        </w:rPr>
      </w:pPr>
      <w:r w:rsidRPr="00E62FC6" w:rsidR="00E62FC6">
        <w:rPr>
          <w:rFonts w:ascii="Arial" w:hAnsi="Arial" w:eastAsia="Arial" w:cs="Arial"/>
          <w:noProof w:val="0"/>
          <w:lang w:val="en-GB"/>
        </w:rPr>
        <w:t xml:space="preserve">Introduction </w:t>
      </w:r>
    </w:p>
    <w:p w:rsidR="2FEDF7BF" w:rsidP="00E62FC6" w:rsidRDefault="2FEDF7BF" w14:paraId="0AB2D18A" w14:textId="172DD719">
      <w:pPr>
        <w:pStyle w:val="Normal"/>
        <w:rPr>
          <w:rFonts w:ascii="Arial" w:hAnsi="Arial" w:eastAsia="Arial" w:cs="Arial"/>
          <w:noProof w:val="0"/>
          <w:lang w:val="en-GB"/>
        </w:rPr>
      </w:pPr>
    </w:p>
    <w:p w:rsidR="00E62FC6" w:rsidP="00E62FC6" w:rsidRDefault="00E62FC6" w14:paraId="359C0D38" w14:textId="17271EDC">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Six Sigma is a framework for process improvement that has been widely used in various manufacturing and service industries since 1987, helping companies make huge savings whistle down costs (Larson, 2003). Although it is a tool that is mainly used in manufacturing industries, its uses are still available to the service industries, except that it can be more complicated to achieve quality improvements in the service industry. This is because services are intangible, perishable, often heterogeneous and are generally manufactured and eaten concurrently (Sasser et al., 1978).</w:t>
      </w:r>
    </w:p>
    <w:p w:rsidR="00E62FC6" w:rsidP="00E62FC6" w:rsidRDefault="00E62FC6" w14:paraId="73EAFF73" w14:textId="171C12AA">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Six Sigma's primary objective is to decrease defective products and services and thus increase their value, reliability and effectiveness while reducing expenses. The sigma (π), the normal statistical deviation, shows the variability rate. The performance standard of Six Sigma is extremely stable and supposed to satisfy the expectations needed (consumers'), as shown in Figure 1: the quality of service or product is very rarely outside the acceptable levels.</w:t>
      </w:r>
    </w:p>
    <w:p w:rsidR="57A91123" w:rsidP="00E62FC6" w:rsidRDefault="57A91123" w14:paraId="32448018" w14:textId="68F59794">
      <w:pPr>
        <w:pStyle w:val="Normal"/>
        <w:rPr>
          <w:rFonts w:ascii="Arial" w:hAnsi="Arial" w:eastAsia="Arial" w:cs="Arial"/>
          <w:noProof w:val="0"/>
          <w:sz w:val="22"/>
          <w:szCs w:val="22"/>
          <w:lang w:val="en-GB"/>
        </w:rPr>
      </w:pPr>
      <w:r>
        <w:drawing>
          <wp:inline wp14:editId="3522D7F3" wp14:anchorId="167BA0F0">
            <wp:extent cx="5724524" cy="4133850"/>
            <wp:effectExtent l="0" t="0" r="0" b="0"/>
            <wp:docPr id="160462047" name="" title=""/>
            <wp:cNvGraphicFramePr>
              <a:graphicFrameLocks noChangeAspect="1"/>
            </wp:cNvGraphicFramePr>
            <a:graphic>
              <a:graphicData uri="http://schemas.openxmlformats.org/drawingml/2006/picture">
                <pic:pic>
                  <pic:nvPicPr>
                    <pic:cNvPr id="0" name=""/>
                    <pic:cNvPicPr/>
                  </pic:nvPicPr>
                  <pic:blipFill>
                    <a:blip r:embed="R6c0f32ba4ba041af">
                      <a:extLst>
                        <a:ext xmlns:a="http://schemas.openxmlformats.org/drawingml/2006/main" uri="{28A0092B-C50C-407E-A947-70E740481C1C}">
                          <a14:useLocalDpi val="0"/>
                        </a:ext>
                      </a:extLst>
                    </a:blip>
                    <a:stretch>
                      <a:fillRect/>
                    </a:stretch>
                  </pic:blipFill>
                  <pic:spPr>
                    <a:xfrm>
                      <a:off x="0" y="0"/>
                      <a:ext cx="5724524" cy="4133850"/>
                    </a:xfrm>
                    <a:prstGeom prst="rect">
                      <a:avLst/>
                    </a:prstGeom>
                  </pic:spPr>
                </pic:pic>
              </a:graphicData>
            </a:graphic>
          </wp:inline>
        </w:drawing>
      </w:r>
      <w:r w:rsidRPr="57A91123" w:rsidR="57A91123">
        <w:rPr>
          <w:rFonts w:ascii="Arial" w:hAnsi="Arial" w:eastAsia="Arial" w:cs="Arial"/>
          <w:noProof w:val="0"/>
          <w:sz w:val="22"/>
          <w:szCs w:val="22"/>
          <w:lang w:val="en-GB"/>
        </w:rPr>
        <w:t xml:space="preserve">Figure </w:t>
      </w:r>
      <w:r w:rsidRPr="57A91123" w:rsidR="57A91123">
        <w:rPr>
          <w:rFonts w:ascii="Arial" w:hAnsi="Arial" w:eastAsia="Arial" w:cs="Arial"/>
          <w:noProof w:val="0"/>
          <w:sz w:val="22"/>
          <w:szCs w:val="22"/>
          <w:lang w:val="en-GB"/>
        </w:rPr>
        <w:t>1</w:t>
      </w:r>
      <w:r w:rsidRPr="57A91123" w:rsidR="57A91123">
        <w:rPr>
          <w:rFonts w:ascii="Arial" w:hAnsi="Arial" w:eastAsia="Arial" w:cs="Arial"/>
          <w:noProof w:val="0"/>
          <w:sz w:val="22"/>
          <w:szCs w:val="22"/>
          <w:lang w:val="en-GB"/>
        </w:rPr>
        <w:t xml:space="preserve"> - Six Sigma level of performance (</w:t>
      </w:r>
      <w:r w:rsidRPr="57A91123" w:rsidR="57A91123">
        <w:rPr>
          <w:rFonts w:ascii="Arial" w:hAnsi="Arial" w:eastAsia="Arial" w:cs="Arial"/>
          <w:noProof w:val="0"/>
          <w:sz w:val="22"/>
          <w:szCs w:val="22"/>
          <w:lang w:val="en-GB"/>
        </w:rPr>
        <w:t xml:space="preserve">T. </w:t>
      </w:r>
      <w:proofErr w:type="spellStart"/>
      <w:r w:rsidRPr="57A91123" w:rsidR="57A91123">
        <w:rPr>
          <w:rFonts w:ascii="Arial" w:hAnsi="Arial" w:eastAsia="Arial" w:cs="Arial"/>
          <w:noProof w:val="0"/>
          <w:sz w:val="22"/>
          <w:szCs w:val="22"/>
          <w:lang w:val="en-GB"/>
        </w:rPr>
        <w:t>Pyzdek</w:t>
      </w:r>
      <w:proofErr w:type="spellEnd"/>
      <w:r w:rsidRPr="57A91123" w:rsidR="57A91123">
        <w:rPr>
          <w:rFonts w:ascii="Arial" w:hAnsi="Arial" w:eastAsia="Arial" w:cs="Arial"/>
          <w:noProof w:val="0"/>
          <w:sz w:val="22"/>
          <w:szCs w:val="22"/>
          <w:lang w:val="en-GB"/>
        </w:rPr>
        <w:t>, P. Keller, 2003)</w:t>
      </w:r>
    </w:p>
    <w:p w:rsidR="57A91123" w:rsidP="00E62FC6" w:rsidRDefault="57A91123" w14:paraId="42ED6FB8" w14:textId="0DEECBB5">
      <w:pPr>
        <w:pStyle w:val="Normal"/>
        <w:rPr>
          <w:rFonts w:ascii="Arial" w:hAnsi="Arial" w:eastAsia="Arial" w:cs="Arial"/>
          <w:noProof w:val="0"/>
          <w:sz w:val="22"/>
          <w:szCs w:val="22"/>
          <w:lang w:val="en-GB"/>
        </w:rPr>
      </w:pPr>
    </w:p>
    <w:p w:rsidR="57A91123" w:rsidP="00E62FC6" w:rsidRDefault="57A91123" w14:paraId="4CEB4195" w14:textId="0FC92353">
      <w:pPr>
        <w:pStyle w:val="Normal"/>
        <w:rPr>
          <w:rFonts w:ascii="Arial" w:hAnsi="Arial" w:eastAsia="Arial" w:cs="Arial"/>
          <w:noProof w:val="0"/>
          <w:sz w:val="22"/>
          <w:szCs w:val="22"/>
          <w:lang w:val="en-GB"/>
        </w:rPr>
      </w:pPr>
      <w:r>
        <w:drawing>
          <wp:inline wp14:editId="2E8501B7" wp14:anchorId="39634C37">
            <wp:extent cx="5715000" cy="3895725"/>
            <wp:effectExtent l="0" t="0" r="0" b="0"/>
            <wp:docPr id="2053083575" name="" title=""/>
            <wp:cNvGraphicFramePr>
              <a:graphicFrameLocks noChangeAspect="1"/>
            </wp:cNvGraphicFramePr>
            <a:graphic>
              <a:graphicData uri="http://schemas.openxmlformats.org/drawingml/2006/picture">
                <pic:pic>
                  <pic:nvPicPr>
                    <pic:cNvPr id="0" name=""/>
                    <pic:cNvPicPr/>
                  </pic:nvPicPr>
                  <pic:blipFill>
                    <a:blip r:embed="Rcff0180735f148b2">
                      <a:extLst>
                        <a:ext xmlns:a="http://schemas.openxmlformats.org/drawingml/2006/main" uri="{28A0092B-C50C-407E-A947-70E740481C1C}">
                          <a14:useLocalDpi val="0"/>
                        </a:ext>
                      </a:extLst>
                    </a:blip>
                    <a:stretch>
                      <a:fillRect/>
                    </a:stretch>
                  </pic:blipFill>
                  <pic:spPr>
                    <a:xfrm>
                      <a:off x="0" y="0"/>
                      <a:ext cx="5715000" cy="3895725"/>
                    </a:xfrm>
                    <a:prstGeom prst="rect">
                      <a:avLst/>
                    </a:prstGeom>
                  </pic:spPr>
                </pic:pic>
              </a:graphicData>
            </a:graphic>
          </wp:inline>
        </w:drawing>
      </w:r>
      <w:r w:rsidRPr="57A91123" w:rsidR="57A91123">
        <w:rPr>
          <w:rFonts w:ascii="Arial" w:hAnsi="Arial" w:eastAsia="Arial" w:cs="Arial"/>
          <w:noProof w:val="0"/>
          <w:sz w:val="22"/>
          <w:szCs w:val="22"/>
          <w:lang w:val="en-GB"/>
        </w:rPr>
        <w:t xml:space="preserve">Figure </w:t>
      </w:r>
      <w:r w:rsidRPr="57A91123" w:rsidR="57A91123">
        <w:rPr>
          <w:rFonts w:ascii="Arial" w:hAnsi="Arial" w:eastAsia="Arial" w:cs="Arial"/>
          <w:noProof w:val="0"/>
          <w:sz w:val="22"/>
          <w:szCs w:val="22"/>
          <w:lang w:val="en-GB"/>
        </w:rPr>
        <w:t>2</w:t>
      </w:r>
      <w:r w:rsidRPr="57A91123" w:rsidR="57A91123">
        <w:rPr>
          <w:rFonts w:ascii="Arial" w:hAnsi="Arial" w:eastAsia="Arial" w:cs="Arial"/>
          <w:noProof w:val="0"/>
          <w:sz w:val="22"/>
          <w:szCs w:val="22"/>
          <w:lang w:val="en-GB"/>
        </w:rPr>
        <w:t xml:space="preserve"> - Six Sigma level of performance </w:t>
      </w:r>
      <w:r w:rsidRPr="57A91123" w:rsidR="57A91123">
        <w:rPr>
          <w:rFonts w:ascii="Arial" w:hAnsi="Arial" w:eastAsia="Arial" w:cs="Arial"/>
          <w:noProof w:val="0"/>
          <w:sz w:val="22"/>
          <w:szCs w:val="22"/>
          <w:lang w:val="en-GB"/>
        </w:rPr>
        <w:t>(</w:t>
      </w:r>
      <w:r w:rsidRPr="57A91123" w:rsidR="57A91123">
        <w:rPr>
          <w:rFonts w:ascii="Arial" w:hAnsi="Arial" w:eastAsia="Arial" w:cs="Arial"/>
          <w:noProof w:val="0"/>
          <w:sz w:val="22"/>
          <w:szCs w:val="22"/>
          <w:lang w:val="en-GB"/>
        </w:rPr>
        <w:t xml:space="preserve">T. </w:t>
      </w:r>
      <w:proofErr w:type="spellStart"/>
      <w:r w:rsidRPr="57A91123" w:rsidR="57A91123">
        <w:rPr>
          <w:rFonts w:ascii="Arial" w:hAnsi="Arial" w:eastAsia="Arial" w:cs="Arial"/>
          <w:noProof w:val="0"/>
          <w:sz w:val="22"/>
          <w:szCs w:val="22"/>
          <w:lang w:val="en-GB"/>
        </w:rPr>
        <w:t>Pyzdek</w:t>
      </w:r>
      <w:proofErr w:type="spellEnd"/>
      <w:r w:rsidRPr="57A91123" w:rsidR="57A91123">
        <w:rPr>
          <w:rFonts w:ascii="Arial" w:hAnsi="Arial" w:eastAsia="Arial" w:cs="Arial"/>
          <w:noProof w:val="0"/>
          <w:sz w:val="22"/>
          <w:szCs w:val="22"/>
          <w:lang w:val="en-GB"/>
        </w:rPr>
        <w:t>, P. Keller</w:t>
      </w:r>
      <w:r w:rsidRPr="57A91123" w:rsidR="57A91123">
        <w:rPr>
          <w:rFonts w:ascii="Arial" w:hAnsi="Arial" w:eastAsia="Arial" w:cs="Arial"/>
          <w:noProof w:val="0"/>
          <w:sz w:val="22"/>
          <w:szCs w:val="22"/>
          <w:lang w:val="en-GB"/>
        </w:rPr>
        <w:t xml:space="preserve">, </w:t>
      </w:r>
      <w:r w:rsidRPr="57A91123" w:rsidR="57A91123">
        <w:rPr>
          <w:rFonts w:ascii="Arial" w:hAnsi="Arial" w:eastAsia="Arial" w:cs="Arial"/>
          <w:noProof w:val="0"/>
          <w:sz w:val="22"/>
          <w:szCs w:val="22"/>
          <w:lang w:val="en-GB"/>
        </w:rPr>
        <w:t>2003)</w:t>
      </w:r>
    </w:p>
    <w:p w:rsidR="57A91123" w:rsidP="00E62FC6" w:rsidRDefault="57A91123" w14:paraId="20E81644" w14:textId="4ECA6CA8">
      <w:pPr>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 </w:t>
      </w:r>
    </w:p>
    <w:p w:rsidR="00E62FC6" w:rsidP="00E62FC6" w:rsidRDefault="00E62FC6" w14:paraId="5132BED7" w14:textId="5AF77F5F">
      <w:pPr>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As Table 2 indicates, Six Sigma's level of service or manufacturing is evaluated by defects per million possibilities (DPMO).  Defect is described as "any portion of a product or service that does not </w:t>
      </w:r>
      <w:r w:rsidRPr="00E62FC6" w:rsidR="00E62FC6">
        <w:rPr>
          <w:rFonts w:ascii="Arial" w:hAnsi="Arial" w:eastAsia="Arial" w:cs="Arial"/>
          <w:noProof w:val="0"/>
          <w:sz w:val="22"/>
          <w:szCs w:val="22"/>
          <w:lang w:val="en-GB"/>
        </w:rPr>
        <w:t>fulfil</w:t>
      </w:r>
      <w:r w:rsidRPr="00E62FC6" w:rsidR="00E62FC6">
        <w:rPr>
          <w:rFonts w:ascii="Arial" w:hAnsi="Arial" w:eastAsia="Arial" w:cs="Arial"/>
          <w:noProof w:val="0"/>
          <w:sz w:val="22"/>
          <w:szCs w:val="22"/>
          <w:lang w:val="en-GB"/>
        </w:rPr>
        <w:t xml:space="preserve"> client specifications or requirements or creates discontent with the client or does not satisfy functional or physical demands" (</w:t>
      </w:r>
      <w:proofErr w:type="spellStart"/>
      <w:r w:rsidRPr="00E62FC6" w:rsidR="00E62FC6">
        <w:rPr>
          <w:rFonts w:ascii="Arial" w:hAnsi="Arial" w:eastAsia="Arial" w:cs="Arial"/>
          <w:noProof w:val="0"/>
          <w:sz w:val="22"/>
          <w:szCs w:val="22"/>
          <w:lang w:val="en-GB"/>
        </w:rPr>
        <w:t>Charantimath</w:t>
      </w:r>
      <w:proofErr w:type="spellEnd"/>
      <w:r w:rsidRPr="00E62FC6" w:rsidR="00E62FC6">
        <w:rPr>
          <w:rFonts w:ascii="Arial" w:hAnsi="Arial" w:eastAsia="Arial" w:cs="Arial"/>
          <w:noProof w:val="0"/>
          <w:sz w:val="22"/>
          <w:szCs w:val="22"/>
          <w:lang w:val="en-GB"/>
        </w:rPr>
        <w:t xml:space="preserve">, 2011). </w:t>
      </w:r>
    </w:p>
    <w:p w:rsidR="00E62FC6" w:rsidP="00E62FC6" w:rsidRDefault="00E62FC6" w14:paraId="7C8CE4FD" w14:textId="0A6EB27E">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According to </w:t>
      </w:r>
      <w:proofErr w:type="spellStart"/>
      <w:r w:rsidRPr="00E62FC6" w:rsidR="00E62FC6">
        <w:rPr>
          <w:rFonts w:ascii="Arial" w:hAnsi="Arial" w:eastAsia="Arial" w:cs="Arial"/>
          <w:noProof w:val="0"/>
          <w:sz w:val="22"/>
          <w:szCs w:val="22"/>
          <w:lang w:val="en-GB"/>
        </w:rPr>
        <w:t>Pyzdek</w:t>
      </w:r>
      <w:proofErr w:type="spellEnd"/>
      <w:r w:rsidRPr="00E62FC6" w:rsidR="00E62FC6">
        <w:rPr>
          <w:rFonts w:ascii="Arial" w:hAnsi="Arial" w:eastAsia="Arial" w:cs="Arial"/>
          <w:noProof w:val="0"/>
          <w:sz w:val="22"/>
          <w:szCs w:val="22"/>
          <w:lang w:val="en-GB"/>
        </w:rPr>
        <w:t xml:space="preserve"> and Keller (2011), DMPO is calculated using the following formula: DMPO= (number of sample defects / (number of sample units x possibilities per unit</w:t>
      </w:r>
      <w:r w:rsidRPr="00E62FC6" w:rsidR="00E62FC6">
        <w:rPr>
          <w:rFonts w:ascii="Arial" w:hAnsi="Arial" w:eastAsia="Arial" w:cs="Arial"/>
          <w:noProof w:val="0"/>
          <w:sz w:val="22"/>
          <w:szCs w:val="22"/>
          <w:lang w:val="en-GB"/>
        </w:rPr>
        <w:t>)) x</w:t>
      </w:r>
      <w:r w:rsidRPr="00E62FC6" w:rsidR="00E62FC6">
        <w:rPr>
          <w:rFonts w:ascii="Arial" w:hAnsi="Arial" w:eastAsia="Arial" w:cs="Arial"/>
          <w:noProof w:val="0"/>
          <w:sz w:val="22"/>
          <w:szCs w:val="22"/>
          <w:lang w:val="en-GB"/>
        </w:rPr>
        <w:t xml:space="preserve"> 1,000,000.</w:t>
      </w:r>
    </w:p>
    <w:p w:rsidR="57A91123" w:rsidP="00E62FC6" w:rsidRDefault="57A91123" w14:paraId="0DA751EC" w14:textId="2BA15C44">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Some measures in the rail industry have tried to address and recognise the importance of reliability. For example, the Golden, Silver and Bronze Spanner annual awards in the UK, organised by the Rail Alliance (2019) recognises best practices in rolling stock reliability. The Golden Spanner uses mileage between any technical incident (MTIN) related to rolling stock as its criteria, whilst the Silver Spanner focuses on most improved (MTIN) and final</w:t>
      </w:r>
      <w:r w:rsidRPr="00E62FC6" w:rsidR="00E62FC6">
        <w:rPr>
          <w:rFonts w:ascii="Arial" w:hAnsi="Arial" w:eastAsia="Arial" w:cs="Arial"/>
          <w:noProof w:val="0"/>
          <w:sz w:val="22"/>
          <w:szCs w:val="22"/>
          <w:lang w:val="en-GB"/>
        </w:rPr>
        <w:t>l</w:t>
      </w:r>
      <w:r w:rsidRPr="00E62FC6" w:rsidR="00E62FC6">
        <w:rPr>
          <w:rFonts w:ascii="Arial" w:hAnsi="Arial" w:eastAsia="Arial" w:cs="Arial"/>
          <w:noProof w:val="0"/>
          <w:sz w:val="22"/>
          <w:szCs w:val="22"/>
          <w:lang w:val="en-GB"/>
        </w:rPr>
        <w:t xml:space="preserve">y the Bronze Spanner award identifies </w:t>
      </w:r>
      <w:r w:rsidRPr="00E62FC6" w:rsidR="00E62FC6">
        <w:rPr>
          <w:rFonts w:ascii="Arial" w:hAnsi="Arial" w:eastAsia="Arial" w:cs="Arial"/>
          <w:noProof w:val="0"/>
          <w:sz w:val="22"/>
          <w:szCs w:val="22"/>
          <w:lang w:val="en-GB"/>
        </w:rPr>
        <w:t xml:space="preserve">fastest incident recovery, based on primary Delay minutes Per Incident (DPI). </w:t>
      </w:r>
    </w:p>
    <w:p w:rsidR="57A91123" w:rsidP="00E62FC6" w:rsidRDefault="57A91123" w14:paraId="0D1FEFCE" w14:textId="46D19215">
      <w:pPr>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Six sigma uses a series of techniques to improve the quality of services and reduce defects by using the cycle of defining, measuring, analysing, improving and controlling (DMAIC). </w:t>
      </w:r>
    </w:p>
    <w:p w:rsidR="57A91123" w:rsidP="00E62FC6" w:rsidRDefault="57A91123" w14:paraId="44634405" w14:textId="42EBD3AC">
      <w:pPr>
        <w:rPr>
          <w:rFonts w:ascii="Arial" w:hAnsi="Arial" w:eastAsia="Arial" w:cs="Arial"/>
          <w:noProof w:val="0"/>
          <w:sz w:val="22"/>
          <w:szCs w:val="22"/>
          <w:lang w:val="en-GB"/>
        </w:rPr>
      </w:pPr>
      <w:r w:rsidRPr="00E62FC6" w:rsidR="00E62FC6">
        <w:rPr>
          <w:rFonts w:ascii="Arial" w:hAnsi="Arial" w:eastAsia="Arial" w:cs="Arial"/>
          <w:b w:val="1"/>
          <w:bCs w:val="1"/>
          <w:noProof w:val="0"/>
          <w:sz w:val="22"/>
          <w:szCs w:val="22"/>
          <w:u w:val="single"/>
          <w:lang w:val="en-GB"/>
        </w:rPr>
        <w:t>Sigma Level of Railway Operations</w:t>
      </w:r>
      <w:r w:rsidRPr="00E62FC6" w:rsidR="00E62FC6">
        <w:rPr>
          <w:rFonts w:ascii="Arial" w:hAnsi="Arial" w:eastAsia="Arial" w:cs="Arial"/>
          <w:b w:val="1"/>
          <w:bCs w:val="1"/>
          <w:noProof w:val="0"/>
          <w:sz w:val="22"/>
          <w:szCs w:val="22"/>
          <w:lang w:val="en-GB"/>
        </w:rPr>
        <w:t xml:space="preserve"> </w:t>
      </w:r>
      <w:r w:rsidRPr="00E62FC6" w:rsidR="00E62FC6">
        <w:rPr>
          <w:rFonts w:ascii="Arial" w:hAnsi="Arial" w:eastAsia="Arial" w:cs="Arial"/>
          <w:noProof w:val="0"/>
          <w:sz w:val="22"/>
          <w:szCs w:val="22"/>
          <w:lang w:val="en-GB"/>
        </w:rPr>
        <w:t xml:space="preserve"> </w:t>
      </w:r>
    </w:p>
    <w:p w:rsidR="00E62FC6" w:rsidP="00E62FC6" w:rsidRDefault="00E62FC6" w14:paraId="55546E3A" w14:textId="71360652">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This essay estimates the Great Britain railway's Sigma level of performance by calculating DPMO. Delay is the significant flaw in train facilities that do not </w:t>
      </w:r>
      <w:proofErr w:type="spellStart"/>
      <w:r w:rsidRPr="00E62FC6" w:rsidR="00E62FC6">
        <w:rPr>
          <w:rFonts w:ascii="Arial" w:hAnsi="Arial" w:eastAsia="Arial" w:cs="Arial"/>
          <w:noProof w:val="0"/>
          <w:sz w:val="22"/>
          <w:szCs w:val="22"/>
          <w:lang w:val="en-GB"/>
        </w:rPr>
        <w:t>fulfill</w:t>
      </w:r>
      <w:proofErr w:type="spellEnd"/>
      <w:r w:rsidRPr="00E62FC6" w:rsidR="00E62FC6">
        <w:rPr>
          <w:rFonts w:ascii="Arial" w:hAnsi="Arial" w:eastAsia="Arial" w:cs="Arial"/>
          <w:noProof w:val="0"/>
          <w:sz w:val="22"/>
          <w:szCs w:val="22"/>
          <w:lang w:val="en-GB"/>
        </w:rPr>
        <w:t>' client demands.'  The proportion of trains arriving late is the railway's main service level index. In Great Britain, it is calculated by measure of public performance (PPM is the percentage of trains that arrive' on time' at their termination station compared to the total number of trains planned. A train is defined as on time if it arrives at the destination within five minutes (i.e. 4 minutes 59 seconds or less) of the planned arrival time for London and South East or regional services or 10 minutes.</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National Public Performance Measure for May 26-June 22, 2019 (third period) was 89.2 percent compared to 85.8 percent last year for the same period (Network Rail, 2019). There is one chance per train for failures (i.e. being late or not) so the DPMO would be: DMPO= (10.8</w:t>
      </w:r>
      <w:proofErr w:type="gramStart"/>
      <w:r w:rsidRPr="00E62FC6" w:rsidR="00E62FC6">
        <w:rPr>
          <w:rFonts w:ascii="Arial" w:hAnsi="Arial" w:eastAsia="Arial" w:cs="Arial"/>
          <w:noProof w:val="0"/>
          <w:sz w:val="22"/>
          <w:szCs w:val="22"/>
          <w:lang w:val="en-GB"/>
        </w:rPr>
        <w:t>/(</w:t>
      </w:r>
      <w:proofErr w:type="gramEnd"/>
      <w:r w:rsidRPr="00E62FC6" w:rsidR="00E62FC6">
        <w:rPr>
          <w:rFonts w:ascii="Arial" w:hAnsi="Arial" w:eastAsia="Arial" w:cs="Arial"/>
          <w:noProof w:val="0"/>
          <w:sz w:val="22"/>
          <w:szCs w:val="22"/>
          <w:lang w:val="en-GB"/>
        </w:rPr>
        <w:t>100x 1))x 1,000,000= 108,000 By using one of the internet sigma-DPMO calculators, the performance level of Sigma is estimated at 2,74 π (ISIXSIGMA, 2011).</w:t>
      </w:r>
    </w:p>
    <w:p w:rsidR="57A91123" w:rsidP="00E62FC6" w:rsidRDefault="57A91123" w14:paraId="0D8A17E9" w14:textId="78FF5282">
      <w:pPr>
        <w:pStyle w:val="Normal"/>
        <w:rPr>
          <w:rFonts w:ascii="Arial" w:hAnsi="Arial" w:eastAsia="Arial" w:cs="Arial"/>
        </w:rPr>
      </w:pPr>
      <w:r>
        <w:drawing>
          <wp:inline wp14:editId="192FE4A9" wp14:anchorId="6C6348AA">
            <wp:extent cx="4572000" cy="1962150"/>
            <wp:effectExtent l="0" t="0" r="0" b="0"/>
            <wp:docPr id="359077032" name="" title=""/>
            <wp:cNvGraphicFramePr>
              <a:graphicFrameLocks noChangeAspect="1"/>
            </wp:cNvGraphicFramePr>
            <a:graphic>
              <a:graphicData uri="http://schemas.openxmlformats.org/drawingml/2006/picture">
                <pic:pic>
                  <pic:nvPicPr>
                    <pic:cNvPr id="0" name=""/>
                    <pic:cNvPicPr/>
                  </pic:nvPicPr>
                  <pic:blipFill>
                    <a:blip r:embed="Ra4a92750b44a4aa5">
                      <a:extLst>
                        <a:ext xmlns:a="http://schemas.openxmlformats.org/drawingml/2006/main" uri="{28A0092B-C50C-407E-A947-70E740481C1C}">
                          <a14:useLocalDpi val="0"/>
                        </a:ext>
                      </a:extLst>
                    </a:blip>
                    <a:stretch>
                      <a:fillRect/>
                    </a:stretch>
                  </pic:blipFill>
                  <pic:spPr>
                    <a:xfrm>
                      <a:off x="0" y="0"/>
                      <a:ext cx="4572000" cy="1962150"/>
                    </a:xfrm>
                    <a:prstGeom prst="rect">
                      <a:avLst/>
                    </a:prstGeom>
                  </pic:spPr>
                </pic:pic>
              </a:graphicData>
            </a:graphic>
          </wp:inline>
        </w:drawing>
      </w:r>
    </w:p>
    <w:p w:rsidR="57A91123" w:rsidP="00E62FC6" w:rsidRDefault="57A91123" w14:paraId="19315CFA" w14:textId="09A727AE">
      <w:pPr>
        <w:pStyle w:val="Normal"/>
        <w:rPr>
          <w:rFonts w:ascii="Arial" w:hAnsi="Arial" w:eastAsia="Arial" w:cs="Arial"/>
        </w:rPr>
      </w:pPr>
      <w:r w:rsidRPr="00E62FC6" w:rsidR="00E62FC6">
        <w:rPr>
          <w:rFonts w:ascii="Arial" w:hAnsi="Arial" w:eastAsia="Arial" w:cs="Arial"/>
        </w:rPr>
        <w:t xml:space="preserve">Figure 3 - </w:t>
      </w:r>
      <w:r w:rsidRPr="00E62FC6" w:rsidR="00E62FC6">
        <w:rPr>
          <w:rFonts w:ascii="Arial" w:hAnsi="Arial" w:eastAsia="Arial" w:cs="Arial"/>
        </w:rPr>
        <w:t>Six Sigma Demystified (P. Keller, 2011)</w:t>
      </w:r>
    </w:p>
    <w:p w:rsidR="57A91123" w:rsidP="00E62FC6" w:rsidRDefault="57A91123" w14:paraId="3341EEC5" w14:textId="116B1383">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Referring to Figure 1, businesses with quality enhancement programs are generally operating at a rate of 3-4. While undertakings operating at two to three rates "cannot profit for a very long time, it is not surprising that only monopolies, government agencies or others with captive clients are operating at these levels" (Keller, 2011). Although the Sigma performance standard for train delays is near to 3 π, this idea explains the huge railway expenses involved, the steady need to enhance effectiveness and the value for cash as proposed by the Department of Transport and Office of Rail Regulation (2011). At this level of service, rail is used primarily by so-called' captive' passengers or cargo</w:t>
      </w:r>
      <w:r w:rsidRPr="00E62FC6" w:rsidR="00E62FC6">
        <w:rPr>
          <w:rFonts w:ascii="Arial" w:hAnsi="Arial" w:eastAsia="Arial" w:cs="Arial"/>
          <w:noProof w:val="0"/>
          <w:sz w:val="22"/>
          <w:szCs w:val="22"/>
          <w:lang w:val="en-GB"/>
        </w:rPr>
        <w:t xml:space="preserve"> that cannot afford or switch to door-to-door car transportation or use airlines.  </w:t>
      </w:r>
    </w:p>
    <w:p w:rsidR="00E62FC6" w:rsidP="00E62FC6" w:rsidRDefault="00E62FC6" w14:paraId="3476E361" w14:textId="2F71568A">
      <w:pPr>
        <w:pStyle w:val="Normal"/>
        <w:ind w:left="0"/>
        <w:rPr>
          <w:rFonts w:ascii="Arial" w:hAnsi="Arial" w:eastAsia="Arial" w:cs="Arial"/>
          <w:b w:val="0"/>
          <w:bCs w:val="0"/>
          <w:noProof w:val="0"/>
          <w:u w:val="single"/>
          <w:lang w:val="en-GB"/>
        </w:rPr>
      </w:pPr>
      <w:r w:rsidRPr="00E62FC6" w:rsidR="00E62FC6">
        <w:rPr>
          <w:rFonts w:ascii="Arial" w:hAnsi="Arial" w:eastAsia="Arial" w:cs="Arial"/>
          <w:b w:val="0"/>
          <w:bCs w:val="0"/>
          <w:noProof w:val="0"/>
          <w:u w:val="single"/>
          <w:lang w:val="en-GB"/>
        </w:rPr>
        <w:t>Adopting Sigma Level for Railway Capacity Use</w:t>
      </w:r>
    </w:p>
    <w:p w:rsidR="00E62FC6" w:rsidP="00E62FC6" w:rsidRDefault="00E62FC6" w14:paraId="202E53C6" w14:textId="05F5F2C0">
      <w:pPr>
        <w:pStyle w:val="Normal"/>
        <w:ind w:left="0"/>
        <w:rPr>
          <w:rFonts w:ascii="Arial" w:hAnsi="Arial" w:eastAsia="Arial" w:cs="Arial"/>
          <w:noProof w:val="0"/>
          <w:lang w:val="en-GB"/>
        </w:rPr>
      </w:pPr>
      <w:r w:rsidRPr="00E62FC6" w:rsidR="00E62FC6">
        <w:rPr>
          <w:rFonts w:ascii="Arial" w:hAnsi="Arial" w:eastAsia="Arial" w:cs="Arial"/>
          <w:b w:val="0"/>
          <w:bCs w:val="0"/>
          <w:noProof w:val="0"/>
          <w:u w:val="none"/>
          <w:lang w:val="en-GB"/>
        </w:rPr>
        <w:t>This</w:t>
      </w:r>
      <w:r w:rsidRPr="00E62FC6" w:rsidR="00E62FC6">
        <w:rPr>
          <w:rFonts w:ascii="Arial" w:hAnsi="Arial" w:eastAsia="Arial" w:cs="Arial"/>
          <w:noProof w:val="0"/>
          <w:lang w:val="en-GB"/>
        </w:rPr>
        <w:t xml:space="preserve"> essay will use the underlying concepts and tools of Six Sigma and adopt its DMAIC cycle for the concept of Capacity Use: definition of railway capacity and capacity Use, objectives measurement of capacity use, metrics analysis of capacity allocation and use improvement of capacity.</w:t>
      </w:r>
    </w:p>
    <w:p w:rsidR="2FEDF7BF" w:rsidP="00E62FC6" w:rsidRDefault="2FEDF7BF" w14:paraId="5C60DFF8" w14:textId="2550231B">
      <w:pPr>
        <w:pStyle w:val="Heading1"/>
        <w:rPr>
          <w:rFonts w:ascii="Arial" w:hAnsi="Arial" w:eastAsia="Arial" w:cs="Arial"/>
          <w:noProof w:val="0"/>
          <w:lang w:val="en-GB"/>
        </w:rPr>
      </w:pPr>
      <w:r w:rsidRPr="00E62FC6" w:rsidR="00E62FC6">
        <w:rPr>
          <w:rFonts w:ascii="Arial" w:hAnsi="Arial" w:eastAsia="Arial" w:cs="Arial"/>
          <w:noProof w:val="0"/>
          <w:lang w:val="en-GB"/>
        </w:rPr>
        <w:t>Defin</w:t>
      </w:r>
      <w:r w:rsidRPr="00E62FC6" w:rsidR="00E62FC6">
        <w:rPr>
          <w:rFonts w:ascii="Arial" w:hAnsi="Arial" w:eastAsia="Arial" w:cs="Arial"/>
          <w:noProof w:val="0"/>
          <w:lang w:val="en-GB"/>
        </w:rPr>
        <w:t>e Stage</w:t>
      </w:r>
    </w:p>
    <w:p w:rsidR="57A91123" w:rsidP="00E62FC6" w:rsidRDefault="57A91123" w14:paraId="1C646C78" w14:textId="5D0AF036">
      <w:pPr>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Based on the concept of </w:t>
      </w:r>
      <w:r w:rsidRPr="00E62FC6" w:rsidR="00E62FC6">
        <w:rPr>
          <w:rFonts w:ascii="Arial" w:hAnsi="Arial" w:eastAsia="Arial" w:cs="Arial"/>
          <w:noProof w:val="0"/>
          <w:sz w:val="22"/>
          <w:szCs w:val="22"/>
          <w:lang w:val="en-GB"/>
        </w:rPr>
        <w:t xml:space="preserve">the </w:t>
      </w:r>
      <w:r w:rsidRPr="00E62FC6" w:rsidR="00E62FC6">
        <w:rPr>
          <w:rFonts w:ascii="Arial" w:hAnsi="Arial" w:eastAsia="Arial" w:cs="Arial"/>
          <w:noProof w:val="0"/>
          <w:sz w:val="22"/>
          <w:szCs w:val="22"/>
          <w:lang w:val="en-GB"/>
        </w:rPr>
        <w:t xml:space="preserve">DMAIC cycle in Six Sigma, this section </w:t>
      </w:r>
      <w:r w:rsidRPr="00E62FC6" w:rsidR="00E62FC6">
        <w:rPr>
          <w:rFonts w:ascii="Arial" w:hAnsi="Arial" w:eastAsia="Arial" w:cs="Arial"/>
          <w:noProof w:val="0"/>
          <w:sz w:val="22"/>
          <w:szCs w:val="22"/>
          <w:lang w:val="en-GB"/>
        </w:rPr>
        <w:t xml:space="preserve">will provide </w:t>
      </w:r>
      <w:r w:rsidRPr="00E62FC6" w:rsidR="00E62FC6">
        <w:rPr>
          <w:rFonts w:ascii="Arial" w:hAnsi="Arial" w:eastAsia="Arial" w:cs="Arial"/>
          <w:noProof w:val="0"/>
          <w:sz w:val="22"/>
          <w:szCs w:val="22"/>
          <w:lang w:val="en-GB"/>
        </w:rPr>
        <w:t xml:space="preserve">a comprehensive methodology </w:t>
      </w:r>
      <w:r w:rsidRPr="00E62FC6" w:rsidR="00E62FC6">
        <w:rPr>
          <w:rFonts w:ascii="Arial" w:hAnsi="Arial" w:eastAsia="Arial" w:cs="Arial"/>
          <w:noProof w:val="0"/>
          <w:sz w:val="22"/>
          <w:szCs w:val="22"/>
          <w:lang w:val="en-GB"/>
        </w:rPr>
        <w:t>in</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 xml:space="preserve">order to </w:t>
      </w:r>
      <w:r w:rsidRPr="00E62FC6" w:rsidR="00E62FC6">
        <w:rPr>
          <w:rFonts w:ascii="Arial" w:hAnsi="Arial" w:eastAsia="Arial" w:cs="Arial"/>
          <w:noProof w:val="0"/>
          <w:sz w:val="22"/>
          <w:szCs w:val="22"/>
          <w:lang w:val="en-GB"/>
        </w:rPr>
        <w:t>defin</w:t>
      </w:r>
      <w:r w:rsidRPr="00E62FC6" w:rsidR="00E62FC6">
        <w:rPr>
          <w:rFonts w:ascii="Arial" w:hAnsi="Arial" w:eastAsia="Arial" w:cs="Arial"/>
          <w:noProof w:val="0"/>
          <w:sz w:val="22"/>
          <w:szCs w:val="22"/>
          <w:lang w:val="en-GB"/>
        </w:rPr>
        <w:t>e</w:t>
      </w:r>
      <w:r w:rsidRPr="00E62FC6" w:rsidR="00E62FC6">
        <w:rPr>
          <w:rFonts w:ascii="Arial" w:hAnsi="Arial" w:eastAsia="Arial" w:cs="Arial"/>
          <w:noProof w:val="0"/>
          <w:sz w:val="22"/>
          <w:szCs w:val="22"/>
          <w:lang w:val="en-GB"/>
        </w:rPr>
        <w:t>, measur</w:t>
      </w:r>
      <w:r w:rsidRPr="00E62FC6" w:rsidR="00E62FC6">
        <w:rPr>
          <w:rFonts w:ascii="Arial" w:hAnsi="Arial" w:eastAsia="Arial" w:cs="Arial"/>
          <w:noProof w:val="0"/>
          <w:sz w:val="22"/>
          <w:szCs w:val="22"/>
          <w:lang w:val="en-GB"/>
        </w:rPr>
        <w:t>e</w:t>
      </w:r>
      <w:r w:rsidRPr="00E62FC6" w:rsidR="00E62FC6">
        <w:rPr>
          <w:rFonts w:ascii="Arial" w:hAnsi="Arial" w:eastAsia="Arial" w:cs="Arial"/>
          <w:noProof w:val="0"/>
          <w:sz w:val="22"/>
          <w:szCs w:val="22"/>
          <w:lang w:val="en-GB"/>
        </w:rPr>
        <w:t xml:space="preserve"> and analys</w:t>
      </w:r>
      <w:r w:rsidRPr="00E62FC6" w:rsidR="00E62FC6">
        <w:rPr>
          <w:rFonts w:ascii="Arial" w:hAnsi="Arial" w:eastAsia="Arial" w:cs="Arial"/>
          <w:noProof w:val="0"/>
          <w:sz w:val="22"/>
          <w:szCs w:val="22"/>
          <w:lang w:val="en-GB"/>
        </w:rPr>
        <w:t>e</w:t>
      </w:r>
      <w:r w:rsidRPr="00E62FC6" w:rsidR="00E62FC6">
        <w:rPr>
          <w:rFonts w:ascii="Arial" w:hAnsi="Arial" w:eastAsia="Arial" w:cs="Arial"/>
          <w:noProof w:val="0"/>
          <w:sz w:val="22"/>
          <w:szCs w:val="22"/>
          <w:lang w:val="en-GB"/>
        </w:rPr>
        <w:t xml:space="preserve"> capacity utilisation in the passenger railway operation sector</w:t>
      </w:r>
      <w:r w:rsidRPr="00E62FC6" w:rsidR="00E62FC6">
        <w:rPr>
          <w:rFonts w:ascii="Arial" w:hAnsi="Arial" w:eastAsia="Arial" w:cs="Arial"/>
          <w:noProof w:val="0"/>
          <w:sz w:val="22"/>
          <w:szCs w:val="22"/>
          <w:lang w:val="en-GB"/>
        </w:rPr>
        <w:t xml:space="preserve"> with a particular focus on South Western Rail</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The</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 xml:space="preserve">approach is widely used as a management process for increasing efficiency and quality while decreasing costs.  </w:t>
      </w:r>
    </w:p>
    <w:p w:rsidR="57A91123" w:rsidP="00E62FC6" w:rsidRDefault="57A91123" w14:paraId="3F66CF45" w14:textId="021E1DAA">
      <w:pPr>
        <w:pStyle w:val="Normal"/>
        <w:rPr>
          <w:rFonts w:ascii="Arial" w:hAnsi="Arial" w:eastAsia="Arial" w:cs="Arial"/>
          <w:b w:val="0"/>
          <w:bCs w:val="0"/>
          <w:noProof w:val="0"/>
          <w:sz w:val="22"/>
          <w:szCs w:val="22"/>
          <w:u w:val="single"/>
          <w:lang w:val="en-GB"/>
        </w:rPr>
      </w:pPr>
      <w:r w:rsidRPr="00E62FC6" w:rsidR="00E62FC6">
        <w:rPr>
          <w:rFonts w:ascii="Arial" w:hAnsi="Arial" w:eastAsia="Arial" w:cs="Arial"/>
          <w:b w:val="0"/>
          <w:bCs w:val="0"/>
          <w:noProof w:val="0"/>
          <w:sz w:val="22"/>
          <w:szCs w:val="22"/>
          <w:u w:val="single"/>
          <w:lang w:val="en-GB"/>
        </w:rPr>
        <w:t>Defining Railway Capacity Utilisation</w:t>
      </w:r>
    </w:p>
    <w:p w:rsidR="00E62FC6" w:rsidP="00E62FC6" w:rsidRDefault="00E62FC6" w14:paraId="0813F45F" w14:textId="74E5AE5F">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The core of capacity utilization is to make efficient use of the infrastructure and to avoid its waste. This idea is very similar to ' lean thinking ' that seeks to ' eliminate all types of waste ' (Moore, 2007).</w:t>
      </w:r>
    </w:p>
    <w:p w:rsidR="00E62FC6" w:rsidP="00E62FC6" w:rsidRDefault="00E62FC6" w14:paraId="0E6091FA" w14:textId="18BD4D23">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The railway infrastructure cannot be used directly by passengers and freight; instead, they are packed into trains. Railway capacity is used in discrete steps (as opposed to continuous use of highway capability until it is saturated at a standstill stage). In order to create added value, these discrete steps can be taken in distinct ways and distinct combinations of train kinds, velocity and service levels. Value is an expression of "the relationship between function and resources in which function is measured by the customer's performance requirements (such as service quality) and resources are measured in the materials, labour, price, time, etc. required to perform that function" (SAVE, 2007).</w:t>
      </w:r>
    </w:p>
    <w:p w:rsidR="2FEDF7BF" w:rsidP="00E62FC6" w:rsidRDefault="2FEDF7BF" w14:paraId="5594FF2A" w14:textId="0DFB5001">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This assignment defines lean railway capacity utilisation as: “The ability of the infrastructure to generate added value by enabling passengers to reach their destination as planned”. Therefore, the more passengers that can be transported further toward their destinations in the unit of time, the more added value is generated by utilising the capacity of the infrastructure. The term ‘as planned’ emphasises the quality aspects of capacity utilisation such as avoiding delays and ensuring safety. By this definition, whatever does not generate added value, i.e. whatever hinders, disturbs or negatively affects this process, is a waste of practical capacity. </w:t>
      </w:r>
    </w:p>
    <w:p w:rsidR="2FEDF7BF" w:rsidP="00E62FC6" w:rsidRDefault="2FEDF7BF" w14:paraId="6C1D3DF3" w14:textId="1B98651D">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T</w:t>
      </w:r>
      <w:r w:rsidRPr="00E62FC6" w:rsidR="00E62FC6">
        <w:rPr>
          <w:rFonts w:ascii="Arial" w:hAnsi="Arial" w:eastAsia="Arial" w:cs="Arial"/>
          <w:noProof w:val="0"/>
          <w:sz w:val="22"/>
          <w:szCs w:val="22"/>
          <w:lang w:val="en-GB"/>
        </w:rPr>
        <w:t>hrough utilising the de</w:t>
      </w:r>
      <w:r w:rsidRPr="00E62FC6" w:rsidR="00E62FC6">
        <w:rPr>
          <w:rFonts w:ascii="Arial" w:hAnsi="Arial" w:eastAsia="Arial" w:cs="Arial"/>
          <w:noProof w:val="0"/>
          <w:sz w:val="22"/>
          <w:szCs w:val="22"/>
          <w:lang w:val="en-GB"/>
        </w:rPr>
        <w:t>fini</w:t>
      </w:r>
      <w:r w:rsidRPr="00E62FC6" w:rsidR="00E62FC6">
        <w:rPr>
          <w:rFonts w:ascii="Arial" w:hAnsi="Arial" w:eastAsia="Arial" w:cs="Arial"/>
          <w:noProof w:val="0"/>
          <w:sz w:val="22"/>
          <w:szCs w:val="22"/>
          <w:lang w:val="en-GB"/>
        </w:rPr>
        <w:t>tion of lean railway capacity, it is possible to identify major areas of waste within the industry. Sources include: scheduled waiting times, buffer times between trains, delays, dwell time at stations</w:t>
      </w:r>
      <w:r w:rsidRPr="00E62FC6" w:rsidR="00E62FC6">
        <w:rPr>
          <w:rFonts w:ascii="Arial" w:hAnsi="Arial" w:eastAsia="Arial" w:cs="Arial"/>
          <w:noProof w:val="0"/>
          <w:sz w:val="22"/>
          <w:szCs w:val="22"/>
          <w:lang w:val="en-GB"/>
        </w:rPr>
        <w:t>,</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s</w:t>
      </w:r>
      <w:r w:rsidRPr="00E62FC6" w:rsidR="00E62FC6">
        <w:rPr>
          <w:rFonts w:ascii="Arial" w:hAnsi="Arial" w:eastAsia="Arial" w:cs="Arial"/>
          <w:noProof w:val="0"/>
          <w:sz w:val="22"/>
          <w:szCs w:val="22"/>
          <w:lang w:val="en-GB"/>
        </w:rPr>
        <w:t>peed restrictions</w:t>
      </w:r>
      <w:r w:rsidRPr="00E62FC6" w:rsidR="00E62FC6">
        <w:rPr>
          <w:rFonts w:ascii="Arial" w:hAnsi="Arial" w:eastAsia="Arial" w:cs="Arial"/>
          <w:noProof w:val="0"/>
          <w:sz w:val="22"/>
          <w:szCs w:val="22"/>
          <w:lang w:val="en-GB"/>
        </w:rPr>
        <w:t>, i</w:t>
      </w:r>
      <w:r w:rsidRPr="00E62FC6" w:rsidR="00E62FC6">
        <w:rPr>
          <w:rFonts w:ascii="Arial" w:hAnsi="Arial" w:eastAsia="Arial" w:cs="Arial"/>
          <w:noProof w:val="0"/>
          <w:sz w:val="22"/>
          <w:szCs w:val="22"/>
          <w:lang w:val="en-GB"/>
        </w:rPr>
        <w:t xml:space="preserve">nefficient signalling systems </w:t>
      </w:r>
      <w:r w:rsidRPr="00E62FC6" w:rsidR="00E62FC6">
        <w:rPr>
          <w:rFonts w:ascii="Arial" w:hAnsi="Arial" w:eastAsia="Arial" w:cs="Arial"/>
          <w:noProof w:val="0"/>
          <w:sz w:val="22"/>
          <w:szCs w:val="22"/>
          <w:lang w:val="en-GB"/>
        </w:rPr>
        <w:t>and c</w:t>
      </w:r>
      <w:r w:rsidRPr="00E62FC6" w:rsidR="00E62FC6">
        <w:rPr>
          <w:rFonts w:ascii="Arial" w:hAnsi="Arial" w:eastAsia="Arial" w:cs="Arial"/>
          <w:noProof w:val="0"/>
          <w:sz w:val="22"/>
          <w:szCs w:val="22"/>
          <w:lang w:val="en-GB"/>
        </w:rPr>
        <w:t>onflicting train routes</w:t>
      </w:r>
      <w:r w:rsidRPr="00E62FC6" w:rsidR="00E62FC6">
        <w:rPr>
          <w:rFonts w:ascii="Arial" w:hAnsi="Arial" w:eastAsia="Arial" w:cs="Arial"/>
          <w:noProof w:val="0"/>
          <w:sz w:val="22"/>
          <w:szCs w:val="22"/>
          <w:lang w:val="en-GB"/>
        </w:rPr>
        <w:t>.</w:t>
      </w:r>
    </w:p>
    <w:p w:rsidR="2FEDF7BF" w:rsidP="00E62FC6" w:rsidRDefault="2FEDF7BF" w14:paraId="09F38CA7" w14:textId="0557392D">
      <w:pPr>
        <w:pStyle w:val="Heading1"/>
        <w:rPr>
          <w:rFonts w:ascii="Arial" w:hAnsi="Arial" w:eastAsia="Arial" w:cs="Arial"/>
          <w:noProof w:val="0"/>
          <w:lang w:val="en-GB"/>
        </w:rPr>
      </w:pPr>
      <w:r w:rsidRPr="00E62FC6" w:rsidR="00E62FC6">
        <w:rPr>
          <w:rFonts w:ascii="Arial" w:hAnsi="Arial" w:eastAsia="Arial" w:cs="Arial"/>
          <w:noProof w:val="0"/>
          <w:lang w:val="en-GB"/>
        </w:rPr>
        <w:t>Measuring</w:t>
      </w:r>
      <w:r w:rsidRPr="00E62FC6" w:rsidR="00E62FC6">
        <w:rPr>
          <w:rFonts w:ascii="Arial" w:hAnsi="Arial" w:eastAsia="Arial" w:cs="Arial"/>
          <w:noProof w:val="0"/>
          <w:lang w:val="en-GB"/>
        </w:rPr>
        <w:t xml:space="preserve"> </w:t>
      </w:r>
      <w:r w:rsidRPr="00E62FC6" w:rsidR="00E62FC6">
        <w:rPr>
          <w:rFonts w:ascii="Arial" w:hAnsi="Arial" w:eastAsia="Arial" w:cs="Arial"/>
          <w:noProof w:val="0"/>
          <w:lang w:val="en-GB"/>
        </w:rPr>
        <w:t>Stage</w:t>
      </w:r>
      <w:r w:rsidRPr="00E62FC6" w:rsidR="00E62FC6">
        <w:rPr>
          <w:rFonts w:ascii="Arial" w:hAnsi="Arial" w:eastAsia="Arial" w:cs="Arial"/>
          <w:noProof w:val="0"/>
          <w:lang w:val="en-GB"/>
        </w:rPr>
        <w:t xml:space="preserve"> </w:t>
      </w:r>
      <w:r w:rsidRPr="00E62FC6" w:rsidR="00E62FC6">
        <w:rPr>
          <w:rFonts w:ascii="Arial" w:hAnsi="Arial" w:eastAsia="Arial" w:cs="Arial"/>
          <w:noProof w:val="0"/>
          <w:lang w:val="en-GB"/>
        </w:rPr>
        <w:t xml:space="preserve"> </w:t>
      </w:r>
    </w:p>
    <w:p w:rsidR="2FEDF7BF" w:rsidP="00E62FC6" w:rsidRDefault="2FEDF7BF" w14:paraId="4FC94FE7" w14:textId="22C0DCCE">
      <w:pPr>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The second phase of the DMAIC cycle focuses on measuring data gathered to establish the current state of the environment in order to allow the third phase ‘analyse’ to take place (George, 2002). The method used to present the capacity utilisation analysis at stations </w:t>
      </w:r>
      <w:r w:rsidRPr="00E62FC6" w:rsidR="00E62FC6">
        <w:rPr>
          <w:rFonts w:ascii="Arial" w:hAnsi="Arial" w:eastAsia="Arial" w:cs="Arial"/>
          <w:noProof w:val="0"/>
          <w:sz w:val="22"/>
          <w:szCs w:val="22"/>
          <w:lang w:val="en-GB"/>
        </w:rPr>
        <w:t>serviced</w:t>
      </w:r>
      <w:r w:rsidRPr="00E62FC6" w:rsidR="00E62FC6">
        <w:rPr>
          <w:rFonts w:ascii="Arial" w:hAnsi="Arial" w:eastAsia="Arial" w:cs="Arial"/>
          <w:noProof w:val="0"/>
          <w:sz w:val="22"/>
          <w:szCs w:val="22"/>
          <w:lang w:val="en-GB"/>
        </w:rPr>
        <w:t xml:space="preserve"> by South Western Rail and for passenger trains operated by them will be based on the data envelopment analysis (DEA).</w:t>
      </w:r>
    </w:p>
    <w:p w:rsidR="2FEDF7BF" w:rsidP="00E62FC6" w:rsidRDefault="2FEDF7BF" w14:paraId="36A288DC" w14:textId="5C84225D">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Analysis of data envelopment is a widely used performance assessment technique and a breakthrough in comparative effectiveness assessment (Farrell, 1957). It is particularly useful in assessing efficiency where various inputs and various outputs have complicated (or unknown) relationships.</w:t>
      </w:r>
    </w:p>
    <w:p w:rsidR="2FEDF7BF" w:rsidP="00E62FC6" w:rsidRDefault="2FEDF7BF" w14:paraId="244AE4B4" w14:textId="72D6A844">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The ratio of generated outputs to inputs is commonly used to assess efficiency (Cooper et al., 2006). If it is regarded in the broader value-for-money context, it can be part of the chain of' economy,'' efficiency' and' effectiveness' or' three E's' as defined by Booz &amp; Company (2011): economy: how cheaply inputs are supplied, efficiency: how much production is generated by inputs and how efficiently outputs are generated</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 xml:space="preserve">and </w:t>
      </w:r>
      <w:r w:rsidRPr="00E62FC6" w:rsidR="00E62FC6">
        <w:rPr>
          <w:rFonts w:ascii="Arial" w:hAnsi="Arial" w:eastAsia="Arial" w:cs="Arial"/>
          <w:noProof w:val="0"/>
          <w:sz w:val="22"/>
          <w:szCs w:val="22"/>
          <w:lang w:val="en-GB"/>
        </w:rPr>
        <w:t>effectiveness: the extent of delivering desired outcomes by the cost of producing outputs.</w:t>
      </w:r>
    </w:p>
    <w:p w:rsidR="00E62FC6" w:rsidP="00E62FC6" w:rsidRDefault="00E62FC6" w14:paraId="5D04A530" w14:textId="6B548F82">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In this example, both inner and external sources would include inputs. For instance, external inputs would consist of time slots to use the infrastructure, public franchise payments, while inner inputs would include employees, rolling stock, route distances, and stations. During the intermediate phase–the half-way point from inputs to outputs business are compelled into making valuable decisions by considering the effects of route distance and government franchise payments. The final phase consists of the amounts of passengers per km and the number of delays.</w:t>
      </w:r>
    </w:p>
    <w:p w:rsidR="2FEDF7BF" w:rsidP="00E62FC6" w:rsidRDefault="2FEDF7BF" w14:paraId="2D9549F5" w14:textId="0C0CD77A">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u w:val="single"/>
          <w:lang w:val="en-GB"/>
        </w:rPr>
        <w:t>Stakeholders</w:t>
      </w:r>
    </w:p>
    <w:p w:rsidR="2FEDF7BF" w:rsidP="00E62FC6" w:rsidRDefault="2FEDF7BF" w14:paraId="216A5D1A" w14:textId="0830C6B9">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Government as the rail network regulator gets franchise payments from rail companies working on their infrastructure. These payments were down 400 million pounds from 700 million in the financial year 2017-2018 as a consequence of delays in infrastructure upgrades and reduced industry-wide income development (ORR, 2019).  Hence, the DEA model's main stakeholder in </w:t>
      </w:r>
      <w:r w:rsidRPr="00E62FC6" w:rsidR="00E62FC6">
        <w:rPr>
          <w:rFonts w:ascii="Arial" w:hAnsi="Arial" w:eastAsia="Arial" w:cs="Arial"/>
          <w:noProof w:val="0"/>
          <w:sz w:val="22"/>
          <w:szCs w:val="22"/>
          <w:lang w:val="en-GB"/>
        </w:rPr>
        <w:t>analysing</w:t>
      </w:r>
      <w:r w:rsidRPr="00E62FC6" w:rsidR="00E62FC6">
        <w:rPr>
          <w:rFonts w:ascii="Arial" w:hAnsi="Arial" w:eastAsia="Arial" w:cs="Arial"/>
          <w:noProof w:val="0"/>
          <w:sz w:val="22"/>
          <w:szCs w:val="22"/>
          <w:lang w:val="en-GB"/>
        </w:rPr>
        <w:t xml:space="preserve"> effectiveness</w:t>
      </w:r>
      <w:r w:rsidRPr="00E62FC6" w:rsidR="00E62FC6">
        <w:rPr>
          <w:rFonts w:ascii="Arial" w:hAnsi="Arial" w:eastAsia="Arial" w:cs="Arial"/>
          <w:noProof w:val="0"/>
          <w:sz w:val="22"/>
          <w:szCs w:val="22"/>
          <w:lang w:val="en-GB"/>
        </w:rPr>
        <w:t xml:space="preserve"> of South Western Rails passenger train service's is the government.</w:t>
      </w:r>
    </w:p>
    <w:p w:rsidR="2FEDF7BF" w:rsidP="00E62FC6" w:rsidRDefault="2FEDF7BF" w14:paraId="44A049C4" w14:textId="147536AC">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u w:val="single"/>
          <w:lang w:val="en-GB"/>
        </w:rPr>
        <w:t>Controllable Inputs</w:t>
      </w:r>
    </w:p>
    <w:p w:rsidR="00E62FC6" w:rsidP="00E62FC6" w:rsidRDefault="00E62FC6" w14:paraId="268E740B" w14:textId="26120C38">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Since the government is South Western Rail's key stakeholder, there are two main categories of controllable inputs that can be given to the company. One is the franchise payments that allow passenger train services to be operated. The other primary input category is the </w:t>
      </w:r>
      <w:r w:rsidRPr="00E62FC6" w:rsidR="00E62FC6">
        <w:rPr>
          <w:rFonts w:ascii="Arial" w:hAnsi="Arial" w:eastAsia="Arial" w:cs="Arial"/>
          <w:noProof w:val="0"/>
          <w:sz w:val="22"/>
          <w:szCs w:val="22"/>
          <w:lang w:val="en-GB"/>
        </w:rPr>
        <w:t>number</w:t>
      </w:r>
      <w:r w:rsidRPr="00E62FC6" w:rsidR="00E62FC6">
        <w:rPr>
          <w:rFonts w:ascii="Arial" w:hAnsi="Arial" w:eastAsia="Arial" w:cs="Arial"/>
          <w:noProof w:val="0"/>
          <w:sz w:val="22"/>
          <w:szCs w:val="22"/>
          <w:lang w:val="en-GB"/>
        </w:rPr>
        <w:t xml:space="preserve"> of timeslots assigned for using state-owned railway </w:t>
      </w:r>
      <w:r w:rsidRPr="00E62FC6" w:rsidR="00E62FC6">
        <w:rPr>
          <w:rFonts w:ascii="Arial" w:hAnsi="Arial" w:eastAsia="Arial" w:cs="Arial"/>
          <w:noProof w:val="0"/>
          <w:sz w:val="22"/>
          <w:szCs w:val="22"/>
          <w:lang w:val="en-GB"/>
        </w:rPr>
        <w:t>tracks.</w:t>
      </w:r>
    </w:p>
    <w:p w:rsidR="2FEDF7BF" w:rsidP="00E62FC6" w:rsidRDefault="2FEDF7BF" w14:paraId="7D6C82F2" w14:textId="65B9B377">
      <w:pPr>
        <w:pStyle w:val="Normal"/>
        <w:rPr>
          <w:rFonts w:ascii="Arial" w:hAnsi="Arial" w:eastAsia="Arial" w:cs="Arial"/>
          <w:b w:val="0"/>
          <w:bCs w:val="0"/>
          <w:noProof w:val="0"/>
          <w:sz w:val="22"/>
          <w:szCs w:val="22"/>
          <w:u w:val="single"/>
          <w:lang w:val="en-GB"/>
        </w:rPr>
      </w:pPr>
      <w:r w:rsidRPr="00E62FC6" w:rsidR="00E62FC6">
        <w:rPr>
          <w:rFonts w:ascii="Arial" w:hAnsi="Arial" w:eastAsia="Arial" w:cs="Arial"/>
          <w:b w:val="0"/>
          <w:bCs w:val="0"/>
          <w:noProof w:val="0"/>
          <w:sz w:val="22"/>
          <w:szCs w:val="22"/>
          <w:u w:val="single"/>
          <w:lang w:val="en-GB"/>
        </w:rPr>
        <w:t>Output Priorities</w:t>
      </w:r>
    </w:p>
    <w:p w:rsidR="00E62FC6" w:rsidP="00E62FC6" w:rsidRDefault="00E62FC6" w14:paraId="3B7D9ABC" w14:textId="79151622">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To enable the government to evaluate South Western Rail's efficiency, it can analyse the amount and quality of services it provides. The </w:t>
      </w:r>
      <w:r w:rsidRPr="00E62FC6" w:rsidR="00E62FC6">
        <w:rPr>
          <w:rFonts w:ascii="Arial" w:hAnsi="Arial" w:eastAsia="Arial" w:cs="Arial"/>
          <w:noProof w:val="0"/>
          <w:sz w:val="22"/>
          <w:szCs w:val="22"/>
          <w:lang w:val="en-GB"/>
        </w:rPr>
        <w:t>number</w:t>
      </w:r>
      <w:r w:rsidRPr="00E62FC6" w:rsidR="00E62FC6">
        <w:rPr>
          <w:rFonts w:ascii="Arial" w:hAnsi="Arial" w:eastAsia="Arial" w:cs="Arial"/>
          <w:noProof w:val="0"/>
          <w:sz w:val="22"/>
          <w:szCs w:val="22"/>
          <w:lang w:val="en-GB"/>
        </w:rPr>
        <w:t xml:space="preserve"> of travellers and the duration of travel can be the quantity of facilities. However, Public Performance Measure (percentage of passenger trains arriving on time at their destination) is the primary industry standard for quality assessment.</w:t>
      </w:r>
    </w:p>
    <w:p w:rsidR="2FEDF7BF" w:rsidP="00E62FC6" w:rsidRDefault="2FEDF7BF" w14:paraId="03254D67" w14:textId="1AF5364B">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u w:val="single"/>
          <w:lang w:val="en-GB"/>
        </w:rPr>
        <w:t>Choosing DEA Inputs and Outputs</w:t>
      </w:r>
    </w:p>
    <w:p w:rsidR="2FEDF7BF" w:rsidP="00E62FC6" w:rsidRDefault="2FEDF7BF" w14:paraId="466F2BB0" w14:textId="07FCE37F">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"Inputs are described in the DEA model as assets used by DMUs or circumstances that affect DMU output (Ramanathan, 2003). Timetabled train-km is the best proxy variable to reflect a train operator's use of infrastructure: the more trains it runs on the infrastructure and the longer it runs, the more it uses this valuable resource, the more inputs and opportunities it has to make useful results. As the primary objective of this study is to analyse capacity utilization effectiveness, train-km is selected as an input for the assessment of capacity utilization.</w:t>
      </w:r>
    </w:p>
    <w:p w:rsidR="2FEDF7BF" w:rsidP="00E62FC6" w:rsidRDefault="2FEDF7BF" w14:paraId="078B972C" w14:textId="2C65816A">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Outputs are the advantages produced by DMU activities (Ramanathan, 2003). South Western Rail's produced value can be evaluated in various ways. Considering the income produced by ticket sales is the first alternative that comes to mind. This cannot, however, be a good "operational efficiency" index. Trains running low load factor but high tariffs</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 xml:space="preserve">could </w:t>
      </w:r>
      <w:r w:rsidRPr="00E62FC6" w:rsidR="00E62FC6">
        <w:rPr>
          <w:rFonts w:ascii="Arial" w:hAnsi="Arial" w:eastAsia="Arial" w:cs="Arial"/>
          <w:noProof w:val="0"/>
          <w:sz w:val="22"/>
          <w:szCs w:val="22"/>
          <w:lang w:val="en-GB"/>
        </w:rPr>
        <w:t>be 'effective economically,' but not' effective operationally.' Transported passengers (the amount of passenger travel) are not informative on their own: one person could use the train for a very brief distance; one could bring the train for a very lengthy distance. The best measure to estimate the value produced by South Western Rail using the infrastructure is therefore</w:t>
      </w:r>
      <w:r w:rsidRPr="00E62FC6" w:rsidR="00E62FC6">
        <w:rPr>
          <w:rFonts w:ascii="Arial" w:hAnsi="Arial" w:eastAsia="Arial" w:cs="Arial"/>
          <w:noProof w:val="0"/>
          <w:sz w:val="22"/>
          <w:szCs w:val="22"/>
          <w:lang w:val="en-GB"/>
        </w:rPr>
        <w:t xml:space="preserve"> passenger-km. </w:t>
      </w:r>
    </w:p>
    <w:p w:rsidR="00E62FC6" w:rsidP="00E62FC6" w:rsidRDefault="00E62FC6" w14:paraId="70AA5ACD" w14:textId="439E7044">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There is a wide range of quality of service data available for each train operator: number of complaints received per 100,000 passenger journeys, national passenger survey results, measurement of public performance and delay minutes</w:t>
      </w:r>
    </w:p>
    <w:p w:rsidR="00E62FC6" w:rsidP="00E62FC6" w:rsidRDefault="00E62FC6" w14:paraId="23DB6582" w14:textId="0127AA80">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The amount of complaints is not a useful measure to be included in the DEA model for quality of service. Complaints can be subjective, mostly from the performance of the train. A train performance indicator is therefore a better estimate of the operator's quality of service. The quality of facilities on board and at stations is important, but passengers ' first priority is</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 xml:space="preserve">getting on time to their destinations. The Public Performance Measure is a comparative index, which is why delay minutes were selected to show the service quality that is essential for both </w:t>
      </w:r>
      <w:proofErr w:type="spellStart"/>
      <w:r w:rsidRPr="00E62FC6" w:rsidR="00E62FC6">
        <w:rPr>
          <w:rFonts w:ascii="Arial" w:hAnsi="Arial" w:eastAsia="Arial" w:cs="Arial"/>
          <w:noProof w:val="0"/>
          <w:sz w:val="22"/>
          <w:szCs w:val="22"/>
          <w:lang w:val="en-GB"/>
        </w:rPr>
        <w:t>travelers</w:t>
      </w:r>
      <w:proofErr w:type="spellEnd"/>
      <w:r w:rsidRPr="00E62FC6" w:rsidR="00E62FC6">
        <w:rPr>
          <w:rFonts w:ascii="Arial" w:hAnsi="Arial" w:eastAsia="Arial" w:cs="Arial"/>
          <w:noProof w:val="0"/>
          <w:sz w:val="22"/>
          <w:szCs w:val="22"/>
          <w:lang w:val="en-GB"/>
        </w:rPr>
        <w:t xml:space="preserve"> and the owner of the network. The' Annual Return ' report released by Network Rail (2019) provides data on train delay minutes for South Western Rail.</w:t>
      </w:r>
    </w:p>
    <w:p w:rsidR="00E62FC6" w:rsidP="00E62FC6" w:rsidRDefault="00E62FC6" w14:paraId="771443D8" w14:textId="58E83749">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Train delay is not a beneficial result, it should be observed. Negative results in DEA terminology are called' unwanted effects' and </w:t>
      </w:r>
      <w:proofErr w:type="gramStart"/>
      <w:r w:rsidRPr="00E62FC6" w:rsidR="00E62FC6">
        <w:rPr>
          <w:rFonts w:ascii="Arial" w:hAnsi="Arial" w:eastAsia="Arial" w:cs="Arial"/>
          <w:noProof w:val="0"/>
          <w:sz w:val="22"/>
          <w:szCs w:val="22"/>
          <w:lang w:val="en-GB"/>
        </w:rPr>
        <w:t>can not</w:t>
      </w:r>
      <w:proofErr w:type="gramEnd"/>
      <w:r w:rsidRPr="00E62FC6" w:rsidR="00E62FC6">
        <w:rPr>
          <w:rFonts w:ascii="Arial" w:hAnsi="Arial" w:eastAsia="Arial" w:cs="Arial"/>
          <w:noProof w:val="0"/>
          <w:sz w:val="22"/>
          <w:szCs w:val="22"/>
          <w:lang w:val="en-GB"/>
        </w:rPr>
        <w:t xml:space="preserve"> be used as inputs directly in the model. </w:t>
      </w:r>
      <w:proofErr w:type="spellStart"/>
      <w:r w:rsidRPr="00E62FC6" w:rsidR="00E62FC6">
        <w:rPr>
          <w:rFonts w:ascii="Arial" w:hAnsi="Arial" w:eastAsia="Arial" w:cs="Arial"/>
          <w:noProof w:val="0"/>
          <w:sz w:val="22"/>
          <w:szCs w:val="22"/>
          <w:lang w:val="en-GB"/>
        </w:rPr>
        <w:t>Seiford</w:t>
      </w:r>
      <w:proofErr w:type="spellEnd"/>
      <w:r w:rsidRPr="00E62FC6" w:rsidR="00E62FC6">
        <w:rPr>
          <w:rFonts w:ascii="Arial" w:hAnsi="Arial" w:eastAsia="Arial" w:cs="Arial"/>
          <w:noProof w:val="0"/>
          <w:sz w:val="22"/>
          <w:szCs w:val="22"/>
          <w:lang w:val="en-GB"/>
        </w:rPr>
        <w:t xml:space="preserve"> and Zhu (2002) surveyed methods for handling them. The most common techniques are: transfer unwanted impacts to the input side (as DEA attempts to minimize input usage) Or use ' unwanted impacts ' inverted as inputs (as DEA attempts to maximize returns).</w:t>
      </w:r>
    </w:p>
    <w:p w:rsidR="2FEDF7BF" w:rsidP="00E62FC6" w:rsidRDefault="2FEDF7BF" w14:paraId="55E8EDA4" w14:textId="40AB2ACA">
      <w:pPr>
        <w:pStyle w:val="Heading1"/>
        <w:rPr>
          <w:rFonts w:ascii="Arial" w:hAnsi="Arial" w:eastAsia="Arial" w:cs="Arial"/>
          <w:noProof w:val="0"/>
          <w:lang w:val="en-GB"/>
        </w:rPr>
      </w:pPr>
      <w:r w:rsidRPr="00E62FC6" w:rsidR="00E62FC6">
        <w:rPr>
          <w:rFonts w:ascii="Arial" w:hAnsi="Arial" w:eastAsia="Arial" w:cs="Arial"/>
          <w:noProof w:val="0"/>
          <w:lang w:val="en-GB"/>
        </w:rPr>
        <w:t>Analysing Stage</w:t>
      </w:r>
    </w:p>
    <w:p w:rsidR="2FEDF7BF" w:rsidP="00E62FC6" w:rsidRDefault="2FEDF7BF" w14:paraId="2DA28381" w14:textId="479F046F">
      <w:pPr>
        <w:pStyle w:val="Normal"/>
        <w:rPr>
          <w:rFonts w:ascii="Arial" w:hAnsi="Arial" w:eastAsia="Arial" w:cs="Arial"/>
          <w:noProof w:val="0"/>
          <w:sz w:val="22"/>
          <w:szCs w:val="22"/>
          <w:lang w:val="en-GB"/>
        </w:rPr>
      </w:pPr>
      <w:r>
        <w:drawing>
          <wp:inline wp14:editId="16687FF2" wp14:anchorId="48C4B66D">
            <wp:extent cx="5837296" cy="2455301"/>
            <wp:effectExtent l="0" t="0" r="0" b="0"/>
            <wp:docPr id="993287820" name="" title=""/>
            <wp:cNvGraphicFramePr>
              <a:graphicFrameLocks noChangeAspect="1"/>
            </wp:cNvGraphicFramePr>
            <a:graphic>
              <a:graphicData uri="http://schemas.openxmlformats.org/drawingml/2006/picture">
                <pic:pic>
                  <pic:nvPicPr>
                    <pic:cNvPr id="0" name=""/>
                    <pic:cNvPicPr/>
                  </pic:nvPicPr>
                  <pic:blipFill>
                    <a:blip r:embed="Ra69270f89b2b44eb">
                      <a:extLst>
                        <a:ext xmlns:a="http://schemas.openxmlformats.org/drawingml/2006/main" uri="{28A0092B-C50C-407E-A947-70E740481C1C}">
                          <a14:useLocalDpi val="0"/>
                        </a:ext>
                      </a:extLst>
                    </a:blip>
                    <a:srcRect l="24500" t="44940" r="26000" b="25297"/>
                    <a:stretch>
                      <a:fillRect/>
                    </a:stretch>
                  </pic:blipFill>
                  <pic:spPr xmlns:pic="http://schemas.openxmlformats.org/drawingml/2006/picture">
                    <a:xfrm xmlns:a="http://schemas.openxmlformats.org/drawingml/2006/main" rot="0" flipH="0" flipV="0">
                      <a:off x="0" y="0"/>
                      <a:ext cx="5837296" cy="2455301"/>
                    </a:xfrm>
                    <a:prstGeom xmlns:a="http://schemas.openxmlformats.org/drawingml/2006/main" prst="rect">
                      <a:avLst/>
                    </a:prstGeom>
                  </pic:spPr>
                </pic:pic>
              </a:graphicData>
            </a:graphic>
          </wp:inline>
        </w:drawing>
      </w:r>
      <w:r w:rsidRPr="00E62FC6" w:rsidR="2FEDF7BF">
        <w:rPr>
          <w:rFonts w:ascii="Arial" w:hAnsi="Arial" w:eastAsia="Arial" w:cs="Arial"/>
        </w:rPr>
        <w:t xml:space="preserve">Figure 4 - illustrates </w:t>
      </w:r>
      <w:r w:rsidRPr="00E62FC6" w:rsidR="2FEDF7BF">
        <w:rPr>
          <w:rFonts w:ascii="Arial" w:hAnsi="Arial" w:eastAsia="Arial" w:cs="Arial"/>
        </w:rPr>
        <w:t>Punctuality</w:t>
      </w:r>
      <w:r w:rsidRPr="00E62FC6" w:rsidR="2FEDF7BF">
        <w:rPr>
          <w:rFonts w:ascii="Arial" w:hAnsi="Arial" w:eastAsia="Arial" w:cs="Arial"/>
        </w:rPr>
        <w:t xml:space="preserve"> (</w:t>
      </w:r>
      <w:r w:rsidRPr="00E62FC6" w:rsidR="2FEDF7BF">
        <w:rPr>
          <w:rFonts w:ascii="Arial" w:hAnsi="Arial" w:eastAsia="Arial" w:cs="Arial"/>
          <w:noProof w:val="0"/>
          <w:sz w:val="22"/>
          <w:szCs w:val="22"/>
          <w:lang w:val="en-GB"/>
        </w:rPr>
        <w:t>PPM) and Reliability (</w:t>
      </w:r>
      <w:proofErr w:type="spellStart"/>
      <w:r w:rsidRPr="00E62FC6" w:rsidR="2FEDF7BF">
        <w:rPr>
          <w:rFonts w:ascii="Arial" w:hAnsi="Arial" w:eastAsia="Arial" w:cs="Arial"/>
          <w:noProof w:val="0"/>
          <w:sz w:val="22"/>
          <w:szCs w:val="22"/>
          <w:lang w:val="en-GB"/>
        </w:rPr>
        <w:t>CaSL</w:t>
      </w:r>
      <w:proofErr w:type="spellEnd"/>
      <w:r w:rsidRPr="00E62FC6" w:rsidR="2FEDF7BF">
        <w:rPr>
          <w:rFonts w:ascii="Arial" w:hAnsi="Arial" w:eastAsia="Arial" w:cs="Arial"/>
          <w:noProof w:val="0"/>
          <w:sz w:val="22"/>
          <w:szCs w:val="22"/>
          <w:lang w:val="en-GB"/>
        </w:rPr>
        <w:t>) for, South Western Railway between, 2013-14 Q4 to 2018-19 Q4. The change shown is from 2017-2018 Q4 to 2018-2019 Q4.</w:t>
      </w:r>
    </w:p>
    <w:p w:rsidR="2FEDF7BF" w:rsidP="00E62FC6" w:rsidRDefault="2FEDF7BF" w14:paraId="6BB9DD6E" w14:textId="30831915">
      <w:pPr>
        <w:pStyle w:val="Normal"/>
        <w:rPr>
          <w:rFonts w:ascii="Arial" w:hAnsi="Arial" w:eastAsia="Arial" w:cs="Arial"/>
        </w:rPr>
      </w:pPr>
      <w:r>
        <w:drawing>
          <wp:inline wp14:editId="343F04DE" wp14:anchorId="67491930">
            <wp:extent cx="5438335" cy="5238201"/>
            <wp:effectExtent l="0" t="0" r="0" b="0"/>
            <wp:docPr id="432815292" name="" title=""/>
            <wp:cNvGraphicFramePr>
              <a:graphicFrameLocks noChangeAspect="1"/>
            </wp:cNvGraphicFramePr>
            <a:graphic>
              <a:graphicData uri="http://schemas.openxmlformats.org/drawingml/2006/picture">
                <pic:pic>
                  <pic:nvPicPr>
                    <pic:cNvPr id="0" name=""/>
                    <pic:cNvPicPr/>
                  </pic:nvPicPr>
                  <pic:blipFill>
                    <a:blip r:embed="R49729a9ae94f4560">
                      <a:extLst>
                        <a:ext xmlns:a="http://schemas.openxmlformats.org/drawingml/2006/main" uri="{28A0092B-C50C-407E-A947-70E740481C1C}">
                          <a14:useLocalDpi val="0"/>
                        </a:ext>
                      </a:extLst>
                    </a:blip>
                    <a:srcRect l="24833" t="10714" r="27000" b="6547"/>
                    <a:stretch>
                      <a:fillRect/>
                    </a:stretch>
                  </pic:blipFill>
                  <pic:spPr xmlns:pic="http://schemas.openxmlformats.org/drawingml/2006/picture">
                    <a:xfrm xmlns:a="http://schemas.openxmlformats.org/drawingml/2006/main" rot="0" flipH="0" flipV="0">
                      <a:off x="0" y="0"/>
                      <a:ext cx="5438335" cy="5238201"/>
                    </a:xfrm>
                    <a:prstGeom xmlns:a="http://schemas.openxmlformats.org/drawingml/2006/main" prst="rect">
                      <a:avLst/>
                    </a:prstGeom>
                  </pic:spPr>
                </pic:pic>
              </a:graphicData>
            </a:graphic>
          </wp:inline>
        </w:drawing>
      </w:r>
    </w:p>
    <w:p w:rsidR="2FEDF7BF" w:rsidP="00E62FC6" w:rsidRDefault="2FEDF7BF" w14:paraId="12BCF3CE" w14:textId="54CEA47F">
      <w:pPr>
        <w:pStyle w:val="Normal"/>
        <w:rPr>
          <w:rFonts w:ascii="Arial" w:hAnsi="Arial" w:eastAsia="Arial" w:cs="Arial"/>
          <w:noProof w:val="0"/>
          <w:sz w:val="22"/>
          <w:szCs w:val="22"/>
          <w:lang w:val="en-GB"/>
        </w:rPr>
      </w:pPr>
      <w:r w:rsidRPr="00E62FC6" w:rsidR="00E62FC6">
        <w:rPr>
          <w:rFonts w:ascii="Arial" w:hAnsi="Arial" w:eastAsia="Arial" w:cs="Arial"/>
        </w:rPr>
        <w:t>Figure 5 – illustrates Punctuality (</w:t>
      </w:r>
      <w:r w:rsidRPr="00E62FC6" w:rsidR="00E62FC6">
        <w:rPr>
          <w:rFonts w:ascii="Arial" w:hAnsi="Arial" w:eastAsia="Arial" w:cs="Arial"/>
          <w:noProof w:val="0"/>
          <w:sz w:val="22"/>
          <w:szCs w:val="22"/>
          <w:lang w:val="en-GB"/>
        </w:rPr>
        <w:t>PPM) variation change per rail operators in Great Britain from 2017-18 Q4 to 2018-19 Q4</w:t>
      </w:r>
      <w:r w:rsidRPr="00E62FC6" w:rsidR="00E62FC6">
        <w:rPr>
          <w:rFonts w:ascii="Arial" w:hAnsi="Arial" w:eastAsia="Arial" w:cs="Arial"/>
          <w:noProof w:val="0"/>
          <w:sz w:val="22"/>
          <w:szCs w:val="22"/>
          <w:lang w:val="en-GB"/>
        </w:rPr>
        <w:t>, (ORR, 2019)</w:t>
      </w:r>
    </w:p>
    <w:p w:rsidR="2FEDF7BF" w:rsidP="00E62FC6" w:rsidRDefault="2FEDF7BF" w14:paraId="5B0A24A4" w14:textId="797493B4">
      <w:pPr>
        <w:pStyle w:val="Normal"/>
        <w:rPr>
          <w:rFonts w:ascii="Arial" w:hAnsi="Arial" w:eastAsia="Arial" w:cs="Arial"/>
        </w:rPr>
      </w:pPr>
      <w:r>
        <w:drawing>
          <wp:inline wp14:editId="481B9327" wp14:anchorId="0872713D">
            <wp:extent cx="5381166" cy="5330786"/>
            <wp:effectExtent l="0" t="0" r="0" b="0"/>
            <wp:docPr id="539580780" name="" title=""/>
            <wp:cNvGraphicFramePr>
              <a:graphicFrameLocks noChangeAspect="1"/>
            </wp:cNvGraphicFramePr>
            <a:graphic>
              <a:graphicData uri="http://schemas.openxmlformats.org/drawingml/2006/picture">
                <pic:pic>
                  <pic:nvPicPr>
                    <pic:cNvPr id="0" name=""/>
                    <pic:cNvPicPr/>
                  </pic:nvPicPr>
                  <pic:blipFill>
                    <a:blip r:embed="Rfbf708b4cc434874">
                      <a:extLst>
                        <a:ext xmlns:a="http://schemas.openxmlformats.org/drawingml/2006/main" uri="{28A0092B-C50C-407E-A947-70E740481C1C}">
                          <a14:useLocalDpi val="0"/>
                        </a:ext>
                      </a:extLst>
                    </a:blip>
                    <a:srcRect l="25166" t="10119" r="27833" b="6845"/>
                    <a:stretch>
                      <a:fillRect/>
                    </a:stretch>
                  </pic:blipFill>
                  <pic:spPr xmlns:pic="http://schemas.openxmlformats.org/drawingml/2006/picture">
                    <a:xfrm xmlns:a="http://schemas.openxmlformats.org/drawingml/2006/main" rot="0" flipH="0" flipV="0">
                      <a:off x="0" y="0"/>
                      <a:ext cx="5381166" cy="5330786"/>
                    </a:xfrm>
                    <a:prstGeom xmlns:a="http://schemas.openxmlformats.org/drawingml/2006/main" prst="rect">
                      <a:avLst/>
                    </a:prstGeom>
                  </pic:spPr>
                </pic:pic>
              </a:graphicData>
            </a:graphic>
          </wp:inline>
        </w:drawing>
      </w:r>
    </w:p>
    <w:p w:rsidR="2FEDF7BF" w:rsidP="00E62FC6" w:rsidRDefault="2FEDF7BF" w14:paraId="7C96D930" w14:textId="50E5E390">
      <w:pPr>
        <w:pStyle w:val="Normal"/>
        <w:rPr>
          <w:rFonts w:ascii="Arial" w:hAnsi="Arial" w:eastAsia="Arial" w:cs="Arial"/>
          <w:noProof w:val="0"/>
          <w:sz w:val="22"/>
          <w:szCs w:val="22"/>
          <w:lang w:val="en-GB"/>
        </w:rPr>
      </w:pPr>
      <w:r w:rsidRPr="00E62FC6" w:rsidR="00E62FC6">
        <w:rPr>
          <w:rFonts w:ascii="Arial" w:hAnsi="Arial" w:eastAsia="Arial" w:cs="Arial"/>
        </w:rPr>
        <w:t>Figure 6 – illustrates Reliability  (</w:t>
      </w:r>
      <w:proofErr w:type="spellStart"/>
      <w:r w:rsidRPr="00E62FC6" w:rsidR="00E62FC6">
        <w:rPr>
          <w:rFonts w:ascii="Arial" w:hAnsi="Arial" w:eastAsia="Arial" w:cs="Arial"/>
        </w:rPr>
        <w:t>CaSL</w:t>
      </w:r>
      <w:proofErr w:type="spellEnd"/>
      <w:r w:rsidRPr="00E62FC6" w:rsidR="00E62FC6">
        <w:rPr>
          <w:rFonts w:ascii="Arial" w:hAnsi="Arial" w:eastAsia="Arial" w:cs="Arial"/>
          <w:noProof w:val="0"/>
          <w:sz w:val="22"/>
          <w:szCs w:val="22"/>
          <w:lang w:val="en-GB"/>
        </w:rPr>
        <w:t>) variation change per rail operators in Great Britain from 2017-18 Q4 to 2018-19 Q4</w:t>
      </w:r>
      <w:r w:rsidRPr="00E62FC6" w:rsidR="00E62FC6">
        <w:rPr>
          <w:rFonts w:ascii="Arial" w:hAnsi="Arial" w:eastAsia="Arial" w:cs="Arial"/>
          <w:noProof w:val="0"/>
          <w:sz w:val="22"/>
          <w:szCs w:val="22"/>
          <w:lang w:val="en-GB"/>
        </w:rPr>
        <w:t>, (ORR, 2019)</w:t>
      </w:r>
    </w:p>
    <w:p w:rsidR="2FEDF7BF" w:rsidP="00E62FC6" w:rsidRDefault="2FEDF7BF" w14:paraId="60E4887A" w14:textId="283680AE">
      <w:pPr>
        <w:pStyle w:val="Normal"/>
        <w:rPr>
          <w:rFonts w:ascii="Arial" w:hAnsi="Arial" w:eastAsia="Arial" w:cs="Arial"/>
        </w:rPr>
      </w:pPr>
      <w:r>
        <w:drawing>
          <wp:inline wp14:editId="67057C0C" wp14:anchorId="475CEE5C">
            <wp:extent cx="5774382" cy="3305533"/>
            <wp:effectExtent l="0" t="0" r="0" b="0"/>
            <wp:docPr id="1759516836" name="" title=""/>
            <wp:cNvGraphicFramePr>
              <a:graphicFrameLocks noChangeAspect="1"/>
            </wp:cNvGraphicFramePr>
            <a:graphic>
              <a:graphicData uri="http://schemas.openxmlformats.org/drawingml/2006/picture">
                <pic:pic>
                  <pic:nvPicPr>
                    <pic:cNvPr id="0" name=""/>
                    <pic:cNvPicPr/>
                  </pic:nvPicPr>
                  <pic:blipFill>
                    <a:blip r:embed="Rbead4fa828c7444f">
                      <a:extLst>
                        <a:ext xmlns:a="http://schemas.openxmlformats.org/drawingml/2006/main" uri="{28A0092B-C50C-407E-A947-70E740481C1C}">
                          <a14:useLocalDpi val="0"/>
                        </a:ext>
                      </a:extLst>
                    </a:blip>
                    <a:srcRect l="22500" t="21726" r="24500" b="32142"/>
                    <a:stretch>
                      <a:fillRect/>
                    </a:stretch>
                  </pic:blipFill>
                  <pic:spPr xmlns:pic="http://schemas.openxmlformats.org/drawingml/2006/picture">
                    <a:xfrm xmlns:a="http://schemas.openxmlformats.org/drawingml/2006/main" rot="0" flipH="0" flipV="0">
                      <a:off x="0" y="0"/>
                      <a:ext cx="5774382" cy="3305533"/>
                    </a:xfrm>
                    <a:prstGeom xmlns:a="http://schemas.openxmlformats.org/drawingml/2006/main" prst="rect">
                      <a:avLst/>
                    </a:prstGeom>
                  </pic:spPr>
                </pic:pic>
              </a:graphicData>
            </a:graphic>
          </wp:inline>
        </w:drawing>
      </w:r>
    </w:p>
    <w:p w:rsidR="2FEDF7BF" w:rsidP="00E62FC6" w:rsidRDefault="2FEDF7BF" w14:paraId="1B160288" w14:textId="67707E9F">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Figure 7 - illustrates Passenger journeys (millions) for 2018-19 and percentage change compared to 2017/18, by train operator, London and South East sector</w:t>
      </w:r>
      <w:r w:rsidRPr="00E62FC6" w:rsidR="00E62FC6">
        <w:rPr>
          <w:rFonts w:ascii="Arial" w:hAnsi="Arial" w:eastAsia="Arial" w:cs="Arial"/>
          <w:noProof w:val="0"/>
          <w:sz w:val="22"/>
          <w:szCs w:val="22"/>
          <w:lang w:val="en-GB"/>
        </w:rPr>
        <w:t xml:space="preserve"> (ORR, 2019)</w:t>
      </w:r>
    </w:p>
    <w:p w:rsidR="2FEDF7BF" w:rsidP="00E62FC6" w:rsidRDefault="2FEDF7BF" w14:paraId="4A235334" w14:textId="4C056C7F">
      <w:pPr>
        <w:pStyle w:val="Normal"/>
        <w:rPr>
          <w:rFonts w:ascii="Arial" w:hAnsi="Arial" w:eastAsia="Arial" w:cs="Arial"/>
        </w:rPr>
      </w:pPr>
      <w:r>
        <w:drawing>
          <wp:inline wp14:editId="45F45C0B" wp14:anchorId="3334E569">
            <wp:extent cx="5720718" cy="3353244"/>
            <wp:effectExtent l="0" t="0" r="0" b="0"/>
            <wp:docPr id="521390765" name="" title=""/>
            <wp:cNvGraphicFramePr>
              <a:graphicFrameLocks noChangeAspect="1"/>
            </wp:cNvGraphicFramePr>
            <a:graphic>
              <a:graphicData uri="http://schemas.openxmlformats.org/drawingml/2006/picture">
                <pic:pic>
                  <pic:nvPicPr>
                    <pic:cNvPr id="0" name=""/>
                    <pic:cNvPicPr/>
                  </pic:nvPicPr>
                  <pic:blipFill>
                    <a:blip r:embed="R4babcc3cb5374567">
                      <a:extLst>
                        <a:ext xmlns:a="http://schemas.openxmlformats.org/drawingml/2006/main" uri="{28A0092B-C50C-407E-A947-70E740481C1C}">
                          <a14:useLocalDpi val="0"/>
                        </a:ext>
                      </a:extLst>
                    </a:blip>
                    <a:srcRect l="23166" t="21726" r="23166" b="26488"/>
                    <a:stretch>
                      <a:fillRect/>
                    </a:stretch>
                  </pic:blipFill>
                  <pic:spPr xmlns:pic="http://schemas.openxmlformats.org/drawingml/2006/picture">
                    <a:xfrm xmlns:a="http://schemas.openxmlformats.org/drawingml/2006/main" rot="0" flipH="0" flipV="0">
                      <a:off x="0" y="0"/>
                      <a:ext cx="5720718" cy="3353244"/>
                    </a:xfrm>
                    <a:prstGeom xmlns:a="http://schemas.openxmlformats.org/drawingml/2006/main" prst="rect">
                      <a:avLst/>
                    </a:prstGeom>
                  </pic:spPr>
                </pic:pic>
              </a:graphicData>
            </a:graphic>
          </wp:inline>
        </w:drawing>
      </w:r>
    </w:p>
    <w:p w:rsidR="2FEDF7BF" w:rsidP="00E62FC6" w:rsidRDefault="2FEDF7BF" w14:paraId="27EDE0D8" w14:textId="409851EA">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Figure 8 - illustrates Passenger kilometres (billion kms) by operator for 2018-19 and percentage change compared to 2017/18</w:t>
      </w:r>
      <w:r w:rsidRPr="00E62FC6" w:rsidR="00E62FC6">
        <w:rPr>
          <w:rFonts w:ascii="Arial" w:hAnsi="Arial" w:eastAsia="Arial" w:cs="Arial"/>
          <w:noProof w:val="0"/>
          <w:sz w:val="22"/>
          <w:szCs w:val="22"/>
          <w:lang w:val="en-GB"/>
        </w:rPr>
        <w:t xml:space="preserve"> (ORR, 2019)</w:t>
      </w:r>
    </w:p>
    <w:p w:rsidR="00E62FC6" w:rsidP="00E62FC6" w:rsidRDefault="00E62FC6" w14:paraId="340586F9" w14:textId="77C32364">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Train operating firms with the greatest average use of trains tend to achieve greater efficiency ratings. For instance, Govia Thameslink Rail, which carries the largest number of passengers per year (Figure 7), also got a greater PPM and </w:t>
      </w:r>
      <w:proofErr w:type="spellStart"/>
      <w:r w:rsidRPr="00E62FC6" w:rsidR="00E62FC6">
        <w:rPr>
          <w:rFonts w:ascii="Arial" w:hAnsi="Arial" w:eastAsia="Arial" w:cs="Arial"/>
          <w:noProof w:val="0"/>
          <w:sz w:val="22"/>
          <w:szCs w:val="22"/>
          <w:lang w:val="en-GB"/>
        </w:rPr>
        <w:t>CaSL</w:t>
      </w:r>
      <w:proofErr w:type="spellEnd"/>
      <w:r w:rsidRPr="00E62FC6" w:rsidR="00E62FC6">
        <w:rPr>
          <w:rFonts w:ascii="Arial" w:hAnsi="Arial" w:eastAsia="Arial" w:cs="Arial"/>
          <w:noProof w:val="0"/>
          <w:sz w:val="22"/>
          <w:szCs w:val="22"/>
          <w:lang w:val="en-GB"/>
        </w:rPr>
        <w:t xml:space="preserve"> score in the South East Sector relative to South Western Rail (Figures 5 and 6).</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However, when considering delay-minutes and franchise payments, the ranking is not precisely the same as a train-operating company may not have done well enough to provide timely services or be cost-effective.</w:t>
      </w:r>
    </w:p>
    <w:p w:rsidR="2FEDF7BF" w:rsidP="00E62FC6" w:rsidRDefault="2FEDF7BF" w14:paraId="44E6F069" w14:textId="32838A41">
      <w:pPr>
        <w:pStyle w:val="Normal"/>
        <w:rPr>
          <w:rFonts w:ascii="Arial" w:hAnsi="Arial" w:eastAsia="Arial" w:cs="Arial"/>
        </w:rPr>
      </w:pPr>
      <w:r>
        <w:drawing>
          <wp:inline wp14:editId="13D883B0" wp14:anchorId="0570995B">
            <wp:extent cx="5209358" cy="3711119"/>
            <wp:effectExtent l="0" t="0" r="0" b="0"/>
            <wp:docPr id="1205024316" name="" title=""/>
            <wp:cNvGraphicFramePr>
              <a:graphicFrameLocks noChangeAspect="1"/>
            </wp:cNvGraphicFramePr>
            <a:graphic>
              <a:graphicData uri="http://schemas.openxmlformats.org/drawingml/2006/picture">
                <pic:pic>
                  <pic:nvPicPr>
                    <pic:cNvPr id="0" name=""/>
                    <pic:cNvPicPr/>
                  </pic:nvPicPr>
                  <pic:blipFill>
                    <a:blip r:embed="R6e496ffafae34eb2">
                      <a:extLst>
                        <a:ext xmlns:a="http://schemas.openxmlformats.org/drawingml/2006/main" uri="{28A0092B-C50C-407E-A947-70E740481C1C}">
                          <a14:useLocalDpi val="0"/>
                        </a:ext>
                      </a:extLst>
                    </a:blip>
                    <a:srcRect l="28333" t="20833" r="29500" b="25595"/>
                    <a:stretch>
                      <a:fillRect/>
                    </a:stretch>
                  </pic:blipFill>
                  <pic:spPr xmlns:pic="http://schemas.openxmlformats.org/drawingml/2006/picture">
                    <a:xfrm xmlns:a="http://schemas.openxmlformats.org/drawingml/2006/main" rot="0" flipH="0" flipV="0">
                      <a:off x="0" y="0"/>
                      <a:ext cx="5209358" cy="3711119"/>
                    </a:xfrm>
                    <a:prstGeom xmlns:a="http://schemas.openxmlformats.org/drawingml/2006/main" prst="rect">
                      <a:avLst/>
                    </a:prstGeom>
                  </pic:spPr>
                </pic:pic>
              </a:graphicData>
            </a:graphic>
          </wp:inline>
        </w:drawing>
      </w:r>
    </w:p>
    <w:p w:rsidR="2FEDF7BF" w:rsidP="00E62FC6" w:rsidRDefault="2FEDF7BF" w14:paraId="4F9D1F42" w14:textId="083F9255">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Figure 9 – compares timetabled train km’s vs passenger km’s</w:t>
      </w:r>
      <w:r w:rsidRPr="00E62FC6" w:rsidR="00E62FC6">
        <w:rPr>
          <w:rFonts w:ascii="Arial" w:hAnsi="Arial" w:eastAsia="Arial" w:cs="Arial"/>
          <w:noProof w:val="0"/>
          <w:sz w:val="22"/>
          <w:szCs w:val="22"/>
          <w:lang w:val="en-GB"/>
        </w:rPr>
        <w:t>, (ORR, 2019)</w:t>
      </w:r>
    </w:p>
    <w:p w:rsidR="00E62FC6" w:rsidP="00E62FC6" w:rsidRDefault="00E62FC6" w14:paraId="5AEC04AF" w14:textId="38AC5D84">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Less effective operators use more track capacities (expressed by train-km scheduled) than is essential to produce passenger-km or are less effective in generating timely services or receiving more franchise payments than is essential. Reducing timetabled train </w:t>
      </w:r>
      <w:proofErr w:type="spellStart"/>
      <w:r w:rsidRPr="00E62FC6" w:rsidR="00E62FC6">
        <w:rPr>
          <w:rFonts w:ascii="Arial" w:hAnsi="Arial" w:eastAsia="Arial" w:cs="Arial"/>
          <w:noProof w:val="0"/>
          <w:sz w:val="22"/>
          <w:szCs w:val="22"/>
          <w:lang w:val="en-GB"/>
        </w:rPr>
        <w:t>kilometers</w:t>
      </w:r>
      <w:proofErr w:type="spellEnd"/>
      <w:r w:rsidRPr="00E62FC6" w:rsidR="00E62FC6">
        <w:rPr>
          <w:rFonts w:ascii="Arial" w:hAnsi="Arial" w:eastAsia="Arial" w:cs="Arial"/>
          <w:noProof w:val="0"/>
          <w:sz w:val="22"/>
          <w:szCs w:val="22"/>
          <w:lang w:val="en-GB"/>
        </w:rPr>
        <w:t xml:space="preserve"> inefficient would increase train load factor and capacity utilization efficiency.</w:t>
      </w:r>
      <w:r w:rsidRPr="00E62FC6" w:rsidR="00E62FC6">
        <w:rPr>
          <w:rFonts w:ascii="Arial" w:hAnsi="Arial" w:eastAsia="Arial" w:cs="Arial"/>
          <w:noProof w:val="0"/>
          <w:sz w:val="22"/>
          <w:szCs w:val="22"/>
          <w:lang w:val="en-GB"/>
        </w:rPr>
        <w:t xml:space="preserve"> </w:t>
      </w:r>
      <w:r w:rsidRPr="00E62FC6" w:rsidR="00E62FC6">
        <w:rPr>
          <w:rFonts w:ascii="Arial" w:hAnsi="Arial" w:eastAsia="Arial" w:cs="Arial"/>
          <w:noProof w:val="0"/>
          <w:sz w:val="22"/>
          <w:szCs w:val="22"/>
          <w:lang w:val="en-GB"/>
        </w:rPr>
        <w:t xml:space="preserve">Operators who are not operationally efficient, as indicated by Smith (2009), may: have a low overall load factor, carry a lot of empty off-peak seats or carry empty </w:t>
      </w:r>
      <w:proofErr w:type="gramStart"/>
      <w:r w:rsidRPr="00E62FC6" w:rsidR="00E62FC6">
        <w:rPr>
          <w:rFonts w:ascii="Arial" w:hAnsi="Arial" w:eastAsia="Arial" w:cs="Arial"/>
          <w:noProof w:val="0"/>
          <w:sz w:val="22"/>
          <w:szCs w:val="22"/>
          <w:lang w:val="en-GB"/>
        </w:rPr>
        <w:t>long distance</w:t>
      </w:r>
      <w:proofErr w:type="gramEnd"/>
      <w:r w:rsidRPr="00E62FC6" w:rsidR="00E62FC6">
        <w:rPr>
          <w:rFonts w:ascii="Arial" w:hAnsi="Arial" w:eastAsia="Arial" w:cs="Arial"/>
          <w:noProof w:val="0"/>
          <w:sz w:val="22"/>
          <w:szCs w:val="22"/>
          <w:lang w:val="en-GB"/>
        </w:rPr>
        <w:t xml:space="preserve"> seats to meet short distance demand.</w:t>
      </w:r>
    </w:p>
    <w:p w:rsidR="00E62FC6" w:rsidP="00E62FC6" w:rsidRDefault="00E62FC6" w14:paraId="627ABB82" w14:textId="69347BCB">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Some of the ways South Western Rail could increase its efficiency is to: reduce its train frequency to increase its load factor (passenger per train), use marketing techniques to attract more passengers to their current services and increase the load factor, increase the reliability of their train services to reduce delays.</w:t>
      </w:r>
    </w:p>
    <w:p w:rsidR="00E62FC6" w:rsidP="00E62FC6" w:rsidRDefault="00E62FC6" w14:paraId="2AD3F024" w14:textId="4A6D0113">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The findings can also provide railway officials with useful ideas to plan infrastructure and franchise payments better. For example, Figure 5 findings show a very low level of operational efficiency across the South and South East Sector. In the punctuality ratings, </w:t>
      </w:r>
      <w:proofErr w:type="spellStart"/>
      <w:r w:rsidRPr="00E62FC6" w:rsidR="00E62FC6">
        <w:rPr>
          <w:rFonts w:ascii="Arial" w:hAnsi="Arial" w:eastAsia="Arial" w:cs="Arial"/>
          <w:noProof w:val="0"/>
          <w:sz w:val="22"/>
          <w:szCs w:val="22"/>
          <w:lang w:val="en-GB"/>
        </w:rPr>
        <w:t>Meresey</w:t>
      </w:r>
      <w:proofErr w:type="spellEnd"/>
      <w:r w:rsidRPr="00E62FC6" w:rsidR="00E62FC6">
        <w:rPr>
          <w:rFonts w:ascii="Arial" w:hAnsi="Arial" w:eastAsia="Arial" w:cs="Arial"/>
          <w:noProof w:val="0"/>
          <w:sz w:val="22"/>
          <w:szCs w:val="22"/>
          <w:lang w:val="en-GB"/>
        </w:rPr>
        <w:t xml:space="preserve"> Rail and Chiltern Railways performed extremely well, with 95.5 percent and 92.9 percent respectively. While 82.7% and 82.3% were managed by both Govia and South Western Railways. This also shows South Western Rail's need to cut its franchise payments and allocate kilometres of timetable. A closer look at South Western Rail's geographic region of operation demonstrates </w:t>
      </w:r>
      <w:proofErr w:type="gramStart"/>
      <w:r w:rsidRPr="00E62FC6" w:rsidR="00E62FC6">
        <w:rPr>
          <w:rFonts w:ascii="Arial" w:hAnsi="Arial" w:eastAsia="Arial" w:cs="Arial"/>
          <w:noProof w:val="0"/>
          <w:sz w:val="22"/>
          <w:szCs w:val="22"/>
          <w:lang w:val="en-GB"/>
        </w:rPr>
        <w:t>a</w:t>
      </w:r>
      <w:proofErr w:type="gramEnd"/>
      <w:r w:rsidRPr="00E62FC6" w:rsidR="00E62FC6">
        <w:rPr>
          <w:rFonts w:ascii="Arial" w:hAnsi="Arial" w:eastAsia="Arial" w:cs="Arial"/>
          <w:noProof w:val="0"/>
          <w:sz w:val="22"/>
          <w:szCs w:val="22"/>
          <w:lang w:val="en-GB"/>
        </w:rPr>
        <w:t xml:space="preserve"> overlap with two other train operating companies, most notably TfL and London Overground (figures 5 and 7). This suggests that South Western Rail is not an operationally efficient route and needs greater investment from National Rail. </w:t>
      </w:r>
    </w:p>
    <w:p w:rsidR="00E62FC6" w:rsidP="00E62FC6" w:rsidRDefault="00E62FC6" w14:paraId="124E6900" w14:textId="0DA9EF11">
      <w:pPr>
        <w:pStyle w:val="Heading1"/>
        <w:rPr>
          <w:rFonts w:ascii="Arial" w:hAnsi="Arial" w:eastAsia="Arial" w:cs="Arial"/>
          <w:noProof w:val="0"/>
          <w:lang w:val="en-GB"/>
        </w:rPr>
      </w:pPr>
      <w:r w:rsidRPr="00E62FC6" w:rsidR="00E62FC6">
        <w:rPr>
          <w:rFonts w:ascii="Arial" w:hAnsi="Arial" w:eastAsia="Arial" w:cs="Arial"/>
          <w:noProof w:val="0"/>
          <w:lang w:val="en-GB"/>
        </w:rPr>
        <w:t>Improve</w:t>
      </w:r>
    </w:p>
    <w:p w:rsidR="00E62FC6" w:rsidP="00E62FC6" w:rsidRDefault="00E62FC6" w14:paraId="126A6D09" w14:textId="736D341D">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Overall, the use of ability can be enhanced by enhancing any of the parameters affecting the use of ability. The South West Main Line is one of London's main shuttle routes, as well as significant for freight from Southampton Port (South Western Railway, 2019). Figure 10 shows its geographical location.</w:t>
      </w:r>
    </w:p>
    <w:p w:rsidR="00E62FC6" w:rsidP="00E62FC6" w:rsidRDefault="00E62FC6" w14:paraId="25CB61B0" w14:textId="5E78E379">
      <w:pPr>
        <w:pStyle w:val="Normal"/>
        <w:rPr>
          <w:rFonts w:ascii="Arial" w:hAnsi="Arial" w:eastAsia="Arial" w:cs="Arial"/>
        </w:rPr>
      </w:pPr>
      <w:r>
        <w:drawing>
          <wp:inline wp14:editId="247AAD66" wp14:anchorId="230DE800">
            <wp:extent cx="5236798" cy="3599796"/>
            <wp:effectExtent l="0" t="0" r="0" b="0"/>
            <wp:docPr id="1760204233" name="" title=""/>
            <wp:cNvGraphicFramePr>
              <a:graphicFrameLocks noChangeAspect="1"/>
            </wp:cNvGraphicFramePr>
            <a:graphic>
              <a:graphicData uri="http://schemas.openxmlformats.org/drawingml/2006/picture">
                <pic:pic>
                  <pic:nvPicPr>
                    <pic:cNvPr id="0" name=""/>
                    <pic:cNvPicPr/>
                  </pic:nvPicPr>
                  <pic:blipFill>
                    <a:blip r:embed="R07a9cb3630ae4199">
                      <a:extLst>
                        <a:ext xmlns:a="http://schemas.openxmlformats.org/drawingml/2006/main" uri="{28A0092B-C50C-407E-A947-70E740481C1C}">
                          <a14:useLocalDpi val="0"/>
                        </a:ext>
                      </a:extLst>
                    </a:blip>
                    <a:srcRect l="16133" t="11666" r="16666" b="5952"/>
                    <a:stretch>
                      <a:fillRect/>
                    </a:stretch>
                  </pic:blipFill>
                  <pic:spPr xmlns:pic="http://schemas.openxmlformats.org/drawingml/2006/picture">
                    <a:xfrm xmlns:a="http://schemas.openxmlformats.org/drawingml/2006/main" rot="0" flipH="0" flipV="0">
                      <a:off x="0" y="0"/>
                      <a:ext cx="5236798" cy="3599796"/>
                    </a:xfrm>
                    <a:prstGeom xmlns:a="http://schemas.openxmlformats.org/drawingml/2006/main" prst="rect">
                      <a:avLst/>
                    </a:prstGeom>
                  </pic:spPr>
                </pic:pic>
              </a:graphicData>
            </a:graphic>
          </wp:inline>
        </w:drawing>
      </w:r>
    </w:p>
    <w:p w:rsidR="00E62FC6" w:rsidP="00E62FC6" w:rsidRDefault="00E62FC6" w14:paraId="72E030CF" w14:textId="0E426B0A">
      <w:pPr>
        <w:pStyle w:val="Normal"/>
        <w:rPr>
          <w:rFonts w:ascii="Arial" w:hAnsi="Arial" w:eastAsia="Arial" w:cs="Arial"/>
          <w:noProof w:val="0"/>
          <w:lang w:val="en-GB"/>
        </w:rPr>
      </w:pPr>
      <w:r w:rsidRPr="00E62FC6" w:rsidR="00E62FC6">
        <w:rPr>
          <w:rFonts w:ascii="Arial" w:hAnsi="Arial" w:eastAsia="Arial" w:cs="Arial"/>
          <w:noProof w:val="0"/>
          <w:lang w:val="en-GB"/>
        </w:rPr>
        <w:t>Figure 10 – South Western Main Line</w:t>
      </w:r>
    </w:p>
    <w:p w:rsidR="00E62FC6" w:rsidP="00E62FC6" w:rsidRDefault="00E62FC6" w14:paraId="69DBD37B" w14:textId="0CD2F16F">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To improve any system, it is necessary to constantly ask and answer three fundamental questions: What to change? What's going to change? How can the change be caused? (McMullen, 1998)' the weakest link in the chain' should be recognized to enhance this line segment. Capacity utilization assessment is performed to locate the weakest line segment.</w:t>
      </w:r>
    </w:p>
    <w:p w:rsidR="00E62FC6" w:rsidP="00E62FC6" w:rsidRDefault="00E62FC6" w14:paraId="5520AE72" w14:textId="471BCF55">
      <w:pPr>
        <w:pStyle w:val="Normal"/>
        <w:rPr>
          <w:rFonts w:ascii="Arial" w:hAnsi="Arial" w:eastAsia="Arial" w:cs="Arial"/>
          <w:noProof w:val="0"/>
          <w:sz w:val="22"/>
          <w:szCs w:val="22"/>
          <w:lang w:val="en-GB"/>
        </w:rPr>
      </w:pPr>
      <w:r>
        <w:drawing>
          <wp:inline wp14:editId="4733BC11" wp14:anchorId="0959A667">
            <wp:extent cx="6074778" cy="1630600"/>
            <wp:effectExtent l="0" t="0" r="0" b="0"/>
            <wp:docPr id="1760425585" name="" title=""/>
            <wp:cNvGraphicFramePr>
              <a:graphicFrameLocks noChangeAspect="1"/>
            </wp:cNvGraphicFramePr>
            <a:graphic>
              <a:graphicData uri="http://schemas.openxmlformats.org/drawingml/2006/picture">
                <pic:pic>
                  <pic:nvPicPr>
                    <pic:cNvPr id="0" name=""/>
                    <pic:cNvPicPr/>
                  </pic:nvPicPr>
                  <pic:blipFill>
                    <a:blip r:embed="R8065d10dd42d4829">
                      <a:extLst>
                        <a:ext xmlns:a="http://schemas.openxmlformats.org/drawingml/2006/main" uri="{28A0092B-C50C-407E-A947-70E740481C1C}">
                          <a14:useLocalDpi val="0"/>
                        </a:ext>
                      </a:extLst>
                    </a:blip>
                    <a:srcRect l="27866" t="35476" r="27866" b="43333"/>
                    <a:stretch>
                      <a:fillRect/>
                    </a:stretch>
                  </pic:blipFill>
                  <pic:spPr xmlns:pic="http://schemas.openxmlformats.org/drawingml/2006/picture">
                    <a:xfrm xmlns:a="http://schemas.openxmlformats.org/drawingml/2006/main" rot="0" flipH="0" flipV="0">
                      <a:off x="0" y="0"/>
                      <a:ext cx="6074778" cy="1630600"/>
                    </a:xfrm>
                    <a:prstGeom xmlns:a="http://schemas.openxmlformats.org/drawingml/2006/main" prst="rect">
                      <a:avLst/>
                    </a:prstGeom>
                  </pic:spPr>
                </pic:pic>
              </a:graphicData>
            </a:graphic>
          </wp:inline>
        </w:drawing>
      </w:r>
      <w:r w:rsidRPr="00E62FC6" w:rsidR="00E62FC6">
        <w:rPr>
          <w:rFonts w:ascii="Arial" w:hAnsi="Arial" w:eastAsia="Arial" w:cs="Arial"/>
        </w:rPr>
        <w:t>Figure 11 – illustrates</w:t>
      </w:r>
      <w:r w:rsidRPr="00E62FC6" w:rsidR="00E62FC6">
        <w:rPr>
          <w:rFonts w:ascii="Arial" w:hAnsi="Arial" w:eastAsia="Arial" w:cs="Arial"/>
          <w:noProof w:val="0"/>
          <w:sz w:val="22"/>
          <w:szCs w:val="22"/>
          <w:lang w:val="en-GB"/>
        </w:rPr>
        <w:t xml:space="preserve"> the 8 service groups SWR operates and the approximate percentage of the total daily service (SWR, 2018)</w:t>
      </w:r>
    </w:p>
    <w:p w:rsidR="00E62FC6" w:rsidP="00E62FC6" w:rsidRDefault="00E62FC6" w14:paraId="79B143F7" w14:textId="01702AA6">
      <w:pPr>
        <w:pStyle w:val="Normal"/>
        <w:rPr>
          <w:rFonts w:ascii="Arial" w:hAnsi="Arial" w:eastAsia="Arial" w:cs="Arial"/>
          <w:noProof w:val="0"/>
          <w:sz w:val="22"/>
          <w:szCs w:val="22"/>
          <w:lang w:val="en-GB"/>
        </w:rPr>
      </w:pPr>
      <w:r w:rsidRPr="00E62FC6" w:rsidR="00E62FC6">
        <w:rPr>
          <w:rFonts w:ascii="Arial" w:hAnsi="Arial" w:eastAsia="Arial" w:cs="Arial"/>
        </w:rPr>
        <w:t>Analysis of the shift in percentage from 2016/17 to 2017/2018 demonstrates a widening of the spectrum</w:t>
      </w:r>
      <w:r w:rsidRPr="00E62FC6" w:rsidR="00E62FC6">
        <w:rPr>
          <w:rFonts w:ascii="Arial" w:hAnsi="Arial" w:eastAsia="Arial" w:cs="Arial"/>
          <w:noProof w:val="0"/>
          <w:sz w:val="22"/>
          <w:szCs w:val="22"/>
          <w:lang w:val="en-GB"/>
        </w:rPr>
        <w:t xml:space="preserve">. Long-distance journeys are covered by the worst performing service organizations: HY08 Waterloo- Weymouth, HY03 Waterloo West England and HY07 Waterloo West Portsmouth. </w:t>
      </w:r>
      <w:r w:rsidRPr="00E62FC6" w:rsidR="00E62FC6">
        <w:rPr>
          <w:rFonts w:ascii="Arial" w:hAnsi="Arial" w:eastAsia="Arial" w:cs="Arial"/>
          <w:noProof w:val="0"/>
          <w:sz w:val="22"/>
          <w:szCs w:val="22"/>
          <w:lang w:val="en-GB"/>
        </w:rPr>
        <w:t>These service organizations are also the ones that have seen the fastest results decrease over the past two years (SWR, 2019).</w:t>
      </w:r>
    </w:p>
    <w:p w:rsidR="00E62FC6" w:rsidP="00E62FC6" w:rsidRDefault="00E62FC6" w14:paraId="7D14A204" w14:textId="0A27F583">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As the line with the biggest percentage swing modifications, the line from Weymouth to Waterloo will be further analysed to define reasons for the worsening of the PPM. The last stop on this line is London Waterloo, a dead-end station, which implies that if accessibility to the platform is poor, the approaching lines pose a danger of serious capacity delays. SWR could therefore identify the weakest line section by analysing which stations are experiencing congestion on platforms before Waterloo, either because the line is a junction or a change in track number. Particular attention could be given to Raynes Park— Clapham Junction, which sees a shift in the number of tracks (4-8) and, moreover, a prominent junction in the line.</w:t>
      </w:r>
    </w:p>
    <w:p w:rsidR="00E62FC6" w:rsidP="00E62FC6" w:rsidRDefault="00E62FC6" w14:paraId="2AC79906" w14:textId="211551D9">
      <w:pPr>
        <w:pStyle w:val="Heading1"/>
        <w:rPr>
          <w:rFonts w:ascii="Arial" w:hAnsi="Arial" w:eastAsia="Arial" w:cs="Arial"/>
          <w:noProof w:val="0"/>
          <w:lang w:val="en-GB"/>
        </w:rPr>
      </w:pPr>
      <w:r w:rsidRPr="00E62FC6" w:rsidR="00E62FC6">
        <w:rPr>
          <w:rFonts w:ascii="Arial" w:hAnsi="Arial" w:eastAsia="Arial" w:cs="Arial"/>
          <w:noProof w:val="0"/>
          <w:lang w:val="en-GB"/>
        </w:rPr>
        <w:t xml:space="preserve">Conclusion </w:t>
      </w:r>
    </w:p>
    <w:p w:rsidR="00E62FC6" w:rsidP="00E62FC6" w:rsidRDefault="00E62FC6" w14:paraId="3DCCF04C" w14:textId="62D4C684">
      <w:pPr>
        <w:pStyle w:val="Normal"/>
        <w:rPr>
          <w:rFonts w:ascii="Arial" w:hAnsi="Arial" w:eastAsia="Arial" w:cs="Arial"/>
          <w:noProof w:val="0"/>
          <w:lang w:val="en-GB"/>
        </w:rPr>
      </w:pPr>
    </w:p>
    <w:p w:rsidR="00E62FC6" w:rsidP="00E62FC6" w:rsidRDefault="00E62FC6" w14:paraId="06BDE3D7" w14:textId="6ADB4B13">
      <w:pPr>
        <w:pStyle w:val="Normal"/>
        <w:rPr>
          <w:rFonts w:ascii="Arial" w:hAnsi="Arial" w:eastAsia="Arial" w:cs="Arial"/>
          <w:noProof w:val="0"/>
          <w:lang w:val="en-GB"/>
        </w:rPr>
      </w:pPr>
      <w:r w:rsidRPr="00E62FC6" w:rsidR="00E62FC6">
        <w:rPr>
          <w:rFonts w:ascii="Arial" w:hAnsi="Arial" w:eastAsia="Arial" w:cs="Arial"/>
          <w:noProof w:val="0"/>
          <w:lang w:val="en-GB"/>
        </w:rPr>
        <w:t>Growth in demand for rail passengers outweighs the rise in railway track ability on the supply side. As a result, many railways are facing a capability challenge globally. Faced with this scenario, adequate measurement and management of capacity utilization is very crucial.</w:t>
      </w:r>
    </w:p>
    <w:p w:rsidR="00E62FC6" w:rsidP="00E62FC6" w:rsidRDefault="00E62FC6" w14:paraId="066F93E6" w14:textId="3165083E">
      <w:pPr>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The report indicates adopting Six Sigma's DMAIC cycle to define, measure, </w:t>
      </w:r>
      <w:r w:rsidRPr="00E62FC6" w:rsidR="00E62FC6">
        <w:rPr>
          <w:rFonts w:ascii="Arial" w:hAnsi="Arial" w:eastAsia="Arial" w:cs="Arial"/>
          <w:noProof w:val="0"/>
          <w:sz w:val="22"/>
          <w:szCs w:val="22"/>
          <w:lang w:val="en-GB"/>
        </w:rPr>
        <w:t>analyse</w:t>
      </w:r>
      <w:r w:rsidRPr="00E62FC6" w:rsidR="00E62FC6">
        <w:rPr>
          <w:rFonts w:ascii="Arial" w:hAnsi="Arial" w:eastAsia="Arial" w:cs="Arial"/>
          <w:noProof w:val="0"/>
          <w:sz w:val="22"/>
          <w:szCs w:val="22"/>
          <w:lang w:val="en-GB"/>
        </w:rPr>
        <w:t xml:space="preserve"> and enhance tactical capacity utilization.  </w:t>
      </w:r>
    </w:p>
    <w:p w:rsidR="00E62FC6" w:rsidP="00E62FC6" w:rsidRDefault="00E62FC6" w14:paraId="026DCE84" w14:textId="16D56996">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Differentiating micro-and macro-capacity use is emphasized as the first step. In this regard, macro-capacity use is defined as the quantity of discrete steps to use railway capacity such as the number of trains and train paths, while micro-capacity use is defined as the quality of discrete steps to use railway capacity such as train load factor. Lean capacity utilization is therefore described as' the capacity of the infrastructure to produce added value by allowing passengers or freight to reach their destination as planned”.</w:t>
      </w:r>
    </w:p>
    <w:p w:rsidR="00E62FC6" w:rsidP="00E62FC6" w:rsidRDefault="00E62FC6" w14:paraId="3562471D" w14:textId="450888AB">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To assess the comparative use of train operators ' ability, it is suggested that public franchise payments and timetabled train-kilometres be considered as inputs for the DEA model. Passenger kilometres and delay minutes (unwanted impact) are discussed and regarded as excellent indicators of lean capacity utilization and service quality.</w:t>
      </w:r>
    </w:p>
    <w:p w:rsidR="00E62FC6" w:rsidP="00E62FC6" w:rsidRDefault="00E62FC6" w14:paraId="5F78C523" w14:textId="291A3F72">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The reduction of waste in stations and by trains is also a significant practical implication. In stations that take train trips longer, boost road occupancy and do not attract enough </w:t>
      </w:r>
      <w:r w:rsidRPr="00E62FC6" w:rsidR="00E62FC6">
        <w:rPr>
          <w:rFonts w:ascii="Arial" w:hAnsi="Arial" w:eastAsia="Arial" w:cs="Arial"/>
          <w:noProof w:val="0"/>
          <w:sz w:val="22"/>
          <w:szCs w:val="22"/>
          <w:lang w:val="en-GB"/>
        </w:rPr>
        <w:t>travellers</w:t>
      </w:r>
      <w:r w:rsidRPr="00E62FC6" w:rsidR="00E62FC6">
        <w:rPr>
          <w:rFonts w:ascii="Arial" w:hAnsi="Arial" w:eastAsia="Arial" w:cs="Arial"/>
          <w:noProof w:val="0"/>
          <w:sz w:val="22"/>
          <w:szCs w:val="22"/>
          <w:lang w:val="en-GB"/>
        </w:rPr>
        <w:t>, there is some unnecessary train stops. The domestic DEA methodology can be implemented to evaluate the comparative operating efficiency and efficiency of stations at the domestic level. Model target values can be fed into tactical calendar scheduling and train activities can be improved.</w:t>
      </w:r>
    </w:p>
    <w:p w:rsidR="00E62FC6" w:rsidP="00E62FC6" w:rsidRDefault="00E62FC6" w14:paraId="6A9C4E03" w14:textId="213EE6BF">
      <w:pPr>
        <w:pStyle w:val="Normal"/>
        <w:rPr>
          <w:rFonts w:ascii="Arial" w:hAnsi="Arial" w:eastAsia="Arial" w:cs="Arial"/>
          <w:noProof w:val="0"/>
          <w:lang w:val="en-GB"/>
        </w:rPr>
      </w:pPr>
    </w:p>
    <w:p w:rsidR="57A91123" w:rsidP="00E62FC6" w:rsidRDefault="57A91123" w14:paraId="0E7224B5" w14:textId="24A7A8C1">
      <w:pPr>
        <w:pStyle w:val="Heading1"/>
        <w:rPr>
          <w:rFonts w:ascii="Arial" w:hAnsi="Arial" w:eastAsia="Arial" w:cs="Arial"/>
          <w:noProof w:val="0"/>
          <w:lang w:val="en-GB"/>
        </w:rPr>
      </w:pPr>
      <w:r w:rsidRPr="00E62FC6" w:rsidR="00E62FC6">
        <w:rPr>
          <w:rFonts w:ascii="Arial" w:hAnsi="Arial" w:eastAsia="Arial" w:cs="Arial"/>
          <w:noProof w:val="0"/>
          <w:lang w:val="en-GB"/>
        </w:rPr>
        <w:t>References</w:t>
      </w:r>
    </w:p>
    <w:p w:rsidR="2FEDF7BF" w:rsidP="00E62FC6" w:rsidRDefault="2FEDF7BF" w14:paraId="0B4679CC" w14:textId="4A7126E2">
      <w:pPr>
        <w:pStyle w:val="Normal"/>
        <w:rPr>
          <w:rFonts w:ascii="Arial" w:hAnsi="Arial" w:eastAsia="Arial" w:cs="Arial"/>
          <w:noProof w:val="0"/>
          <w:lang w:val="en-GB"/>
        </w:rPr>
      </w:pPr>
    </w:p>
    <w:p w:rsidR="00E62FC6" w:rsidP="00E62FC6" w:rsidRDefault="00E62FC6" w14:paraId="5E3D36D0" w14:textId="3776E235">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LARSON, A. 2003. Demystifying six </w:t>
      </w:r>
      <w:proofErr w:type="gramStart"/>
      <w:r w:rsidRPr="00E62FC6" w:rsidR="00E62FC6">
        <w:rPr>
          <w:rFonts w:ascii="Arial" w:hAnsi="Arial" w:eastAsia="Arial" w:cs="Arial"/>
          <w:noProof w:val="0"/>
          <w:sz w:val="22"/>
          <w:szCs w:val="22"/>
          <w:lang w:val="en-GB"/>
        </w:rPr>
        <w:t>sigma</w:t>
      </w:r>
      <w:proofErr w:type="gramEnd"/>
      <w:r w:rsidRPr="00E62FC6" w:rsidR="00E62FC6">
        <w:rPr>
          <w:rFonts w:ascii="Arial" w:hAnsi="Arial" w:eastAsia="Arial" w:cs="Arial"/>
          <w:noProof w:val="0"/>
          <w:sz w:val="22"/>
          <w:szCs w:val="22"/>
          <w:lang w:val="en-GB"/>
        </w:rPr>
        <w:t>: a company-wide approach to continuous improvement, AMACOM/American Management Association.</w:t>
      </w:r>
    </w:p>
    <w:p w:rsidR="00E62FC6" w:rsidP="00E62FC6" w:rsidRDefault="00E62FC6" w14:paraId="1B21A3C7" w14:textId="1D47E682">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SASSER, W. E., OLSEN, R. P., WYCKOFF, D. D. &amp; ADMINISTRATION, H. U. G. S. O. B. 1978. Management of service operations: Text, cases, and readings, </w:t>
      </w:r>
      <w:proofErr w:type="spellStart"/>
      <w:r w:rsidRPr="00E62FC6" w:rsidR="00E62FC6">
        <w:rPr>
          <w:rFonts w:ascii="Arial" w:hAnsi="Arial" w:eastAsia="Arial" w:cs="Arial"/>
          <w:noProof w:val="0"/>
          <w:sz w:val="22"/>
          <w:szCs w:val="22"/>
          <w:lang w:val="en-GB"/>
        </w:rPr>
        <w:t>Allyn</w:t>
      </w:r>
      <w:proofErr w:type="spellEnd"/>
      <w:r w:rsidRPr="00E62FC6" w:rsidR="00E62FC6">
        <w:rPr>
          <w:rFonts w:ascii="Arial" w:hAnsi="Arial" w:eastAsia="Arial" w:cs="Arial"/>
          <w:noProof w:val="0"/>
          <w:sz w:val="22"/>
          <w:szCs w:val="22"/>
          <w:lang w:val="en-GB"/>
        </w:rPr>
        <w:t xml:space="preserve"> and Bacon Boston.</w:t>
      </w:r>
    </w:p>
    <w:p w:rsidR="00E62FC6" w:rsidP="00E62FC6" w:rsidRDefault="00E62FC6" w14:paraId="53B0798C" w14:textId="213424CA">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CHARANTIMATH, P. M. 2011. Total Quality Management, New Delhi, Dorling Kindersley </w:t>
      </w:r>
      <w:proofErr w:type="spellStart"/>
      <w:r w:rsidRPr="00E62FC6" w:rsidR="00E62FC6">
        <w:rPr>
          <w:rFonts w:ascii="Arial" w:hAnsi="Arial" w:eastAsia="Arial" w:cs="Arial"/>
          <w:noProof w:val="0"/>
          <w:sz w:val="22"/>
          <w:szCs w:val="22"/>
          <w:lang w:val="en-GB"/>
        </w:rPr>
        <w:t>Pvt.</w:t>
      </w:r>
      <w:proofErr w:type="spellEnd"/>
      <w:r w:rsidRPr="00E62FC6" w:rsidR="00E62FC6">
        <w:rPr>
          <w:rFonts w:ascii="Arial" w:hAnsi="Arial" w:eastAsia="Arial" w:cs="Arial"/>
          <w:noProof w:val="0"/>
          <w:sz w:val="22"/>
          <w:szCs w:val="22"/>
          <w:lang w:val="en-GB"/>
        </w:rPr>
        <w:t xml:space="preserve"> Ltd.</w:t>
      </w:r>
    </w:p>
    <w:p w:rsidR="57A91123" w:rsidP="00E62FC6" w:rsidRDefault="57A91123" w14:paraId="3F9E0D16" w14:textId="0066A9DF">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T. </w:t>
      </w:r>
      <w:proofErr w:type="spellStart"/>
      <w:r w:rsidRPr="00E62FC6" w:rsidR="00E62FC6">
        <w:rPr>
          <w:rFonts w:ascii="Arial" w:hAnsi="Arial" w:eastAsia="Arial" w:cs="Arial"/>
          <w:noProof w:val="0"/>
          <w:sz w:val="22"/>
          <w:szCs w:val="22"/>
          <w:lang w:val="en-GB"/>
        </w:rPr>
        <w:t>Pyzdek</w:t>
      </w:r>
      <w:proofErr w:type="spellEnd"/>
      <w:r w:rsidRPr="00E62FC6" w:rsidR="00E62FC6">
        <w:rPr>
          <w:rFonts w:ascii="Arial" w:hAnsi="Arial" w:eastAsia="Arial" w:cs="Arial"/>
          <w:noProof w:val="0"/>
          <w:sz w:val="22"/>
          <w:szCs w:val="22"/>
          <w:lang w:val="en-GB"/>
        </w:rPr>
        <w:t>, P. Keller (2003) The Six Sigma handbook: a complete guide for green belts, black belts, and managers at all levels, McGraw-Hill Companies Inc., New York, NY.</w:t>
      </w:r>
    </w:p>
    <w:p w:rsidR="57A91123" w:rsidP="00E62FC6" w:rsidRDefault="57A91123" w14:paraId="3BB5B0DD" w14:textId="730F8A8F">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ISIXSIGMA, Process Sigma Calculator, 2019, </w:t>
      </w:r>
      <w:hyperlink r:id="Rd94b38e69f6f4433">
        <w:r w:rsidRPr="00E62FC6" w:rsidR="00E62FC6">
          <w:rPr>
            <w:rStyle w:val="Hyperlink"/>
            <w:rFonts w:ascii="Arial" w:hAnsi="Arial" w:eastAsia="Arial" w:cs="Arial"/>
            <w:noProof w:val="0"/>
            <w:sz w:val="22"/>
            <w:szCs w:val="22"/>
            <w:lang w:val="en-GB"/>
          </w:rPr>
          <w:t>https://www.isixsigma.com/process-sigma-calculator/</w:t>
        </w:r>
      </w:hyperlink>
      <w:r w:rsidRPr="00E62FC6" w:rsidR="00E62FC6">
        <w:rPr>
          <w:rFonts w:ascii="Arial" w:hAnsi="Arial" w:eastAsia="Arial" w:cs="Arial"/>
          <w:noProof w:val="0"/>
          <w:sz w:val="22"/>
          <w:szCs w:val="22"/>
          <w:lang w:val="en-GB"/>
        </w:rPr>
        <w:t xml:space="preserve"> </w:t>
      </w:r>
    </w:p>
    <w:p w:rsidR="57A91123" w:rsidP="00E62FC6" w:rsidRDefault="57A91123" w14:paraId="609F81B7" w14:textId="4979BF24">
      <w:pPr>
        <w:pStyle w:val="Normal"/>
        <w:rPr>
          <w:rFonts w:ascii="Arial" w:hAnsi="Arial" w:eastAsia="Arial" w:cs="Arial"/>
        </w:rPr>
      </w:pPr>
      <w:r w:rsidRPr="00E62FC6" w:rsidR="00E62FC6">
        <w:rPr>
          <w:rFonts w:ascii="Arial" w:hAnsi="Arial" w:eastAsia="Arial" w:cs="Arial"/>
        </w:rPr>
        <w:t>P. Keller, Six Sigma Demystified, Second Edition, 2011</w:t>
      </w:r>
    </w:p>
    <w:p w:rsidR="57A91123" w:rsidP="00E62FC6" w:rsidRDefault="57A91123" w14:paraId="66F80407" w14:textId="37570482">
      <w:pPr>
        <w:pStyle w:val="Normal"/>
        <w:rPr>
          <w:rFonts w:ascii="Arial" w:hAnsi="Arial" w:eastAsia="Arial" w:cs="Arial"/>
        </w:rPr>
      </w:pPr>
      <w:r w:rsidRPr="00E62FC6" w:rsidR="00E62FC6">
        <w:rPr>
          <w:rFonts w:ascii="Arial" w:hAnsi="Arial" w:eastAsia="Arial" w:cs="Arial"/>
          <w:noProof w:val="0"/>
          <w:sz w:val="22"/>
          <w:szCs w:val="22"/>
          <w:lang w:val="en-GB"/>
        </w:rPr>
        <w:t xml:space="preserve">Rail Alliance, Golden Spanner Awards, 2018, </w:t>
      </w:r>
      <w:hyperlink r:id="R44e9bdbf204c420d">
        <w:r w:rsidRPr="00E62FC6" w:rsidR="00E62FC6">
          <w:rPr>
            <w:rStyle w:val="Hyperlink"/>
            <w:rFonts w:ascii="Arial" w:hAnsi="Arial" w:eastAsia="Arial" w:cs="Arial"/>
            <w:noProof w:val="0"/>
            <w:sz w:val="22"/>
            <w:szCs w:val="22"/>
            <w:lang w:val="en-GB"/>
          </w:rPr>
          <w:t>https://www.railalliance.co.uk/event/golden-spanner-awards/</w:t>
        </w:r>
      </w:hyperlink>
    </w:p>
    <w:p w:rsidR="57A91123" w:rsidP="00E62FC6" w:rsidRDefault="57A91123" w14:paraId="3AB7BD21" w14:textId="4D1E8671">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Network Rail, </w:t>
      </w:r>
      <w:r w:rsidRPr="00E62FC6" w:rsidR="00E62FC6">
        <w:rPr>
          <w:rFonts w:ascii="Arial" w:hAnsi="Arial" w:eastAsia="Arial" w:cs="Arial"/>
          <w:noProof w:val="0"/>
          <w:sz w:val="22"/>
          <w:szCs w:val="22"/>
          <w:lang w:val="en-GB"/>
        </w:rPr>
        <w:t xml:space="preserve">Public Performance Measure and Delay Responsibility, 2019, </w:t>
      </w:r>
      <w:hyperlink r:id="Rf19050e1094e4e76">
        <w:r w:rsidRPr="00E62FC6" w:rsidR="00E62FC6">
          <w:rPr>
            <w:rStyle w:val="Hyperlink"/>
            <w:rFonts w:ascii="Arial" w:hAnsi="Arial" w:eastAsia="Arial" w:cs="Arial"/>
            <w:noProof w:val="0"/>
            <w:sz w:val="22"/>
            <w:szCs w:val="22"/>
            <w:lang w:val="en-GB"/>
          </w:rPr>
          <w:t>https://www.networkrail.co.uk/who-we-are/how-we-work/performance/railway-performance/public-performance-measure-and-delay-responsibility/</w:t>
        </w:r>
      </w:hyperlink>
      <w:r w:rsidRPr="00E62FC6" w:rsidR="00E62FC6">
        <w:rPr>
          <w:rFonts w:ascii="Arial" w:hAnsi="Arial" w:eastAsia="Arial" w:cs="Arial"/>
          <w:noProof w:val="0"/>
          <w:sz w:val="22"/>
          <w:szCs w:val="22"/>
          <w:lang w:val="en-GB"/>
        </w:rPr>
        <w:t xml:space="preserve"> </w:t>
      </w:r>
    </w:p>
    <w:p w:rsidR="2FEDF7BF" w:rsidP="00E62FC6" w:rsidRDefault="2FEDF7BF" w14:paraId="637C43DF" w14:textId="4BB04434">
      <w:pPr>
        <w:pStyle w:val="Normal"/>
        <w:rPr>
          <w:rFonts w:ascii="Arial" w:hAnsi="Arial" w:eastAsia="Arial" w:cs="Arial"/>
        </w:rPr>
      </w:pPr>
      <w:r w:rsidRPr="00E62FC6" w:rsidR="00E62FC6">
        <w:rPr>
          <w:rFonts w:ascii="Arial" w:hAnsi="Arial" w:eastAsia="Arial" w:cs="Arial"/>
          <w:noProof w:val="0"/>
          <w:sz w:val="22"/>
          <w:szCs w:val="22"/>
          <w:lang w:val="en-GB"/>
        </w:rPr>
        <w:t xml:space="preserve">Office for Rail and Road, UK rail industry financial information 2017-1, 2019, </w:t>
      </w:r>
      <w:hyperlink r:id="R086a477133cd4f25">
        <w:r w:rsidRPr="00E62FC6" w:rsidR="00E62FC6">
          <w:rPr>
            <w:rStyle w:val="Hyperlink"/>
            <w:rFonts w:ascii="Arial" w:hAnsi="Arial" w:eastAsia="Arial" w:cs="Arial"/>
            <w:noProof w:val="0"/>
            <w:sz w:val="22"/>
            <w:szCs w:val="22"/>
            <w:lang w:val="en-GB"/>
          </w:rPr>
          <w:t>https://orr.gov.uk/__data/assets/pdf_file/0013/40351/uk-rail-industry-financial-information-2017-18.pdf</w:t>
        </w:r>
      </w:hyperlink>
    </w:p>
    <w:p w:rsidR="00E62FC6" w:rsidP="00E62FC6" w:rsidRDefault="00E62FC6" w14:paraId="38B686BC" w14:textId="01AC97ED">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MOORE, R. 2007. Selecting the right manufacturing improvement tools: what tool? </w:t>
      </w:r>
      <w:proofErr w:type="gramStart"/>
      <w:r w:rsidRPr="00E62FC6" w:rsidR="00E62FC6">
        <w:rPr>
          <w:rFonts w:ascii="Arial" w:hAnsi="Arial" w:eastAsia="Arial" w:cs="Arial"/>
          <w:noProof w:val="0"/>
          <w:sz w:val="22"/>
          <w:szCs w:val="22"/>
          <w:lang w:val="en-GB"/>
        </w:rPr>
        <w:t>when?,</w:t>
      </w:r>
      <w:proofErr w:type="gramEnd"/>
      <w:r w:rsidRPr="00E62FC6" w:rsidR="00E62FC6">
        <w:rPr>
          <w:rFonts w:ascii="Arial" w:hAnsi="Arial" w:eastAsia="Arial" w:cs="Arial"/>
          <w:noProof w:val="0"/>
          <w:sz w:val="22"/>
          <w:szCs w:val="22"/>
          <w:lang w:val="en-GB"/>
        </w:rPr>
        <w:t xml:space="preserve"> Burlington, MA, Elsevier Butterworth-Heineman.</w:t>
      </w:r>
    </w:p>
    <w:p w:rsidR="00E62FC6" w:rsidP="00E62FC6" w:rsidRDefault="00E62FC6" w14:paraId="4AD83CC5" w14:textId="5DAEF14F">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SAVE 2007. Value standard and body of knowledge. USA: SAVE International.</w:t>
      </w:r>
    </w:p>
    <w:p w:rsidR="00E62FC6" w:rsidP="00E62FC6" w:rsidRDefault="00E62FC6" w14:paraId="1D02BDB7" w14:textId="61C56710">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GEORGE, M. L. 2002. Lean Six </w:t>
      </w:r>
      <w:proofErr w:type="gramStart"/>
      <w:r w:rsidRPr="00E62FC6" w:rsidR="00E62FC6">
        <w:rPr>
          <w:rFonts w:ascii="Arial" w:hAnsi="Arial" w:eastAsia="Arial" w:cs="Arial"/>
          <w:noProof w:val="0"/>
          <w:sz w:val="22"/>
          <w:szCs w:val="22"/>
          <w:lang w:val="en-GB"/>
        </w:rPr>
        <w:t>Sigma :</w:t>
      </w:r>
      <w:proofErr w:type="gramEnd"/>
      <w:r w:rsidRPr="00E62FC6" w:rsidR="00E62FC6">
        <w:rPr>
          <w:rFonts w:ascii="Arial" w:hAnsi="Arial" w:eastAsia="Arial" w:cs="Arial"/>
          <w:noProof w:val="0"/>
          <w:sz w:val="22"/>
          <w:szCs w:val="22"/>
          <w:lang w:val="en-GB"/>
        </w:rPr>
        <w:t xml:space="preserve"> Combining Six Sigma Quality with Lean Production Speed, Blacklick, OH, USA, McGraw-Hill Professional Publishing.</w:t>
      </w:r>
    </w:p>
    <w:p w:rsidR="00E62FC6" w:rsidP="00E62FC6" w:rsidRDefault="00E62FC6" w14:paraId="5177651D" w14:textId="57330492">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FARRELL, M. J. 1957. The Measurement of Productive Efficiency. Journal of the Royal Statistical Society. Series A (General), 120, 253-290.</w:t>
      </w:r>
    </w:p>
    <w:p w:rsidR="00E62FC6" w:rsidP="00E62FC6" w:rsidRDefault="00E62FC6" w14:paraId="73B4EC34" w14:textId="15103F2D">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BOOZ &amp; COMPANY 2011. Rail Value for Money Study: Research on Value for Money Assessment London: Commissioned by Department for Transport </w:t>
      </w:r>
      <w:proofErr w:type="gramStart"/>
      <w:r w:rsidRPr="00E62FC6" w:rsidR="00E62FC6">
        <w:rPr>
          <w:rFonts w:ascii="Arial" w:hAnsi="Arial" w:eastAsia="Arial" w:cs="Arial"/>
          <w:noProof w:val="0"/>
          <w:sz w:val="22"/>
          <w:szCs w:val="22"/>
          <w:lang w:val="en-GB"/>
        </w:rPr>
        <w:t>and  Office</w:t>
      </w:r>
      <w:proofErr w:type="gramEnd"/>
      <w:r w:rsidRPr="00E62FC6" w:rsidR="00E62FC6">
        <w:rPr>
          <w:rFonts w:ascii="Arial" w:hAnsi="Arial" w:eastAsia="Arial" w:cs="Arial"/>
          <w:noProof w:val="0"/>
          <w:sz w:val="22"/>
          <w:szCs w:val="22"/>
          <w:lang w:val="en-GB"/>
        </w:rPr>
        <w:t xml:space="preserve"> of Rail Regulation. Available online at </w:t>
      </w:r>
      <w:hyperlink r:id="R75598ee20bc2427a">
        <w:r w:rsidRPr="00E62FC6" w:rsidR="00E62FC6">
          <w:rPr>
            <w:rStyle w:val="Hyperlink"/>
            <w:rFonts w:ascii="Arial" w:hAnsi="Arial" w:eastAsia="Arial" w:cs="Arial"/>
            <w:noProof w:val="0"/>
            <w:sz w:val="22"/>
            <w:szCs w:val="22"/>
            <w:lang w:val="en-GB"/>
          </w:rPr>
          <w:t>www.dft.gov.uk</w:t>
        </w:r>
      </w:hyperlink>
      <w:r w:rsidRPr="00E62FC6" w:rsidR="00E62FC6">
        <w:rPr>
          <w:rFonts w:ascii="Arial" w:hAnsi="Arial" w:eastAsia="Arial" w:cs="Arial"/>
          <w:noProof w:val="0"/>
          <w:sz w:val="22"/>
          <w:szCs w:val="22"/>
          <w:lang w:val="en-GB"/>
        </w:rPr>
        <w:t>.</w:t>
      </w:r>
    </w:p>
    <w:p w:rsidR="00E62FC6" w:rsidP="00E62FC6" w:rsidRDefault="00E62FC6" w14:paraId="55DD8014" w14:textId="448DFC1E">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RAMANATHAN, R. 2003. An introduction to data envelopment analysis: a tool for performance measurement, Sage Publications </w:t>
      </w:r>
      <w:proofErr w:type="spellStart"/>
      <w:r w:rsidRPr="00E62FC6" w:rsidR="00E62FC6">
        <w:rPr>
          <w:rFonts w:ascii="Arial" w:hAnsi="Arial" w:eastAsia="Arial" w:cs="Arial"/>
          <w:noProof w:val="0"/>
          <w:sz w:val="22"/>
          <w:szCs w:val="22"/>
          <w:lang w:val="en-GB"/>
        </w:rPr>
        <w:t>Pvt.</w:t>
      </w:r>
      <w:proofErr w:type="spellEnd"/>
      <w:r w:rsidRPr="00E62FC6" w:rsidR="00E62FC6">
        <w:rPr>
          <w:rFonts w:ascii="Arial" w:hAnsi="Arial" w:eastAsia="Arial" w:cs="Arial"/>
          <w:noProof w:val="0"/>
          <w:sz w:val="22"/>
          <w:szCs w:val="22"/>
          <w:lang w:val="en-GB"/>
        </w:rPr>
        <w:t xml:space="preserve"> Ltd.</w:t>
      </w:r>
    </w:p>
    <w:p w:rsidR="00E62FC6" w:rsidP="00E62FC6" w:rsidRDefault="00E62FC6" w14:paraId="792088E9" w14:textId="23CA111B">
      <w:pPr>
        <w:pStyle w:val="Normal"/>
        <w:rPr>
          <w:rFonts w:ascii="Arial" w:hAnsi="Arial" w:eastAsia="Arial" w:cs="Arial"/>
        </w:rPr>
      </w:pPr>
      <w:r w:rsidRPr="00E62FC6" w:rsidR="00E62FC6">
        <w:rPr>
          <w:rFonts w:ascii="Arial" w:hAnsi="Arial" w:eastAsia="Arial" w:cs="Arial"/>
          <w:noProof w:val="0"/>
          <w:sz w:val="22"/>
          <w:szCs w:val="22"/>
          <w:lang w:val="en-GB"/>
        </w:rPr>
        <w:t xml:space="preserve">South Western Railway, About Us, 2019, </w:t>
      </w:r>
      <w:hyperlink r:id="R54fe3fa1d8164619">
        <w:r w:rsidRPr="00E62FC6" w:rsidR="00E62FC6">
          <w:rPr>
            <w:rStyle w:val="Hyperlink"/>
            <w:rFonts w:ascii="Arial" w:hAnsi="Arial" w:eastAsia="Arial" w:cs="Arial"/>
            <w:noProof w:val="0"/>
            <w:sz w:val="22"/>
            <w:szCs w:val="22"/>
            <w:lang w:val="en-GB"/>
          </w:rPr>
          <w:t>https://www.southwesternrailway.com/plan-my-journey/our-network</w:t>
        </w:r>
      </w:hyperlink>
    </w:p>
    <w:p w:rsidR="00E62FC6" w:rsidP="00E62FC6" w:rsidRDefault="00E62FC6" w14:paraId="4BF9DC90" w14:textId="6BB46810">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Office of Rail and Road, Passenger Rail Usage 2018-19 Q4 Statistical Release, 2019, </w:t>
      </w:r>
      <w:hyperlink r:id="R0265ec0491874e30">
        <w:r w:rsidRPr="00E62FC6" w:rsidR="00E62FC6">
          <w:rPr>
            <w:rStyle w:val="Hyperlink"/>
            <w:rFonts w:ascii="Arial" w:hAnsi="Arial" w:eastAsia="Arial" w:cs="Arial"/>
            <w:noProof w:val="0"/>
            <w:sz w:val="22"/>
            <w:szCs w:val="22"/>
            <w:lang w:val="en-GB"/>
          </w:rPr>
          <w:t>https://dataportal.orr.gov.uk/media/1240/passenger-rail-usage-2018-19-q4.pdf</w:t>
        </w:r>
      </w:hyperlink>
      <w:r w:rsidRPr="00E62FC6" w:rsidR="00E62FC6">
        <w:rPr>
          <w:rFonts w:ascii="Arial" w:hAnsi="Arial" w:eastAsia="Arial" w:cs="Arial"/>
          <w:noProof w:val="0"/>
          <w:sz w:val="22"/>
          <w:szCs w:val="22"/>
          <w:lang w:val="en-GB"/>
        </w:rPr>
        <w:t xml:space="preserve"> </w:t>
      </w:r>
    </w:p>
    <w:p w:rsidR="00E62FC6" w:rsidP="00E62FC6" w:rsidRDefault="00E62FC6" w14:paraId="5B2FCACA" w14:textId="3EF9C29E">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Office of Rail and Road, Passenger and Freight Rail Performance 2018-19 Q4 Statistical Release , 2019, </w:t>
      </w:r>
      <w:hyperlink r:id="Rdfc010436e1e485f">
        <w:r w:rsidRPr="00E62FC6" w:rsidR="00E62FC6">
          <w:rPr>
            <w:rStyle w:val="Hyperlink"/>
            <w:rFonts w:ascii="Arial" w:hAnsi="Arial" w:eastAsia="Arial" w:cs="Arial"/>
            <w:noProof w:val="0"/>
            <w:sz w:val="22"/>
            <w:szCs w:val="22"/>
            <w:lang w:val="en-GB"/>
          </w:rPr>
          <w:t>https://dataportal.orr.gov.uk/media/1240/passenger-freight-performance-2018-19-q4.pdf</w:t>
        </w:r>
      </w:hyperlink>
      <w:r w:rsidRPr="00E62FC6" w:rsidR="00E62FC6">
        <w:rPr>
          <w:rFonts w:ascii="Arial" w:hAnsi="Arial" w:eastAsia="Arial" w:cs="Arial"/>
          <w:noProof w:val="0"/>
          <w:sz w:val="22"/>
          <w:szCs w:val="22"/>
          <w:lang w:val="en-GB"/>
        </w:rPr>
        <w:t xml:space="preserve"> </w:t>
      </w:r>
    </w:p>
    <w:p w:rsidR="00E62FC6" w:rsidP="00E62FC6" w:rsidRDefault="00E62FC6" w14:paraId="12319042" w14:textId="30667BFB">
      <w:pPr>
        <w:pStyle w:val="Normal"/>
        <w:rPr>
          <w:rFonts w:ascii="Arial" w:hAnsi="Arial" w:eastAsia="Arial" w:cs="Arial"/>
          <w:noProof w:val="0"/>
          <w:sz w:val="22"/>
          <w:szCs w:val="22"/>
          <w:lang w:val="en-GB"/>
        </w:rPr>
      </w:pPr>
      <w:r w:rsidRPr="00E62FC6" w:rsidR="00E62FC6">
        <w:rPr>
          <w:rFonts w:ascii="Arial" w:hAnsi="Arial" w:eastAsia="Arial" w:cs="Arial"/>
          <w:noProof w:val="0"/>
          <w:sz w:val="22"/>
          <w:szCs w:val="22"/>
          <w:lang w:val="en-GB"/>
        </w:rPr>
        <w:t xml:space="preserve">SWR, </w:t>
      </w:r>
      <w:r w:rsidRPr="00E62FC6" w:rsidR="00E62FC6">
        <w:rPr>
          <w:rFonts w:ascii="Arial" w:hAnsi="Arial" w:eastAsia="Arial" w:cs="Arial"/>
          <w:noProof w:val="0"/>
          <w:sz w:val="22"/>
          <w:szCs w:val="22"/>
          <w:lang w:val="en-GB"/>
        </w:rPr>
        <w:t>South Western Railway Independent Performance Review, 2019,</w:t>
      </w:r>
      <w:r w:rsidRPr="00E62FC6" w:rsidR="00E62FC6">
        <w:rPr>
          <w:rFonts w:ascii="Arial" w:hAnsi="Arial" w:eastAsia="Arial" w:cs="Arial"/>
          <w:noProof w:val="0"/>
          <w:sz w:val="22"/>
          <w:szCs w:val="22"/>
          <w:lang w:val="en-GB"/>
        </w:rPr>
        <w:t xml:space="preserve"> </w:t>
      </w:r>
      <w:hyperlink r:id="R0675f586ad684053">
        <w:r w:rsidRPr="00E62FC6" w:rsidR="00E62FC6">
          <w:rPr>
            <w:rStyle w:val="Hyperlink"/>
            <w:rFonts w:ascii="Arial" w:hAnsi="Arial" w:eastAsia="Arial" w:cs="Arial"/>
            <w:noProof w:val="0"/>
            <w:sz w:val="22"/>
            <w:szCs w:val="22"/>
            <w:lang w:val="en-GB"/>
          </w:rPr>
          <w:t>file:///C:/Users/Andrew%20English/AppData/Local/Packages/Microsoft.MicrosoftEdge_8wekyb3d8bbwe/TempState/Downloads/SWR%20Performance%20Review%20report%20(1).pdf</w:t>
        </w:r>
      </w:hyperlink>
      <w:r w:rsidRPr="00E62FC6" w:rsidR="00E62FC6">
        <w:rPr>
          <w:rFonts w:ascii="Arial" w:hAnsi="Arial" w:eastAsia="Arial" w:cs="Arial"/>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D67DCF"/>
  <w15:docId w15:val="{05b492bb-f69a-46b5-bf47-37a6b9e1c2d6}"/>
  <w:rsids>
    <w:rsidRoot w:val="5BD67DCF"/>
    <w:rsid w:val="00E62FC6"/>
    <w:rsid w:val="2FEDF7BF"/>
    <w:rsid w:val="57A91123"/>
    <w:rsid w:val="5BD67DC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c0f32ba4ba041af" /><Relationship Type="http://schemas.openxmlformats.org/officeDocument/2006/relationships/image" Target="/media/image2.png" Id="Rcff0180735f148b2" /><Relationship Type="http://schemas.openxmlformats.org/officeDocument/2006/relationships/image" Target="/media/image3.png" Id="Ra4a92750b44a4aa5" /><Relationship Type="http://schemas.openxmlformats.org/officeDocument/2006/relationships/numbering" Target="/word/numbering.xml" Id="Re81d65805b154a35" /><Relationship Type="http://schemas.openxmlformats.org/officeDocument/2006/relationships/image" Target="/media/image4.png" Id="Ra69270f89b2b44eb" /><Relationship Type="http://schemas.openxmlformats.org/officeDocument/2006/relationships/image" Target="/media/image5.png" Id="R49729a9ae94f4560" /><Relationship Type="http://schemas.openxmlformats.org/officeDocument/2006/relationships/image" Target="/media/image6.png" Id="Rfbf708b4cc434874" /><Relationship Type="http://schemas.openxmlformats.org/officeDocument/2006/relationships/image" Target="/media/image7.png" Id="Rbead4fa828c7444f" /><Relationship Type="http://schemas.openxmlformats.org/officeDocument/2006/relationships/image" Target="/media/image8.png" Id="R4babcc3cb5374567" /><Relationship Type="http://schemas.openxmlformats.org/officeDocument/2006/relationships/image" Target="/media/image9.png" Id="R6e496ffafae34eb2" /><Relationship Type="http://schemas.openxmlformats.org/officeDocument/2006/relationships/image" Target="/media/imagea.png" Id="R07a9cb3630ae4199" /><Relationship Type="http://schemas.openxmlformats.org/officeDocument/2006/relationships/image" Target="/media/imageb.png" Id="R8065d10dd42d4829" /><Relationship Type="http://schemas.openxmlformats.org/officeDocument/2006/relationships/hyperlink" Target="https://www.isixsigma.com/process-sigma-calculator/" TargetMode="External" Id="Rd94b38e69f6f4433" /><Relationship Type="http://schemas.openxmlformats.org/officeDocument/2006/relationships/hyperlink" Target="https://www.railalliance.co.uk/event/golden-spanner-awards/" TargetMode="External" Id="R44e9bdbf204c420d" /><Relationship Type="http://schemas.openxmlformats.org/officeDocument/2006/relationships/hyperlink" Target="https://www.networkrail.co.uk/who-we-are/how-we-work/performance/railway-performance/public-performance-measure-and-delay-responsibility/" TargetMode="External" Id="Rf19050e1094e4e76" /><Relationship Type="http://schemas.openxmlformats.org/officeDocument/2006/relationships/hyperlink" Target="https://orr.gov.uk/__data/assets/pdf_file/0013/40351/uk-rail-industry-financial-information-2017-18.pdf" TargetMode="External" Id="R086a477133cd4f25" /><Relationship Type="http://schemas.openxmlformats.org/officeDocument/2006/relationships/hyperlink" Target="http://www.dft.gov.uk" TargetMode="External" Id="R75598ee20bc2427a" /><Relationship Type="http://schemas.openxmlformats.org/officeDocument/2006/relationships/hyperlink" Target="https://www.southwesternrailway.com/plan-my-journey/our-network" TargetMode="External" Id="R54fe3fa1d8164619" /><Relationship Type="http://schemas.openxmlformats.org/officeDocument/2006/relationships/hyperlink" Target="https://dataportal.orr.gov.uk/media/1240/passenger-rail-usage-2018-19-q4.pdf" TargetMode="External" Id="R0265ec0491874e30" /><Relationship Type="http://schemas.openxmlformats.org/officeDocument/2006/relationships/hyperlink" Target="https://dataportal.orr.gov.uk/media/1240/passenger-freight-performance-2018-19-q4.pdf" TargetMode="External" Id="Rdfc010436e1e485f" /><Relationship Type="http://schemas.openxmlformats.org/officeDocument/2006/relationships/hyperlink" Target="file:///C:/Users/Andrew%20English/AppData/Local/Packages/Microsoft.MicrosoftEdge_8wekyb3d8bbwe/TempState/Downloads/SWR%20Performance%20Review%20report%20(1).pdf" TargetMode="External" Id="R0675f586ad6840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English</dc:creator>
  <keywords/>
  <dc:description/>
  <lastModifiedBy>Andrew English</lastModifiedBy>
  <revision>4</revision>
  <dcterms:created xsi:type="dcterms:W3CDTF">2019-07-12T07:46:04.7291080Z</dcterms:created>
  <dcterms:modified xsi:type="dcterms:W3CDTF">2019-07-16T14:20:47.7044087Z</dcterms:modified>
</coreProperties>
</file>