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0A59C9" w14:textId="17E068DA" w:rsidR="001604DC" w:rsidRDefault="001604DC" w:rsidP="001604DC">
      <w:pPr>
        <w:rPr>
          <w:rFonts w:ascii="Arial" w:hAnsi="Arial" w:cs="Arial"/>
          <w:sz w:val="28"/>
          <w:szCs w:val="28"/>
        </w:rPr>
      </w:pPr>
      <w:r w:rsidRPr="00421752">
        <w:rPr>
          <w:rFonts w:ascii="Arial" w:hAnsi="Arial" w:cs="Arial"/>
          <w:b/>
          <w:bCs/>
          <w:sz w:val="28"/>
          <w:szCs w:val="28"/>
        </w:rPr>
        <w:t>Module:</w:t>
      </w:r>
      <w:r>
        <w:rPr>
          <w:rFonts w:ascii="Arial" w:hAnsi="Arial" w:cs="Arial"/>
          <w:sz w:val="28"/>
          <w:szCs w:val="28"/>
        </w:rPr>
        <w:t xml:space="preserve"> Developing and Managing Individuals and Teams</w:t>
      </w:r>
    </w:p>
    <w:p w14:paraId="3D45263B" w14:textId="49CF5FD6" w:rsidR="001604DC" w:rsidRDefault="001604DC" w:rsidP="001604DC">
      <w:pPr>
        <w:rPr>
          <w:rFonts w:ascii="Arial" w:hAnsi="Arial" w:cs="Arial"/>
          <w:sz w:val="28"/>
          <w:szCs w:val="28"/>
        </w:rPr>
      </w:pPr>
      <w:r w:rsidRPr="00421752">
        <w:rPr>
          <w:rFonts w:ascii="Arial" w:hAnsi="Arial" w:cs="Arial"/>
          <w:b/>
          <w:bCs/>
          <w:sz w:val="28"/>
          <w:szCs w:val="28"/>
        </w:rPr>
        <w:t>Module code:</w:t>
      </w:r>
      <w:r>
        <w:rPr>
          <w:rFonts w:ascii="Arial" w:hAnsi="Arial" w:cs="Arial"/>
          <w:sz w:val="28"/>
          <w:szCs w:val="28"/>
        </w:rPr>
        <w:t xml:space="preserve"> LCLM5002</w:t>
      </w:r>
    </w:p>
    <w:p w14:paraId="1A4BBB6A" w14:textId="2C1A321A" w:rsidR="001604DC" w:rsidRDefault="001604DC" w:rsidP="001604DC">
      <w:pPr>
        <w:rPr>
          <w:rFonts w:ascii="Arial" w:hAnsi="Arial" w:cs="Arial"/>
          <w:sz w:val="28"/>
          <w:szCs w:val="28"/>
        </w:rPr>
      </w:pPr>
      <w:r w:rsidRPr="00421752">
        <w:rPr>
          <w:rFonts w:ascii="Arial" w:hAnsi="Arial" w:cs="Arial"/>
          <w:b/>
          <w:bCs/>
          <w:sz w:val="28"/>
          <w:szCs w:val="28"/>
        </w:rPr>
        <w:t>Lecture:</w:t>
      </w:r>
      <w:r>
        <w:rPr>
          <w:rFonts w:ascii="Arial" w:hAnsi="Arial" w:cs="Arial"/>
          <w:sz w:val="28"/>
          <w:szCs w:val="28"/>
        </w:rPr>
        <w:t xml:space="preserve"> Mudassar Hasan</w:t>
      </w:r>
    </w:p>
    <w:p w14:paraId="2D50DD40" w14:textId="104F1E42" w:rsidR="001604DC" w:rsidRPr="00ED457C" w:rsidRDefault="001604DC" w:rsidP="001604DC">
      <w:pPr>
        <w:rPr>
          <w:rFonts w:ascii="Arial" w:hAnsi="Arial" w:cs="Arial"/>
          <w:i/>
          <w:iCs/>
          <w:sz w:val="28"/>
          <w:szCs w:val="28"/>
        </w:rPr>
      </w:pPr>
      <w:r w:rsidRPr="00421752">
        <w:rPr>
          <w:rFonts w:ascii="Arial" w:hAnsi="Arial" w:cs="Arial"/>
          <w:b/>
          <w:bCs/>
          <w:sz w:val="28"/>
          <w:szCs w:val="28"/>
        </w:rPr>
        <w:t>Assignment:</w:t>
      </w:r>
      <w:r>
        <w:rPr>
          <w:rFonts w:ascii="Arial" w:hAnsi="Arial" w:cs="Arial"/>
          <w:sz w:val="28"/>
          <w:szCs w:val="28"/>
        </w:rPr>
        <w:t xml:space="preserve"> </w:t>
      </w:r>
      <w:r w:rsidRPr="00ED457C">
        <w:rPr>
          <w:rFonts w:ascii="Arial" w:hAnsi="Arial" w:cs="Arial"/>
          <w:i/>
          <w:iCs/>
          <w:sz w:val="28"/>
          <w:szCs w:val="28"/>
        </w:rPr>
        <w:t>Component 2- Individual Report</w:t>
      </w:r>
    </w:p>
    <w:p w14:paraId="751F1FC3" w14:textId="77777777" w:rsidR="001604DC" w:rsidRDefault="001604DC" w:rsidP="001604DC">
      <w:pPr>
        <w:jc w:val="center"/>
        <w:rPr>
          <w:rFonts w:ascii="Arial" w:hAnsi="Arial" w:cs="Arial"/>
          <w:b/>
          <w:bCs/>
          <w:sz w:val="48"/>
          <w:szCs w:val="48"/>
        </w:rPr>
      </w:pPr>
    </w:p>
    <w:p w14:paraId="4D0570FD" w14:textId="77777777" w:rsidR="001604DC" w:rsidRDefault="001604DC" w:rsidP="001604DC">
      <w:pPr>
        <w:jc w:val="center"/>
        <w:rPr>
          <w:rFonts w:ascii="Arial" w:hAnsi="Arial" w:cs="Arial"/>
          <w:b/>
          <w:bCs/>
          <w:sz w:val="48"/>
          <w:szCs w:val="48"/>
        </w:rPr>
      </w:pPr>
    </w:p>
    <w:p w14:paraId="12CEFAEF" w14:textId="77777777" w:rsidR="001604DC" w:rsidRDefault="001604DC" w:rsidP="001604DC">
      <w:pPr>
        <w:jc w:val="center"/>
        <w:rPr>
          <w:rFonts w:ascii="Arial" w:hAnsi="Arial" w:cs="Arial"/>
          <w:b/>
          <w:bCs/>
          <w:sz w:val="48"/>
          <w:szCs w:val="48"/>
        </w:rPr>
      </w:pPr>
    </w:p>
    <w:p w14:paraId="1659B65C" w14:textId="64CC75C5" w:rsidR="00EE4169" w:rsidRPr="009F3C71" w:rsidRDefault="001604DC" w:rsidP="001604DC">
      <w:pPr>
        <w:jc w:val="center"/>
        <w:rPr>
          <w:rFonts w:ascii="Arial" w:hAnsi="Arial" w:cs="Arial"/>
          <w:b/>
          <w:bCs/>
          <w:i/>
          <w:iCs/>
          <w:sz w:val="40"/>
          <w:szCs w:val="40"/>
        </w:rPr>
      </w:pPr>
      <w:r w:rsidRPr="009F3C71">
        <w:rPr>
          <w:rFonts w:ascii="Arial" w:hAnsi="Arial" w:cs="Arial"/>
          <w:b/>
          <w:bCs/>
          <w:i/>
          <w:iCs/>
          <w:sz w:val="40"/>
          <w:szCs w:val="40"/>
        </w:rPr>
        <w:t>Addressing Grievance through HR Practices in the Context of Business Transformation, Digital Technology, and Flexible Working at Jaguar Land Rover Castle Bromwich</w:t>
      </w:r>
    </w:p>
    <w:p w14:paraId="4B380E68" w14:textId="77777777" w:rsidR="001604DC" w:rsidRDefault="001604DC" w:rsidP="001604DC">
      <w:pPr>
        <w:jc w:val="center"/>
        <w:rPr>
          <w:rFonts w:ascii="Arial" w:hAnsi="Arial" w:cs="Arial"/>
          <w:b/>
          <w:bCs/>
          <w:sz w:val="36"/>
          <w:szCs w:val="36"/>
        </w:rPr>
      </w:pPr>
    </w:p>
    <w:p w14:paraId="10A5126D" w14:textId="77777777" w:rsidR="001604DC" w:rsidRDefault="001604DC" w:rsidP="001604DC">
      <w:pPr>
        <w:jc w:val="center"/>
        <w:rPr>
          <w:rFonts w:ascii="Arial" w:hAnsi="Arial" w:cs="Arial"/>
          <w:b/>
          <w:bCs/>
          <w:sz w:val="36"/>
          <w:szCs w:val="36"/>
        </w:rPr>
      </w:pPr>
    </w:p>
    <w:p w14:paraId="259FC5FE" w14:textId="77777777" w:rsidR="001604DC" w:rsidRDefault="001604DC" w:rsidP="001604DC">
      <w:pPr>
        <w:jc w:val="center"/>
        <w:rPr>
          <w:rFonts w:ascii="Arial" w:hAnsi="Arial" w:cs="Arial"/>
          <w:b/>
          <w:bCs/>
          <w:sz w:val="36"/>
          <w:szCs w:val="36"/>
        </w:rPr>
      </w:pPr>
    </w:p>
    <w:p w14:paraId="03F5874F" w14:textId="77777777" w:rsidR="001604DC" w:rsidRDefault="001604DC" w:rsidP="001604DC">
      <w:pPr>
        <w:jc w:val="center"/>
        <w:rPr>
          <w:rFonts w:ascii="Arial" w:hAnsi="Arial" w:cs="Arial"/>
          <w:b/>
          <w:bCs/>
          <w:sz w:val="36"/>
          <w:szCs w:val="36"/>
        </w:rPr>
      </w:pPr>
    </w:p>
    <w:p w14:paraId="2F3104F0" w14:textId="77777777" w:rsidR="001604DC" w:rsidRDefault="001604DC" w:rsidP="001604DC">
      <w:pPr>
        <w:jc w:val="center"/>
        <w:rPr>
          <w:rFonts w:ascii="Arial" w:hAnsi="Arial" w:cs="Arial"/>
          <w:b/>
          <w:bCs/>
          <w:sz w:val="36"/>
          <w:szCs w:val="36"/>
        </w:rPr>
      </w:pPr>
    </w:p>
    <w:p w14:paraId="27332C32" w14:textId="1B5E8A2F" w:rsidR="001604DC" w:rsidRDefault="001604DC" w:rsidP="001604DC">
      <w:pPr>
        <w:rPr>
          <w:rFonts w:ascii="Arial" w:hAnsi="Arial" w:cs="Arial"/>
          <w:sz w:val="28"/>
          <w:szCs w:val="28"/>
        </w:rPr>
      </w:pPr>
      <w:r w:rsidRPr="00421752">
        <w:rPr>
          <w:rFonts w:ascii="Arial" w:hAnsi="Arial" w:cs="Arial"/>
          <w:b/>
          <w:bCs/>
          <w:sz w:val="28"/>
          <w:szCs w:val="28"/>
        </w:rPr>
        <w:t>Student:</w:t>
      </w:r>
      <w:r>
        <w:rPr>
          <w:rFonts w:ascii="Arial" w:hAnsi="Arial" w:cs="Arial"/>
          <w:sz w:val="28"/>
          <w:szCs w:val="28"/>
        </w:rPr>
        <w:t xml:space="preserve"> Valentin Otelea</w:t>
      </w:r>
    </w:p>
    <w:p w14:paraId="17152BFB" w14:textId="66C128E9" w:rsidR="001604DC" w:rsidRPr="001604DC" w:rsidRDefault="001604DC" w:rsidP="001604DC">
      <w:pPr>
        <w:rPr>
          <w:rFonts w:ascii="Arial" w:hAnsi="Arial" w:cs="Arial"/>
          <w:sz w:val="28"/>
          <w:szCs w:val="28"/>
        </w:rPr>
      </w:pPr>
      <w:r w:rsidRPr="00421752">
        <w:rPr>
          <w:rFonts w:ascii="Arial" w:hAnsi="Arial" w:cs="Arial"/>
          <w:b/>
          <w:bCs/>
          <w:sz w:val="28"/>
          <w:szCs w:val="28"/>
        </w:rPr>
        <w:t>Student ID:</w:t>
      </w:r>
      <w:r>
        <w:rPr>
          <w:rFonts w:ascii="Arial" w:hAnsi="Arial" w:cs="Arial"/>
          <w:sz w:val="28"/>
          <w:szCs w:val="28"/>
        </w:rPr>
        <w:t xml:space="preserve"> </w:t>
      </w:r>
      <w:r w:rsidR="00421752" w:rsidRPr="00421752">
        <w:rPr>
          <w:rFonts w:ascii="Arial" w:hAnsi="Arial" w:cs="Arial"/>
          <w:sz w:val="28"/>
          <w:szCs w:val="28"/>
        </w:rPr>
        <w:t>2410975</w:t>
      </w:r>
    </w:p>
    <w:p w14:paraId="5630BE4E" w14:textId="77777777" w:rsidR="001604DC" w:rsidRDefault="001604DC" w:rsidP="001604DC">
      <w:pPr>
        <w:jc w:val="center"/>
        <w:rPr>
          <w:rFonts w:ascii="Arial" w:hAnsi="Arial" w:cs="Arial"/>
          <w:b/>
          <w:bCs/>
          <w:sz w:val="36"/>
          <w:szCs w:val="36"/>
        </w:rPr>
      </w:pPr>
    </w:p>
    <w:p w14:paraId="04A581C3" w14:textId="77777777" w:rsidR="001604DC" w:rsidRDefault="001604DC" w:rsidP="001604DC">
      <w:pPr>
        <w:jc w:val="center"/>
        <w:rPr>
          <w:rFonts w:ascii="Arial" w:hAnsi="Arial" w:cs="Arial"/>
          <w:b/>
          <w:bCs/>
          <w:sz w:val="36"/>
          <w:szCs w:val="36"/>
        </w:rPr>
      </w:pPr>
    </w:p>
    <w:p w14:paraId="718E0E40" w14:textId="71C5A49C" w:rsidR="001604DC" w:rsidRDefault="001604DC" w:rsidP="001604DC">
      <w:pPr>
        <w:jc w:val="center"/>
        <w:rPr>
          <w:rFonts w:ascii="Arial" w:hAnsi="Arial" w:cs="Arial"/>
          <w:b/>
          <w:bCs/>
          <w:sz w:val="36"/>
          <w:szCs w:val="36"/>
        </w:rPr>
      </w:pPr>
      <w:r w:rsidRPr="00BC22F4">
        <w:rPr>
          <w:rFonts w:ascii="Calibri" w:hAnsi="Calibri" w:cs="Calibri"/>
          <w:noProof/>
          <w:lang w:eastAsia="en-GB"/>
        </w:rPr>
        <w:drawing>
          <wp:inline distT="0" distB="0" distL="0" distR="0" wp14:anchorId="4648DC26" wp14:editId="743271CC">
            <wp:extent cx="4063581" cy="960120"/>
            <wp:effectExtent l="0" t="0" r="0" b="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4127284" cy="975171"/>
                    </a:xfrm>
                    <a:prstGeom prst="rect">
                      <a:avLst/>
                    </a:prstGeom>
                  </pic:spPr>
                </pic:pic>
              </a:graphicData>
            </a:graphic>
          </wp:inline>
        </w:drawing>
      </w:r>
    </w:p>
    <w:p w14:paraId="043F4978" w14:textId="77777777" w:rsidR="005858E0" w:rsidRDefault="005858E0" w:rsidP="005858E0">
      <w:pPr>
        <w:pStyle w:val="ListParagraph"/>
        <w:ind w:left="644"/>
        <w:rPr>
          <w:rFonts w:ascii="Arial" w:hAnsi="Arial" w:cs="Arial"/>
          <w:b/>
          <w:bCs/>
          <w:color w:val="0D0D0D" w:themeColor="text1" w:themeTint="F2"/>
          <w:sz w:val="36"/>
          <w:szCs w:val="36"/>
        </w:rPr>
      </w:pPr>
    </w:p>
    <w:p w14:paraId="7B7E46FC" w14:textId="77777777" w:rsidR="005858E0" w:rsidRDefault="005858E0" w:rsidP="005858E0">
      <w:pPr>
        <w:spacing w:line="276" w:lineRule="auto"/>
        <w:jc w:val="both"/>
        <w:rPr>
          <w:sz w:val="48"/>
          <w:szCs w:val="48"/>
          <w:lang w:val="en-US"/>
        </w:rPr>
      </w:pPr>
      <w:r>
        <w:rPr>
          <w:sz w:val="48"/>
          <w:szCs w:val="48"/>
          <w:lang w:val="en-US"/>
        </w:rPr>
        <w:t>Table of Contents</w:t>
      </w:r>
    </w:p>
    <w:p w14:paraId="367633A0" w14:textId="77777777" w:rsidR="005858E0" w:rsidRPr="00F32752" w:rsidRDefault="005858E0" w:rsidP="005858E0">
      <w:pPr>
        <w:pStyle w:val="TOCHeading"/>
      </w:pPr>
    </w:p>
    <w:p w14:paraId="6FA74130" w14:textId="4ECFE5FA" w:rsidR="005858E0" w:rsidRPr="009F3C71" w:rsidRDefault="005858E0" w:rsidP="00B72A39">
      <w:pPr>
        <w:pStyle w:val="ListParagraph"/>
        <w:numPr>
          <w:ilvl w:val="0"/>
          <w:numId w:val="5"/>
        </w:numPr>
        <w:spacing w:line="600" w:lineRule="auto"/>
        <w:rPr>
          <w:rFonts w:ascii="Arial" w:hAnsi="Arial" w:cs="Arial"/>
          <w:sz w:val="32"/>
          <w:szCs w:val="32"/>
        </w:rPr>
      </w:pPr>
      <w:r w:rsidRPr="009F3C71">
        <w:rPr>
          <w:rFonts w:ascii="Arial" w:hAnsi="Arial" w:cs="Arial"/>
          <w:sz w:val="32"/>
          <w:szCs w:val="32"/>
        </w:rPr>
        <w:t xml:space="preserve"> Introduction  ……………………………..…………………. 3</w:t>
      </w:r>
    </w:p>
    <w:p w14:paraId="110E0993" w14:textId="727661E6" w:rsidR="005858E0" w:rsidRPr="009F3C71" w:rsidRDefault="005858E0" w:rsidP="00B72A39">
      <w:pPr>
        <w:pStyle w:val="ListParagraph"/>
        <w:numPr>
          <w:ilvl w:val="0"/>
          <w:numId w:val="5"/>
        </w:numPr>
        <w:spacing w:line="600" w:lineRule="auto"/>
        <w:rPr>
          <w:rFonts w:ascii="Arial" w:hAnsi="Arial" w:cs="Arial"/>
          <w:sz w:val="32"/>
          <w:szCs w:val="32"/>
          <w:lang w:eastAsia="zh-CN"/>
        </w:rPr>
      </w:pPr>
      <w:r w:rsidRPr="009F3C71">
        <w:rPr>
          <w:rFonts w:ascii="Arial" w:hAnsi="Arial" w:cs="Arial"/>
          <w:sz w:val="32"/>
          <w:szCs w:val="32"/>
        </w:rPr>
        <w:t xml:space="preserve"> </w:t>
      </w:r>
      <w:r w:rsidR="009A48D2" w:rsidRPr="009F3C71">
        <w:rPr>
          <w:rFonts w:ascii="Arial" w:hAnsi="Arial" w:cs="Arial"/>
          <w:sz w:val="32"/>
          <w:szCs w:val="32"/>
        </w:rPr>
        <w:t>Factors Related to Business Transformation, Digital Technology Trends, and Flexible Working</w:t>
      </w:r>
      <w:r w:rsidRPr="009F3C71">
        <w:rPr>
          <w:rFonts w:ascii="Arial" w:hAnsi="Arial" w:cs="Arial"/>
          <w:sz w:val="32"/>
          <w:szCs w:val="32"/>
        </w:rPr>
        <w:t>……</w:t>
      </w:r>
      <w:r w:rsidR="009A48D2" w:rsidRPr="009F3C71">
        <w:rPr>
          <w:rFonts w:ascii="Arial" w:hAnsi="Arial" w:cs="Arial"/>
          <w:sz w:val="32"/>
          <w:szCs w:val="32"/>
        </w:rPr>
        <w:t>…………..4</w:t>
      </w:r>
      <w:r w:rsidRPr="009F3C71">
        <w:rPr>
          <w:rFonts w:ascii="Arial" w:hAnsi="Arial" w:cs="Arial"/>
          <w:sz w:val="32"/>
          <w:szCs w:val="32"/>
        </w:rPr>
        <w:t xml:space="preserve">                                                                                                                 </w:t>
      </w:r>
    </w:p>
    <w:p w14:paraId="6291F47D" w14:textId="5D240A26" w:rsidR="005858E0" w:rsidRPr="009F3C71" w:rsidRDefault="009A48D2" w:rsidP="00B72A39">
      <w:pPr>
        <w:spacing w:line="600" w:lineRule="auto"/>
        <w:ind w:left="360"/>
        <w:rPr>
          <w:rFonts w:ascii="Arial" w:hAnsi="Arial" w:cs="Arial"/>
          <w:sz w:val="32"/>
          <w:szCs w:val="32"/>
          <w:lang w:eastAsia="zh-CN"/>
        </w:rPr>
      </w:pPr>
      <w:r w:rsidRPr="009F3C71">
        <w:rPr>
          <w:rFonts w:ascii="Arial" w:hAnsi="Arial" w:cs="Arial"/>
          <w:sz w:val="32"/>
          <w:szCs w:val="32"/>
          <w:lang w:eastAsia="zh-CN"/>
        </w:rPr>
        <w:t>3. Evaluation of Contemporary HR Practices to Adress each Factor</w:t>
      </w:r>
      <w:r w:rsidR="005858E0" w:rsidRPr="009F3C71">
        <w:rPr>
          <w:rFonts w:ascii="Arial" w:hAnsi="Arial" w:cs="Arial"/>
          <w:sz w:val="32"/>
          <w:szCs w:val="32"/>
          <w:lang w:eastAsia="zh-CN"/>
        </w:rPr>
        <w:t xml:space="preserve"> </w:t>
      </w:r>
      <w:r w:rsidRPr="009F3C71">
        <w:rPr>
          <w:rFonts w:ascii="Arial" w:hAnsi="Arial" w:cs="Arial"/>
          <w:sz w:val="32"/>
          <w:szCs w:val="32"/>
          <w:lang w:eastAsia="zh-CN"/>
        </w:rPr>
        <w:t>……………</w:t>
      </w:r>
      <w:proofErr w:type="gramStart"/>
      <w:r w:rsidRPr="009F3C71">
        <w:rPr>
          <w:rFonts w:ascii="Arial" w:hAnsi="Arial" w:cs="Arial"/>
          <w:sz w:val="32"/>
          <w:szCs w:val="32"/>
          <w:lang w:eastAsia="zh-CN"/>
        </w:rPr>
        <w:t>…..</w:t>
      </w:r>
      <w:proofErr w:type="gramEnd"/>
      <w:r w:rsidR="005858E0" w:rsidRPr="009F3C71">
        <w:rPr>
          <w:rFonts w:ascii="Arial" w:hAnsi="Arial" w:cs="Arial"/>
          <w:sz w:val="32"/>
          <w:szCs w:val="32"/>
          <w:lang w:eastAsia="zh-CN"/>
        </w:rPr>
        <w:t xml:space="preserve">………………………………………… </w:t>
      </w:r>
      <w:r w:rsidRPr="009F3C71">
        <w:rPr>
          <w:rFonts w:ascii="Arial" w:hAnsi="Arial" w:cs="Arial"/>
          <w:sz w:val="32"/>
          <w:szCs w:val="32"/>
          <w:lang w:eastAsia="zh-CN"/>
        </w:rPr>
        <w:t>5</w:t>
      </w:r>
    </w:p>
    <w:p w14:paraId="145D4012" w14:textId="7A1FFB9A" w:rsidR="005858E0" w:rsidRPr="009F3C71" w:rsidRDefault="009A48D2" w:rsidP="00B72A39">
      <w:pPr>
        <w:spacing w:line="600" w:lineRule="auto"/>
        <w:ind w:left="360"/>
        <w:rPr>
          <w:rFonts w:ascii="Arial" w:hAnsi="Arial" w:cs="Arial"/>
          <w:sz w:val="32"/>
          <w:szCs w:val="32"/>
          <w:lang w:eastAsia="zh-CN"/>
        </w:rPr>
      </w:pPr>
      <w:r w:rsidRPr="009F3C71">
        <w:rPr>
          <w:rFonts w:ascii="Arial" w:hAnsi="Arial" w:cs="Arial"/>
          <w:sz w:val="32"/>
          <w:szCs w:val="32"/>
          <w:lang w:eastAsia="zh-CN"/>
        </w:rPr>
        <w:t>4. Critical Evaluation: Role of Departmental Managers in Implementation…….</w:t>
      </w:r>
      <w:r w:rsidR="005858E0" w:rsidRPr="009F3C71">
        <w:rPr>
          <w:rFonts w:ascii="Arial" w:hAnsi="Arial" w:cs="Arial"/>
          <w:sz w:val="32"/>
          <w:szCs w:val="32"/>
          <w:lang w:eastAsia="zh-CN"/>
        </w:rPr>
        <w:t>…………………………………………... 7</w:t>
      </w:r>
    </w:p>
    <w:p w14:paraId="586FB227" w14:textId="7B3C906B" w:rsidR="005858E0" w:rsidRPr="009F3C71" w:rsidRDefault="009A48D2" w:rsidP="00B72A39">
      <w:pPr>
        <w:spacing w:line="600" w:lineRule="auto"/>
        <w:ind w:left="360"/>
        <w:rPr>
          <w:rFonts w:ascii="Arial" w:hAnsi="Arial" w:cs="Arial"/>
          <w:sz w:val="32"/>
          <w:szCs w:val="32"/>
          <w:lang w:eastAsia="zh-CN"/>
        </w:rPr>
      </w:pPr>
      <w:r w:rsidRPr="009F3C71">
        <w:rPr>
          <w:rFonts w:ascii="Arial" w:hAnsi="Arial" w:cs="Arial"/>
          <w:sz w:val="32"/>
          <w:szCs w:val="32"/>
          <w:lang w:eastAsia="zh-CN"/>
        </w:rPr>
        <w:t>5. Conclusions and Recommendations</w:t>
      </w:r>
      <w:r w:rsidR="005858E0" w:rsidRPr="009F3C71">
        <w:rPr>
          <w:rFonts w:ascii="Arial" w:hAnsi="Arial" w:cs="Arial"/>
          <w:sz w:val="32"/>
          <w:szCs w:val="32"/>
          <w:lang w:eastAsia="zh-CN"/>
        </w:rPr>
        <w:t>…</w:t>
      </w:r>
      <w:r w:rsidRPr="009F3C71">
        <w:rPr>
          <w:rFonts w:ascii="Arial" w:hAnsi="Arial" w:cs="Arial"/>
          <w:sz w:val="32"/>
          <w:szCs w:val="32"/>
          <w:lang w:eastAsia="zh-CN"/>
        </w:rPr>
        <w:t>..</w:t>
      </w:r>
      <w:r w:rsidR="005858E0" w:rsidRPr="009F3C71">
        <w:rPr>
          <w:rFonts w:ascii="Arial" w:hAnsi="Arial" w:cs="Arial"/>
          <w:sz w:val="32"/>
          <w:szCs w:val="32"/>
          <w:lang w:eastAsia="zh-CN"/>
        </w:rPr>
        <w:t>…………………. 8</w:t>
      </w:r>
    </w:p>
    <w:p w14:paraId="5012642C" w14:textId="12C018C2" w:rsidR="005858E0" w:rsidRPr="009F3C71" w:rsidRDefault="00B72A39" w:rsidP="00B72A39">
      <w:pPr>
        <w:spacing w:line="600" w:lineRule="auto"/>
        <w:ind w:left="360"/>
        <w:rPr>
          <w:rFonts w:ascii="Arial" w:hAnsi="Arial" w:cs="Arial"/>
          <w:sz w:val="32"/>
          <w:szCs w:val="32"/>
          <w:lang w:eastAsia="zh-CN"/>
        </w:rPr>
      </w:pPr>
      <w:r w:rsidRPr="009F3C71">
        <w:rPr>
          <w:rFonts w:ascii="Arial" w:hAnsi="Arial" w:cs="Arial"/>
          <w:sz w:val="32"/>
          <w:szCs w:val="32"/>
          <w:lang w:eastAsia="zh-CN"/>
        </w:rPr>
        <w:t>6. Reference List………………………..</w:t>
      </w:r>
      <w:r w:rsidR="005858E0" w:rsidRPr="009F3C71">
        <w:rPr>
          <w:rFonts w:ascii="Arial" w:hAnsi="Arial" w:cs="Arial"/>
          <w:sz w:val="32"/>
          <w:szCs w:val="32"/>
          <w:lang w:eastAsia="zh-CN"/>
        </w:rPr>
        <w:t>………………………9</w:t>
      </w:r>
    </w:p>
    <w:p w14:paraId="7C51BD55" w14:textId="77777777" w:rsidR="005858E0" w:rsidRDefault="005858E0" w:rsidP="005858E0">
      <w:pPr>
        <w:ind w:left="284"/>
        <w:rPr>
          <w:rFonts w:ascii="Arial" w:hAnsi="Arial" w:cs="Arial"/>
          <w:b/>
          <w:bCs/>
          <w:color w:val="0D0D0D" w:themeColor="text1" w:themeTint="F2"/>
          <w:sz w:val="36"/>
          <w:szCs w:val="36"/>
        </w:rPr>
      </w:pPr>
    </w:p>
    <w:p w14:paraId="39D56BEA" w14:textId="77777777" w:rsidR="005858E0" w:rsidRDefault="005858E0" w:rsidP="005858E0">
      <w:pPr>
        <w:ind w:left="284"/>
        <w:rPr>
          <w:rFonts w:ascii="Arial" w:hAnsi="Arial" w:cs="Arial"/>
          <w:b/>
          <w:bCs/>
          <w:color w:val="0D0D0D" w:themeColor="text1" w:themeTint="F2"/>
          <w:sz w:val="36"/>
          <w:szCs w:val="36"/>
        </w:rPr>
      </w:pPr>
    </w:p>
    <w:p w14:paraId="66ECAF79" w14:textId="77777777" w:rsidR="005858E0" w:rsidRDefault="005858E0" w:rsidP="005858E0">
      <w:pPr>
        <w:ind w:left="284"/>
        <w:rPr>
          <w:rFonts w:ascii="Arial" w:hAnsi="Arial" w:cs="Arial"/>
          <w:b/>
          <w:bCs/>
          <w:color w:val="0D0D0D" w:themeColor="text1" w:themeTint="F2"/>
          <w:sz w:val="36"/>
          <w:szCs w:val="36"/>
        </w:rPr>
      </w:pPr>
    </w:p>
    <w:p w14:paraId="73075CC1" w14:textId="77777777" w:rsidR="00B72A39" w:rsidRDefault="00B72A39" w:rsidP="00B72A39">
      <w:pPr>
        <w:rPr>
          <w:rFonts w:ascii="Arial" w:hAnsi="Arial" w:cs="Arial"/>
          <w:b/>
          <w:bCs/>
          <w:color w:val="0D0D0D" w:themeColor="text1" w:themeTint="F2"/>
          <w:sz w:val="36"/>
          <w:szCs w:val="36"/>
        </w:rPr>
      </w:pPr>
    </w:p>
    <w:p w14:paraId="15FDADF4" w14:textId="77777777" w:rsidR="00B72A39" w:rsidRDefault="00B72A39" w:rsidP="005858E0">
      <w:pPr>
        <w:ind w:left="284"/>
        <w:rPr>
          <w:rFonts w:ascii="Arial" w:hAnsi="Arial" w:cs="Arial"/>
          <w:b/>
          <w:bCs/>
          <w:color w:val="0D0D0D" w:themeColor="text1" w:themeTint="F2"/>
          <w:sz w:val="36"/>
          <w:szCs w:val="36"/>
        </w:rPr>
      </w:pPr>
    </w:p>
    <w:p w14:paraId="0636BDCA" w14:textId="4F2C256F" w:rsidR="009A48D2" w:rsidRPr="009A48D2" w:rsidRDefault="001604DC" w:rsidP="009A48D2">
      <w:pPr>
        <w:pStyle w:val="ListParagraph"/>
        <w:numPr>
          <w:ilvl w:val="0"/>
          <w:numId w:val="4"/>
        </w:numPr>
        <w:rPr>
          <w:rFonts w:ascii="Arial" w:hAnsi="Arial" w:cs="Arial"/>
          <w:b/>
          <w:bCs/>
          <w:color w:val="0D0D0D" w:themeColor="text1" w:themeTint="F2"/>
          <w:sz w:val="36"/>
          <w:szCs w:val="36"/>
        </w:rPr>
      </w:pPr>
      <w:r w:rsidRPr="005858E0">
        <w:rPr>
          <w:rFonts w:ascii="Arial" w:hAnsi="Arial" w:cs="Arial"/>
          <w:b/>
          <w:bCs/>
          <w:color w:val="0D0D0D" w:themeColor="text1" w:themeTint="F2"/>
          <w:sz w:val="36"/>
          <w:szCs w:val="36"/>
        </w:rPr>
        <w:t>Introduction</w:t>
      </w:r>
    </w:p>
    <w:p w14:paraId="2023AE94" w14:textId="77777777" w:rsidR="001604DC" w:rsidRDefault="001604DC" w:rsidP="001604DC">
      <w:pPr>
        <w:pStyle w:val="ListParagraph"/>
        <w:rPr>
          <w:rFonts w:ascii="Arial" w:hAnsi="Arial" w:cs="Arial"/>
          <w:b/>
          <w:bCs/>
          <w:color w:val="0D0D0D" w:themeColor="text1" w:themeTint="F2"/>
          <w:sz w:val="36"/>
          <w:szCs w:val="36"/>
        </w:rPr>
      </w:pPr>
    </w:p>
    <w:p w14:paraId="626BD62B" w14:textId="77777777" w:rsidR="009A48D2" w:rsidRDefault="009A48D2" w:rsidP="001604DC">
      <w:pPr>
        <w:pStyle w:val="ListParagraph"/>
        <w:rPr>
          <w:rFonts w:ascii="Arial" w:hAnsi="Arial" w:cs="Arial"/>
          <w:b/>
          <w:bCs/>
          <w:color w:val="0D0D0D" w:themeColor="text1" w:themeTint="F2"/>
          <w:sz w:val="36"/>
          <w:szCs w:val="36"/>
        </w:rPr>
      </w:pPr>
    </w:p>
    <w:p w14:paraId="5BD7A671" w14:textId="77777777" w:rsidR="009A48D2" w:rsidRDefault="009A48D2" w:rsidP="001604DC">
      <w:pPr>
        <w:pStyle w:val="ListParagraph"/>
        <w:rPr>
          <w:rFonts w:ascii="Arial" w:hAnsi="Arial" w:cs="Arial"/>
          <w:b/>
          <w:bCs/>
          <w:color w:val="0D0D0D" w:themeColor="text1" w:themeTint="F2"/>
          <w:sz w:val="36"/>
          <w:szCs w:val="36"/>
        </w:rPr>
      </w:pPr>
    </w:p>
    <w:p w14:paraId="768E4B7A" w14:textId="3D184890" w:rsidR="00F43822" w:rsidRDefault="00F43822" w:rsidP="001D73E9">
      <w:pPr>
        <w:pStyle w:val="ListParagraph"/>
        <w:spacing w:line="360" w:lineRule="auto"/>
        <w:jc w:val="both"/>
        <w:rPr>
          <w:rFonts w:ascii="Arial" w:hAnsi="Arial" w:cs="Arial"/>
          <w:color w:val="0D0D0D" w:themeColor="text1" w:themeTint="F2"/>
          <w:sz w:val="22"/>
          <w:szCs w:val="22"/>
        </w:rPr>
      </w:pPr>
      <w:r>
        <w:rPr>
          <w:rFonts w:ascii="Arial" w:hAnsi="Arial" w:cs="Arial"/>
          <w:color w:val="0D0D0D" w:themeColor="text1" w:themeTint="F2"/>
          <w:sz w:val="22"/>
          <w:szCs w:val="22"/>
        </w:rPr>
        <w:t>After completing my studies, I began my career in the Human Resources (HR) department at Jaguar Land Rover (JLR), Castle Bromwich - one of the company’s key automotive manufacturing plants in Birmingham. Although I was initially enthusiastic</w:t>
      </w:r>
      <w:r w:rsidR="00C710E7">
        <w:rPr>
          <w:rFonts w:ascii="Arial" w:hAnsi="Arial" w:cs="Arial"/>
          <w:color w:val="0D0D0D" w:themeColor="text1" w:themeTint="F2"/>
          <w:sz w:val="22"/>
          <w:szCs w:val="22"/>
        </w:rPr>
        <w:t xml:space="preserve"> about contributing to such a prestigious organisation, my first month revealed a significant number of employee grievance, many of which stemmed from the company’s ongoing transformation efforts. Like numerous organisations within the automotive industry, JLR is currently operating in a dynamic environment shaped by digital innovation, sustainability objectives, and evolving expectations of work. The company’s strategic business transformation, driven by the integration of advanced digital manufacturing technologies and the introduction of flexible working arrangements, has had a profound impact on its workforce (</w:t>
      </w:r>
      <w:r w:rsidR="004C1315" w:rsidRPr="004C1315">
        <w:rPr>
          <w:rFonts w:ascii="Arial" w:hAnsi="Arial" w:cs="Arial"/>
          <w:color w:val="0D0D0D" w:themeColor="text1" w:themeTint="F2"/>
          <w:sz w:val="22"/>
          <w:szCs w:val="22"/>
        </w:rPr>
        <w:t>Llopis-Albert</w:t>
      </w:r>
      <w:r w:rsidR="004C1315">
        <w:rPr>
          <w:rFonts w:ascii="Arial" w:hAnsi="Arial" w:cs="Arial"/>
          <w:color w:val="0D0D0D" w:themeColor="text1" w:themeTint="F2"/>
          <w:sz w:val="22"/>
          <w:szCs w:val="22"/>
        </w:rPr>
        <w:t xml:space="preserve"> et al., 2021).</w:t>
      </w:r>
      <w:r w:rsidR="009E1623" w:rsidRPr="009E1623">
        <w:rPr>
          <w:rFonts w:ascii="Arial" w:hAnsi="Arial" w:cs="Arial"/>
          <w:color w:val="0D0D0D" w:themeColor="text1" w:themeTint="F2"/>
          <w:sz w:val="22"/>
          <w:szCs w:val="22"/>
        </w:rPr>
        <w:t xml:space="preserve"> These shifts</w:t>
      </w:r>
      <w:r w:rsidR="009E1623">
        <w:rPr>
          <w:rFonts w:ascii="Arial" w:hAnsi="Arial" w:cs="Arial"/>
          <w:color w:val="0D0D0D" w:themeColor="text1" w:themeTint="F2"/>
          <w:sz w:val="22"/>
          <w:szCs w:val="22"/>
        </w:rPr>
        <w:t xml:space="preserve"> have generated both opportunities and challenges, particularly in relation to employee engagement, morale, and adaptation to new ways of working </w:t>
      </w:r>
      <w:r w:rsidR="009E1623" w:rsidRPr="004C1315">
        <w:rPr>
          <w:rFonts w:ascii="Arial" w:hAnsi="Arial" w:cs="Arial"/>
          <w:color w:val="0D0D0D" w:themeColor="text1" w:themeTint="F2"/>
          <w:sz w:val="22"/>
          <w:szCs w:val="22"/>
        </w:rPr>
        <w:t>(</w:t>
      </w:r>
      <w:r w:rsidR="004C1315" w:rsidRPr="004C1315">
        <w:rPr>
          <w:rFonts w:ascii="Arial" w:hAnsi="Arial" w:cs="Arial"/>
          <w:color w:val="0D0D0D" w:themeColor="text1" w:themeTint="F2"/>
          <w:sz w:val="22"/>
          <w:szCs w:val="22"/>
        </w:rPr>
        <w:t>Winkelhake</w:t>
      </w:r>
      <w:r w:rsidR="004C1315">
        <w:rPr>
          <w:rFonts w:ascii="Arial" w:hAnsi="Arial" w:cs="Arial"/>
          <w:color w:val="0D0D0D" w:themeColor="text1" w:themeTint="F2"/>
          <w:sz w:val="22"/>
          <w:szCs w:val="22"/>
        </w:rPr>
        <w:t>, 2019</w:t>
      </w:r>
      <w:r w:rsidR="009E1623">
        <w:rPr>
          <w:rFonts w:ascii="Arial" w:hAnsi="Arial" w:cs="Arial"/>
          <w:color w:val="0D0D0D" w:themeColor="text1" w:themeTint="F2"/>
          <w:sz w:val="22"/>
          <w:szCs w:val="22"/>
        </w:rPr>
        <w:t>)</w:t>
      </w:r>
      <w:r w:rsidR="004C1315">
        <w:rPr>
          <w:rFonts w:ascii="Arial" w:hAnsi="Arial" w:cs="Arial"/>
          <w:color w:val="0D0D0D" w:themeColor="text1" w:themeTint="F2"/>
          <w:sz w:val="22"/>
          <w:szCs w:val="22"/>
        </w:rPr>
        <w:t xml:space="preserve">. </w:t>
      </w:r>
      <w:r w:rsidR="009E1623">
        <w:rPr>
          <w:rFonts w:ascii="Arial" w:hAnsi="Arial" w:cs="Arial"/>
          <w:color w:val="0D0D0D" w:themeColor="text1" w:themeTint="F2"/>
          <w:sz w:val="22"/>
          <w:szCs w:val="22"/>
        </w:rPr>
        <w:t xml:space="preserve">This report therefore examines: The organisational factors contributing to these challenges, Contemporary HR practices that can effectively address them, and </w:t>
      </w:r>
      <w:r w:rsidR="004C1315">
        <w:rPr>
          <w:rFonts w:ascii="Arial" w:hAnsi="Arial" w:cs="Arial"/>
          <w:color w:val="0D0D0D" w:themeColor="text1" w:themeTint="F2"/>
          <w:sz w:val="22"/>
          <w:szCs w:val="22"/>
        </w:rPr>
        <w:t>t</w:t>
      </w:r>
      <w:r w:rsidR="009E1623">
        <w:rPr>
          <w:rFonts w:ascii="Arial" w:hAnsi="Arial" w:cs="Arial"/>
          <w:color w:val="0D0D0D" w:themeColor="text1" w:themeTint="F2"/>
          <w:sz w:val="22"/>
          <w:szCs w:val="22"/>
        </w:rPr>
        <w:t>he role of departmental managers in ensuring their successful and timely implementation. The report concludes with practical recommendations aimed at strengthening trust, enhancing engagement, and supporting JLR’s long-term strategic transformation.</w:t>
      </w:r>
    </w:p>
    <w:p w14:paraId="28DD5E94" w14:textId="77777777" w:rsidR="005858E0" w:rsidRDefault="005858E0" w:rsidP="001D73E9">
      <w:pPr>
        <w:pStyle w:val="ListParagraph"/>
        <w:spacing w:line="360" w:lineRule="auto"/>
        <w:jc w:val="both"/>
        <w:rPr>
          <w:rFonts w:ascii="Arial" w:hAnsi="Arial" w:cs="Arial"/>
          <w:color w:val="0D0D0D" w:themeColor="text1" w:themeTint="F2"/>
          <w:sz w:val="22"/>
          <w:szCs w:val="22"/>
        </w:rPr>
      </w:pPr>
    </w:p>
    <w:p w14:paraId="7124046E" w14:textId="77777777" w:rsidR="001D73E9" w:rsidRDefault="001D73E9" w:rsidP="001D73E9">
      <w:pPr>
        <w:pStyle w:val="ListParagraph"/>
        <w:spacing w:line="360" w:lineRule="auto"/>
        <w:jc w:val="both"/>
        <w:rPr>
          <w:rFonts w:ascii="Arial" w:hAnsi="Arial" w:cs="Arial"/>
          <w:color w:val="0D0D0D" w:themeColor="text1" w:themeTint="F2"/>
          <w:sz w:val="22"/>
          <w:szCs w:val="22"/>
        </w:rPr>
      </w:pPr>
    </w:p>
    <w:p w14:paraId="3C1C1324" w14:textId="77777777" w:rsidR="001D73E9" w:rsidRDefault="001D73E9" w:rsidP="00F43822">
      <w:pPr>
        <w:pStyle w:val="ListParagraph"/>
        <w:jc w:val="both"/>
        <w:rPr>
          <w:rFonts w:ascii="Arial" w:hAnsi="Arial" w:cs="Arial"/>
          <w:color w:val="0D0D0D" w:themeColor="text1" w:themeTint="F2"/>
          <w:sz w:val="22"/>
          <w:szCs w:val="22"/>
        </w:rPr>
      </w:pPr>
    </w:p>
    <w:p w14:paraId="355724CB" w14:textId="77777777" w:rsidR="009A48D2" w:rsidRDefault="009A48D2" w:rsidP="00F43822">
      <w:pPr>
        <w:pStyle w:val="ListParagraph"/>
        <w:jc w:val="both"/>
        <w:rPr>
          <w:rFonts w:ascii="Arial" w:hAnsi="Arial" w:cs="Arial"/>
          <w:color w:val="0D0D0D" w:themeColor="text1" w:themeTint="F2"/>
          <w:sz w:val="22"/>
          <w:szCs w:val="22"/>
        </w:rPr>
      </w:pPr>
    </w:p>
    <w:p w14:paraId="79D658A0" w14:textId="77777777" w:rsidR="009A48D2" w:rsidRDefault="009A48D2" w:rsidP="00F43822">
      <w:pPr>
        <w:pStyle w:val="ListParagraph"/>
        <w:jc w:val="both"/>
        <w:rPr>
          <w:rFonts w:ascii="Arial" w:hAnsi="Arial" w:cs="Arial"/>
          <w:color w:val="0D0D0D" w:themeColor="text1" w:themeTint="F2"/>
          <w:sz w:val="22"/>
          <w:szCs w:val="22"/>
        </w:rPr>
      </w:pPr>
    </w:p>
    <w:p w14:paraId="0451D8FE" w14:textId="77777777" w:rsidR="009A48D2" w:rsidRDefault="009A48D2" w:rsidP="00F43822">
      <w:pPr>
        <w:pStyle w:val="ListParagraph"/>
        <w:jc w:val="both"/>
        <w:rPr>
          <w:rFonts w:ascii="Arial" w:hAnsi="Arial" w:cs="Arial"/>
          <w:color w:val="0D0D0D" w:themeColor="text1" w:themeTint="F2"/>
          <w:sz w:val="22"/>
          <w:szCs w:val="22"/>
        </w:rPr>
      </w:pPr>
    </w:p>
    <w:p w14:paraId="7CDFB696" w14:textId="77777777" w:rsidR="009A48D2" w:rsidRDefault="009A48D2" w:rsidP="00F43822">
      <w:pPr>
        <w:pStyle w:val="ListParagraph"/>
        <w:jc w:val="both"/>
        <w:rPr>
          <w:rFonts w:ascii="Arial" w:hAnsi="Arial" w:cs="Arial"/>
          <w:color w:val="0D0D0D" w:themeColor="text1" w:themeTint="F2"/>
          <w:sz w:val="22"/>
          <w:szCs w:val="22"/>
        </w:rPr>
      </w:pPr>
    </w:p>
    <w:p w14:paraId="36CF3D01" w14:textId="77777777" w:rsidR="009A48D2" w:rsidRDefault="009A48D2" w:rsidP="00F43822">
      <w:pPr>
        <w:pStyle w:val="ListParagraph"/>
        <w:jc w:val="both"/>
        <w:rPr>
          <w:rFonts w:ascii="Arial" w:hAnsi="Arial" w:cs="Arial"/>
          <w:color w:val="0D0D0D" w:themeColor="text1" w:themeTint="F2"/>
          <w:sz w:val="22"/>
          <w:szCs w:val="22"/>
        </w:rPr>
      </w:pPr>
    </w:p>
    <w:p w14:paraId="692B9A73" w14:textId="77777777" w:rsidR="009A48D2" w:rsidRDefault="009A48D2" w:rsidP="00F43822">
      <w:pPr>
        <w:pStyle w:val="ListParagraph"/>
        <w:jc w:val="both"/>
        <w:rPr>
          <w:rFonts w:ascii="Arial" w:hAnsi="Arial" w:cs="Arial"/>
          <w:color w:val="0D0D0D" w:themeColor="text1" w:themeTint="F2"/>
          <w:sz w:val="22"/>
          <w:szCs w:val="22"/>
        </w:rPr>
      </w:pPr>
    </w:p>
    <w:p w14:paraId="1693E4C5" w14:textId="77777777" w:rsidR="009A48D2" w:rsidRDefault="009A48D2" w:rsidP="00F43822">
      <w:pPr>
        <w:pStyle w:val="ListParagraph"/>
        <w:jc w:val="both"/>
        <w:rPr>
          <w:rFonts w:ascii="Arial" w:hAnsi="Arial" w:cs="Arial"/>
          <w:color w:val="0D0D0D" w:themeColor="text1" w:themeTint="F2"/>
          <w:sz w:val="22"/>
          <w:szCs w:val="22"/>
        </w:rPr>
      </w:pPr>
    </w:p>
    <w:p w14:paraId="46A8AA00" w14:textId="77777777" w:rsidR="009A48D2" w:rsidRDefault="009A48D2" w:rsidP="00F43822">
      <w:pPr>
        <w:pStyle w:val="ListParagraph"/>
        <w:jc w:val="both"/>
        <w:rPr>
          <w:rFonts w:ascii="Arial" w:hAnsi="Arial" w:cs="Arial"/>
          <w:color w:val="0D0D0D" w:themeColor="text1" w:themeTint="F2"/>
          <w:sz w:val="22"/>
          <w:szCs w:val="22"/>
        </w:rPr>
      </w:pPr>
    </w:p>
    <w:p w14:paraId="2C3CC172" w14:textId="77777777" w:rsidR="009A48D2" w:rsidRDefault="009A48D2" w:rsidP="00F43822">
      <w:pPr>
        <w:pStyle w:val="ListParagraph"/>
        <w:jc w:val="both"/>
        <w:rPr>
          <w:rFonts w:ascii="Arial" w:hAnsi="Arial" w:cs="Arial"/>
          <w:color w:val="0D0D0D" w:themeColor="text1" w:themeTint="F2"/>
          <w:sz w:val="22"/>
          <w:szCs w:val="22"/>
        </w:rPr>
      </w:pPr>
    </w:p>
    <w:p w14:paraId="76F24136" w14:textId="77777777" w:rsidR="009A48D2" w:rsidRDefault="009A48D2" w:rsidP="00F43822">
      <w:pPr>
        <w:pStyle w:val="ListParagraph"/>
        <w:jc w:val="both"/>
        <w:rPr>
          <w:rFonts w:ascii="Arial" w:hAnsi="Arial" w:cs="Arial"/>
          <w:color w:val="0D0D0D" w:themeColor="text1" w:themeTint="F2"/>
          <w:sz w:val="22"/>
          <w:szCs w:val="22"/>
        </w:rPr>
      </w:pPr>
    </w:p>
    <w:p w14:paraId="4F329C51" w14:textId="77777777" w:rsidR="009A48D2" w:rsidRDefault="009A48D2" w:rsidP="00F43822">
      <w:pPr>
        <w:pStyle w:val="ListParagraph"/>
        <w:jc w:val="both"/>
        <w:rPr>
          <w:rFonts w:ascii="Arial" w:hAnsi="Arial" w:cs="Arial"/>
          <w:color w:val="0D0D0D" w:themeColor="text1" w:themeTint="F2"/>
          <w:sz w:val="22"/>
          <w:szCs w:val="22"/>
        </w:rPr>
      </w:pPr>
    </w:p>
    <w:p w14:paraId="18200D33" w14:textId="77777777" w:rsidR="009A48D2" w:rsidRDefault="009A48D2" w:rsidP="00F43822">
      <w:pPr>
        <w:pStyle w:val="ListParagraph"/>
        <w:jc w:val="both"/>
        <w:rPr>
          <w:rFonts w:ascii="Arial" w:hAnsi="Arial" w:cs="Arial"/>
          <w:color w:val="0D0D0D" w:themeColor="text1" w:themeTint="F2"/>
          <w:sz w:val="22"/>
          <w:szCs w:val="22"/>
        </w:rPr>
      </w:pPr>
    </w:p>
    <w:p w14:paraId="433E90CE" w14:textId="77777777" w:rsidR="009A48D2" w:rsidRDefault="009A48D2" w:rsidP="00F43822">
      <w:pPr>
        <w:pStyle w:val="ListParagraph"/>
        <w:jc w:val="both"/>
        <w:rPr>
          <w:rFonts w:ascii="Arial" w:hAnsi="Arial" w:cs="Arial"/>
          <w:color w:val="0D0D0D" w:themeColor="text1" w:themeTint="F2"/>
          <w:sz w:val="22"/>
          <w:szCs w:val="22"/>
        </w:rPr>
      </w:pPr>
    </w:p>
    <w:p w14:paraId="3C397B06" w14:textId="77777777" w:rsidR="001D73E9" w:rsidRDefault="001D73E9" w:rsidP="00F43822">
      <w:pPr>
        <w:pStyle w:val="ListParagraph"/>
        <w:jc w:val="both"/>
        <w:rPr>
          <w:rFonts w:ascii="Arial" w:hAnsi="Arial" w:cs="Arial"/>
          <w:color w:val="0D0D0D" w:themeColor="text1" w:themeTint="F2"/>
          <w:sz w:val="22"/>
          <w:szCs w:val="22"/>
        </w:rPr>
      </w:pPr>
    </w:p>
    <w:p w14:paraId="73EDAD7B" w14:textId="01D74202" w:rsidR="001D73E9" w:rsidRDefault="001D73E9" w:rsidP="005858E0">
      <w:pPr>
        <w:pStyle w:val="ListParagraph"/>
        <w:numPr>
          <w:ilvl w:val="0"/>
          <w:numId w:val="4"/>
        </w:numPr>
        <w:jc w:val="both"/>
        <w:rPr>
          <w:rFonts w:ascii="Arial" w:hAnsi="Arial" w:cs="Arial"/>
          <w:b/>
          <w:bCs/>
          <w:color w:val="0D0D0D" w:themeColor="text1" w:themeTint="F2"/>
          <w:sz w:val="36"/>
          <w:szCs w:val="36"/>
        </w:rPr>
      </w:pPr>
      <w:r w:rsidRPr="001D73E9">
        <w:rPr>
          <w:rFonts w:ascii="Arial" w:hAnsi="Arial" w:cs="Arial"/>
          <w:b/>
          <w:bCs/>
          <w:color w:val="0D0D0D" w:themeColor="text1" w:themeTint="F2"/>
          <w:sz w:val="36"/>
          <w:szCs w:val="36"/>
        </w:rPr>
        <w:t>Factors Related to Business Transformation, Digital Technology Trends, and Flexible Working</w:t>
      </w:r>
    </w:p>
    <w:p w14:paraId="137A4B83" w14:textId="77777777" w:rsidR="001D73E9" w:rsidRDefault="001D73E9" w:rsidP="001D73E9">
      <w:pPr>
        <w:pStyle w:val="ListParagraph"/>
        <w:ind w:left="816"/>
        <w:jc w:val="both"/>
        <w:rPr>
          <w:rFonts w:ascii="Arial" w:hAnsi="Arial" w:cs="Arial"/>
          <w:b/>
          <w:bCs/>
          <w:color w:val="0D0D0D" w:themeColor="text1" w:themeTint="F2"/>
          <w:sz w:val="36"/>
          <w:szCs w:val="36"/>
        </w:rPr>
      </w:pPr>
    </w:p>
    <w:p w14:paraId="4BA7E3A8" w14:textId="77777777" w:rsidR="001D73E9" w:rsidRDefault="001D73E9" w:rsidP="001D73E9">
      <w:pPr>
        <w:pStyle w:val="ListParagraph"/>
        <w:ind w:left="816"/>
        <w:jc w:val="both"/>
        <w:rPr>
          <w:rFonts w:ascii="Arial" w:hAnsi="Arial" w:cs="Arial"/>
          <w:color w:val="0D0D0D" w:themeColor="text1" w:themeTint="F2"/>
          <w:sz w:val="22"/>
          <w:szCs w:val="22"/>
        </w:rPr>
      </w:pPr>
    </w:p>
    <w:p w14:paraId="561F0518" w14:textId="3BA65643" w:rsidR="001D73E9" w:rsidRDefault="001D73E9" w:rsidP="000B70D1">
      <w:pPr>
        <w:pStyle w:val="ListParagraph"/>
        <w:spacing w:line="360" w:lineRule="auto"/>
        <w:ind w:left="816"/>
        <w:jc w:val="both"/>
        <w:rPr>
          <w:rFonts w:ascii="Arial" w:hAnsi="Arial" w:cs="Arial"/>
          <w:color w:val="0D0D0D" w:themeColor="text1" w:themeTint="F2"/>
          <w:sz w:val="22"/>
          <w:szCs w:val="22"/>
        </w:rPr>
      </w:pPr>
      <w:r>
        <w:rPr>
          <w:rFonts w:ascii="Arial" w:hAnsi="Arial" w:cs="Arial"/>
          <w:color w:val="0D0D0D" w:themeColor="text1" w:themeTint="F2"/>
          <w:sz w:val="22"/>
          <w:szCs w:val="22"/>
        </w:rPr>
        <w:t xml:space="preserve">Jaguar Land Rover (JLR) is currently undergoing a significant transformation through its “Reimagine” strategy, which seeks to transition the company from traditional internal combustion manufacturing to a future centred on electrification and sustainable mobility (JLR, 2025). At the Castle Bromwich plant – historically known for producing luxury saloons such as the Jaguar XE and XF </w:t>
      </w:r>
      <w:r w:rsidR="000B70D1">
        <w:rPr>
          <w:rFonts w:ascii="Arial" w:hAnsi="Arial" w:cs="Arial"/>
          <w:color w:val="0D0D0D" w:themeColor="text1" w:themeTint="F2"/>
          <w:sz w:val="22"/>
          <w:szCs w:val="22"/>
        </w:rPr>
        <w:t>–</w:t>
      </w:r>
      <w:r>
        <w:rPr>
          <w:rFonts w:ascii="Arial" w:hAnsi="Arial" w:cs="Arial"/>
          <w:color w:val="0D0D0D" w:themeColor="text1" w:themeTint="F2"/>
          <w:sz w:val="22"/>
          <w:szCs w:val="22"/>
        </w:rPr>
        <w:t xml:space="preserve"> </w:t>
      </w:r>
      <w:r w:rsidR="000B70D1">
        <w:rPr>
          <w:rFonts w:ascii="Arial" w:hAnsi="Arial" w:cs="Arial"/>
          <w:color w:val="0D0D0D" w:themeColor="text1" w:themeTint="F2"/>
          <w:sz w:val="22"/>
          <w:szCs w:val="22"/>
        </w:rPr>
        <w:t>this shift has resulted in extensive restructuring, including role realignments, redundancies, and redeployments. Such changes have inevitably affected job security, employee morale, and perceptions of fairness among the workforces</w:t>
      </w:r>
      <w:r w:rsidR="00B6717B">
        <w:rPr>
          <w:rFonts w:ascii="Arial" w:hAnsi="Arial" w:cs="Arial"/>
          <w:b/>
          <w:bCs/>
          <w:color w:val="0D0D0D" w:themeColor="text1" w:themeTint="F2"/>
          <w:sz w:val="22"/>
          <w:szCs w:val="22"/>
        </w:rPr>
        <w:t xml:space="preserve"> </w:t>
      </w:r>
      <w:r w:rsidR="000B70D1" w:rsidRPr="00B6717B">
        <w:rPr>
          <w:rFonts w:ascii="Arial" w:hAnsi="Arial" w:cs="Arial"/>
          <w:color w:val="0D0D0D" w:themeColor="text1" w:themeTint="F2"/>
          <w:sz w:val="22"/>
          <w:szCs w:val="22"/>
        </w:rPr>
        <w:t>(</w:t>
      </w:r>
      <w:r w:rsidR="004C1315" w:rsidRPr="004C1315">
        <w:rPr>
          <w:rFonts w:ascii="Arial" w:hAnsi="Arial" w:cs="Arial"/>
          <w:color w:val="0D0D0D" w:themeColor="text1" w:themeTint="F2"/>
          <w:sz w:val="22"/>
          <w:szCs w:val="22"/>
        </w:rPr>
        <w:t>C</w:t>
      </w:r>
      <w:r w:rsidR="004C1315">
        <w:rPr>
          <w:rFonts w:ascii="Arial" w:hAnsi="Arial" w:cs="Arial"/>
          <w:color w:val="0D0D0D" w:themeColor="text1" w:themeTint="F2"/>
          <w:sz w:val="22"/>
          <w:szCs w:val="22"/>
        </w:rPr>
        <w:t xml:space="preserve">herviakov and Cherviakov, </w:t>
      </w:r>
      <w:r w:rsidR="00B6717B">
        <w:rPr>
          <w:rFonts w:ascii="Arial" w:hAnsi="Arial" w:cs="Arial"/>
          <w:color w:val="0D0D0D" w:themeColor="text1" w:themeTint="F2"/>
          <w:sz w:val="22"/>
          <w:szCs w:val="22"/>
        </w:rPr>
        <w:t>2018).</w:t>
      </w:r>
      <w:r w:rsidR="000B70D1">
        <w:rPr>
          <w:rFonts w:ascii="Arial" w:hAnsi="Arial" w:cs="Arial"/>
          <w:b/>
          <w:bCs/>
          <w:color w:val="0D0D0D" w:themeColor="text1" w:themeTint="F2"/>
          <w:sz w:val="22"/>
          <w:szCs w:val="22"/>
        </w:rPr>
        <w:t xml:space="preserve"> </w:t>
      </w:r>
      <w:r w:rsidR="000B70D1" w:rsidRPr="000B70D1">
        <w:rPr>
          <w:rFonts w:ascii="Arial" w:hAnsi="Arial" w:cs="Arial"/>
          <w:color w:val="0D0D0D" w:themeColor="text1" w:themeTint="F2"/>
          <w:sz w:val="22"/>
          <w:szCs w:val="22"/>
        </w:rPr>
        <w:t>As part</w:t>
      </w:r>
      <w:r w:rsidR="000B70D1">
        <w:rPr>
          <w:rFonts w:ascii="Arial" w:hAnsi="Arial" w:cs="Arial"/>
          <w:color w:val="0D0D0D" w:themeColor="text1" w:themeTint="F2"/>
          <w:sz w:val="22"/>
          <w:szCs w:val="22"/>
        </w:rPr>
        <w:t xml:space="preserve"> of this transformation, JLR has introduced cross-functional collaboration, leaner production teams, and greater automation. Although these initiatives are designed to improve efficiency and environmental sustainability, they simultaneously disrupt long-established cultural norms and hierarchical structures within the organisation (</w:t>
      </w:r>
      <w:r w:rsidR="00B6717B" w:rsidRPr="00B6717B">
        <w:rPr>
          <w:rFonts w:ascii="Arial" w:hAnsi="Arial" w:cs="Arial"/>
          <w:color w:val="0D0D0D" w:themeColor="text1" w:themeTint="F2"/>
          <w:sz w:val="22"/>
          <w:szCs w:val="22"/>
        </w:rPr>
        <w:t>Piepoli</w:t>
      </w:r>
      <w:r w:rsidR="00B6717B">
        <w:rPr>
          <w:rFonts w:ascii="Arial" w:hAnsi="Arial" w:cs="Arial"/>
          <w:color w:val="0D0D0D" w:themeColor="text1" w:themeTint="F2"/>
          <w:sz w:val="22"/>
          <w:szCs w:val="22"/>
        </w:rPr>
        <w:t xml:space="preserve"> et al., 2024</w:t>
      </w:r>
      <w:r w:rsidR="000B70D1">
        <w:rPr>
          <w:rFonts w:ascii="Arial" w:hAnsi="Arial" w:cs="Arial"/>
          <w:color w:val="0D0D0D" w:themeColor="text1" w:themeTint="F2"/>
          <w:sz w:val="22"/>
          <w:szCs w:val="22"/>
        </w:rPr>
        <w:t xml:space="preserve">). Employees who have long operated within stable and clearly defined roles are now expected to adapt to flatter structures, increased accountability, and continuous process evolution. This has contributed </w:t>
      </w:r>
      <w:r w:rsidR="00B04E55">
        <w:rPr>
          <w:rFonts w:ascii="Arial" w:hAnsi="Arial" w:cs="Arial"/>
          <w:color w:val="0D0D0D" w:themeColor="text1" w:themeTint="F2"/>
          <w:sz w:val="22"/>
          <w:szCs w:val="22"/>
        </w:rPr>
        <w:t>to grievances related to workload intensity, communication breakdowns, and perceived inequities in redeployment opportunities.</w:t>
      </w:r>
    </w:p>
    <w:p w14:paraId="0A87300A" w14:textId="424181C8" w:rsidR="00B04E55" w:rsidRDefault="00B04E55" w:rsidP="000B70D1">
      <w:pPr>
        <w:pStyle w:val="ListParagraph"/>
        <w:spacing w:line="360" w:lineRule="auto"/>
        <w:ind w:left="816"/>
        <w:jc w:val="both"/>
        <w:rPr>
          <w:rFonts w:ascii="Arial" w:hAnsi="Arial" w:cs="Arial"/>
          <w:color w:val="0D0D0D" w:themeColor="text1" w:themeTint="F2"/>
          <w:sz w:val="22"/>
          <w:szCs w:val="22"/>
        </w:rPr>
      </w:pPr>
      <w:r>
        <w:rPr>
          <w:rFonts w:ascii="Arial" w:hAnsi="Arial" w:cs="Arial"/>
          <w:color w:val="0D0D0D" w:themeColor="text1" w:themeTint="F2"/>
          <w:sz w:val="22"/>
          <w:szCs w:val="22"/>
        </w:rPr>
        <w:t xml:space="preserve">Digitalisation lies at the heart of JLR’s transformation. The adoption of Industry 4.0 technologies – such as automation, artificial intelligence (AI), robotics, data analytics, and digital twin system – has revolutionised the way work is performed on the shop floor </w:t>
      </w:r>
      <w:r w:rsidR="00B6717B" w:rsidRPr="00B6717B">
        <w:rPr>
          <w:rFonts w:ascii="Arial" w:hAnsi="Arial" w:cs="Arial"/>
          <w:color w:val="0D0D0D" w:themeColor="text1" w:themeTint="F2"/>
          <w:sz w:val="22"/>
          <w:szCs w:val="22"/>
        </w:rPr>
        <w:t>(Chirita et al., 2025</w:t>
      </w:r>
      <w:r>
        <w:rPr>
          <w:rFonts w:ascii="Arial" w:hAnsi="Arial" w:cs="Arial"/>
          <w:color w:val="0D0D0D" w:themeColor="text1" w:themeTint="F2"/>
          <w:sz w:val="22"/>
          <w:szCs w:val="22"/>
        </w:rPr>
        <w:t xml:space="preserve">). While these technologies enhance production precision, innovation, and competitiveness, they have also redefined the skill sets required of employees, emphasising digital literacy, analytical capability, and adaptability. Form nay log serving staff, this has led to concerns about technological displacement and insufficient reskilling opportunities. Furthermore, the introduction of digital monitoring tools for quality assurance and productivity tracking has prompted apprehension around surveillance and data privacy, heightening feelings </w:t>
      </w:r>
      <w:r w:rsidR="0092305C">
        <w:rPr>
          <w:rFonts w:ascii="Arial" w:hAnsi="Arial" w:cs="Arial"/>
          <w:color w:val="0D0D0D" w:themeColor="text1" w:themeTint="F2"/>
          <w:sz w:val="22"/>
          <w:szCs w:val="22"/>
        </w:rPr>
        <w:t xml:space="preserve">of mistrust and fairness related grievances </w:t>
      </w:r>
      <w:r w:rsidR="0092305C" w:rsidRPr="00B6717B">
        <w:rPr>
          <w:rFonts w:ascii="Arial" w:hAnsi="Arial" w:cs="Arial"/>
          <w:color w:val="0D0D0D" w:themeColor="text1" w:themeTint="F2"/>
          <w:sz w:val="22"/>
          <w:szCs w:val="22"/>
        </w:rPr>
        <w:t>(</w:t>
      </w:r>
      <w:r w:rsidR="00B6717B" w:rsidRPr="00B6717B">
        <w:rPr>
          <w:rFonts w:ascii="Arial" w:hAnsi="Arial" w:cs="Arial"/>
          <w:color w:val="0D0D0D" w:themeColor="text1" w:themeTint="F2"/>
          <w:sz w:val="22"/>
          <w:szCs w:val="22"/>
        </w:rPr>
        <w:t>Rocha</w:t>
      </w:r>
      <w:r w:rsidR="00B6717B">
        <w:rPr>
          <w:rFonts w:ascii="Arial" w:hAnsi="Arial" w:cs="Arial"/>
          <w:color w:val="0D0D0D" w:themeColor="text1" w:themeTint="F2"/>
          <w:sz w:val="22"/>
          <w:szCs w:val="22"/>
        </w:rPr>
        <w:t xml:space="preserve"> et al.,2025</w:t>
      </w:r>
      <w:r w:rsidR="0092305C" w:rsidRPr="00B6717B">
        <w:rPr>
          <w:rFonts w:ascii="Arial" w:hAnsi="Arial" w:cs="Arial"/>
          <w:color w:val="0D0D0D" w:themeColor="text1" w:themeTint="F2"/>
          <w:sz w:val="22"/>
          <w:szCs w:val="22"/>
        </w:rPr>
        <w:t>).</w:t>
      </w:r>
      <w:r w:rsidR="0092305C">
        <w:rPr>
          <w:rFonts w:ascii="Arial" w:hAnsi="Arial" w:cs="Arial"/>
          <w:color w:val="0D0D0D" w:themeColor="text1" w:themeTint="F2"/>
          <w:sz w:val="22"/>
          <w:szCs w:val="22"/>
        </w:rPr>
        <w:t xml:space="preserve"> Flexible working practices has also become increasingly significant since the Covid-19 pandemic, yet their implementation across JLR has been inconsistent. While office based and engineers’ employees benefit from </w:t>
      </w:r>
      <w:r w:rsidR="0092305C">
        <w:rPr>
          <w:rFonts w:ascii="Arial" w:hAnsi="Arial" w:cs="Arial"/>
          <w:color w:val="0D0D0D" w:themeColor="text1" w:themeTint="F2"/>
          <w:sz w:val="22"/>
          <w:szCs w:val="22"/>
        </w:rPr>
        <w:lastRenderedPageBreak/>
        <w:t>hybrid or remote arrangements, production line workers at Castle Bromwich gave limited flexibility due to the nature of their roles. This imbalance has led to perceptions of inequality between white collar and blue-collar staff</w:t>
      </w:r>
      <w:r w:rsidR="0092305C" w:rsidRPr="00B6717B">
        <w:rPr>
          <w:rFonts w:ascii="Arial" w:hAnsi="Arial" w:cs="Arial"/>
          <w:color w:val="0D0D0D" w:themeColor="text1" w:themeTint="F2"/>
          <w:sz w:val="22"/>
          <w:szCs w:val="22"/>
        </w:rPr>
        <w:t xml:space="preserve"> (</w:t>
      </w:r>
      <w:r w:rsidR="00B6717B" w:rsidRPr="00B6717B">
        <w:rPr>
          <w:rFonts w:ascii="Arial" w:hAnsi="Arial" w:cs="Arial"/>
          <w:color w:val="0D0D0D" w:themeColor="text1" w:themeTint="F2"/>
          <w:sz w:val="22"/>
          <w:szCs w:val="22"/>
        </w:rPr>
        <w:t>Southern</w:t>
      </w:r>
      <w:r w:rsidR="00B6717B">
        <w:rPr>
          <w:rFonts w:ascii="Arial" w:hAnsi="Arial" w:cs="Arial"/>
          <w:color w:val="0D0D0D" w:themeColor="text1" w:themeTint="F2"/>
          <w:sz w:val="22"/>
          <w:szCs w:val="22"/>
        </w:rPr>
        <w:t>, 2000</w:t>
      </w:r>
      <w:r w:rsidR="0092305C" w:rsidRPr="00B6717B">
        <w:rPr>
          <w:rFonts w:ascii="Arial" w:hAnsi="Arial" w:cs="Arial"/>
          <w:color w:val="0D0D0D" w:themeColor="text1" w:themeTint="F2"/>
          <w:sz w:val="22"/>
          <w:szCs w:val="22"/>
        </w:rPr>
        <w:t>).</w:t>
      </w:r>
      <w:r w:rsidR="0092305C">
        <w:rPr>
          <w:rFonts w:ascii="Arial" w:hAnsi="Arial" w:cs="Arial"/>
          <w:color w:val="0D0D0D" w:themeColor="text1" w:themeTint="F2"/>
          <w:sz w:val="22"/>
          <w:szCs w:val="22"/>
        </w:rPr>
        <w:t xml:space="preserve"> Moreover, flexible working introduces managerial challenges related to maintaining collaboration, communication, and performance across dispersed teams. In some cases, unclear guidance on hybrid working eligibility and inconsistent policy enforcement have generated further employee dissatisfaction and grievances. </w:t>
      </w:r>
    </w:p>
    <w:p w14:paraId="44F81EA8" w14:textId="67779744" w:rsidR="0092305C" w:rsidRPr="000B70D1" w:rsidRDefault="0092305C" w:rsidP="000B70D1">
      <w:pPr>
        <w:pStyle w:val="ListParagraph"/>
        <w:spacing w:line="360" w:lineRule="auto"/>
        <w:ind w:left="816"/>
        <w:jc w:val="both"/>
        <w:rPr>
          <w:rFonts w:ascii="Arial" w:hAnsi="Arial" w:cs="Arial"/>
          <w:color w:val="0D0D0D" w:themeColor="text1" w:themeTint="F2"/>
          <w:sz w:val="22"/>
          <w:szCs w:val="22"/>
        </w:rPr>
      </w:pPr>
      <w:r>
        <w:rPr>
          <w:rFonts w:ascii="Arial" w:hAnsi="Arial" w:cs="Arial"/>
          <w:color w:val="0D0D0D" w:themeColor="text1" w:themeTint="F2"/>
          <w:sz w:val="22"/>
          <w:szCs w:val="22"/>
        </w:rPr>
        <w:t xml:space="preserve">In summary, the key factors influencing the current employee relations climate at JLR Castle Bromwich </w:t>
      </w:r>
      <w:r w:rsidR="001954F0">
        <w:rPr>
          <w:rFonts w:ascii="Arial" w:hAnsi="Arial" w:cs="Arial"/>
          <w:color w:val="0D0D0D" w:themeColor="text1" w:themeTint="F2"/>
          <w:sz w:val="22"/>
          <w:szCs w:val="22"/>
        </w:rPr>
        <w:t>include</w:t>
      </w:r>
      <w:r>
        <w:rPr>
          <w:rFonts w:ascii="Arial" w:hAnsi="Arial" w:cs="Arial"/>
          <w:color w:val="0D0D0D" w:themeColor="text1" w:themeTint="F2"/>
          <w:sz w:val="22"/>
          <w:szCs w:val="22"/>
        </w:rPr>
        <w:t xml:space="preserve"> organisational restructuring and cultural change resulting from business transformation</w:t>
      </w:r>
      <w:r w:rsidR="001954F0">
        <w:rPr>
          <w:rFonts w:ascii="Arial" w:hAnsi="Arial" w:cs="Arial"/>
          <w:color w:val="0D0D0D" w:themeColor="text1" w:themeTint="F2"/>
          <w:sz w:val="22"/>
          <w:szCs w:val="22"/>
        </w:rPr>
        <w:t xml:space="preserve">, digital integration and the associated skill displacement, and perceived inequities in flexible working arrangements. Collectively, these factors have had a notable impact on morale, trust, and engagement, underscoring the urgent need for contemporary HR strategies to address these emerging challenges. </w:t>
      </w:r>
    </w:p>
    <w:p w14:paraId="703854F7" w14:textId="77777777" w:rsidR="001D73E9" w:rsidRDefault="001D73E9" w:rsidP="001D73E9">
      <w:pPr>
        <w:pStyle w:val="ListParagraph"/>
        <w:ind w:left="816"/>
        <w:jc w:val="both"/>
        <w:rPr>
          <w:rFonts w:ascii="Arial" w:hAnsi="Arial" w:cs="Arial"/>
          <w:color w:val="0D0D0D" w:themeColor="text1" w:themeTint="F2"/>
          <w:sz w:val="22"/>
          <w:szCs w:val="22"/>
        </w:rPr>
      </w:pPr>
    </w:p>
    <w:p w14:paraId="267DFBF7" w14:textId="77777777" w:rsidR="00855BA8" w:rsidRDefault="00855BA8" w:rsidP="001D73E9">
      <w:pPr>
        <w:pStyle w:val="ListParagraph"/>
        <w:ind w:left="816"/>
        <w:jc w:val="both"/>
        <w:rPr>
          <w:rFonts w:ascii="Arial" w:hAnsi="Arial" w:cs="Arial"/>
          <w:color w:val="0D0D0D" w:themeColor="text1" w:themeTint="F2"/>
          <w:sz w:val="22"/>
          <w:szCs w:val="22"/>
        </w:rPr>
      </w:pPr>
    </w:p>
    <w:p w14:paraId="616FA3EB" w14:textId="77777777" w:rsidR="00855BA8" w:rsidRDefault="00855BA8" w:rsidP="001D73E9">
      <w:pPr>
        <w:pStyle w:val="ListParagraph"/>
        <w:ind w:left="816"/>
        <w:jc w:val="both"/>
        <w:rPr>
          <w:rFonts w:ascii="Arial" w:hAnsi="Arial" w:cs="Arial"/>
          <w:color w:val="0D0D0D" w:themeColor="text1" w:themeTint="F2"/>
          <w:sz w:val="22"/>
          <w:szCs w:val="22"/>
        </w:rPr>
      </w:pPr>
    </w:p>
    <w:p w14:paraId="2A8A2933" w14:textId="339E732A" w:rsidR="00855BA8" w:rsidRPr="00855BA8" w:rsidRDefault="00855BA8" w:rsidP="005858E0">
      <w:pPr>
        <w:pStyle w:val="ListParagraph"/>
        <w:numPr>
          <w:ilvl w:val="0"/>
          <w:numId w:val="4"/>
        </w:numPr>
        <w:jc w:val="both"/>
        <w:rPr>
          <w:rFonts w:ascii="Arial" w:hAnsi="Arial" w:cs="Arial"/>
          <w:b/>
          <w:bCs/>
          <w:color w:val="0D0D0D" w:themeColor="text1" w:themeTint="F2"/>
          <w:sz w:val="36"/>
          <w:szCs w:val="36"/>
        </w:rPr>
      </w:pPr>
      <w:r w:rsidRPr="00855BA8">
        <w:rPr>
          <w:rFonts w:ascii="Arial" w:hAnsi="Arial" w:cs="Arial"/>
          <w:b/>
          <w:bCs/>
          <w:color w:val="0D0D0D" w:themeColor="text1" w:themeTint="F2"/>
          <w:sz w:val="36"/>
          <w:szCs w:val="36"/>
        </w:rPr>
        <w:t>Evaluation of Contemporary HR Practices to Adress each Factor</w:t>
      </w:r>
    </w:p>
    <w:p w14:paraId="16D27844" w14:textId="77777777" w:rsidR="00855BA8" w:rsidRDefault="00855BA8" w:rsidP="00855BA8">
      <w:pPr>
        <w:pStyle w:val="ListParagraph"/>
        <w:ind w:left="786"/>
        <w:jc w:val="both"/>
        <w:rPr>
          <w:rFonts w:ascii="Arial" w:hAnsi="Arial" w:cs="Arial"/>
          <w:color w:val="0D0D0D" w:themeColor="text1" w:themeTint="F2"/>
          <w:sz w:val="22"/>
          <w:szCs w:val="22"/>
        </w:rPr>
      </w:pPr>
    </w:p>
    <w:p w14:paraId="313C7E0B" w14:textId="77777777" w:rsidR="00855BA8" w:rsidRDefault="00855BA8" w:rsidP="00855BA8">
      <w:pPr>
        <w:pStyle w:val="ListParagraph"/>
        <w:ind w:left="786"/>
        <w:jc w:val="both"/>
        <w:rPr>
          <w:rFonts w:ascii="Arial" w:hAnsi="Arial" w:cs="Arial"/>
          <w:color w:val="0D0D0D" w:themeColor="text1" w:themeTint="F2"/>
          <w:sz w:val="22"/>
          <w:szCs w:val="22"/>
        </w:rPr>
      </w:pPr>
    </w:p>
    <w:p w14:paraId="68ADA179" w14:textId="77777777" w:rsidR="00855BA8" w:rsidRDefault="00855BA8" w:rsidP="00855BA8">
      <w:pPr>
        <w:pStyle w:val="ListParagraph"/>
        <w:ind w:left="786"/>
        <w:jc w:val="both"/>
        <w:rPr>
          <w:rFonts w:ascii="Arial" w:hAnsi="Arial" w:cs="Arial"/>
          <w:color w:val="0D0D0D" w:themeColor="text1" w:themeTint="F2"/>
          <w:sz w:val="22"/>
          <w:szCs w:val="22"/>
        </w:rPr>
      </w:pPr>
    </w:p>
    <w:p w14:paraId="12B3042D" w14:textId="60D98E7D" w:rsidR="00855BA8" w:rsidRDefault="00855BA8" w:rsidP="009F3C71">
      <w:pPr>
        <w:pStyle w:val="ListParagraph"/>
        <w:spacing w:line="360" w:lineRule="auto"/>
        <w:ind w:left="786"/>
        <w:jc w:val="both"/>
        <w:rPr>
          <w:rFonts w:ascii="Arial" w:hAnsi="Arial" w:cs="Arial"/>
          <w:b/>
          <w:bCs/>
          <w:color w:val="0D0D0D" w:themeColor="text1" w:themeTint="F2"/>
          <w:sz w:val="22"/>
          <w:szCs w:val="22"/>
        </w:rPr>
      </w:pPr>
      <w:r>
        <w:rPr>
          <w:rFonts w:ascii="Arial" w:hAnsi="Arial" w:cs="Arial"/>
          <w:color w:val="0D0D0D" w:themeColor="text1" w:themeTint="F2"/>
          <w:sz w:val="22"/>
          <w:szCs w:val="22"/>
        </w:rPr>
        <w:t xml:space="preserve">Effectively managing the human aspects of organisational transformation requires robust change management and communication strategies. </w:t>
      </w:r>
      <w:r w:rsidRPr="00421752">
        <w:rPr>
          <w:rFonts w:ascii="Arial" w:hAnsi="Arial" w:cs="Arial"/>
          <w:color w:val="0D0D0D" w:themeColor="text1" w:themeTint="F2"/>
          <w:sz w:val="22"/>
          <w:szCs w:val="22"/>
        </w:rPr>
        <w:t>Kotter’s (1996)</w:t>
      </w:r>
      <w:r>
        <w:rPr>
          <w:rFonts w:ascii="Arial" w:hAnsi="Arial" w:cs="Arial"/>
          <w:color w:val="0D0D0D" w:themeColor="text1" w:themeTint="F2"/>
          <w:sz w:val="22"/>
          <w:szCs w:val="22"/>
        </w:rPr>
        <w:t xml:space="preserve"> </w:t>
      </w:r>
      <w:r w:rsidRPr="00855BA8">
        <w:rPr>
          <w:rFonts w:ascii="Arial" w:hAnsi="Arial" w:cs="Arial"/>
          <w:i/>
          <w:iCs/>
          <w:color w:val="0D0D0D" w:themeColor="text1" w:themeTint="F2"/>
          <w:sz w:val="22"/>
          <w:szCs w:val="22"/>
        </w:rPr>
        <w:t>8-Step</w:t>
      </w:r>
      <w:r w:rsidR="00421752">
        <w:rPr>
          <w:rFonts w:ascii="Arial" w:hAnsi="Arial" w:cs="Arial"/>
          <w:i/>
          <w:iCs/>
          <w:color w:val="0D0D0D" w:themeColor="text1" w:themeTint="F2"/>
          <w:sz w:val="22"/>
          <w:szCs w:val="22"/>
        </w:rPr>
        <w:t xml:space="preserve"> change</w:t>
      </w:r>
      <w:r w:rsidRPr="00855BA8">
        <w:rPr>
          <w:rFonts w:ascii="Arial" w:hAnsi="Arial" w:cs="Arial"/>
          <w:i/>
          <w:iCs/>
          <w:color w:val="0D0D0D" w:themeColor="text1" w:themeTint="F2"/>
          <w:sz w:val="22"/>
          <w:szCs w:val="22"/>
        </w:rPr>
        <w:t xml:space="preserve"> Model </w:t>
      </w:r>
      <w:r w:rsidRPr="00855BA8">
        <w:rPr>
          <w:rFonts w:ascii="Arial" w:hAnsi="Arial" w:cs="Arial"/>
          <w:color w:val="0D0D0D" w:themeColor="text1" w:themeTint="F2"/>
          <w:sz w:val="22"/>
          <w:szCs w:val="22"/>
        </w:rPr>
        <w:t>offers a</w:t>
      </w:r>
      <w:r>
        <w:rPr>
          <w:rFonts w:ascii="Arial" w:hAnsi="Arial" w:cs="Arial"/>
          <w:i/>
          <w:iCs/>
          <w:color w:val="0D0D0D" w:themeColor="text1" w:themeTint="F2"/>
          <w:sz w:val="22"/>
          <w:szCs w:val="22"/>
        </w:rPr>
        <w:t xml:space="preserve"> </w:t>
      </w:r>
      <w:r>
        <w:rPr>
          <w:rFonts w:ascii="Arial" w:hAnsi="Arial" w:cs="Arial"/>
          <w:color w:val="0D0D0D" w:themeColor="text1" w:themeTint="F2"/>
          <w:sz w:val="22"/>
          <w:szCs w:val="22"/>
        </w:rPr>
        <w:t>structured framework for guiding employees through periods of transition by establishing a sense of urgency, building guiding coalitions, and embedding change within the organisational culture. At Jaguar Land Rover (JLR), structured employee engagements initiatives such as town hall meetings, focus groups, and cross-functional workshops can promote transparency and inclusion in decision-making, thereby reducing uncertainty and resistance</w:t>
      </w:r>
      <w:r w:rsidR="000E04A0">
        <w:rPr>
          <w:rFonts w:ascii="Arial" w:hAnsi="Arial" w:cs="Arial"/>
          <w:color w:val="0D0D0D" w:themeColor="text1" w:themeTint="F2"/>
          <w:sz w:val="22"/>
          <w:szCs w:val="22"/>
        </w:rPr>
        <w:t xml:space="preserve"> </w:t>
      </w:r>
      <w:r w:rsidRPr="00421752">
        <w:rPr>
          <w:rFonts w:ascii="Arial" w:hAnsi="Arial" w:cs="Arial"/>
          <w:color w:val="0D0D0D" w:themeColor="text1" w:themeTint="F2"/>
          <w:sz w:val="22"/>
          <w:szCs w:val="22"/>
        </w:rPr>
        <w:t>(</w:t>
      </w:r>
      <w:r w:rsidR="00421752" w:rsidRPr="00421752">
        <w:rPr>
          <w:rFonts w:ascii="Arial" w:hAnsi="Arial" w:cs="Arial"/>
          <w:color w:val="0D0D0D" w:themeColor="text1" w:themeTint="F2"/>
          <w:sz w:val="22"/>
          <w:szCs w:val="22"/>
        </w:rPr>
        <w:t>Turner, 2019</w:t>
      </w:r>
      <w:r w:rsidRPr="00421752">
        <w:rPr>
          <w:rFonts w:ascii="Arial" w:hAnsi="Arial" w:cs="Arial"/>
          <w:color w:val="0D0D0D" w:themeColor="text1" w:themeTint="F2"/>
          <w:sz w:val="22"/>
          <w:szCs w:val="22"/>
        </w:rPr>
        <w:t xml:space="preserve">). </w:t>
      </w:r>
      <w:r w:rsidR="000E04A0">
        <w:rPr>
          <w:rFonts w:ascii="Arial" w:hAnsi="Arial" w:cs="Arial"/>
          <w:color w:val="0D0D0D" w:themeColor="text1" w:themeTint="F2"/>
          <w:sz w:val="22"/>
          <w:szCs w:val="22"/>
        </w:rPr>
        <w:t xml:space="preserve">Redeployment and reskilling programmes also play a pivotal role in ensuring employees can adapt to new roles created by transformation. HR can introduce personalised learning pathways through digital platforms such as LinkedIn Learning or JLR’s internal </w:t>
      </w:r>
      <w:r w:rsidR="000E04A0" w:rsidRPr="000E04A0">
        <w:rPr>
          <w:rFonts w:ascii="Arial" w:hAnsi="Arial" w:cs="Arial"/>
          <w:i/>
          <w:iCs/>
          <w:color w:val="0D0D0D" w:themeColor="text1" w:themeTint="F2"/>
          <w:sz w:val="22"/>
          <w:szCs w:val="22"/>
        </w:rPr>
        <w:t>Learning Academy</w:t>
      </w:r>
      <w:r w:rsidR="000E04A0">
        <w:rPr>
          <w:rFonts w:ascii="Arial" w:hAnsi="Arial" w:cs="Arial"/>
          <w:color w:val="0D0D0D" w:themeColor="text1" w:themeTint="F2"/>
          <w:sz w:val="22"/>
          <w:szCs w:val="22"/>
        </w:rPr>
        <w:t xml:space="preserve"> (Jaguar Land Rover, 2025). These initiatives enhance workforce agility and reinforce psychological security during periods of structural change. Additionally, well-being interventions, including access to counselling, mental health resources, and stress management sessions, can help employees cope with emotional impact of change. Maintaining transparent </w:t>
      </w:r>
      <w:r w:rsidR="000E04A0">
        <w:rPr>
          <w:rFonts w:ascii="Arial" w:hAnsi="Arial" w:cs="Arial"/>
          <w:color w:val="0D0D0D" w:themeColor="text1" w:themeTint="F2"/>
          <w:sz w:val="22"/>
          <w:szCs w:val="22"/>
        </w:rPr>
        <w:lastRenderedPageBreak/>
        <w:t xml:space="preserve">communication about the organisation’s strategic direction is equally important for rebuilding trust and sustaining engagement </w:t>
      </w:r>
      <w:r w:rsidR="000E04A0" w:rsidRPr="00421752">
        <w:rPr>
          <w:rFonts w:ascii="Arial" w:hAnsi="Arial" w:cs="Arial"/>
          <w:color w:val="0D0D0D" w:themeColor="text1" w:themeTint="F2"/>
          <w:sz w:val="22"/>
          <w:szCs w:val="22"/>
        </w:rPr>
        <w:t>(</w:t>
      </w:r>
      <w:r w:rsidR="00421752" w:rsidRPr="00421752">
        <w:rPr>
          <w:rFonts w:ascii="Arial" w:hAnsi="Arial" w:cs="Arial"/>
          <w:color w:val="0D0D0D" w:themeColor="text1" w:themeTint="F2"/>
          <w:sz w:val="22"/>
          <w:szCs w:val="22"/>
        </w:rPr>
        <w:t>Raza et al., 2023</w:t>
      </w:r>
      <w:r w:rsidR="000E04A0" w:rsidRPr="00421752">
        <w:rPr>
          <w:rFonts w:ascii="Arial" w:hAnsi="Arial" w:cs="Arial"/>
          <w:color w:val="0D0D0D" w:themeColor="text1" w:themeTint="F2"/>
          <w:sz w:val="22"/>
          <w:szCs w:val="22"/>
        </w:rPr>
        <w:t>).</w:t>
      </w:r>
    </w:p>
    <w:p w14:paraId="2D8EF793" w14:textId="761F8C40" w:rsidR="000E04A0" w:rsidRDefault="000E04A0" w:rsidP="009F3C71">
      <w:pPr>
        <w:pStyle w:val="ListParagraph"/>
        <w:spacing w:line="360" w:lineRule="auto"/>
        <w:ind w:left="786"/>
        <w:jc w:val="both"/>
        <w:rPr>
          <w:rFonts w:ascii="Arial" w:hAnsi="Arial" w:cs="Arial"/>
          <w:color w:val="0D0D0D" w:themeColor="text1" w:themeTint="F2"/>
          <w:sz w:val="22"/>
          <w:szCs w:val="22"/>
        </w:rPr>
      </w:pPr>
      <w:r w:rsidRPr="000E04A0">
        <w:rPr>
          <w:rFonts w:ascii="Arial" w:hAnsi="Arial" w:cs="Arial"/>
          <w:color w:val="0D0D0D" w:themeColor="text1" w:themeTint="F2"/>
          <w:sz w:val="22"/>
          <w:szCs w:val="22"/>
        </w:rPr>
        <w:t xml:space="preserve">Addressing </w:t>
      </w:r>
      <w:r>
        <w:rPr>
          <w:rFonts w:ascii="Arial" w:hAnsi="Arial" w:cs="Arial"/>
          <w:color w:val="0D0D0D" w:themeColor="text1" w:themeTint="F2"/>
          <w:sz w:val="22"/>
          <w:szCs w:val="22"/>
        </w:rPr>
        <w:t xml:space="preserve">the challenges of digital transformation requires focused investment in digital upskilling </w:t>
      </w:r>
      <w:r w:rsidR="00C65937">
        <w:rPr>
          <w:rFonts w:ascii="Arial" w:hAnsi="Arial" w:cs="Arial"/>
          <w:color w:val="0D0D0D" w:themeColor="text1" w:themeTint="F2"/>
          <w:sz w:val="22"/>
          <w:szCs w:val="22"/>
        </w:rPr>
        <w:t>and inclusive learning. JLR could implement a “Digital Champions” initiative, where selected employees receive advanced training to mentor peers and promote confidence in adopting new technologies</w:t>
      </w:r>
      <w:r w:rsidR="00421752">
        <w:rPr>
          <w:rFonts w:ascii="Arial" w:hAnsi="Arial" w:cs="Arial"/>
          <w:color w:val="0D0D0D" w:themeColor="text1" w:themeTint="F2"/>
          <w:sz w:val="22"/>
          <w:szCs w:val="22"/>
        </w:rPr>
        <w:t>.</w:t>
      </w:r>
      <w:r w:rsidR="00C65937">
        <w:rPr>
          <w:rFonts w:ascii="Arial" w:hAnsi="Arial" w:cs="Arial"/>
          <w:color w:val="0D0D0D" w:themeColor="text1" w:themeTint="F2"/>
          <w:sz w:val="22"/>
          <w:szCs w:val="22"/>
        </w:rPr>
        <w:t xml:space="preserve"> Such peer-learning approaches foster inclusivity and reduce apprehension around technological change. Applying participatory design principles, where employees contribute to the development and implementation of new systems, can also reduce perceptions of top-down management and strengthen ownership of change.</w:t>
      </w:r>
    </w:p>
    <w:p w14:paraId="15E6F5F9" w14:textId="208D9CB0" w:rsidR="00C65937" w:rsidRDefault="00C65937" w:rsidP="009F3C71">
      <w:pPr>
        <w:pStyle w:val="ListParagraph"/>
        <w:spacing w:line="360" w:lineRule="auto"/>
        <w:ind w:left="786"/>
        <w:jc w:val="both"/>
        <w:rPr>
          <w:rFonts w:ascii="Arial" w:hAnsi="Arial" w:cs="Arial"/>
          <w:color w:val="0D0D0D" w:themeColor="text1" w:themeTint="F2"/>
          <w:sz w:val="22"/>
          <w:szCs w:val="22"/>
        </w:rPr>
      </w:pPr>
      <w:r>
        <w:rPr>
          <w:rFonts w:ascii="Arial" w:hAnsi="Arial" w:cs="Arial"/>
          <w:color w:val="0D0D0D" w:themeColor="text1" w:themeTint="F2"/>
          <w:sz w:val="22"/>
          <w:szCs w:val="22"/>
        </w:rPr>
        <w:t xml:space="preserve">HR can further leverage AI-driven analytics to monitor workforce trends, such as turnover risk or training needs, allowing for proactive interventions </w:t>
      </w:r>
      <w:r w:rsidRPr="008B535B">
        <w:rPr>
          <w:rFonts w:ascii="Arial" w:hAnsi="Arial" w:cs="Arial"/>
          <w:color w:val="0D0D0D" w:themeColor="text1" w:themeTint="F2"/>
          <w:sz w:val="22"/>
          <w:szCs w:val="22"/>
        </w:rPr>
        <w:t>(</w:t>
      </w:r>
      <w:r w:rsidR="008B535B" w:rsidRPr="008B535B">
        <w:rPr>
          <w:rFonts w:ascii="Arial" w:hAnsi="Arial" w:cs="Arial"/>
          <w:color w:val="0D0D0D" w:themeColor="text1" w:themeTint="F2"/>
          <w:sz w:val="22"/>
          <w:szCs w:val="22"/>
        </w:rPr>
        <w:t>Lorsch and</w:t>
      </w:r>
      <w:r w:rsidR="008B535B">
        <w:rPr>
          <w:rFonts w:ascii="Arial" w:hAnsi="Arial" w:cs="Arial"/>
          <w:b/>
          <w:bCs/>
          <w:color w:val="0D0D0D" w:themeColor="text1" w:themeTint="F2"/>
          <w:sz w:val="22"/>
          <w:szCs w:val="22"/>
        </w:rPr>
        <w:t xml:space="preserve"> </w:t>
      </w:r>
      <w:r w:rsidR="008B535B" w:rsidRPr="008B535B">
        <w:rPr>
          <w:rFonts w:ascii="Arial" w:hAnsi="Arial" w:cs="Arial"/>
          <w:color w:val="0D0D0D" w:themeColor="text1" w:themeTint="F2"/>
          <w:sz w:val="22"/>
          <w:szCs w:val="22"/>
        </w:rPr>
        <w:t>Durante</w:t>
      </w:r>
      <w:r w:rsidRPr="008B535B">
        <w:rPr>
          <w:rFonts w:ascii="Arial" w:hAnsi="Arial" w:cs="Arial"/>
          <w:color w:val="0D0D0D" w:themeColor="text1" w:themeTint="F2"/>
          <w:sz w:val="22"/>
          <w:szCs w:val="22"/>
        </w:rPr>
        <w:t>, 20</w:t>
      </w:r>
      <w:r w:rsidR="008B535B" w:rsidRPr="008B535B">
        <w:rPr>
          <w:rFonts w:ascii="Arial" w:hAnsi="Arial" w:cs="Arial"/>
          <w:color w:val="0D0D0D" w:themeColor="text1" w:themeTint="F2"/>
          <w:sz w:val="22"/>
          <w:szCs w:val="22"/>
        </w:rPr>
        <w:t>13</w:t>
      </w:r>
      <w:r w:rsidRPr="008B535B">
        <w:rPr>
          <w:rFonts w:ascii="Arial" w:hAnsi="Arial" w:cs="Arial"/>
          <w:color w:val="0D0D0D" w:themeColor="text1" w:themeTint="F2"/>
          <w:sz w:val="22"/>
          <w:szCs w:val="22"/>
        </w:rPr>
        <w:t>).</w:t>
      </w:r>
      <w:r>
        <w:rPr>
          <w:rFonts w:ascii="Arial" w:hAnsi="Arial" w:cs="Arial"/>
          <w:color w:val="0D0D0D" w:themeColor="text1" w:themeTint="F2"/>
          <w:sz w:val="22"/>
          <w:szCs w:val="22"/>
        </w:rPr>
        <w:t xml:space="preserve"> To alleviate concerns about data surveillance, HR must adopt clear and ethical data governance policies that emphasise how analytics support, rather than monitor, employees. Promoting a culture of innovation through recognition and reward schemes for creative use of technology can further increase motivation and engagement </w:t>
      </w:r>
      <w:r w:rsidRPr="008B535B">
        <w:rPr>
          <w:rFonts w:ascii="Arial" w:hAnsi="Arial" w:cs="Arial"/>
          <w:color w:val="0D0D0D" w:themeColor="text1" w:themeTint="F2"/>
          <w:sz w:val="22"/>
          <w:szCs w:val="22"/>
        </w:rPr>
        <w:t>(</w:t>
      </w:r>
      <w:r w:rsidR="008B535B" w:rsidRPr="008B535B">
        <w:rPr>
          <w:rFonts w:ascii="Arial" w:hAnsi="Arial" w:cs="Arial"/>
          <w:color w:val="0D0D0D" w:themeColor="text1" w:themeTint="F2"/>
          <w:sz w:val="22"/>
          <w:szCs w:val="22"/>
        </w:rPr>
        <w:t>Susanto et al., 2023</w:t>
      </w:r>
      <w:r w:rsidRPr="008B535B">
        <w:rPr>
          <w:rFonts w:ascii="Arial" w:hAnsi="Arial" w:cs="Arial"/>
          <w:color w:val="0D0D0D" w:themeColor="text1" w:themeTint="F2"/>
          <w:sz w:val="22"/>
          <w:szCs w:val="22"/>
        </w:rPr>
        <w:t xml:space="preserve">). </w:t>
      </w:r>
      <w:r>
        <w:rPr>
          <w:rFonts w:ascii="Arial" w:hAnsi="Arial" w:cs="Arial"/>
          <w:color w:val="0D0D0D" w:themeColor="text1" w:themeTint="F2"/>
          <w:sz w:val="22"/>
          <w:szCs w:val="22"/>
        </w:rPr>
        <w:t xml:space="preserve">In response to the challenges </w:t>
      </w:r>
      <w:r w:rsidR="00CB1FBD">
        <w:rPr>
          <w:rFonts w:ascii="Arial" w:hAnsi="Arial" w:cs="Arial"/>
          <w:color w:val="0D0D0D" w:themeColor="text1" w:themeTint="F2"/>
          <w:sz w:val="22"/>
          <w:szCs w:val="22"/>
        </w:rPr>
        <w:t>surrounding flexible working, HR should develop a coherent framework grounded in equity, clarity, and consistency. Such a framework should clearly outline eligibility criteria, application procedures, and performance expectations, ensuring that all employees understanding their options</w:t>
      </w:r>
      <w:r w:rsidR="008B535B">
        <w:rPr>
          <w:rFonts w:ascii="Arial" w:hAnsi="Arial" w:cs="Arial"/>
          <w:color w:val="0D0D0D" w:themeColor="text1" w:themeTint="F2"/>
          <w:sz w:val="22"/>
          <w:szCs w:val="22"/>
        </w:rPr>
        <w:t xml:space="preserve">. </w:t>
      </w:r>
      <w:r w:rsidR="00CB1FBD">
        <w:rPr>
          <w:rFonts w:ascii="Arial" w:hAnsi="Arial" w:cs="Arial"/>
          <w:color w:val="0D0D0D" w:themeColor="text1" w:themeTint="F2"/>
          <w:sz w:val="22"/>
          <w:szCs w:val="22"/>
        </w:rPr>
        <w:t xml:space="preserve">Furthermore, hybrid leadership training is essential to equip managers with the skills to lead dispersed teams effectively, focusing on communication, empathy, and outcome-based performance management. To support collaboration, tools such as Microsoft Teams and Yammer should be paired with targeted training to maintain strong interpersonal connection and teamwork. Finally, employee voice mechanisms, such as anonymous surveys, feedback platforms, and regular pulse checks, can provide ongoing insights into employee satisfaction with flexible working policies. Aligning these feedback mechanisms with well-being initiatives ensures that flexibility contributes positively to both employee morale and productivity. Collectively, these </w:t>
      </w:r>
      <w:r w:rsidR="002A79C2">
        <w:rPr>
          <w:rFonts w:ascii="Arial" w:hAnsi="Arial" w:cs="Arial"/>
          <w:color w:val="0D0D0D" w:themeColor="text1" w:themeTint="F2"/>
          <w:sz w:val="22"/>
          <w:szCs w:val="22"/>
        </w:rPr>
        <w:t>contemporary</w:t>
      </w:r>
      <w:r w:rsidR="00CB1FBD">
        <w:rPr>
          <w:rFonts w:ascii="Arial" w:hAnsi="Arial" w:cs="Arial"/>
          <w:color w:val="0D0D0D" w:themeColor="text1" w:themeTint="F2"/>
          <w:sz w:val="22"/>
          <w:szCs w:val="22"/>
        </w:rPr>
        <w:t xml:space="preserve"> HR practices promote fairness, inclusion, and empowerm</w:t>
      </w:r>
      <w:r w:rsidR="002A79C2">
        <w:rPr>
          <w:rFonts w:ascii="Arial" w:hAnsi="Arial" w:cs="Arial"/>
          <w:color w:val="0D0D0D" w:themeColor="text1" w:themeTint="F2"/>
          <w:sz w:val="22"/>
          <w:szCs w:val="22"/>
        </w:rPr>
        <w:t>ent, addressing the root causes of employee grievances and strengthening JLR’s overall organisational culture.</w:t>
      </w:r>
    </w:p>
    <w:p w14:paraId="72A7DE78" w14:textId="77777777" w:rsidR="00C65819" w:rsidRDefault="00C65819" w:rsidP="00C65819">
      <w:pPr>
        <w:pStyle w:val="ListParagraph"/>
        <w:spacing w:line="360" w:lineRule="auto"/>
        <w:ind w:left="786"/>
        <w:jc w:val="both"/>
        <w:rPr>
          <w:rFonts w:ascii="Arial" w:hAnsi="Arial" w:cs="Arial"/>
          <w:color w:val="0D0D0D" w:themeColor="text1" w:themeTint="F2"/>
          <w:sz w:val="22"/>
          <w:szCs w:val="22"/>
        </w:rPr>
      </w:pPr>
    </w:p>
    <w:p w14:paraId="243F8DFF" w14:textId="77777777" w:rsidR="00C65819" w:rsidRDefault="00C65819" w:rsidP="00C65819">
      <w:pPr>
        <w:pStyle w:val="ListParagraph"/>
        <w:spacing w:line="360" w:lineRule="auto"/>
        <w:ind w:left="786"/>
        <w:jc w:val="both"/>
        <w:rPr>
          <w:rFonts w:ascii="Arial" w:hAnsi="Arial" w:cs="Arial"/>
          <w:color w:val="0D0D0D" w:themeColor="text1" w:themeTint="F2"/>
          <w:sz w:val="22"/>
          <w:szCs w:val="22"/>
        </w:rPr>
      </w:pPr>
    </w:p>
    <w:p w14:paraId="2072F3E4" w14:textId="77777777" w:rsidR="00C65819" w:rsidRDefault="00C65819" w:rsidP="00C65819">
      <w:pPr>
        <w:pStyle w:val="ListParagraph"/>
        <w:spacing w:line="360" w:lineRule="auto"/>
        <w:ind w:left="786"/>
        <w:jc w:val="both"/>
        <w:rPr>
          <w:rFonts w:ascii="Arial" w:hAnsi="Arial" w:cs="Arial"/>
          <w:color w:val="0D0D0D" w:themeColor="text1" w:themeTint="F2"/>
          <w:sz w:val="22"/>
          <w:szCs w:val="22"/>
        </w:rPr>
      </w:pPr>
    </w:p>
    <w:p w14:paraId="144AD80E" w14:textId="1AA8E388" w:rsidR="00C65819" w:rsidRPr="00C65819" w:rsidRDefault="00C65819" w:rsidP="005858E0">
      <w:pPr>
        <w:pStyle w:val="ListParagraph"/>
        <w:numPr>
          <w:ilvl w:val="0"/>
          <w:numId w:val="4"/>
        </w:numPr>
        <w:spacing w:line="360" w:lineRule="auto"/>
        <w:jc w:val="both"/>
        <w:rPr>
          <w:rFonts w:ascii="Arial" w:hAnsi="Arial" w:cs="Arial"/>
          <w:b/>
          <w:bCs/>
          <w:color w:val="0D0D0D" w:themeColor="text1" w:themeTint="F2"/>
          <w:sz w:val="36"/>
          <w:szCs w:val="36"/>
        </w:rPr>
      </w:pPr>
      <w:r w:rsidRPr="00C65819">
        <w:rPr>
          <w:rFonts w:ascii="Arial" w:hAnsi="Arial" w:cs="Arial"/>
          <w:b/>
          <w:bCs/>
          <w:color w:val="0D0D0D" w:themeColor="text1" w:themeTint="F2"/>
          <w:sz w:val="36"/>
          <w:szCs w:val="36"/>
        </w:rPr>
        <w:lastRenderedPageBreak/>
        <w:t>Critical</w:t>
      </w:r>
      <w:r>
        <w:rPr>
          <w:rFonts w:ascii="Arial" w:hAnsi="Arial" w:cs="Arial"/>
          <w:b/>
          <w:bCs/>
          <w:color w:val="0D0D0D" w:themeColor="text1" w:themeTint="F2"/>
          <w:sz w:val="36"/>
          <w:szCs w:val="36"/>
        </w:rPr>
        <w:t xml:space="preserve"> </w:t>
      </w:r>
      <w:r w:rsidRPr="00C65819">
        <w:rPr>
          <w:rFonts w:ascii="Arial" w:hAnsi="Arial" w:cs="Arial"/>
          <w:b/>
          <w:bCs/>
          <w:color w:val="0D0D0D" w:themeColor="text1" w:themeTint="F2"/>
          <w:sz w:val="36"/>
          <w:szCs w:val="36"/>
        </w:rPr>
        <w:t>Evaluation: Role</w:t>
      </w:r>
      <w:r>
        <w:rPr>
          <w:rFonts w:ascii="Arial" w:hAnsi="Arial" w:cs="Arial"/>
          <w:b/>
          <w:bCs/>
          <w:color w:val="0D0D0D" w:themeColor="text1" w:themeTint="F2"/>
          <w:sz w:val="36"/>
          <w:szCs w:val="36"/>
        </w:rPr>
        <w:t xml:space="preserve"> </w:t>
      </w:r>
      <w:r w:rsidRPr="00C65819">
        <w:rPr>
          <w:rFonts w:ascii="Arial" w:hAnsi="Arial" w:cs="Arial"/>
          <w:b/>
          <w:bCs/>
          <w:color w:val="0D0D0D" w:themeColor="text1" w:themeTint="F2"/>
          <w:sz w:val="36"/>
          <w:szCs w:val="36"/>
        </w:rPr>
        <w:t>of Departmental Managers in Implementation</w:t>
      </w:r>
    </w:p>
    <w:p w14:paraId="24E27A77" w14:textId="77777777" w:rsidR="00C65819" w:rsidRPr="00C65819" w:rsidRDefault="00C65819" w:rsidP="00C65819">
      <w:pPr>
        <w:pStyle w:val="ListParagraph"/>
        <w:spacing w:line="360" w:lineRule="auto"/>
        <w:ind w:left="786"/>
        <w:jc w:val="both"/>
        <w:rPr>
          <w:rFonts w:ascii="Arial" w:hAnsi="Arial" w:cs="Arial"/>
          <w:b/>
          <w:bCs/>
          <w:color w:val="0D0D0D" w:themeColor="text1" w:themeTint="F2"/>
          <w:sz w:val="36"/>
          <w:szCs w:val="36"/>
        </w:rPr>
      </w:pPr>
    </w:p>
    <w:p w14:paraId="30EDD9EA" w14:textId="744063DF" w:rsidR="00C65819" w:rsidRDefault="00C65819" w:rsidP="00837C46">
      <w:pPr>
        <w:pStyle w:val="ListParagraph"/>
        <w:spacing w:line="360" w:lineRule="auto"/>
        <w:ind w:left="786"/>
        <w:jc w:val="both"/>
        <w:rPr>
          <w:rFonts w:ascii="Arial" w:hAnsi="Arial" w:cs="Arial"/>
          <w:b/>
          <w:bCs/>
          <w:color w:val="0D0D0D" w:themeColor="text1" w:themeTint="F2"/>
          <w:sz w:val="22"/>
          <w:szCs w:val="22"/>
        </w:rPr>
      </w:pPr>
      <w:r>
        <w:rPr>
          <w:rFonts w:ascii="Arial" w:hAnsi="Arial" w:cs="Arial"/>
          <w:color w:val="0D0D0D" w:themeColor="text1" w:themeTint="F2"/>
          <w:sz w:val="22"/>
          <w:szCs w:val="22"/>
        </w:rPr>
        <w:t xml:space="preserve">Departmental managers play a pivotal role in translating HR policies into effective daily practice. Their leadership capabilities directly influence how efficiently, and authentically contemporary HR strategies are embedded within the organisation. As frontline leaders, managers must act as </w:t>
      </w:r>
      <w:r w:rsidRPr="00C65819">
        <w:rPr>
          <w:rFonts w:ascii="Arial" w:hAnsi="Arial" w:cs="Arial"/>
          <w:i/>
          <w:iCs/>
          <w:color w:val="0D0D0D" w:themeColor="text1" w:themeTint="F2"/>
          <w:sz w:val="22"/>
          <w:szCs w:val="22"/>
        </w:rPr>
        <w:t>change agents</w:t>
      </w:r>
      <w:r>
        <w:rPr>
          <w:rFonts w:ascii="Arial" w:hAnsi="Arial" w:cs="Arial"/>
          <w:color w:val="0D0D0D" w:themeColor="text1" w:themeTint="F2"/>
          <w:sz w:val="22"/>
          <w:szCs w:val="22"/>
        </w:rPr>
        <w:t xml:space="preserve"> who model openness, empathy, and adaptability throughout the transformation process </w:t>
      </w:r>
      <w:r w:rsidRPr="00576282">
        <w:rPr>
          <w:rFonts w:ascii="Arial" w:hAnsi="Arial" w:cs="Arial"/>
          <w:color w:val="0D0D0D" w:themeColor="text1" w:themeTint="F2"/>
          <w:sz w:val="22"/>
          <w:szCs w:val="22"/>
        </w:rPr>
        <w:t>(</w:t>
      </w:r>
      <w:r w:rsidR="00576282" w:rsidRPr="00576282">
        <w:rPr>
          <w:rFonts w:ascii="Arial" w:hAnsi="Arial" w:cs="Arial"/>
          <w:color w:val="0D0D0D" w:themeColor="text1" w:themeTint="F2"/>
          <w:sz w:val="22"/>
          <w:szCs w:val="22"/>
        </w:rPr>
        <w:t>Furnham, 2002</w:t>
      </w:r>
      <w:r w:rsidRPr="00576282">
        <w:rPr>
          <w:rFonts w:ascii="Arial" w:hAnsi="Arial" w:cs="Arial"/>
          <w:color w:val="0D0D0D" w:themeColor="text1" w:themeTint="F2"/>
          <w:sz w:val="22"/>
          <w:szCs w:val="22"/>
        </w:rPr>
        <w:t>).</w:t>
      </w:r>
      <w:r w:rsidRPr="00C65819">
        <w:rPr>
          <w:rFonts w:ascii="Arial" w:hAnsi="Arial" w:cs="Arial"/>
          <w:b/>
          <w:bCs/>
          <w:color w:val="0D0D0D" w:themeColor="text1" w:themeTint="F2"/>
          <w:sz w:val="22"/>
          <w:szCs w:val="22"/>
        </w:rPr>
        <w:t xml:space="preserve"> </w:t>
      </w:r>
      <w:r>
        <w:rPr>
          <w:rFonts w:ascii="Arial" w:hAnsi="Arial" w:cs="Arial"/>
          <w:color w:val="0D0D0D" w:themeColor="text1" w:themeTint="F2"/>
          <w:sz w:val="22"/>
          <w:szCs w:val="22"/>
        </w:rPr>
        <w:t xml:space="preserve">However, at JLR Castle Bromwich, many line managers may lack sufficient expertise in change management and digital leadership, limiting their ability to guide employees trough period of transition. To address this, HR should provide </w:t>
      </w:r>
      <w:r w:rsidR="001474DC">
        <w:rPr>
          <w:rFonts w:ascii="Arial" w:hAnsi="Arial" w:cs="Arial"/>
          <w:color w:val="0D0D0D" w:themeColor="text1" w:themeTint="F2"/>
          <w:sz w:val="22"/>
          <w:szCs w:val="22"/>
        </w:rPr>
        <w:t>comprehensive leadership development programmes that strengthen emotional intelligence, communication skills, and digital competence</w:t>
      </w:r>
      <w:r w:rsidR="00576282">
        <w:rPr>
          <w:rFonts w:ascii="Arial" w:hAnsi="Arial" w:cs="Arial"/>
          <w:color w:val="0D0D0D" w:themeColor="text1" w:themeTint="F2"/>
          <w:sz w:val="22"/>
          <w:szCs w:val="22"/>
        </w:rPr>
        <w:t>.</w:t>
      </w:r>
      <w:r w:rsidR="001474DC" w:rsidRPr="001474DC">
        <w:rPr>
          <w:rFonts w:ascii="Arial" w:hAnsi="Arial" w:cs="Arial"/>
          <w:b/>
          <w:bCs/>
          <w:color w:val="0D0D0D" w:themeColor="text1" w:themeTint="F2"/>
          <w:sz w:val="22"/>
          <w:szCs w:val="22"/>
        </w:rPr>
        <w:t xml:space="preserve"> </w:t>
      </w:r>
      <w:r w:rsidR="001474DC">
        <w:rPr>
          <w:rFonts w:ascii="Arial" w:hAnsi="Arial" w:cs="Arial"/>
          <w:color w:val="0D0D0D" w:themeColor="text1" w:themeTint="F2"/>
          <w:sz w:val="22"/>
          <w:szCs w:val="22"/>
        </w:rPr>
        <w:t xml:space="preserve">Managers also play a crucial role in operationalising HR’s digital and flexible working policies by fostering psychologically safe working environments. This requires creating spaces for open dialogue about technology adoption, actively encouraging employee feedback, and ensuring that no member of staff feels excluded from digital or organisational changes. Regular one-to-one meetings, listening sessions, and feedback forums enable managers to capture workforce sentiment and communicate emerging issue to HR in a timely manner </w:t>
      </w:r>
      <w:r w:rsidR="001474DC" w:rsidRPr="00576282">
        <w:rPr>
          <w:rFonts w:ascii="Arial" w:hAnsi="Arial" w:cs="Arial"/>
          <w:color w:val="0D0D0D" w:themeColor="text1" w:themeTint="F2"/>
          <w:sz w:val="22"/>
          <w:szCs w:val="22"/>
        </w:rPr>
        <w:t>(</w:t>
      </w:r>
      <w:r w:rsidR="00576282" w:rsidRPr="00576282">
        <w:rPr>
          <w:rFonts w:ascii="Arial" w:hAnsi="Arial" w:cs="Arial"/>
          <w:color w:val="0D0D0D" w:themeColor="text1" w:themeTint="F2"/>
          <w:sz w:val="22"/>
          <w:szCs w:val="22"/>
        </w:rPr>
        <w:t>Currie and Procter, 2001</w:t>
      </w:r>
      <w:r w:rsidR="001474DC" w:rsidRPr="00576282">
        <w:rPr>
          <w:rFonts w:ascii="Arial" w:hAnsi="Arial" w:cs="Arial"/>
          <w:color w:val="0D0D0D" w:themeColor="text1" w:themeTint="F2"/>
          <w:sz w:val="22"/>
          <w:szCs w:val="22"/>
        </w:rPr>
        <w:t>).</w:t>
      </w:r>
      <w:r w:rsidR="001474DC">
        <w:rPr>
          <w:rFonts w:ascii="Arial" w:hAnsi="Arial" w:cs="Arial"/>
          <w:color w:val="0D0D0D" w:themeColor="text1" w:themeTint="F2"/>
          <w:sz w:val="22"/>
          <w:szCs w:val="22"/>
        </w:rPr>
        <w:t xml:space="preserve"> Ensuring equitable access to flexible working arrangements is another fundamental managerial responsibility. Managers should apply flexible working policies consistently across departments</w:t>
      </w:r>
      <w:r w:rsidR="00E9336E">
        <w:rPr>
          <w:rFonts w:ascii="Arial" w:hAnsi="Arial" w:cs="Arial"/>
          <w:color w:val="0D0D0D" w:themeColor="text1" w:themeTint="F2"/>
          <w:sz w:val="22"/>
          <w:szCs w:val="22"/>
        </w:rPr>
        <w:t xml:space="preserve">, basing decisions on objective data to avoid perceptions of favouritism or bias. Conducting regular policy reviews and engaging in cross-departmental benchmarking can promote transparency and accountability. Moreover, managers must balance the need to maintain productivity with safeguarding employee well-being, adopting transformational leadership behaviours that inspire a shared sense of purpose and encourage innovation </w:t>
      </w:r>
      <w:r w:rsidR="00E9336E" w:rsidRPr="00576282">
        <w:rPr>
          <w:rFonts w:ascii="Arial" w:hAnsi="Arial" w:cs="Arial"/>
          <w:color w:val="0D0D0D" w:themeColor="text1" w:themeTint="F2"/>
          <w:sz w:val="22"/>
          <w:szCs w:val="22"/>
        </w:rPr>
        <w:t>(</w:t>
      </w:r>
      <w:r w:rsidR="00576282" w:rsidRPr="00576282">
        <w:rPr>
          <w:rFonts w:ascii="Arial" w:hAnsi="Arial" w:cs="Arial"/>
          <w:color w:val="0D0D0D" w:themeColor="text1" w:themeTint="F2"/>
          <w:sz w:val="22"/>
          <w:szCs w:val="22"/>
        </w:rPr>
        <w:t>Hamel, 2006</w:t>
      </w:r>
      <w:r w:rsidR="00E9336E" w:rsidRPr="00576282">
        <w:rPr>
          <w:rFonts w:ascii="Arial" w:hAnsi="Arial" w:cs="Arial"/>
          <w:color w:val="0D0D0D" w:themeColor="text1" w:themeTint="F2"/>
          <w:sz w:val="22"/>
          <w:szCs w:val="22"/>
        </w:rPr>
        <w:t>).</w:t>
      </w:r>
    </w:p>
    <w:p w14:paraId="7C88A5B4" w14:textId="7CC54DA6" w:rsidR="000F2A9E" w:rsidRDefault="000F2A9E" w:rsidP="00837C46">
      <w:pPr>
        <w:pStyle w:val="ListParagraph"/>
        <w:spacing w:line="360" w:lineRule="auto"/>
        <w:ind w:left="786"/>
        <w:jc w:val="both"/>
        <w:rPr>
          <w:rFonts w:ascii="Arial" w:hAnsi="Arial" w:cs="Arial"/>
          <w:color w:val="0D0D0D" w:themeColor="text1" w:themeTint="F2"/>
          <w:sz w:val="22"/>
          <w:szCs w:val="22"/>
        </w:rPr>
      </w:pPr>
      <w:r>
        <w:rPr>
          <w:rFonts w:ascii="Arial" w:hAnsi="Arial" w:cs="Arial"/>
          <w:color w:val="0D0D0D" w:themeColor="text1" w:themeTint="F2"/>
          <w:sz w:val="22"/>
          <w:szCs w:val="22"/>
        </w:rPr>
        <w:t>The urgency associated with implementing new HR practices presents and additional challenge, as departmental managers often face competing operational demands. To overcome this, HR should align performance appraisal systems and key performance indicators (KPIs) with people management outcomes, rewarding inclusive leadership, coaching, and employee development. Such alignment reinforces the importance of employee engagement and ensures that managers are motivated to prioritise human factors alongside production objectives (</w:t>
      </w:r>
      <w:r w:rsidR="00576282" w:rsidRPr="00576282">
        <w:rPr>
          <w:rFonts w:ascii="Arial" w:hAnsi="Arial" w:cs="Arial"/>
          <w:color w:val="0D0D0D" w:themeColor="text1" w:themeTint="F2"/>
          <w:sz w:val="22"/>
          <w:szCs w:val="22"/>
        </w:rPr>
        <w:t>Vogt et al., 2010</w:t>
      </w:r>
      <w:r>
        <w:rPr>
          <w:rFonts w:ascii="Arial" w:hAnsi="Arial" w:cs="Arial"/>
          <w:color w:val="0D0D0D" w:themeColor="text1" w:themeTint="F2"/>
          <w:sz w:val="22"/>
          <w:szCs w:val="22"/>
        </w:rPr>
        <w:t xml:space="preserve">). Collaboration between HR </w:t>
      </w:r>
      <w:r>
        <w:rPr>
          <w:rFonts w:ascii="Arial" w:hAnsi="Arial" w:cs="Arial"/>
          <w:color w:val="0D0D0D" w:themeColor="text1" w:themeTint="F2"/>
          <w:sz w:val="22"/>
          <w:szCs w:val="22"/>
        </w:rPr>
        <w:lastRenderedPageBreak/>
        <w:t>professionals and departmental managers is equally essential to effective implementation. Establishing HR business partners within each department can strengthen two-way communication, ensure rapid response to grievances, and facilitate the consistent application of HR policies. Regular reporting on key workforce metrics such as turnover, absenteeism, and training participation, can also support evidence-based decision making and continuous improvement.</w:t>
      </w:r>
    </w:p>
    <w:p w14:paraId="6AD89B34" w14:textId="77777777" w:rsidR="00837C46" w:rsidRDefault="000F2A9E" w:rsidP="00837C46">
      <w:pPr>
        <w:pStyle w:val="ListParagraph"/>
        <w:spacing w:line="360" w:lineRule="auto"/>
        <w:ind w:left="786"/>
        <w:jc w:val="both"/>
        <w:rPr>
          <w:rFonts w:ascii="Arial" w:hAnsi="Arial" w:cs="Arial"/>
          <w:color w:val="0D0D0D" w:themeColor="text1" w:themeTint="F2"/>
          <w:sz w:val="22"/>
          <w:szCs w:val="22"/>
        </w:rPr>
      </w:pPr>
      <w:r>
        <w:rPr>
          <w:rFonts w:ascii="Arial" w:hAnsi="Arial" w:cs="Arial"/>
          <w:color w:val="0D0D0D" w:themeColor="text1" w:themeTint="F2"/>
          <w:sz w:val="22"/>
          <w:szCs w:val="22"/>
        </w:rPr>
        <w:t xml:space="preserve">Ultimately, managers must recognise that HR practices are not merely </w:t>
      </w:r>
      <w:r w:rsidR="00837C46">
        <w:rPr>
          <w:rFonts w:ascii="Arial" w:hAnsi="Arial" w:cs="Arial"/>
          <w:color w:val="0D0D0D" w:themeColor="text1" w:themeTint="F2"/>
          <w:sz w:val="22"/>
          <w:szCs w:val="22"/>
        </w:rPr>
        <w:t>administrative obligations but strategic mechanisms for building organizational resilience and sustaining high performance. Their ability to lead empathetically, communicate transparently, and implement policies consistently will be decisive in determining the overall success of JLR’s transformation journey.</w:t>
      </w:r>
    </w:p>
    <w:p w14:paraId="7AD9611E" w14:textId="77777777" w:rsidR="00837C46" w:rsidRDefault="00837C46" w:rsidP="00C65819">
      <w:pPr>
        <w:pStyle w:val="ListParagraph"/>
        <w:spacing w:line="360" w:lineRule="auto"/>
        <w:ind w:left="786"/>
        <w:jc w:val="both"/>
        <w:rPr>
          <w:rFonts w:ascii="Arial" w:hAnsi="Arial" w:cs="Arial"/>
          <w:color w:val="0D0D0D" w:themeColor="text1" w:themeTint="F2"/>
          <w:sz w:val="22"/>
          <w:szCs w:val="22"/>
        </w:rPr>
      </w:pPr>
    </w:p>
    <w:p w14:paraId="59C6A0CF" w14:textId="77777777" w:rsidR="00837C46" w:rsidRDefault="00837C46" w:rsidP="00C65819">
      <w:pPr>
        <w:pStyle w:val="ListParagraph"/>
        <w:spacing w:line="360" w:lineRule="auto"/>
        <w:ind w:left="786"/>
        <w:jc w:val="both"/>
        <w:rPr>
          <w:rFonts w:ascii="Arial" w:hAnsi="Arial" w:cs="Arial"/>
          <w:color w:val="0D0D0D" w:themeColor="text1" w:themeTint="F2"/>
          <w:sz w:val="22"/>
          <w:szCs w:val="22"/>
        </w:rPr>
      </w:pPr>
    </w:p>
    <w:p w14:paraId="2AE109B8" w14:textId="3A20022F" w:rsidR="00C65819" w:rsidRPr="009F3C71" w:rsidRDefault="00837C46" w:rsidP="009F3C71">
      <w:pPr>
        <w:pStyle w:val="ListParagraph"/>
        <w:spacing w:line="360" w:lineRule="auto"/>
        <w:ind w:left="786"/>
        <w:jc w:val="both"/>
        <w:rPr>
          <w:rFonts w:ascii="Arial" w:hAnsi="Arial" w:cs="Arial"/>
          <w:color w:val="0D0D0D" w:themeColor="text1" w:themeTint="F2"/>
          <w:sz w:val="22"/>
          <w:szCs w:val="22"/>
        </w:rPr>
      </w:pPr>
      <w:r>
        <w:rPr>
          <w:rFonts w:ascii="Arial" w:hAnsi="Arial" w:cs="Arial"/>
          <w:color w:val="0D0D0D" w:themeColor="text1" w:themeTint="F2"/>
          <w:sz w:val="22"/>
          <w:szCs w:val="22"/>
        </w:rPr>
        <w:t xml:space="preserve"> </w:t>
      </w:r>
    </w:p>
    <w:p w14:paraId="465F3555" w14:textId="77777777" w:rsidR="001D73E9" w:rsidRDefault="001D73E9" w:rsidP="00855BA8">
      <w:pPr>
        <w:pStyle w:val="ListParagraph"/>
        <w:spacing w:line="360" w:lineRule="auto"/>
        <w:ind w:left="816"/>
        <w:jc w:val="both"/>
        <w:rPr>
          <w:rFonts w:ascii="Arial" w:hAnsi="Arial" w:cs="Arial"/>
          <w:color w:val="0D0D0D" w:themeColor="text1" w:themeTint="F2"/>
          <w:sz w:val="22"/>
          <w:szCs w:val="22"/>
        </w:rPr>
      </w:pPr>
    </w:p>
    <w:p w14:paraId="536338FE" w14:textId="77777777" w:rsidR="001D73E9" w:rsidRDefault="001D73E9" w:rsidP="001D73E9">
      <w:pPr>
        <w:pStyle w:val="ListParagraph"/>
        <w:ind w:left="816"/>
        <w:jc w:val="both"/>
        <w:rPr>
          <w:rFonts w:ascii="Arial" w:hAnsi="Arial" w:cs="Arial"/>
          <w:color w:val="0D0D0D" w:themeColor="text1" w:themeTint="F2"/>
          <w:sz w:val="22"/>
          <w:szCs w:val="22"/>
        </w:rPr>
      </w:pPr>
    </w:p>
    <w:p w14:paraId="0D687A41" w14:textId="3DAA5D09" w:rsidR="001D73E9" w:rsidRPr="00837C46" w:rsidRDefault="00837C46" w:rsidP="005858E0">
      <w:pPr>
        <w:pStyle w:val="ListParagraph"/>
        <w:numPr>
          <w:ilvl w:val="0"/>
          <w:numId w:val="4"/>
        </w:numPr>
        <w:jc w:val="both"/>
        <w:rPr>
          <w:rFonts w:ascii="Arial" w:hAnsi="Arial" w:cs="Arial"/>
          <w:b/>
          <w:bCs/>
          <w:color w:val="0D0D0D" w:themeColor="text1" w:themeTint="F2"/>
          <w:sz w:val="36"/>
          <w:szCs w:val="36"/>
        </w:rPr>
      </w:pPr>
      <w:r w:rsidRPr="00837C46">
        <w:rPr>
          <w:rFonts w:ascii="Arial" w:hAnsi="Arial" w:cs="Arial"/>
          <w:b/>
          <w:bCs/>
          <w:color w:val="0D0D0D" w:themeColor="text1" w:themeTint="F2"/>
          <w:sz w:val="36"/>
          <w:szCs w:val="36"/>
        </w:rPr>
        <w:t>Conclusion and Recommendations</w:t>
      </w:r>
    </w:p>
    <w:p w14:paraId="74764DC7" w14:textId="77777777" w:rsidR="001D73E9" w:rsidRDefault="001D73E9" w:rsidP="001D73E9">
      <w:pPr>
        <w:pStyle w:val="ListParagraph"/>
        <w:ind w:left="816"/>
        <w:jc w:val="both"/>
        <w:rPr>
          <w:rFonts w:ascii="Arial" w:hAnsi="Arial" w:cs="Arial"/>
          <w:color w:val="0D0D0D" w:themeColor="text1" w:themeTint="F2"/>
          <w:sz w:val="22"/>
          <w:szCs w:val="22"/>
        </w:rPr>
      </w:pPr>
    </w:p>
    <w:p w14:paraId="0D177599" w14:textId="77777777" w:rsidR="001D73E9" w:rsidRDefault="001D73E9" w:rsidP="001D73E9">
      <w:pPr>
        <w:pStyle w:val="ListParagraph"/>
        <w:ind w:left="816"/>
        <w:jc w:val="both"/>
        <w:rPr>
          <w:rFonts w:ascii="Arial" w:hAnsi="Arial" w:cs="Arial"/>
          <w:color w:val="0D0D0D" w:themeColor="text1" w:themeTint="F2"/>
          <w:sz w:val="22"/>
          <w:szCs w:val="22"/>
        </w:rPr>
      </w:pPr>
    </w:p>
    <w:p w14:paraId="24CF29D4" w14:textId="77777777" w:rsidR="001D73E9" w:rsidRDefault="001D73E9" w:rsidP="001D73E9">
      <w:pPr>
        <w:pStyle w:val="ListParagraph"/>
        <w:ind w:left="816"/>
        <w:jc w:val="both"/>
        <w:rPr>
          <w:rFonts w:ascii="Arial" w:hAnsi="Arial" w:cs="Arial"/>
          <w:color w:val="0D0D0D" w:themeColor="text1" w:themeTint="F2"/>
          <w:sz w:val="22"/>
          <w:szCs w:val="22"/>
        </w:rPr>
      </w:pPr>
    </w:p>
    <w:p w14:paraId="0E25471F" w14:textId="77777777" w:rsidR="00837C46" w:rsidRDefault="00837C46" w:rsidP="001D73E9">
      <w:pPr>
        <w:pStyle w:val="ListParagraph"/>
        <w:ind w:left="816"/>
        <w:jc w:val="both"/>
        <w:rPr>
          <w:rFonts w:ascii="Arial" w:hAnsi="Arial" w:cs="Arial"/>
          <w:color w:val="0D0D0D" w:themeColor="text1" w:themeTint="F2"/>
          <w:sz w:val="22"/>
          <w:szCs w:val="22"/>
        </w:rPr>
      </w:pPr>
    </w:p>
    <w:p w14:paraId="1BB4ACAA" w14:textId="7D66163C" w:rsidR="00837C46" w:rsidRDefault="00837C46" w:rsidP="00421752">
      <w:pPr>
        <w:pStyle w:val="ListParagraph"/>
        <w:spacing w:line="360" w:lineRule="auto"/>
        <w:ind w:left="816"/>
        <w:jc w:val="both"/>
        <w:rPr>
          <w:rFonts w:ascii="Arial" w:hAnsi="Arial" w:cs="Arial"/>
          <w:color w:val="0D0D0D" w:themeColor="text1" w:themeTint="F2"/>
          <w:sz w:val="22"/>
          <w:szCs w:val="22"/>
        </w:rPr>
      </w:pPr>
      <w:r>
        <w:rPr>
          <w:rFonts w:ascii="Arial" w:hAnsi="Arial" w:cs="Arial"/>
          <w:color w:val="0D0D0D" w:themeColor="text1" w:themeTint="F2"/>
          <w:sz w:val="22"/>
          <w:szCs w:val="22"/>
        </w:rPr>
        <w:t>The high volume of grievances at JLR Castle Bromwich highlights underlying challenges linked to organisational transformation, digitalisation, and inconsistencies in flexible working practices. Addressing these issues calls for a cohesive HR strategy focused on open communication, inclusivity, and continuous skills development (</w:t>
      </w:r>
      <w:r w:rsidR="005858E0">
        <w:rPr>
          <w:rFonts w:ascii="Arial" w:hAnsi="Arial" w:cs="Arial"/>
          <w:color w:val="0D0D0D" w:themeColor="text1" w:themeTint="F2"/>
          <w:sz w:val="22"/>
          <w:szCs w:val="22"/>
        </w:rPr>
        <w:t>Melchades, 2013</w:t>
      </w:r>
      <w:r>
        <w:rPr>
          <w:rFonts w:ascii="Arial" w:hAnsi="Arial" w:cs="Arial"/>
          <w:color w:val="0D0D0D" w:themeColor="text1" w:themeTint="F2"/>
          <w:sz w:val="22"/>
          <w:szCs w:val="22"/>
        </w:rPr>
        <w:t>). Key actions should include the introduction of structured change management and employee engagement programmes, comprehensive digital upskilling initiatives, transparent and equitable flexible working policies, and leadership development for managers. Strengthening the role of HR business partners will fu</w:t>
      </w:r>
      <w:r w:rsidR="00ED457C">
        <w:rPr>
          <w:rFonts w:ascii="Arial" w:hAnsi="Arial" w:cs="Arial"/>
          <w:color w:val="0D0D0D" w:themeColor="text1" w:themeTint="F2"/>
          <w:sz w:val="22"/>
          <w:szCs w:val="22"/>
        </w:rPr>
        <w:t>rther support consistent and effective implementation of these measures (</w:t>
      </w:r>
      <w:r w:rsidR="005858E0">
        <w:rPr>
          <w:rFonts w:ascii="Arial" w:hAnsi="Arial" w:cs="Arial"/>
          <w:color w:val="0D0D0D" w:themeColor="text1" w:themeTint="F2"/>
          <w:sz w:val="22"/>
          <w:szCs w:val="22"/>
        </w:rPr>
        <w:t>Mitsakis, 2014</w:t>
      </w:r>
      <w:r w:rsidR="00ED457C">
        <w:rPr>
          <w:rFonts w:ascii="Arial" w:hAnsi="Arial" w:cs="Arial"/>
          <w:color w:val="0D0D0D" w:themeColor="text1" w:themeTint="F2"/>
          <w:sz w:val="22"/>
          <w:szCs w:val="22"/>
        </w:rPr>
        <w:t>).</w:t>
      </w:r>
    </w:p>
    <w:p w14:paraId="5710FD6F" w14:textId="6AA74B33" w:rsidR="005858E0" w:rsidRPr="009F3C71" w:rsidRDefault="00ED457C" w:rsidP="009F3C71">
      <w:pPr>
        <w:pStyle w:val="ListParagraph"/>
        <w:spacing w:line="360" w:lineRule="auto"/>
        <w:ind w:left="816"/>
        <w:jc w:val="both"/>
        <w:rPr>
          <w:rFonts w:ascii="Arial" w:hAnsi="Arial" w:cs="Arial"/>
          <w:color w:val="0D0D0D" w:themeColor="text1" w:themeTint="F2"/>
          <w:sz w:val="22"/>
          <w:szCs w:val="22"/>
        </w:rPr>
      </w:pPr>
      <w:r>
        <w:rPr>
          <w:rFonts w:ascii="Arial" w:hAnsi="Arial" w:cs="Arial"/>
          <w:color w:val="0D0D0D" w:themeColor="text1" w:themeTint="F2"/>
          <w:sz w:val="22"/>
          <w:szCs w:val="22"/>
        </w:rPr>
        <w:t>By taking these steps, JLR can foster a more positive workplace culture, reduce employee grievances, and establish Castle Bromwich as a leading example of engagement and innovation within digital manufacturing. Sustained commitment to these initiatives will not only enhance employee trust and organisational resilience but also ensure JLR remains competitive in a rapidly evolving industry. Building a culture of collaboration and adaptability will be the key to sustaining long-term success and employee satisfaction</w:t>
      </w:r>
    </w:p>
    <w:p w14:paraId="004802D0" w14:textId="77777777" w:rsidR="005858E0" w:rsidRDefault="005858E0" w:rsidP="001D73E9">
      <w:pPr>
        <w:pStyle w:val="ListParagraph"/>
        <w:ind w:left="816"/>
        <w:jc w:val="both"/>
        <w:rPr>
          <w:rFonts w:ascii="Arial" w:hAnsi="Arial" w:cs="Arial"/>
          <w:b/>
          <w:bCs/>
          <w:color w:val="0D0D0D" w:themeColor="text1" w:themeTint="F2"/>
          <w:sz w:val="36"/>
          <w:szCs w:val="36"/>
        </w:rPr>
      </w:pPr>
    </w:p>
    <w:p w14:paraId="5BABF6DC" w14:textId="77777777" w:rsidR="005858E0" w:rsidRDefault="005858E0" w:rsidP="001D73E9">
      <w:pPr>
        <w:pStyle w:val="ListParagraph"/>
        <w:ind w:left="816"/>
        <w:jc w:val="both"/>
        <w:rPr>
          <w:rFonts w:ascii="Arial" w:hAnsi="Arial" w:cs="Arial"/>
          <w:b/>
          <w:bCs/>
          <w:color w:val="0D0D0D" w:themeColor="text1" w:themeTint="F2"/>
          <w:sz w:val="36"/>
          <w:szCs w:val="36"/>
        </w:rPr>
      </w:pPr>
    </w:p>
    <w:p w14:paraId="411DD603" w14:textId="77777777" w:rsidR="005858E0" w:rsidRDefault="005858E0" w:rsidP="001D73E9">
      <w:pPr>
        <w:pStyle w:val="ListParagraph"/>
        <w:ind w:left="816"/>
        <w:jc w:val="both"/>
        <w:rPr>
          <w:rFonts w:ascii="Arial" w:hAnsi="Arial" w:cs="Arial"/>
          <w:b/>
          <w:bCs/>
          <w:color w:val="0D0D0D" w:themeColor="text1" w:themeTint="F2"/>
          <w:sz w:val="36"/>
          <w:szCs w:val="36"/>
        </w:rPr>
      </w:pPr>
    </w:p>
    <w:p w14:paraId="3853AE2C" w14:textId="77777777" w:rsidR="005858E0" w:rsidRDefault="005858E0" w:rsidP="001D73E9">
      <w:pPr>
        <w:pStyle w:val="ListParagraph"/>
        <w:ind w:left="816"/>
        <w:jc w:val="both"/>
        <w:rPr>
          <w:rFonts w:ascii="Arial" w:hAnsi="Arial" w:cs="Arial"/>
          <w:b/>
          <w:bCs/>
          <w:color w:val="0D0D0D" w:themeColor="text1" w:themeTint="F2"/>
          <w:sz w:val="36"/>
          <w:szCs w:val="36"/>
        </w:rPr>
      </w:pPr>
    </w:p>
    <w:p w14:paraId="2332891C" w14:textId="77777777" w:rsidR="005858E0" w:rsidRDefault="005858E0" w:rsidP="001D73E9">
      <w:pPr>
        <w:pStyle w:val="ListParagraph"/>
        <w:ind w:left="816"/>
        <w:jc w:val="both"/>
        <w:rPr>
          <w:rFonts w:ascii="Arial" w:hAnsi="Arial" w:cs="Arial"/>
          <w:b/>
          <w:bCs/>
          <w:color w:val="0D0D0D" w:themeColor="text1" w:themeTint="F2"/>
          <w:sz w:val="36"/>
          <w:szCs w:val="36"/>
        </w:rPr>
      </w:pPr>
    </w:p>
    <w:p w14:paraId="1B3072F2" w14:textId="77777777" w:rsidR="005858E0" w:rsidRDefault="005858E0" w:rsidP="001D73E9">
      <w:pPr>
        <w:pStyle w:val="ListParagraph"/>
        <w:ind w:left="816"/>
        <w:jc w:val="both"/>
        <w:rPr>
          <w:rFonts w:ascii="Arial" w:hAnsi="Arial" w:cs="Arial"/>
          <w:b/>
          <w:bCs/>
          <w:color w:val="0D0D0D" w:themeColor="text1" w:themeTint="F2"/>
          <w:sz w:val="36"/>
          <w:szCs w:val="36"/>
        </w:rPr>
      </w:pPr>
    </w:p>
    <w:p w14:paraId="23255ADF" w14:textId="72729533" w:rsidR="001D73E9" w:rsidRDefault="001D73E9" w:rsidP="009A48D2">
      <w:pPr>
        <w:pStyle w:val="ListParagraph"/>
        <w:numPr>
          <w:ilvl w:val="0"/>
          <w:numId w:val="4"/>
        </w:numPr>
        <w:jc w:val="both"/>
        <w:rPr>
          <w:rFonts w:ascii="Arial" w:hAnsi="Arial" w:cs="Arial"/>
          <w:b/>
          <w:bCs/>
          <w:color w:val="0D0D0D" w:themeColor="text1" w:themeTint="F2"/>
          <w:sz w:val="36"/>
          <w:szCs w:val="36"/>
        </w:rPr>
      </w:pPr>
      <w:r w:rsidRPr="001D73E9">
        <w:rPr>
          <w:rFonts w:ascii="Arial" w:hAnsi="Arial" w:cs="Arial"/>
          <w:b/>
          <w:bCs/>
          <w:color w:val="0D0D0D" w:themeColor="text1" w:themeTint="F2"/>
          <w:sz w:val="36"/>
          <w:szCs w:val="36"/>
        </w:rPr>
        <w:t>Reference List:</w:t>
      </w:r>
    </w:p>
    <w:p w14:paraId="7D5ACEB5" w14:textId="77777777" w:rsidR="001D73E9" w:rsidRDefault="001D73E9" w:rsidP="001D73E9">
      <w:pPr>
        <w:pStyle w:val="ListParagraph"/>
        <w:ind w:left="816"/>
        <w:jc w:val="both"/>
        <w:rPr>
          <w:rFonts w:ascii="Arial" w:hAnsi="Arial" w:cs="Arial"/>
          <w:b/>
          <w:bCs/>
          <w:color w:val="0D0D0D" w:themeColor="text1" w:themeTint="F2"/>
          <w:sz w:val="36"/>
          <w:szCs w:val="36"/>
        </w:rPr>
      </w:pPr>
    </w:p>
    <w:p w14:paraId="6153F05C" w14:textId="5B3DF9E1" w:rsidR="001D73E9" w:rsidRPr="00421752" w:rsidRDefault="001D73E9" w:rsidP="00421752">
      <w:pPr>
        <w:pStyle w:val="ListParagraph"/>
        <w:numPr>
          <w:ilvl w:val="0"/>
          <w:numId w:val="3"/>
        </w:numPr>
        <w:spacing w:line="360" w:lineRule="auto"/>
        <w:jc w:val="both"/>
        <w:rPr>
          <w:rFonts w:ascii="Arial" w:hAnsi="Arial" w:cs="Arial"/>
          <w:color w:val="0D0D0D" w:themeColor="text1" w:themeTint="F2"/>
          <w:sz w:val="22"/>
          <w:szCs w:val="22"/>
        </w:rPr>
      </w:pPr>
      <w:r w:rsidRPr="00421752">
        <w:rPr>
          <w:rFonts w:ascii="Arial" w:hAnsi="Arial" w:cs="Arial"/>
          <w:color w:val="0D0D0D" w:themeColor="text1" w:themeTint="F2"/>
          <w:sz w:val="22"/>
          <w:szCs w:val="22"/>
        </w:rPr>
        <w:t xml:space="preserve">JLR (2025) </w:t>
      </w:r>
      <w:r w:rsidRPr="00421752">
        <w:rPr>
          <w:rFonts w:ascii="Arial" w:hAnsi="Arial" w:cs="Arial"/>
          <w:i/>
          <w:iCs/>
          <w:color w:val="0D0D0D" w:themeColor="text1" w:themeTint="F2"/>
          <w:sz w:val="22"/>
          <w:szCs w:val="22"/>
        </w:rPr>
        <w:t xml:space="preserve">Global Footprint. </w:t>
      </w:r>
      <w:r w:rsidRPr="00421752">
        <w:rPr>
          <w:rFonts w:ascii="Arial" w:hAnsi="Arial" w:cs="Arial"/>
          <w:color w:val="0D0D0D" w:themeColor="text1" w:themeTint="F2"/>
          <w:sz w:val="22"/>
          <w:szCs w:val="22"/>
        </w:rPr>
        <w:t xml:space="preserve">Available at: </w:t>
      </w:r>
      <w:hyperlink r:id="rId8" w:history="1">
        <w:r w:rsidRPr="00421752">
          <w:rPr>
            <w:rStyle w:val="Hyperlink"/>
            <w:rFonts w:ascii="Arial" w:hAnsi="Arial" w:cs="Arial"/>
            <w:color w:val="4B8090" w:themeColor="hyperlink" w:themeTint="F2"/>
            <w:sz w:val="22"/>
            <w:szCs w:val="22"/>
          </w:rPr>
          <w:t>Global Footprint | JLR Corporate Website</w:t>
        </w:r>
      </w:hyperlink>
      <w:r w:rsidRPr="00421752">
        <w:rPr>
          <w:rFonts w:ascii="Arial" w:hAnsi="Arial" w:cs="Arial"/>
          <w:color w:val="0D0D0D" w:themeColor="text1" w:themeTint="F2"/>
          <w:sz w:val="22"/>
          <w:szCs w:val="22"/>
        </w:rPr>
        <w:t xml:space="preserve"> (Accessed: 11 November 2025).</w:t>
      </w:r>
    </w:p>
    <w:p w14:paraId="3111243A" w14:textId="42100A82" w:rsidR="004C1315" w:rsidRPr="00421752" w:rsidRDefault="004C1315" w:rsidP="00421752">
      <w:pPr>
        <w:pStyle w:val="ListParagraph"/>
        <w:numPr>
          <w:ilvl w:val="0"/>
          <w:numId w:val="3"/>
        </w:numPr>
        <w:spacing w:line="360" w:lineRule="auto"/>
        <w:jc w:val="both"/>
        <w:rPr>
          <w:rFonts w:ascii="Arial" w:hAnsi="Arial" w:cs="Arial"/>
          <w:color w:val="0D0D0D" w:themeColor="text1" w:themeTint="F2"/>
          <w:sz w:val="22"/>
          <w:szCs w:val="22"/>
        </w:rPr>
      </w:pPr>
      <w:r w:rsidRPr="00421752">
        <w:rPr>
          <w:rFonts w:ascii="Arial" w:hAnsi="Arial" w:cs="Arial"/>
          <w:color w:val="0D0D0D" w:themeColor="text1" w:themeTint="F2"/>
          <w:sz w:val="22"/>
          <w:szCs w:val="22"/>
        </w:rPr>
        <w:t>Llopis-Albert, C., Rubio, F. and Valero, F., (2021). Impact of digital transformation on the automotive industry. </w:t>
      </w:r>
      <w:r w:rsidRPr="00421752">
        <w:rPr>
          <w:rFonts w:ascii="Arial" w:hAnsi="Arial" w:cs="Arial"/>
          <w:i/>
          <w:iCs/>
          <w:color w:val="0D0D0D" w:themeColor="text1" w:themeTint="F2"/>
          <w:sz w:val="22"/>
          <w:szCs w:val="22"/>
        </w:rPr>
        <w:t>Technological forecasting and social change</w:t>
      </w:r>
      <w:r w:rsidRPr="00421752">
        <w:rPr>
          <w:rFonts w:ascii="Arial" w:hAnsi="Arial" w:cs="Arial"/>
          <w:color w:val="0D0D0D" w:themeColor="text1" w:themeTint="F2"/>
          <w:sz w:val="22"/>
          <w:szCs w:val="22"/>
        </w:rPr>
        <w:t>, </w:t>
      </w:r>
      <w:r w:rsidRPr="00421752">
        <w:rPr>
          <w:rFonts w:ascii="Arial" w:hAnsi="Arial" w:cs="Arial"/>
          <w:i/>
          <w:iCs/>
          <w:color w:val="0D0D0D" w:themeColor="text1" w:themeTint="F2"/>
          <w:sz w:val="22"/>
          <w:szCs w:val="22"/>
        </w:rPr>
        <w:t>162</w:t>
      </w:r>
      <w:r w:rsidRPr="00421752">
        <w:rPr>
          <w:rFonts w:ascii="Arial" w:hAnsi="Arial" w:cs="Arial"/>
          <w:color w:val="0D0D0D" w:themeColor="text1" w:themeTint="F2"/>
          <w:sz w:val="22"/>
          <w:szCs w:val="22"/>
        </w:rPr>
        <w:t>, p.120343.</w:t>
      </w:r>
    </w:p>
    <w:p w14:paraId="0F29859D" w14:textId="53586B53" w:rsidR="004C1315" w:rsidRPr="00421752" w:rsidRDefault="004C1315" w:rsidP="00421752">
      <w:pPr>
        <w:pStyle w:val="ListParagraph"/>
        <w:numPr>
          <w:ilvl w:val="0"/>
          <w:numId w:val="3"/>
        </w:numPr>
        <w:spacing w:line="360" w:lineRule="auto"/>
        <w:jc w:val="both"/>
        <w:rPr>
          <w:rFonts w:ascii="Arial" w:hAnsi="Arial" w:cs="Arial"/>
          <w:color w:val="0D0D0D" w:themeColor="text1" w:themeTint="F2"/>
          <w:sz w:val="22"/>
          <w:szCs w:val="22"/>
        </w:rPr>
      </w:pPr>
      <w:r w:rsidRPr="00421752">
        <w:rPr>
          <w:rFonts w:ascii="Arial" w:hAnsi="Arial" w:cs="Arial"/>
          <w:color w:val="0D0D0D" w:themeColor="text1" w:themeTint="F2"/>
          <w:sz w:val="22"/>
          <w:szCs w:val="22"/>
        </w:rPr>
        <w:t>Winkelhake, U., (2019). Challenges in the digital transformation of the automotive industry. </w:t>
      </w:r>
      <w:r w:rsidRPr="00421752">
        <w:rPr>
          <w:rFonts w:ascii="Arial" w:hAnsi="Arial" w:cs="Arial"/>
          <w:i/>
          <w:iCs/>
          <w:color w:val="0D0D0D" w:themeColor="text1" w:themeTint="F2"/>
          <w:sz w:val="22"/>
          <w:szCs w:val="22"/>
        </w:rPr>
        <w:t>ATZ worldwide</w:t>
      </w:r>
      <w:r w:rsidRPr="00421752">
        <w:rPr>
          <w:rFonts w:ascii="Arial" w:hAnsi="Arial" w:cs="Arial"/>
          <w:color w:val="0D0D0D" w:themeColor="text1" w:themeTint="F2"/>
          <w:sz w:val="22"/>
          <w:szCs w:val="22"/>
        </w:rPr>
        <w:t>, </w:t>
      </w:r>
      <w:r w:rsidRPr="00421752">
        <w:rPr>
          <w:rFonts w:ascii="Arial" w:hAnsi="Arial" w:cs="Arial"/>
          <w:i/>
          <w:iCs/>
          <w:color w:val="0D0D0D" w:themeColor="text1" w:themeTint="F2"/>
          <w:sz w:val="22"/>
          <w:szCs w:val="22"/>
        </w:rPr>
        <w:t>121</w:t>
      </w:r>
      <w:r w:rsidRPr="00421752">
        <w:rPr>
          <w:rFonts w:ascii="Arial" w:hAnsi="Arial" w:cs="Arial"/>
          <w:color w:val="0D0D0D" w:themeColor="text1" w:themeTint="F2"/>
          <w:sz w:val="22"/>
          <w:szCs w:val="22"/>
        </w:rPr>
        <w:t>(7), pp.36-43.</w:t>
      </w:r>
    </w:p>
    <w:p w14:paraId="7F34745D" w14:textId="5A214437" w:rsidR="004C1315" w:rsidRPr="00421752" w:rsidRDefault="004C1315" w:rsidP="00421752">
      <w:pPr>
        <w:pStyle w:val="ListParagraph"/>
        <w:numPr>
          <w:ilvl w:val="0"/>
          <w:numId w:val="3"/>
        </w:numPr>
        <w:spacing w:line="360" w:lineRule="auto"/>
        <w:jc w:val="both"/>
        <w:rPr>
          <w:rFonts w:ascii="Arial" w:hAnsi="Arial" w:cs="Arial"/>
          <w:color w:val="0D0D0D" w:themeColor="text1" w:themeTint="F2"/>
          <w:sz w:val="22"/>
          <w:szCs w:val="22"/>
        </w:rPr>
      </w:pPr>
      <w:r w:rsidRPr="00421752">
        <w:rPr>
          <w:rFonts w:ascii="Arial" w:hAnsi="Arial" w:cs="Arial"/>
          <w:color w:val="0D0D0D" w:themeColor="text1" w:themeTint="F2"/>
          <w:sz w:val="22"/>
          <w:szCs w:val="22"/>
        </w:rPr>
        <w:t>CHERVIAKOVA, V. and CHERVIAKOVA, T., (2018). Value Opportunities for Automotive Manufacturers in Conditions of Digital Transformation of the Automotive Industry. </w:t>
      </w:r>
      <w:r w:rsidRPr="00421752">
        <w:rPr>
          <w:rFonts w:ascii="Arial" w:hAnsi="Arial" w:cs="Arial"/>
          <w:i/>
          <w:iCs/>
          <w:color w:val="0D0D0D" w:themeColor="text1" w:themeTint="F2"/>
          <w:sz w:val="22"/>
          <w:szCs w:val="22"/>
        </w:rPr>
        <w:t>Journal of Applied Economic Sciences</w:t>
      </w:r>
      <w:r w:rsidRPr="00421752">
        <w:rPr>
          <w:rFonts w:ascii="Arial" w:hAnsi="Arial" w:cs="Arial"/>
          <w:color w:val="0D0D0D" w:themeColor="text1" w:themeTint="F2"/>
          <w:sz w:val="22"/>
          <w:szCs w:val="22"/>
        </w:rPr>
        <w:t>, </w:t>
      </w:r>
      <w:r w:rsidRPr="00421752">
        <w:rPr>
          <w:rFonts w:ascii="Arial" w:hAnsi="Arial" w:cs="Arial"/>
          <w:i/>
          <w:iCs/>
          <w:color w:val="0D0D0D" w:themeColor="text1" w:themeTint="F2"/>
          <w:sz w:val="22"/>
          <w:szCs w:val="22"/>
        </w:rPr>
        <w:t>13</w:t>
      </w:r>
      <w:r w:rsidRPr="00421752">
        <w:rPr>
          <w:rFonts w:ascii="Arial" w:hAnsi="Arial" w:cs="Arial"/>
          <w:color w:val="0D0D0D" w:themeColor="text1" w:themeTint="F2"/>
          <w:sz w:val="22"/>
          <w:szCs w:val="22"/>
        </w:rPr>
        <w:t>(8).</w:t>
      </w:r>
    </w:p>
    <w:p w14:paraId="090A0F83" w14:textId="1AC812DC" w:rsidR="00B6717B" w:rsidRDefault="00B6717B" w:rsidP="00421752">
      <w:pPr>
        <w:pStyle w:val="ListParagraph"/>
        <w:numPr>
          <w:ilvl w:val="0"/>
          <w:numId w:val="3"/>
        </w:numPr>
        <w:spacing w:line="360" w:lineRule="auto"/>
        <w:jc w:val="both"/>
        <w:rPr>
          <w:rFonts w:ascii="Arial" w:hAnsi="Arial" w:cs="Arial"/>
          <w:color w:val="0D0D0D" w:themeColor="text1" w:themeTint="F2"/>
          <w:sz w:val="22"/>
          <w:szCs w:val="22"/>
        </w:rPr>
      </w:pPr>
      <w:r w:rsidRPr="00B6717B">
        <w:rPr>
          <w:rFonts w:ascii="Arial" w:hAnsi="Arial" w:cs="Arial"/>
          <w:color w:val="0D0D0D" w:themeColor="text1" w:themeTint="F2"/>
          <w:sz w:val="22"/>
          <w:szCs w:val="22"/>
        </w:rPr>
        <w:t xml:space="preserve">Piepoli, A., Arcidiacono, F., Basile, L.J., Pellegrino, R., Schupp, F. and Zuehlke, T., </w:t>
      </w:r>
      <w:r>
        <w:rPr>
          <w:rFonts w:ascii="Arial" w:hAnsi="Arial" w:cs="Arial"/>
          <w:color w:val="0D0D0D" w:themeColor="text1" w:themeTint="F2"/>
          <w:sz w:val="22"/>
          <w:szCs w:val="22"/>
        </w:rPr>
        <w:t>(</w:t>
      </w:r>
      <w:r w:rsidRPr="00B6717B">
        <w:rPr>
          <w:rFonts w:ascii="Arial" w:hAnsi="Arial" w:cs="Arial"/>
          <w:color w:val="0D0D0D" w:themeColor="text1" w:themeTint="F2"/>
          <w:sz w:val="22"/>
          <w:szCs w:val="22"/>
        </w:rPr>
        <w:t>2024</w:t>
      </w:r>
      <w:r>
        <w:rPr>
          <w:rFonts w:ascii="Arial" w:hAnsi="Arial" w:cs="Arial"/>
          <w:color w:val="0D0D0D" w:themeColor="text1" w:themeTint="F2"/>
          <w:sz w:val="22"/>
          <w:szCs w:val="22"/>
        </w:rPr>
        <w:t>)</w:t>
      </w:r>
      <w:r w:rsidRPr="00B6717B">
        <w:rPr>
          <w:rFonts w:ascii="Arial" w:hAnsi="Arial" w:cs="Arial"/>
          <w:color w:val="0D0D0D" w:themeColor="text1" w:themeTint="F2"/>
          <w:sz w:val="22"/>
          <w:szCs w:val="22"/>
        </w:rPr>
        <w:t>. The Impact of Industry 4.0 on Business Performance: A Multiple Case Study in the Automotive Sector. </w:t>
      </w:r>
      <w:r w:rsidRPr="00B6717B">
        <w:rPr>
          <w:rFonts w:ascii="Arial" w:hAnsi="Arial" w:cs="Arial"/>
          <w:i/>
          <w:iCs/>
          <w:color w:val="0D0D0D" w:themeColor="text1" w:themeTint="F2"/>
          <w:sz w:val="22"/>
          <w:szCs w:val="22"/>
        </w:rPr>
        <w:t>Procedia Computer Science</w:t>
      </w:r>
      <w:r w:rsidRPr="00B6717B">
        <w:rPr>
          <w:rFonts w:ascii="Arial" w:hAnsi="Arial" w:cs="Arial"/>
          <w:color w:val="0D0D0D" w:themeColor="text1" w:themeTint="F2"/>
          <w:sz w:val="22"/>
          <w:szCs w:val="22"/>
        </w:rPr>
        <w:t>, </w:t>
      </w:r>
      <w:r w:rsidRPr="00B6717B">
        <w:rPr>
          <w:rFonts w:ascii="Arial" w:hAnsi="Arial" w:cs="Arial"/>
          <w:i/>
          <w:iCs/>
          <w:color w:val="0D0D0D" w:themeColor="text1" w:themeTint="F2"/>
          <w:sz w:val="22"/>
          <w:szCs w:val="22"/>
        </w:rPr>
        <w:t>232</w:t>
      </w:r>
      <w:r w:rsidRPr="00B6717B">
        <w:rPr>
          <w:rFonts w:ascii="Arial" w:hAnsi="Arial" w:cs="Arial"/>
          <w:color w:val="0D0D0D" w:themeColor="text1" w:themeTint="F2"/>
          <w:sz w:val="22"/>
          <w:szCs w:val="22"/>
        </w:rPr>
        <w:t>, pp.2117-2126.</w:t>
      </w:r>
    </w:p>
    <w:p w14:paraId="1F50ACF4" w14:textId="76B8F134" w:rsidR="00B6717B" w:rsidRDefault="00B6717B" w:rsidP="00421752">
      <w:pPr>
        <w:pStyle w:val="ListParagraph"/>
        <w:numPr>
          <w:ilvl w:val="0"/>
          <w:numId w:val="3"/>
        </w:numPr>
        <w:spacing w:line="360" w:lineRule="auto"/>
        <w:jc w:val="both"/>
        <w:rPr>
          <w:rFonts w:ascii="Arial" w:hAnsi="Arial" w:cs="Arial"/>
          <w:color w:val="0D0D0D" w:themeColor="text1" w:themeTint="F2"/>
          <w:sz w:val="22"/>
          <w:szCs w:val="22"/>
        </w:rPr>
      </w:pPr>
      <w:r w:rsidRPr="00B6717B">
        <w:rPr>
          <w:rFonts w:ascii="Arial" w:hAnsi="Arial" w:cs="Arial"/>
          <w:color w:val="0D0D0D" w:themeColor="text1" w:themeTint="F2"/>
          <w:sz w:val="22"/>
          <w:szCs w:val="22"/>
        </w:rPr>
        <w:t xml:space="preserve">CHIRITA, R.A.M., CIOBANESCU, S.A., UNGUREANU, C.E. and SBIRCEA, I.A., </w:t>
      </w:r>
      <w:r>
        <w:rPr>
          <w:rFonts w:ascii="Arial" w:hAnsi="Arial" w:cs="Arial"/>
          <w:color w:val="0D0D0D" w:themeColor="text1" w:themeTint="F2"/>
          <w:sz w:val="22"/>
          <w:szCs w:val="22"/>
        </w:rPr>
        <w:t>(</w:t>
      </w:r>
      <w:r w:rsidRPr="00B6717B">
        <w:rPr>
          <w:rFonts w:ascii="Arial" w:hAnsi="Arial" w:cs="Arial"/>
          <w:color w:val="0D0D0D" w:themeColor="text1" w:themeTint="F2"/>
          <w:sz w:val="22"/>
          <w:szCs w:val="22"/>
        </w:rPr>
        <w:t>2025</w:t>
      </w:r>
      <w:r>
        <w:rPr>
          <w:rFonts w:ascii="Arial" w:hAnsi="Arial" w:cs="Arial"/>
          <w:color w:val="0D0D0D" w:themeColor="text1" w:themeTint="F2"/>
          <w:sz w:val="22"/>
          <w:szCs w:val="22"/>
        </w:rPr>
        <w:t>)</w:t>
      </w:r>
      <w:r w:rsidRPr="00B6717B">
        <w:rPr>
          <w:rFonts w:ascii="Arial" w:hAnsi="Arial" w:cs="Arial"/>
          <w:color w:val="0D0D0D" w:themeColor="text1" w:themeTint="F2"/>
          <w:sz w:val="22"/>
          <w:szCs w:val="22"/>
        </w:rPr>
        <w:t>. Impact of Artificial Intelligence in the Automotive Industry. </w:t>
      </w:r>
      <w:r w:rsidRPr="00B6717B">
        <w:rPr>
          <w:rFonts w:ascii="Arial" w:hAnsi="Arial" w:cs="Arial"/>
          <w:i/>
          <w:iCs/>
          <w:color w:val="0D0D0D" w:themeColor="text1" w:themeTint="F2"/>
          <w:sz w:val="22"/>
          <w:szCs w:val="22"/>
        </w:rPr>
        <w:t>FAIMA Business &amp; Management Journal</w:t>
      </w:r>
      <w:r w:rsidRPr="00B6717B">
        <w:rPr>
          <w:rFonts w:ascii="Arial" w:hAnsi="Arial" w:cs="Arial"/>
          <w:color w:val="0D0D0D" w:themeColor="text1" w:themeTint="F2"/>
          <w:sz w:val="22"/>
          <w:szCs w:val="22"/>
        </w:rPr>
        <w:t>, </w:t>
      </w:r>
      <w:r w:rsidRPr="00B6717B">
        <w:rPr>
          <w:rFonts w:ascii="Arial" w:hAnsi="Arial" w:cs="Arial"/>
          <w:i/>
          <w:iCs/>
          <w:color w:val="0D0D0D" w:themeColor="text1" w:themeTint="F2"/>
          <w:sz w:val="22"/>
          <w:szCs w:val="22"/>
        </w:rPr>
        <w:t>13</w:t>
      </w:r>
      <w:r w:rsidRPr="00B6717B">
        <w:rPr>
          <w:rFonts w:ascii="Arial" w:hAnsi="Arial" w:cs="Arial"/>
          <w:color w:val="0D0D0D" w:themeColor="text1" w:themeTint="F2"/>
          <w:sz w:val="22"/>
          <w:szCs w:val="22"/>
        </w:rPr>
        <w:t>(2).</w:t>
      </w:r>
    </w:p>
    <w:p w14:paraId="5E0A1A1D" w14:textId="5ED2509A" w:rsidR="00B6717B" w:rsidRDefault="00B6717B" w:rsidP="00421752">
      <w:pPr>
        <w:pStyle w:val="ListParagraph"/>
        <w:numPr>
          <w:ilvl w:val="0"/>
          <w:numId w:val="3"/>
        </w:numPr>
        <w:spacing w:line="360" w:lineRule="auto"/>
        <w:jc w:val="both"/>
        <w:rPr>
          <w:rFonts w:ascii="Arial" w:hAnsi="Arial" w:cs="Arial"/>
          <w:color w:val="0D0D0D" w:themeColor="text1" w:themeTint="F2"/>
          <w:sz w:val="22"/>
          <w:szCs w:val="22"/>
        </w:rPr>
      </w:pPr>
      <w:r w:rsidRPr="00B6717B">
        <w:rPr>
          <w:rFonts w:ascii="Arial" w:hAnsi="Arial" w:cs="Arial"/>
          <w:color w:val="0D0D0D" w:themeColor="text1" w:themeTint="F2"/>
          <w:sz w:val="22"/>
          <w:szCs w:val="22"/>
        </w:rPr>
        <w:t xml:space="preserve">Rocha, A., Pedregal, A., Maia, C., Soares, G., Cardoso, H. and Fonseca, M., </w:t>
      </w:r>
      <w:r>
        <w:rPr>
          <w:rFonts w:ascii="Arial" w:hAnsi="Arial" w:cs="Arial"/>
          <w:color w:val="0D0D0D" w:themeColor="text1" w:themeTint="F2"/>
          <w:sz w:val="22"/>
          <w:szCs w:val="22"/>
        </w:rPr>
        <w:t>(</w:t>
      </w:r>
      <w:r w:rsidRPr="00B6717B">
        <w:rPr>
          <w:rFonts w:ascii="Arial" w:hAnsi="Arial" w:cs="Arial"/>
          <w:color w:val="0D0D0D" w:themeColor="text1" w:themeTint="F2"/>
          <w:sz w:val="22"/>
          <w:szCs w:val="22"/>
        </w:rPr>
        <w:t>2025</w:t>
      </w:r>
      <w:r>
        <w:rPr>
          <w:rFonts w:ascii="Arial" w:hAnsi="Arial" w:cs="Arial"/>
          <w:color w:val="0D0D0D" w:themeColor="text1" w:themeTint="F2"/>
          <w:sz w:val="22"/>
          <w:szCs w:val="22"/>
        </w:rPr>
        <w:t>)</w:t>
      </w:r>
      <w:r w:rsidRPr="00B6717B">
        <w:rPr>
          <w:rFonts w:ascii="Arial" w:hAnsi="Arial" w:cs="Arial"/>
          <w:color w:val="0D0D0D" w:themeColor="text1" w:themeTint="F2"/>
          <w:sz w:val="22"/>
          <w:szCs w:val="22"/>
        </w:rPr>
        <w:t>. Complaints management: quality of response to customer complaints in an automotive company. </w:t>
      </w:r>
      <w:r w:rsidRPr="00B6717B">
        <w:rPr>
          <w:rFonts w:ascii="Arial" w:hAnsi="Arial" w:cs="Arial"/>
          <w:i/>
          <w:iCs/>
          <w:color w:val="0D0D0D" w:themeColor="text1" w:themeTint="F2"/>
          <w:sz w:val="22"/>
          <w:szCs w:val="22"/>
        </w:rPr>
        <w:t>International Journal of Productivity and Quality Management</w:t>
      </w:r>
      <w:r w:rsidRPr="00B6717B">
        <w:rPr>
          <w:rFonts w:ascii="Arial" w:hAnsi="Arial" w:cs="Arial"/>
          <w:color w:val="0D0D0D" w:themeColor="text1" w:themeTint="F2"/>
          <w:sz w:val="22"/>
          <w:szCs w:val="22"/>
        </w:rPr>
        <w:t>, </w:t>
      </w:r>
      <w:r w:rsidRPr="00B6717B">
        <w:rPr>
          <w:rFonts w:ascii="Arial" w:hAnsi="Arial" w:cs="Arial"/>
          <w:i/>
          <w:iCs/>
          <w:color w:val="0D0D0D" w:themeColor="text1" w:themeTint="F2"/>
          <w:sz w:val="22"/>
          <w:szCs w:val="22"/>
        </w:rPr>
        <w:t>44</w:t>
      </w:r>
      <w:r w:rsidRPr="00B6717B">
        <w:rPr>
          <w:rFonts w:ascii="Arial" w:hAnsi="Arial" w:cs="Arial"/>
          <w:color w:val="0D0D0D" w:themeColor="text1" w:themeTint="F2"/>
          <w:sz w:val="22"/>
          <w:szCs w:val="22"/>
        </w:rPr>
        <w:t>(1), pp.18-39.</w:t>
      </w:r>
    </w:p>
    <w:p w14:paraId="2AE1EA41" w14:textId="5C956DB9" w:rsidR="00B6717B" w:rsidRDefault="00B6717B" w:rsidP="00421752">
      <w:pPr>
        <w:pStyle w:val="ListParagraph"/>
        <w:numPr>
          <w:ilvl w:val="0"/>
          <w:numId w:val="3"/>
        </w:numPr>
        <w:spacing w:line="360" w:lineRule="auto"/>
        <w:jc w:val="both"/>
        <w:rPr>
          <w:rFonts w:ascii="Arial" w:hAnsi="Arial" w:cs="Arial"/>
          <w:color w:val="0D0D0D" w:themeColor="text1" w:themeTint="F2"/>
          <w:sz w:val="22"/>
          <w:szCs w:val="22"/>
        </w:rPr>
      </w:pPr>
      <w:r w:rsidRPr="00B6717B">
        <w:rPr>
          <w:rFonts w:ascii="Arial" w:hAnsi="Arial" w:cs="Arial"/>
          <w:color w:val="0D0D0D" w:themeColor="text1" w:themeTint="F2"/>
          <w:sz w:val="22"/>
          <w:szCs w:val="22"/>
        </w:rPr>
        <w:t xml:space="preserve">Southern, J., </w:t>
      </w:r>
      <w:r>
        <w:rPr>
          <w:rFonts w:ascii="Arial" w:hAnsi="Arial" w:cs="Arial"/>
          <w:color w:val="0D0D0D" w:themeColor="text1" w:themeTint="F2"/>
          <w:sz w:val="22"/>
          <w:szCs w:val="22"/>
        </w:rPr>
        <w:t>(</w:t>
      </w:r>
      <w:r w:rsidRPr="00B6717B">
        <w:rPr>
          <w:rFonts w:ascii="Arial" w:hAnsi="Arial" w:cs="Arial"/>
          <w:color w:val="0D0D0D" w:themeColor="text1" w:themeTint="F2"/>
          <w:sz w:val="22"/>
          <w:szCs w:val="22"/>
        </w:rPr>
        <w:t>2000</w:t>
      </w:r>
      <w:r>
        <w:rPr>
          <w:rFonts w:ascii="Arial" w:hAnsi="Arial" w:cs="Arial"/>
          <w:color w:val="0D0D0D" w:themeColor="text1" w:themeTint="F2"/>
          <w:sz w:val="22"/>
          <w:szCs w:val="22"/>
        </w:rPr>
        <w:t>)</w:t>
      </w:r>
      <w:r w:rsidRPr="00B6717B">
        <w:rPr>
          <w:rFonts w:ascii="Arial" w:hAnsi="Arial" w:cs="Arial"/>
          <w:color w:val="0D0D0D" w:themeColor="text1" w:themeTint="F2"/>
          <w:sz w:val="22"/>
          <w:szCs w:val="22"/>
        </w:rPr>
        <w:t>. Blue collar, white collar: Deconstructing classification. </w:t>
      </w:r>
      <w:r w:rsidRPr="00B6717B">
        <w:rPr>
          <w:rFonts w:ascii="Arial" w:hAnsi="Arial" w:cs="Arial"/>
          <w:i/>
          <w:iCs/>
          <w:color w:val="0D0D0D" w:themeColor="text1" w:themeTint="F2"/>
          <w:sz w:val="22"/>
          <w:szCs w:val="22"/>
        </w:rPr>
        <w:t>Class and its others</w:t>
      </w:r>
      <w:r w:rsidRPr="00B6717B">
        <w:rPr>
          <w:rFonts w:ascii="Arial" w:hAnsi="Arial" w:cs="Arial"/>
          <w:color w:val="0D0D0D" w:themeColor="text1" w:themeTint="F2"/>
          <w:sz w:val="22"/>
          <w:szCs w:val="22"/>
        </w:rPr>
        <w:t>, pp.191-224.</w:t>
      </w:r>
    </w:p>
    <w:p w14:paraId="28AE6B7F" w14:textId="1483E883" w:rsidR="00421752" w:rsidRDefault="00421752" w:rsidP="00421752">
      <w:pPr>
        <w:pStyle w:val="ListParagraph"/>
        <w:numPr>
          <w:ilvl w:val="0"/>
          <w:numId w:val="3"/>
        </w:numPr>
        <w:spacing w:line="360" w:lineRule="auto"/>
        <w:jc w:val="both"/>
        <w:rPr>
          <w:rFonts w:ascii="Arial" w:hAnsi="Arial" w:cs="Arial"/>
          <w:color w:val="0D0D0D" w:themeColor="text1" w:themeTint="F2"/>
          <w:sz w:val="22"/>
          <w:szCs w:val="22"/>
        </w:rPr>
      </w:pPr>
      <w:r w:rsidRPr="00421752">
        <w:rPr>
          <w:rFonts w:ascii="Arial" w:hAnsi="Arial" w:cs="Arial"/>
          <w:color w:val="0D0D0D" w:themeColor="text1" w:themeTint="F2"/>
          <w:sz w:val="22"/>
          <w:szCs w:val="22"/>
        </w:rPr>
        <w:t xml:space="preserve">Laig, R.B.D. and Abocejo, F.T., </w:t>
      </w:r>
      <w:r>
        <w:rPr>
          <w:rFonts w:ascii="Arial" w:hAnsi="Arial" w:cs="Arial"/>
          <w:color w:val="0D0D0D" w:themeColor="text1" w:themeTint="F2"/>
          <w:sz w:val="22"/>
          <w:szCs w:val="22"/>
        </w:rPr>
        <w:t>(</w:t>
      </w:r>
      <w:r w:rsidRPr="00421752">
        <w:rPr>
          <w:rFonts w:ascii="Arial" w:hAnsi="Arial" w:cs="Arial"/>
          <w:color w:val="0D0D0D" w:themeColor="text1" w:themeTint="F2"/>
          <w:sz w:val="22"/>
          <w:szCs w:val="22"/>
        </w:rPr>
        <w:t>2021</w:t>
      </w:r>
      <w:r>
        <w:rPr>
          <w:rFonts w:ascii="Arial" w:hAnsi="Arial" w:cs="Arial"/>
          <w:color w:val="0D0D0D" w:themeColor="text1" w:themeTint="F2"/>
          <w:sz w:val="22"/>
          <w:szCs w:val="22"/>
        </w:rPr>
        <w:t>)</w:t>
      </w:r>
      <w:r w:rsidRPr="00421752">
        <w:rPr>
          <w:rFonts w:ascii="Arial" w:hAnsi="Arial" w:cs="Arial"/>
          <w:color w:val="0D0D0D" w:themeColor="text1" w:themeTint="F2"/>
          <w:sz w:val="22"/>
          <w:szCs w:val="22"/>
        </w:rPr>
        <w:t>. Change management process in a mining company: Kotter’s 8-step change model. </w:t>
      </w:r>
      <w:r w:rsidRPr="00421752">
        <w:rPr>
          <w:rFonts w:ascii="Arial" w:hAnsi="Arial" w:cs="Arial"/>
          <w:i/>
          <w:iCs/>
          <w:color w:val="0D0D0D" w:themeColor="text1" w:themeTint="F2"/>
          <w:sz w:val="22"/>
          <w:szCs w:val="22"/>
        </w:rPr>
        <w:t>Journal of Management, Economics, and Industrial Organization</w:t>
      </w:r>
      <w:r w:rsidRPr="00421752">
        <w:rPr>
          <w:rFonts w:ascii="Arial" w:hAnsi="Arial" w:cs="Arial"/>
          <w:color w:val="0D0D0D" w:themeColor="text1" w:themeTint="F2"/>
          <w:sz w:val="22"/>
          <w:szCs w:val="22"/>
        </w:rPr>
        <w:t>, </w:t>
      </w:r>
      <w:r w:rsidRPr="00421752">
        <w:rPr>
          <w:rFonts w:ascii="Arial" w:hAnsi="Arial" w:cs="Arial"/>
          <w:i/>
          <w:iCs/>
          <w:color w:val="0D0D0D" w:themeColor="text1" w:themeTint="F2"/>
          <w:sz w:val="22"/>
          <w:szCs w:val="22"/>
        </w:rPr>
        <w:t>5</w:t>
      </w:r>
      <w:r w:rsidRPr="00421752">
        <w:rPr>
          <w:rFonts w:ascii="Arial" w:hAnsi="Arial" w:cs="Arial"/>
          <w:color w:val="0D0D0D" w:themeColor="text1" w:themeTint="F2"/>
          <w:sz w:val="22"/>
          <w:szCs w:val="22"/>
        </w:rPr>
        <w:t>(3), pp.31-50.</w:t>
      </w:r>
    </w:p>
    <w:p w14:paraId="1182DD74" w14:textId="147A40C0" w:rsidR="00421752" w:rsidRDefault="00421752" w:rsidP="00421752">
      <w:pPr>
        <w:pStyle w:val="ListParagraph"/>
        <w:numPr>
          <w:ilvl w:val="0"/>
          <w:numId w:val="3"/>
        </w:numPr>
        <w:spacing w:line="360" w:lineRule="auto"/>
        <w:jc w:val="both"/>
        <w:rPr>
          <w:rFonts w:ascii="Arial" w:hAnsi="Arial" w:cs="Arial"/>
          <w:color w:val="0D0D0D" w:themeColor="text1" w:themeTint="F2"/>
          <w:sz w:val="22"/>
          <w:szCs w:val="22"/>
        </w:rPr>
      </w:pPr>
      <w:r w:rsidRPr="00421752">
        <w:rPr>
          <w:rFonts w:ascii="Arial" w:hAnsi="Arial" w:cs="Arial"/>
          <w:color w:val="0D0D0D" w:themeColor="text1" w:themeTint="F2"/>
          <w:sz w:val="22"/>
          <w:szCs w:val="22"/>
        </w:rPr>
        <w:t xml:space="preserve">Turner, P., </w:t>
      </w:r>
      <w:r>
        <w:rPr>
          <w:rFonts w:ascii="Arial" w:hAnsi="Arial" w:cs="Arial"/>
          <w:color w:val="0D0D0D" w:themeColor="text1" w:themeTint="F2"/>
          <w:sz w:val="22"/>
          <w:szCs w:val="22"/>
        </w:rPr>
        <w:t>(</w:t>
      </w:r>
      <w:r w:rsidRPr="00421752">
        <w:rPr>
          <w:rFonts w:ascii="Arial" w:hAnsi="Arial" w:cs="Arial"/>
          <w:color w:val="0D0D0D" w:themeColor="text1" w:themeTint="F2"/>
          <w:sz w:val="22"/>
          <w:szCs w:val="22"/>
        </w:rPr>
        <w:t>2019</w:t>
      </w:r>
      <w:r>
        <w:rPr>
          <w:rFonts w:ascii="Arial" w:hAnsi="Arial" w:cs="Arial"/>
          <w:color w:val="0D0D0D" w:themeColor="text1" w:themeTint="F2"/>
          <w:sz w:val="22"/>
          <w:szCs w:val="22"/>
        </w:rPr>
        <w:t>)</w:t>
      </w:r>
      <w:r w:rsidRPr="00421752">
        <w:rPr>
          <w:rFonts w:ascii="Arial" w:hAnsi="Arial" w:cs="Arial"/>
          <w:color w:val="0D0D0D" w:themeColor="text1" w:themeTint="F2"/>
          <w:sz w:val="22"/>
          <w:szCs w:val="22"/>
        </w:rPr>
        <w:t>. The organisation of work and employee engagement. In </w:t>
      </w:r>
      <w:r w:rsidRPr="00421752">
        <w:rPr>
          <w:rFonts w:ascii="Arial" w:hAnsi="Arial" w:cs="Arial"/>
          <w:i/>
          <w:iCs/>
          <w:color w:val="0D0D0D" w:themeColor="text1" w:themeTint="F2"/>
          <w:sz w:val="22"/>
          <w:szCs w:val="22"/>
        </w:rPr>
        <w:t>Employee Engagement in Contemporary Organizations: Maintaining High Productivity and Sustained Competitiveness</w:t>
      </w:r>
      <w:r w:rsidRPr="00421752">
        <w:rPr>
          <w:rFonts w:ascii="Arial" w:hAnsi="Arial" w:cs="Arial"/>
          <w:color w:val="0D0D0D" w:themeColor="text1" w:themeTint="F2"/>
          <w:sz w:val="22"/>
          <w:szCs w:val="22"/>
        </w:rPr>
        <w:t> (pp. 167-192). Cham: Springer International Publishing.</w:t>
      </w:r>
    </w:p>
    <w:p w14:paraId="192CAD7B" w14:textId="1AA5B518" w:rsidR="00421752" w:rsidRDefault="00421752" w:rsidP="00421752">
      <w:pPr>
        <w:pStyle w:val="ListParagraph"/>
        <w:numPr>
          <w:ilvl w:val="0"/>
          <w:numId w:val="3"/>
        </w:numPr>
        <w:spacing w:line="360" w:lineRule="auto"/>
        <w:jc w:val="both"/>
        <w:rPr>
          <w:rFonts w:ascii="Arial" w:hAnsi="Arial" w:cs="Arial"/>
          <w:color w:val="0D0D0D" w:themeColor="text1" w:themeTint="F2"/>
          <w:sz w:val="22"/>
          <w:szCs w:val="22"/>
        </w:rPr>
      </w:pPr>
      <w:r w:rsidRPr="00421752">
        <w:rPr>
          <w:rFonts w:ascii="Arial" w:hAnsi="Arial" w:cs="Arial"/>
          <w:color w:val="0D0D0D" w:themeColor="text1" w:themeTint="F2"/>
          <w:sz w:val="22"/>
          <w:szCs w:val="22"/>
        </w:rPr>
        <w:lastRenderedPageBreak/>
        <w:t xml:space="preserve">Raza, M., Khokhar, M.F., Zubair, M. and Rubab, M., </w:t>
      </w:r>
      <w:r>
        <w:rPr>
          <w:rFonts w:ascii="Arial" w:hAnsi="Arial" w:cs="Arial"/>
          <w:color w:val="0D0D0D" w:themeColor="text1" w:themeTint="F2"/>
          <w:sz w:val="22"/>
          <w:szCs w:val="22"/>
        </w:rPr>
        <w:t>(</w:t>
      </w:r>
      <w:r w:rsidRPr="00421752">
        <w:rPr>
          <w:rFonts w:ascii="Arial" w:hAnsi="Arial" w:cs="Arial"/>
          <w:color w:val="0D0D0D" w:themeColor="text1" w:themeTint="F2"/>
          <w:sz w:val="22"/>
          <w:szCs w:val="22"/>
        </w:rPr>
        <w:t>2023</w:t>
      </w:r>
      <w:r>
        <w:rPr>
          <w:rFonts w:ascii="Arial" w:hAnsi="Arial" w:cs="Arial"/>
          <w:color w:val="0D0D0D" w:themeColor="text1" w:themeTint="F2"/>
          <w:sz w:val="22"/>
          <w:szCs w:val="22"/>
        </w:rPr>
        <w:t>)</w:t>
      </w:r>
      <w:r w:rsidRPr="00421752">
        <w:rPr>
          <w:rFonts w:ascii="Arial" w:hAnsi="Arial" w:cs="Arial"/>
          <w:color w:val="0D0D0D" w:themeColor="text1" w:themeTint="F2"/>
          <w:sz w:val="22"/>
          <w:szCs w:val="22"/>
        </w:rPr>
        <w:t>. Impact of transparent communication in HR governance: fostering employee trust and engagement. </w:t>
      </w:r>
      <w:r w:rsidRPr="00421752">
        <w:rPr>
          <w:rFonts w:ascii="Arial" w:hAnsi="Arial" w:cs="Arial"/>
          <w:i/>
          <w:iCs/>
          <w:color w:val="0D0D0D" w:themeColor="text1" w:themeTint="F2"/>
          <w:sz w:val="22"/>
          <w:szCs w:val="22"/>
        </w:rPr>
        <w:t>Bulletin of Business and Economics (BBE)</w:t>
      </w:r>
      <w:r w:rsidRPr="00421752">
        <w:rPr>
          <w:rFonts w:ascii="Arial" w:hAnsi="Arial" w:cs="Arial"/>
          <w:color w:val="0D0D0D" w:themeColor="text1" w:themeTint="F2"/>
          <w:sz w:val="22"/>
          <w:szCs w:val="22"/>
        </w:rPr>
        <w:t>, </w:t>
      </w:r>
      <w:r w:rsidRPr="00421752">
        <w:rPr>
          <w:rFonts w:ascii="Arial" w:hAnsi="Arial" w:cs="Arial"/>
          <w:i/>
          <w:iCs/>
          <w:color w:val="0D0D0D" w:themeColor="text1" w:themeTint="F2"/>
          <w:sz w:val="22"/>
          <w:szCs w:val="22"/>
        </w:rPr>
        <w:t>12</w:t>
      </w:r>
      <w:r w:rsidRPr="00421752">
        <w:rPr>
          <w:rFonts w:ascii="Arial" w:hAnsi="Arial" w:cs="Arial"/>
          <w:color w:val="0D0D0D" w:themeColor="text1" w:themeTint="F2"/>
          <w:sz w:val="22"/>
          <w:szCs w:val="22"/>
        </w:rPr>
        <w:t>(3), pp.558-566.</w:t>
      </w:r>
    </w:p>
    <w:p w14:paraId="44126E84" w14:textId="5E5BBFF5" w:rsidR="008B535B" w:rsidRDefault="008B535B" w:rsidP="00421752">
      <w:pPr>
        <w:pStyle w:val="ListParagraph"/>
        <w:numPr>
          <w:ilvl w:val="0"/>
          <w:numId w:val="3"/>
        </w:numPr>
        <w:spacing w:line="360" w:lineRule="auto"/>
        <w:jc w:val="both"/>
        <w:rPr>
          <w:rFonts w:ascii="Arial" w:hAnsi="Arial" w:cs="Arial"/>
          <w:color w:val="0D0D0D" w:themeColor="text1" w:themeTint="F2"/>
          <w:sz w:val="22"/>
          <w:szCs w:val="22"/>
        </w:rPr>
      </w:pPr>
      <w:r w:rsidRPr="008B535B">
        <w:rPr>
          <w:rFonts w:ascii="Arial" w:hAnsi="Arial" w:cs="Arial"/>
          <w:color w:val="0D0D0D" w:themeColor="text1" w:themeTint="F2"/>
          <w:sz w:val="22"/>
          <w:szCs w:val="22"/>
        </w:rPr>
        <w:t xml:space="preserve">Lorsch, J.W. and Durante, K., </w:t>
      </w:r>
      <w:r>
        <w:rPr>
          <w:rFonts w:ascii="Arial" w:hAnsi="Arial" w:cs="Arial"/>
          <w:color w:val="0D0D0D" w:themeColor="text1" w:themeTint="F2"/>
          <w:sz w:val="22"/>
          <w:szCs w:val="22"/>
        </w:rPr>
        <w:t>(</w:t>
      </w:r>
      <w:r w:rsidRPr="008B535B">
        <w:rPr>
          <w:rFonts w:ascii="Arial" w:hAnsi="Arial" w:cs="Arial"/>
          <w:color w:val="0D0D0D" w:themeColor="text1" w:themeTint="F2"/>
          <w:sz w:val="22"/>
          <w:szCs w:val="22"/>
        </w:rPr>
        <w:t>2013</w:t>
      </w:r>
      <w:r>
        <w:rPr>
          <w:rFonts w:ascii="Arial" w:hAnsi="Arial" w:cs="Arial"/>
          <w:color w:val="0D0D0D" w:themeColor="text1" w:themeTint="F2"/>
          <w:sz w:val="22"/>
          <w:szCs w:val="22"/>
        </w:rPr>
        <w:t>)</w:t>
      </w:r>
      <w:r w:rsidRPr="008B535B">
        <w:rPr>
          <w:rFonts w:ascii="Arial" w:hAnsi="Arial" w:cs="Arial"/>
          <w:color w:val="0D0D0D" w:themeColor="text1" w:themeTint="F2"/>
          <w:sz w:val="22"/>
          <w:szCs w:val="22"/>
        </w:rPr>
        <w:t>. </w:t>
      </w:r>
      <w:r w:rsidRPr="008B535B">
        <w:rPr>
          <w:rFonts w:ascii="Arial" w:hAnsi="Arial" w:cs="Arial"/>
          <w:i/>
          <w:iCs/>
          <w:color w:val="0D0D0D" w:themeColor="text1" w:themeTint="F2"/>
          <w:sz w:val="22"/>
          <w:szCs w:val="22"/>
        </w:rPr>
        <w:t>McKinsey &amp; Company</w:t>
      </w:r>
      <w:r w:rsidRPr="008B535B">
        <w:rPr>
          <w:rFonts w:ascii="Arial" w:hAnsi="Arial" w:cs="Arial"/>
          <w:color w:val="0D0D0D" w:themeColor="text1" w:themeTint="F2"/>
          <w:sz w:val="22"/>
          <w:szCs w:val="22"/>
        </w:rPr>
        <w:t>. Harvard Business School.</w:t>
      </w:r>
    </w:p>
    <w:p w14:paraId="7EE3059C" w14:textId="2DF030BB" w:rsidR="008B535B" w:rsidRDefault="008B535B" w:rsidP="00421752">
      <w:pPr>
        <w:pStyle w:val="ListParagraph"/>
        <w:numPr>
          <w:ilvl w:val="0"/>
          <w:numId w:val="3"/>
        </w:numPr>
        <w:spacing w:line="360" w:lineRule="auto"/>
        <w:jc w:val="both"/>
        <w:rPr>
          <w:rFonts w:ascii="Arial" w:hAnsi="Arial" w:cs="Arial"/>
          <w:color w:val="0D0D0D" w:themeColor="text1" w:themeTint="F2"/>
          <w:sz w:val="22"/>
          <w:szCs w:val="22"/>
        </w:rPr>
      </w:pPr>
      <w:r w:rsidRPr="008B535B">
        <w:rPr>
          <w:rFonts w:ascii="Arial" w:hAnsi="Arial" w:cs="Arial"/>
          <w:color w:val="0D0D0D" w:themeColor="text1" w:themeTint="F2"/>
          <w:sz w:val="22"/>
          <w:szCs w:val="22"/>
        </w:rPr>
        <w:t xml:space="preserve">Susanto, P.C., Syailendra, S. and Suryawan, R.F., </w:t>
      </w:r>
      <w:r>
        <w:rPr>
          <w:rFonts w:ascii="Arial" w:hAnsi="Arial" w:cs="Arial"/>
          <w:color w:val="0D0D0D" w:themeColor="text1" w:themeTint="F2"/>
          <w:sz w:val="22"/>
          <w:szCs w:val="22"/>
        </w:rPr>
        <w:t>(</w:t>
      </w:r>
      <w:r w:rsidRPr="008B535B">
        <w:rPr>
          <w:rFonts w:ascii="Arial" w:hAnsi="Arial" w:cs="Arial"/>
          <w:color w:val="0D0D0D" w:themeColor="text1" w:themeTint="F2"/>
          <w:sz w:val="22"/>
          <w:szCs w:val="22"/>
        </w:rPr>
        <w:t>2023</w:t>
      </w:r>
      <w:r>
        <w:rPr>
          <w:rFonts w:ascii="Arial" w:hAnsi="Arial" w:cs="Arial"/>
          <w:color w:val="0D0D0D" w:themeColor="text1" w:themeTint="F2"/>
          <w:sz w:val="22"/>
          <w:szCs w:val="22"/>
        </w:rPr>
        <w:t>)</w:t>
      </w:r>
      <w:r w:rsidRPr="008B535B">
        <w:rPr>
          <w:rFonts w:ascii="Arial" w:hAnsi="Arial" w:cs="Arial"/>
          <w:color w:val="0D0D0D" w:themeColor="text1" w:themeTint="F2"/>
          <w:sz w:val="22"/>
          <w:szCs w:val="22"/>
        </w:rPr>
        <w:t>. Determination of motivation and performance: Analysis of job satisfaction, employee engagement and leadership. </w:t>
      </w:r>
      <w:r w:rsidRPr="008B535B">
        <w:rPr>
          <w:rFonts w:ascii="Arial" w:hAnsi="Arial" w:cs="Arial"/>
          <w:i/>
          <w:iCs/>
          <w:color w:val="0D0D0D" w:themeColor="text1" w:themeTint="F2"/>
          <w:sz w:val="22"/>
          <w:szCs w:val="22"/>
        </w:rPr>
        <w:t>International Journal of Business and Applied Economics</w:t>
      </w:r>
      <w:r w:rsidRPr="008B535B">
        <w:rPr>
          <w:rFonts w:ascii="Arial" w:hAnsi="Arial" w:cs="Arial"/>
          <w:color w:val="0D0D0D" w:themeColor="text1" w:themeTint="F2"/>
          <w:sz w:val="22"/>
          <w:szCs w:val="22"/>
        </w:rPr>
        <w:t>, </w:t>
      </w:r>
      <w:r w:rsidRPr="008B535B">
        <w:rPr>
          <w:rFonts w:ascii="Arial" w:hAnsi="Arial" w:cs="Arial"/>
          <w:i/>
          <w:iCs/>
          <w:color w:val="0D0D0D" w:themeColor="text1" w:themeTint="F2"/>
          <w:sz w:val="22"/>
          <w:szCs w:val="22"/>
        </w:rPr>
        <w:t>2</w:t>
      </w:r>
      <w:r w:rsidRPr="008B535B">
        <w:rPr>
          <w:rFonts w:ascii="Arial" w:hAnsi="Arial" w:cs="Arial"/>
          <w:color w:val="0D0D0D" w:themeColor="text1" w:themeTint="F2"/>
          <w:sz w:val="22"/>
          <w:szCs w:val="22"/>
        </w:rPr>
        <w:t>(2), pp.59-68.</w:t>
      </w:r>
    </w:p>
    <w:p w14:paraId="7FEDDEDE" w14:textId="688068E4" w:rsidR="00576282" w:rsidRDefault="00576282" w:rsidP="00421752">
      <w:pPr>
        <w:pStyle w:val="ListParagraph"/>
        <w:numPr>
          <w:ilvl w:val="0"/>
          <w:numId w:val="3"/>
        </w:numPr>
        <w:spacing w:line="360" w:lineRule="auto"/>
        <w:jc w:val="both"/>
        <w:rPr>
          <w:rFonts w:ascii="Arial" w:hAnsi="Arial" w:cs="Arial"/>
          <w:color w:val="0D0D0D" w:themeColor="text1" w:themeTint="F2"/>
          <w:sz w:val="22"/>
          <w:szCs w:val="22"/>
        </w:rPr>
      </w:pPr>
      <w:r w:rsidRPr="00576282">
        <w:rPr>
          <w:rFonts w:ascii="Arial" w:hAnsi="Arial" w:cs="Arial"/>
          <w:color w:val="0D0D0D" w:themeColor="text1" w:themeTint="F2"/>
          <w:sz w:val="22"/>
          <w:szCs w:val="22"/>
        </w:rPr>
        <w:t xml:space="preserve">Furnham, A., </w:t>
      </w:r>
      <w:r>
        <w:rPr>
          <w:rFonts w:ascii="Arial" w:hAnsi="Arial" w:cs="Arial"/>
          <w:color w:val="0D0D0D" w:themeColor="text1" w:themeTint="F2"/>
          <w:sz w:val="22"/>
          <w:szCs w:val="22"/>
        </w:rPr>
        <w:t>(</w:t>
      </w:r>
      <w:r w:rsidRPr="00576282">
        <w:rPr>
          <w:rFonts w:ascii="Arial" w:hAnsi="Arial" w:cs="Arial"/>
          <w:color w:val="0D0D0D" w:themeColor="text1" w:themeTint="F2"/>
          <w:sz w:val="22"/>
          <w:szCs w:val="22"/>
        </w:rPr>
        <w:t>2002</w:t>
      </w:r>
      <w:r>
        <w:rPr>
          <w:rFonts w:ascii="Arial" w:hAnsi="Arial" w:cs="Arial"/>
          <w:color w:val="0D0D0D" w:themeColor="text1" w:themeTint="F2"/>
          <w:sz w:val="22"/>
          <w:szCs w:val="22"/>
        </w:rPr>
        <w:t>)</w:t>
      </w:r>
      <w:r w:rsidRPr="00576282">
        <w:rPr>
          <w:rFonts w:ascii="Arial" w:hAnsi="Arial" w:cs="Arial"/>
          <w:color w:val="0D0D0D" w:themeColor="text1" w:themeTint="F2"/>
          <w:sz w:val="22"/>
          <w:szCs w:val="22"/>
        </w:rPr>
        <w:t>. Managers as change agents. </w:t>
      </w:r>
      <w:r w:rsidRPr="00576282">
        <w:rPr>
          <w:rFonts w:ascii="Arial" w:hAnsi="Arial" w:cs="Arial"/>
          <w:i/>
          <w:iCs/>
          <w:color w:val="0D0D0D" w:themeColor="text1" w:themeTint="F2"/>
          <w:sz w:val="22"/>
          <w:szCs w:val="22"/>
        </w:rPr>
        <w:t>Journal of change management</w:t>
      </w:r>
      <w:r w:rsidRPr="00576282">
        <w:rPr>
          <w:rFonts w:ascii="Arial" w:hAnsi="Arial" w:cs="Arial"/>
          <w:color w:val="0D0D0D" w:themeColor="text1" w:themeTint="F2"/>
          <w:sz w:val="22"/>
          <w:szCs w:val="22"/>
        </w:rPr>
        <w:t>, </w:t>
      </w:r>
      <w:r w:rsidRPr="00576282">
        <w:rPr>
          <w:rFonts w:ascii="Arial" w:hAnsi="Arial" w:cs="Arial"/>
          <w:i/>
          <w:iCs/>
          <w:color w:val="0D0D0D" w:themeColor="text1" w:themeTint="F2"/>
          <w:sz w:val="22"/>
          <w:szCs w:val="22"/>
        </w:rPr>
        <w:t>3</w:t>
      </w:r>
      <w:r w:rsidRPr="00576282">
        <w:rPr>
          <w:rFonts w:ascii="Arial" w:hAnsi="Arial" w:cs="Arial"/>
          <w:color w:val="0D0D0D" w:themeColor="text1" w:themeTint="F2"/>
          <w:sz w:val="22"/>
          <w:szCs w:val="22"/>
        </w:rPr>
        <w:t>(1), pp.21-29.</w:t>
      </w:r>
    </w:p>
    <w:p w14:paraId="1AB1A519" w14:textId="0B6E301E" w:rsidR="00576282" w:rsidRDefault="00576282" w:rsidP="00421752">
      <w:pPr>
        <w:pStyle w:val="ListParagraph"/>
        <w:numPr>
          <w:ilvl w:val="0"/>
          <w:numId w:val="3"/>
        </w:numPr>
        <w:spacing w:line="360" w:lineRule="auto"/>
        <w:jc w:val="both"/>
        <w:rPr>
          <w:rFonts w:ascii="Arial" w:hAnsi="Arial" w:cs="Arial"/>
          <w:color w:val="0D0D0D" w:themeColor="text1" w:themeTint="F2"/>
          <w:sz w:val="22"/>
          <w:szCs w:val="22"/>
        </w:rPr>
      </w:pPr>
      <w:r w:rsidRPr="00576282">
        <w:rPr>
          <w:rFonts w:ascii="Arial" w:hAnsi="Arial" w:cs="Arial"/>
          <w:color w:val="0D0D0D" w:themeColor="text1" w:themeTint="F2"/>
          <w:sz w:val="22"/>
          <w:szCs w:val="22"/>
        </w:rPr>
        <w:t xml:space="preserve">Currie, G. and Procter, S., </w:t>
      </w:r>
      <w:r>
        <w:rPr>
          <w:rFonts w:ascii="Arial" w:hAnsi="Arial" w:cs="Arial"/>
          <w:color w:val="0D0D0D" w:themeColor="text1" w:themeTint="F2"/>
          <w:sz w:val="22"/>
          <w:szCs w:val="22"/>
        </w:rPr>
        <w:t>(</w:t>
      </w:r>
      <w:r w:rsidRPr="00576282">
        <w:rPr>
          <w:rFonts w:ascii="Arial" w:hAnsi="Arial" w:cs="Arial"/>
          <w:color w:val="0D0D0D" w:themeColor="text1" w:themeTint="F2"/>
          <w:sz w:val="22"/>
          <w:szCs w:val="22"/>
        </w:rPr>
        <w:t>2001</w:t>
      </w:r>
      <w:r>
        <w:rPr>
          <w:rFonts w:ascii="Arial" w:hAnsi="Arial" w:cs="Arial"/>
          <w:color w:val="0D0D0D" w:themeColor="text1" w:themeTint="F2"/>
          <w:sz w:val="22"/>
          <w:szCs w:val="22"/>
        </w:rPr>
        <w:t>)</w:t>
      </w:r>
      <w:r w:rsidRPr="00576282">
        <w:rPr>
          <w:rFonts w:ascii="Arial" w:hAnsi="Arial" w:cs="Arial"/>
          <w:color w:val="0D0D0D" w:themeColor="text1" w:themeTint="F2"/>
          <w:sz w:val="22"/>
          <w:szCs w:val="22"/>
        </w:rPr>
        <w:t>. Exploring the relationship between HR and middle managers. </w:t>
      </w:r>
      <w:r w:rsidRPr="00576282">
        <w:rPr>
          <w:rFonts w:ascii="Arial" w:hAnsi="Arial" w:cs="Arial"/>
          <w:i/>
          <w:iCs/>
          <w:color w:val="0D0D0D" w:themeColor="text1" w:themeTint="F2"/>
          <w:sz w:val="22"/>
          <w:szCs w:val="22"/>
        </w:rPr>
        <w:t>Human Resource Management Journal</w:t>
      </w:r>
      <w:r w:rsidRPr="00576282">
        <w:rPr>
          <w:rFonts w:ascii="Arial" w:hAnsi="Arial" w:cs="Arial"/>
          <w:color w:val="0D0D0D" w:themeColor="text1" w:themeTint="F2"/>
          <w:sz w:val="22"/>
          <w:szCs w:val="22"/>
        </w:rPr>
        <w:t>, </w:t>
      </w:r>
      <w:r w:rsidRPr="00576282">
        <w:rPr>
          <w:rFonts w:ascii="Arial" w:hAnsi="Arial" w:cs="Arial"/>
          <w:i/>
          <w:iCs/>
          <w:color w:val="0D0D0D" w:themeColor="text1" w:themeTint="F2"/>
          <w:sz w:val="22"/>
          <w:szCs w:val="22"/>
        </w:rPr>
        <w:t>11</w:t>
      </w:r>
      <w:r w:rsidRPr="00576282">
        <w:rPr>
          <w:rFonts w:ascii="Arial" w:hAnsi="Arial" w:cs="Arial"/>
          <w:color w:val="0D0D0D" w:themeColor="text1" w:themeTint="F2"/>
          <w:sz w:val="22"/>
          <w:szCs w:val="22"/>
        </w:rPr>
        <w:t>(3), pp.53-69.</w:t>
      </w:r>
    </w:p>
    <w:p w14:paraId="5F8E0FC3" w14:textId="69304403" w:rsidR="00576282" w:rsidRDefault="00576282" w:rsidP="00421752">
      <w:pPr>
        <w:pStyle w:val="ListParagraph"/>
        <w:numPr>
          <w:ilvl w:val="0"/>
          <w:numId w:val="3"/>
        </w:numPr>
        <w:spacing w:line="360" w:lineRule="auto"/>
        <w:jc w:val="both"/>
        <w:rPr>
          <w:rFonts w:ascii="Arial" w:hAnsi="Arial" w:cs="Arial"/>
          <w:color w:val="0D0D0D" w:themeColor="text1" w:themeTint="F2"/>
          <w:sz w:val="22"/>
          <w:szCs w:val="22"/>
        </w:rPr>
      </w:pPr>
      <w:r w:rsidRPr="00576282">
        <w:rPr>
          <w:rFonts w:ascii="Arial" w:hAnsi="Arial" w:cs="Arial"/>
          <w:color w:val="0D0D0D" w:themeColor="text1" w:themeTint="F2"/>
          <w:sz w:val="22"/>
          <w:szCs w:val="22"/>
        </w:rPr>
        <w:t xml:space="preserve">Hamel, G., </w:t>
      </w:r>
      <w:r>
        <w:rPr>
          <w:rFonts w:ascii="Arial" w:hAnsi="Arial" w:cs="Arial"/>
          <w:color w:val="0D0D0D" w:themeColor="text1" w:themeTint="F2"/>
          <w:sz w:val="22"/>
          <w:szCs w:val="22"/>
        </w:rPr>
        <w:t>(</w:t>
      </w:r>
      <w:r w:rsidRPr="00576282">
        <w:rPr>
          <w:rFonts w:ascii="Arial" w:hAnsi="Arial" w:cs="Arial"/>
          <w:color w:val="0D0D0D" w:themeColor="text1" w:themeTint="F2"/>
          <w:sz w:val="22"/>
          <w:szCs w:val="22"/>
        </w:rPr>
        <w:t>2006</w:t>
      </w:r>
      <w:r>
        <w:rPr>
          <w:rFonts w:ascii="Arial" w:hAnsi="Arial" w:cs="Arial"/>
          <w:color w:val="0D0D0D" w:themeColor="text1" w:themeTint="F2"/>
          <w:sz w:val="22"/>
          <w:szCs w:val="22"/>
        </w:rPr>
        <w:t>)</w:t>
      </w:r>
      <w:r w:rsidRPr="00576282">
        <w:rPr>
          <w:rFonts w:ascii="Arial" w:hAnsi="Arial" w:cs="Arial"/>
          <w:color w:val="0D0D0D" w:themeColor="text1" w:themeTint="F2"/>
          <w:sz w:val="22"/>
          <w:szCs w:val="22"/>
        </w:rPr>
        <w:t>. The why, what, and how of management innovation. </w:t>
      </w:r>
      <w:r w:rsidRPr="00576282">
        <w:rPr>
          <w:rFonts w:ascii="Arial" w:hAnsi="Arial" w:cs="Arial"/>
          <w:i/>
          <w:iCs/>
          <w:color w:val="0D0D0D" w:themeColor="text1" w:themeTint="F2"/>
          <w:sz w:val="22"/>
          <w:szCs w:val="22"/>
        </w:rPr>
        <w:t>Harvard business review</w:t>
      </w:r>
      <w:r w:rsidRPr="00576282">
        <w:rPr>
          <w:rFonts w:ascii="Arial" w:hAnsi="Arial" w:cs="Arial"/>
          <w:color w:val="0D0D0D" w:themeColor="text1" w:themeTint="F2"/>
          <w:sz w:val="22"/>
          <w:szCs w:val="22"/>
        </w:rPr>
        <w:t>, </w:t>
      </w:r>
      <w:r w:rsidRPr="00576282">
        <w:rPr>
          <w:rFonts w:ascii="Arial" w:hAnsi="Arial" w:cs="Arial"/>
          <w:i/>
          <w:iCs/>
          <w:color w:val="0D0D0D" w:themeColor="text1" w:themeTint="F2"/>
          <w:sz w:val="22"/>
          <w:szCs w:val="22"/>
        </w:rPr>
        <w:t>84</w:t>
      </w:r>
      <w:r w:rsidRPr="00576282">
        <w:rPr>
          <w:rFonts w:ascii="Arial" w:hAnsi="Arial" w:cs="Arial"/>
          <w:color w:val="0D0D0D" w:themeColor="text1" w:themeTint="F2"/>
          <w:sz w:val="22"/>
          <w:szCs w:val="22"/>
        </w:rPr>
        <w:t>(2), p.72.</w:t>
      </w:r>
    </w:p>
    <w:p w14:paraId="095F21D7" w14:textId="2EC02379" w:rsidR="00576282" w:rsidRDefault="00576282" w:rsidP="00421752">
      <w:pPr>
        <w:pStyle w:val="ListParagraph"/>
        <w:numPr>
          <w:ilvl w:val="0"/>
          <w:numId w:val="3"/>
        </w:numPr>
        <w:spacing w:line="360" w:lineRule="auto"/>
        <w:jc w:val="both"/>
        <w:rPr>
          <w:rFonts w:ascii="Arial" w:hAnsi="Arial" w:cs="Arial"/>
          <w:color w:val="0D0D0D" w:themeColor="text1" w:themeTint="F2"/>
          <w:sz w:val="22"/>
          <w:szCs w:val="22"/>
        </w:rPr>
      </w:pPr>
      <w:r w:rsidRPr="00576282">
        <w:rPr>
          <w:rFonts w:ascii="Arial" w:hAnsi="Arial" w:cs="Arial"/>
          <w:color w:val="0D0D0D" w:themeColor="text1" w:themeTint="F2"/>
          <w:sz w:val="22"/>
          <w:szCs w:val="22"/>
        </w:rPr>
        <w:t xml:space="preserve">Vogt, J., Leonhardt, J., Köper, B. and Pennig, S., </w:t>
      </w:r>
      <w:r>
        <w:rPr>
          <w:rFonts w:ascii="Arial" w:hAnsi="Arial" w:cs="Arial"/>
          <w:color w:val="0D0D0D" w:themeColor="text1" w:themeTint="F2"/>
          <w:sz w:val="22"/>
          <w:szCs w:val="22"/>
        </w:rPr>
        <w:t>(</w:t>
      </w:r>
      <w:r w:rsidRPr="00576282">
        <w:rPr>
          <w:rFonts w:ascii="Arial" w:hAnsi="Arial" w:cs="Arial"/>
          <w:color w:val="0D0D0D" w:themeColor="text1" w:themeTint="F2"/>
          <w:sz w:val="22"/>
          <w:szCs w:val="22"/>
        </w:rPr>
        <w:t>2010</w:t>
      </w:r>
      <w:r>
        <w:rPr>
          <w:rFonts w:ascii="Arial" w:hAnsi="Arial" w:cs="Arial"/>
          <w:color w:val="0D0D0D" w:themeColor="text1" w:themeTint="F2"/>
          <w:sz w:val="22"/>
          <w:szCs w:val="22"/>
        </w:rPr>
        <w:t>)</w:t>
      </w:r>
      <w:r w:rsidRPr="00576282">
        <w:rPr>
          <w:rFonts w:ascii="Arial" w:hAnsi="Arial" w:cs="Arial"/>
          <w:color w:val="0D0D0D" w:themeColor="text1" w:themeTint="F2"/>
          <w:sz w:val="22"/>
          <w:szCs w:val="22"/>
        </w:rPr>
        <w:t>. Human factors in safety and business management. </w:t>
      </w:r>
      <w:r w:rsidRPr="00576282">
        <w:rPr>
          <w:rFonts w:ascii="Arial" w:hAnsi="Arial" w:cs="Arial"/>
          <w:i/>
          <w:iCs/>
          <w:color w:val="0D0D0D" w:themeColor="text1" w:themeTint="F2"/>
          <w:sz w:val="22"/>
          <w:szCs w:val="22"/>
        </w:rPr>
        <w:t>Ergonomics</w:t>
      </w:r>
      <w:r w:rsidRPr="00576282">
        <w:rPr>
          <w:rFonts w:ascii="Arial" w:hAnsi="Arial" w:cs="Arial"/>
          <w:color w:val="0D0D0D" w:themeColor="text1" w:themeTint="F2"/>
          <w:sz w:val="22"/>
          <w:szCs w:val="22"/>
        </w:rPr>
        <w:t>, </w:t>
      </w:r>
      <w:r w:rsidRPr="00576282">
        <w:rPr>
          <w:rFonts w:ascii="Arial" w:hAnsi="Arial" w:cs="Arial"/>
          <w:i/>
          <w:iCs/>
          <w:color w:val="0D0D0D" w:themeColor="text1" w:themeTint="F2"/>
          <w:sz w:val="22"/>
          <w:szCs w:val="22"/>
        </w:rPr>
        <w:t>53</w:t>
      </w:r>
      <w:r w:rsidRPr="00576282">
        <w:rPr>
          <w:rFonts w:ascii="Arial" w:hAnsi="Arial" w:cs="Arial"/>
          <w:color w:val="0D0D0D" w:themeColor="text1" w:themeTint="F2"/>
          <w:sz w:val="22"/>
          <w:szCs w:val="22"/>
        </w:rPr>
        <w:t>(2), pp.149-163.</w:t>
      </w:r>
    </w:p>
    <w:p w14:paraId="625BB978" w14:textId="5DF28A9F" w:rsidR="005858E0" w:rsidRDefault="005858E0" w:rsidP="00421752">
      <w:pPr>
        <w:pStyle w:val="ListParagraph"/>
        <w:numPr>
          <w:ilvl w:val="0"/>
          <w:numId w:val="3"/>
        </w:numPr>
        <w:spacing w:line="360" w:lineRule="auto"/>
        <w:jc w:val="both"/>
        <w:rPr>
          <w:rFonts w:ascii="Arial" w:hAnsi="Arial" w:cs="Arial"/>
          <w:color w:val="0D0D0D" w:themeColor="text1" w:themeTint="F2"/>
          <w:sz w:val="22"/>
          <w:szCs w:val="22"/>
        </w:rPr>
      </w:pPr>
      <w:r w:rsidRPr="005858E0">
        <w:rPr>
          <w:rFonts w:ascii="Arial" w:hAnsi="Arial" w:cs="Arial"/>
          <w:color w:val="0D0D0D" w:themeColor="text1" w:themeTint="F2"/>
          <w:sz w:val="22"/>
          <w:szCs w:val="22"/>
        </w:rPr>
        <w:t xml:space="preserve">Melchades, V., </w:t>
      </w:r>
      <w:r>
        <w:rPr>
          <w:rFonts w:ascii="Arial" w:hAnsi="Arial" w:cs="Arial"/>
          <w:color w:val="0D0D0D" w:themeColor="text1" w:themeTint="F2"/>
          <w:sz w:val="22"/>
          <w:szCs w:val="22"/>
        </w:rPr>
        <w:t>(</w:t>
      </w:r>
      <w:r w:rsidRPr="005858E0">
        <w:rPr>
          <w:rFonts w:ascii="Arial" w:hAnsi="Arial" w:cs="Arial"/>
          <w:color w:val="0D0D0D" w:themeColor="text1" w:themeTint="F2"/>
          <w:sz w:val="22"/>
          <w:szCs w:val="22"/>
        </w:rPr>
        <w:t>2013</w:t>
      </w:r>
      <w:r>
        <w:rPr>
          <w:rFonts w:ascii="Arial" w:hAnsi="Arial" w:cs="Arial"/>
          <w:color w:val="0D0D0D" w:themeColor="text1" w:themeTint="F2"/>
          <w:sz w:val="22"/>
          <w:szCs w:val="22"/>
        </w:rPr>
        <w:t>)</w:t>
      </w:r>
      <w:r w:rsidRPr="005858E0">
        <w:rPr>
          <w:rFonts w:ascii="Arial" w:hAnsi="Arial" w:cs="Arial"/>
          <w:color w:val="0D0D0D" w:themeColor="text1" w:themeTint="F2"/>
          <w:sz w:val="22"/>
          <w:szCs w:val="22"/>
        </w:rPr>
        <w:t>. </w:t>
      </w:r>
      <w:r w:rsidRPr="005858E0">
        <w:rPr>
          <w:rFonts w:ascii="Arial" w:hAnsi="Arial" w:cs="Arial"/>
          <w:i/>
          <w:iCs/>
          <w:color w:val="0D0D0D" w:themeColor="text1" w:themeTint="F2"/>
          <w:sz w:val="22"/>
          <w:szCs w:val="22"/>
        </w:rPr>
        <w:t>The role of effective grievance management procedures in enhancing the work performance</w:t>
      </w:r>
      <w:r w:rsidRPr="005858E0">
        <w:rPr>
          <w:rFonts w:ascii="Arial" w:hAnsi="Arial" w:cs="Arial"/>
          <w:color w:val="0D0D0D" w:themeColor="text1" w:themeTint="F2"/>
          <w:sz w:val="22"/>
          <w:szCs w:val="22"/>
        </w:rPr>
        <w:t> (Doctoral dissertation, The Open University of Tanzania).</w:t>
      </w:r>
    </w:p>
    <w:p w14:paraId="6FFD0527" w14:textId="4D59661E" w:rsidR="005858E0" w:rsidRDefault="005858E0" w:rsidP="00421752">
      <w:pPr>
        <w:pStyle w:val="ListParagraph"/>
        <w:numPr>
          <w:ilvl w:val="0"/>
          <w:numId w:val="3"/>
        </w:numPr>
        <w:spacing w:line="360" w:lineRule="auto"/>
        <w:jc w:val="both"/>
        <w:rPr>
          <w:rFonts w:ascii="Arial" w:hAnsi="Arial" w:cs="Arial"/>
          <w:color w:val="0D0D0D" w:themeColor="text1" w:themeTint="F2"/>
          <w:sz w:val="22"/>
          <w:szCs w:val="22"/>
        </w:rPr>
      </w:pPr>
      <w:r w:rsidRPr="005858E0">
        <w:rPr>
          <w:rFonts w:ascii="Arial" w:hAnsi="Arial" w:cs="Arial"/>
          <w:color w:val="0D0D0D" w:themeColor="text1" w:themeTint="F2"/>
          <w:sz w:val="22"/>
          <w:szCs w:val="22"/>
        </w:rPr>
        <w:t xml:space="preserve">Mitsakis, F.V., </w:t>
      </w:r>
      <w:r>
        <w:rPr>
          <w:rFonts w:ascii="Arial" w:hAnsi="Arial" w:cs="Arial"/>
          <w:color w:val="0D0D0D" w:themeColor="text1" w:themeTint="F2"/>
          <w:sz w:val="22"/>
          <w:szCs w:val="22"/>
        </w:rPr>
        <w:t>(</w:t>
      </w:r>
      <w:r w:rsidRPr="005858E0">
        <w:rPr>
          <w:rFonts w:ascii="Arial" w:hAnsi="Arial" w:cs="Arial"/>
          <w:color w:val="0D0D0D" w:themeColor="text1" w:themeTint="F2"/>
          <w:sz w:val="22"/>
          <w:szCs w:val="22"/>
        </w:rPr>
        <w:t>2014</w:t>
      </w:r>
      <w:r>
        <w:rPr>
          <w:rFonts w:ascii="Arial" w:hAnsi="Arial" w:cs="Arial"/>
          <w:color w:val="0D0D0D" w:themeColor="text1" w:themeTint="F2"/>
          <w:sz w:val="22"/>
          <w:szCs w:val="22"/>
        </w:rPr>
        <w:t>)</w:t>
      </w:r>
      <w:r w:rsidRPr="005858E0">
        <w:rPr>
          <w:rFonts w:ascii="Arial" w:hAnsi="Arial" w:cs="Arial"/>
          <w:color w:val="0D0D0D" w:themeColor="text1" w:themeTint="F2"/>
          <w:sz w:val="22"/>
          <w:szCs w:val="22"/>
        </w:rPr>
        <w:t>. Human Resources (HR) as a strategic business partner: value creation and risk reduction capacity. </w:t>
      </w:r>
      <w:r w:rsidRPr="005858E0">
        <w:rPr>
          <w:rFonts w:ascii="Arial" w:hAnsi="Arial" w:cs="Arial"/>
          <w:i/>
          <w:iCs/>
          <w:color w:val="0D0D0D" w:themeColor="text1" w:themeTint="F2"/>
          <w:sz w:val="22"/>
          <w:szCs w:val="22"/>
        </w:rPr>
        <w:t>International Journal of Human Resource Studies</w:t>
      </w:r>
      <w:r w:rsidRPr="005858E0">
        <w:rPr>
          <w:rFonts w:ascii="Arial" w:hAnsi="Arial" w:cs="Arial"/>
          <w:color w:val="0D0D0D" w:themeColor="text1" w:themeTint="F2"/>
          <w:sz w:val="22"/>
          <w:szCs w:val="22"/>
        </w:rPr>
        <w:t>, </w:t>
      </w:r>
      <w:r w:rsidRPr="005858E0">
        <w:rPr>
          <w:rFonts w:ascii="Arial" w:hAnsi="Arial" w:cs="Arial"/>
          <w:i/>
          <w:iCs/>
          <w:color w:val="0D0D0D" w:themeColor="text1" w:themeTint="F2"/>
          <w:sz w:val="22"/>
          <w:szCs w:val="22"/>
        </w:rPr>
        <w:t>4</w:t>
      </w:r>
      <w:r w:rsidRPr="005858E0">
        <w:rPr>
          <w:rFonts w:ascii="Arial" w:hAnsi="Arial" w:cs="Arial"/>
          <w:color w:val="0D0D0D" w:themeColor="text1" w:themeTint="F2"/>
          <w:sz w:val="22"/>
          <w:szCs w:val="22"/>
        </w:rPr>
        <w:t>(1), pp.154-170.</w:t>
      </w:r>
    </w:p>
    <w:p w14:paraId="155ECE27" w14:textId="77777777" w:rsidR="001D73E9" w:rsidRPr="001D73E9" w:rsidRDefault="001D73E9" w:rsidP="00421752">
      <w:pPr>
        <w:pStyle w:val="ListParagraph"/>
        <w:spacing w:line="360" w:lineRule="auto"/>
        <w:ind w:left="816"/>
        <w:jc w:val="both"/>
        <w:rPr>
          <w:rFonts w:ascii="Arial" w:hAnsi="Arial" w:cs="Arial"/>
          <w:color w:val="0D0D0D" w:themeColor="text1" w:themeTint="F2"/>
          <w:sz w:val="22"/>
          <w:szCs w:val="22"/>
        </w:rPr>
      </w:pPr>
    </w:p>
    <w:sectPr w:rsidR="001D73E9" w:rsidRPr="001D73E9">
      <w:headerReference w:type="even" r:id="rId9"/>
      <w:headerReference w:type="default" r:id="rId10"/>
      <w:footerReference w:type="even" r:id="rId11"/>
      <w:footerReference w:type="default" r:id="rId12"/>
      <w:headerReference w:type="first" r:id="rId13"/>
      <w:footerReference w:type="first" r:id="rId14"/>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04CD3C" w14:textId="77777777" w:rsidR="00F43E0F" w:rsidRDefault="00F43E0F" w:rsidP="00EE4169">
      <w:pPr>
        <w:spacing w:after="0" w:line="240" w:lineRule="auto"/>
      </w:pPr>
      <w:r>
        <w:separator/>
      </w:r>
    </w:p>
  </w:endnote>
  <w:endnote w:type="continuationSeparator" w:id="0">
    <w:p w14:paraId="292DE522" w14:textId="77777777" w:rsidR="00F43E0F" w:rsidRDefault="00F43E0F" w:rsidP="00EE41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AE398B" w14:textId="77777777" w:rsidR="00EE4169" w:rsidRDefault="00EE41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93477033"/>
      <w:docPartObj>
        <w:docPartGallery w:val="Page Numbers (Bottom of Page)"/>
        <w:docPartUnique/>
      </w:docPartObj>
    </w:sdtPr>
    <w:sdtContent>
      <w:p w14:paraId="1E330906" w14:textId="0FAE9742" w:rsidR="00EE4169" w:rsidRDefault="00EE4169">
        <w:pPr>
          <w:pStyle w:val="Footer"/>
          <w:jc w:val="right"/>
        </w:pPr>
        <w:r>
          <w:fldChar w:fldCharType="begin"/>
        </w:r>
        <w:r>
          <w:instrText>PAGE   \* MERGEFORMAT</w:instrText>
        </w:r>
        <w:r>
          <w:fldChar w:fldCharType="separate"/>
        </w:r>
        <w:r>
          <w:t>2</w:t>
        </w:r>
        <w:r>
          <w:fldChar w:fldCharType="end"/>
        </w:r>
      </w:p>
    </w:sdtContent>
  </w:sdt>
  <w:p w14:paraId="7775B66D" w14:textId="77777777" w:rsidR="00EE4169" w:rsidRDefault="00EE41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3886D" w14:textId="77777777" w:rsidR="00EE4169" w:rsidRDefault="00EE41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F326C9" w14:textId="77777777" w:rsidR="00F43E0F" w:rsidRDefault="00F43E0F" w:rsidP="00EE4169">
      <w:pPr>
        <w:spacing w:after="0" w:line="240" w:lineRule="auto"/>
      </w:pPr>
      <w:r>
        <w:separator/>
      </w:r>
    </w:p>
  </w:footnote>
  <w:footnote w:type="continuationSeparator" w:id="0">
    <w:p w14:paraId="03DED6A3" w14:textId="77777777" w:rsidR="00F43E0F" w:rsidRDefault="00F43E0F" w:rsidP="00EE41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B8C67F" w14:textId="77777777" w:rsidR="00EE4169" w:rsidRDefault="00EE41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C129B4" w14:textId="77777777" w:rsidR="00EE4169" w:rsidRDefault="00EE41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217275" w14:textId="77777777" w:rsidR="00EE4169" w:rsidRDefault="00EE41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8E04FC"/>
    <w:multiLevelType w:val="hybridMultilevel"/>
    <w:tmpl w:val="33D6FB20"/>
    <w:lvl w:ilvl="0" w:tplc="7B90E0F2">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20E0617E"/>
    <w:multiLevelType w:val="hybridMultilevel"/>
    <w:tmpl w:val="15FE0A60"/>
    <w:lvl w:ilvl="0" w:tplc="80581398">
      <w:start w:val="1"/>
      <w:numFmt w:val="decimal"/>
      <w:lvlText w:val="%1."/>
      <w:lvlJc w:val="left"/>
      <w:pPr>
        <w:ind w:left="644" w:hanging="360"/>
      </w:pPr>
      <w:rPr>
        <w:rFonts w:ascii="Arial" w:hAnsi="Arial" w:cs="Arial" w:hint="default"/>
      </w:rPr>
    </w:lvl>
    <w:lvl w:ilvl="1" w:tplc="08090019" w:tentative="1">
      <w:start w:val="1"/>
      <w:numFmt w:val="lowerLetter"/>
      <w:lvlText w:val="%2."/>
      <w:lvlJc w:val="left"/>
      <w:pPr>
        <w:ind w:left="1298" w:hanging="360"/>
      </w:pPr>
    </w:lvl>
    <w:lvl w:ilvl="2" w:tplc="0809001B" w:tentative="1">
      <w:start w:val="1"/>
      <w:numFmt w:val="lowerRoman"/>
      <w:lvlText w:val="%3."/>
      <w:lvlJc w:val="right"/>
      <w:pPr>
        <w:ind w:left="2018" w:hanging="180"/>
      </w:pPr>
    </w:lvl>
    <w:lvl w:ilvl="3" w:tplc="0809000F" w:tentative="1">
      <w:start w:val="1"/>
      <w:numFmt w:val="decimal"/>
      <w:lvlText w:val="%4."/>
      <w:lvlJc w:val="left"/>
      <w:pPr>
        <w:ind w:left="2738" w:hanging="360"/>
      </w:pPr>
    </w:lvl>
    <w:lvl w:ilvl="4" w:tplc="08090019" w:tentative="1">
      <w:start w:val="1"/>
      <w:numFmt w:val="lowerLetter"/>
      <w:lvlText w:val="%5."/>
      <w:lvlJc w:val="left"/>
      <w:pPr>
        <w:ind w:left="3458" w:hanging="360"/>
      </w:pPr>
    </w:lvl>
    <w:lvl w:ilvl="5" w:tplc="0809001B" w:tentative="1">
      <w:start w:val="1"/>
      <w:numFmt w:val="lowerRoman"/>
      <w:lvlText w:val="%6."/>
      <w:lvlJc w:val="right"/>
      <w:pPr>
        <w:ind w:left="4178" w:hanging="180"/>
      </w:pPr>
    </w:lvl>
    <w:lvl w:ilvl="6" w:tplc="0809000F" w:tentative="1">
      <w:start w:val="1"/>
      <w:numFmt w:val="decimal"/>
      <w:lvlText w:val="%7."/>
      <w:lvlJc w:val="left"/>
      <w:pPr>
        <w:ind w:left="4898" w:hanging="360"/>
      </w:pPr>
    </w:lvl>
    <w:lvl w:ilvl="7" w:tplc="08090019" w:tentative="1">
      <w:start w:val="1"/>
      <w:numFmt w:val="lowerLetter"/>
      <w:lvlText w:val="%8."/>
      <w:lvlJc w:val="left"/>
      <w:pPr>
        <w:ind w:left="5618" w:hanging="360"/>
      </w:pPr>
    </w:lvl>
    <w:lvl w:ilvl="8" w:tplc="0809001B" w:tentative="1">
      <w:start w:val="1"/>
      <w:numFmt w:val="lowerRoman"/>
      <w:lvlText w:val="%9."/>
      <w:lvlJc w:val="right"/>
      <w:pPr>
        <w:ind w:left="6338" w:hanging="180"/>
      </w:pPr>
    </w:lvl>
  </w:abstractNum>
  <w:abstractNum w:abstractNumId="2" w15:restartNumberingAfterBreak="0">
    <w:nsid w:val="337146AB"/>
    <w:multiLevelType w:val="hybridMultilevel"/>
    <w:tmpl w:val="59940B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9A2064"/>
    <w:multiLevelType w:val="hybridMultilevel"/>
    <w:tmpl w:val="AFD2A528"/>
    <w:lvl w:ilvl="0" w:tplc="CDFA73BE">
      <w:start w:val="1"/>
      <w:numFmt w:val="decimal"/>
      <w:lvlText w:val="%1."/>
      <w:lvlJc w:val="left"/>
      <w:pPr>
        <w:ind w:left="644" w:hanging="360"/>
      </w:pPr>
      <w:rPr>
        <w:rFonts w:hint="default"/>
      </w:rPr>
    </w:lvl>
    <w:lvl w:ilvl="1" w:tplc="08090019" w:tentative="1">
      <w:start w:val="1"/>
      <w:numFmt w:val="lowerLetter"/>
      <w:lvlText w:val="%2."/>
      <w:lvlJc w:val="left"/>
      <w:pPr>
        <w:ind w:left="1536" w:hanging="360"/>
      </w:pPr>
    </w:lvl>
    <w:lvl w:ilvl="2" w:tplc="0809001B" w:tentative="1">
      <w:start w:val="1"/>
      <w:numFmt w:val="lowerRoman"/>
      <w:lvlText w:val="%3."/>
      <w:lvlJc w:val="right"/>
      <w:pPr>
        <w:ind w:left="2256" w:hanging="180"/>
      </w:pPr>
    </w:lvl>
    <w:lvl w:ilvl="3" w:tplc="0809000F" w:tentative="1">
      <w:start w:val="1"/>
      <w:numFmt w:val="decimal"/>
      <w:lvlText w:val="%4."/>
      <w:lvlJc w:val="left"/>
      <w:pPr>
        <w:ind w:left="2976" w:hanging="360"/>
      </w:pPr>
    </w:lvl>
    <w:lvl w:ilvl="4" w:tplc="08090019" w:tentative="1">
      <w:start w:val="1"/>
      <w:numFmt w:val="lowerLetter"/>
      <w:lvlText w:val="%5."/>
      <w:lvlJc w:val="left"/>
      <w:pPr>
        <w:ind w:left="3696" w:hanging="360"/>
      </w:pPr>
    </w:lvl>
    <w:lvl w:ilvl="5" w:tplc="0809001B" w:tentative="1">
      <w:start w:val="1"/>
      <w:numFmt w:val="lowerRoman"/>
      <w:lvlText w:val="%6."/>
      <w:lvlJc w:val="right"/>
      <w:pPr>
        <w:ind w:left="4416" w:hanging="180"/>
      </w:pPr>
    </w:lvl>
    <w:lvl w:ilvl="6" w:tplc="0809000F" w:tentative="1">
      <w:start w:val="1"/>
      <w:numFmt w:val="decimal"/>
      <w:lvlText w:val="%7."/>
      <w:lvlJc w:val="left"/>
      <w:pPr>
        <w:ind w:left="5136" w:hanging="360"/>
      </w:pPr>
    </w:lvl>
    <w:lvl w:ilvl="7" w:tplc="08090019" w:tentative="1">
      <w:start w:val="1"/>
      <w:numFmt w:val="lowerLetter"/>
      <w:lvlText w:val="%8."/>
      <w:lvlJc w:val="left"/>
      <w:pPr>
        <w:ind w:left="5856" w:hanging="360"/>
      </w:pPr>
    </w:lvl>
    <w:lvl w:ilvl="8" w:tplc="0809001B" w:tentative="1">
      <w:start w:val="1"/>
      <w:numFmt w:val="lowerRoman"/>
      <w:lvlText w:val="%9."/>
      <w:lvlJc w:val="right"/>
      <w:pPr>
        <w:ind w:left="6576" w:hanging="180"/>
      </w:pPr>
    </w:lvl>
  </w:abstractNum>
  <w:abstractNum w:abstractNumId="4" w15:restartNumberingAfterBreak="0">
    <w:nsid w:val="5ACB6EED"/>
    <w:multiLevelType w:val="hybridMultilevel"/>
    <w:tmpl w:val="8B9C66D4"/>
    <w:lvl w:ilvl="0" w:tplc="62A00F1C">
      <w:start w:val="1"/>
      <w:numFmt w:val="decimal"/>
      <w:lvlText w:val="%1."/>
      <w:lvlJc w:val="left"/>
      <w:pPr>
        <w:tabs>
          <w:tab w:val="num" w:pos="720"/>
        </w:tabs>
        <w:ind w:left="720" w:hanging="360"/>
      </w:pPr>
    </w:lvl>
    <w:lvl w:ilvl="1" w:tplc="FE8C0DFC" w:tentative="1">
      <w:start w:val="1"/>
      <w:numFmt w:val="decimal"/>
      <w:lvlText w:val="%2."/>
      <w:lvlJc w:val="left"/>
      <w:pPr>
        <w:tabs>
          <w:tab w:val="num" w:pos="1440"/>
        </w:tabs>
        <w:ind w:left="1440" w:hanging="360"/>
      </w:pPr>
    </w:lvl>
    <w:lvl w:ilvl="2" w:tplc="C3A63B4A" w:tentative="1">
      <w:start w:val="1"/>
      <w:numFmt w:val="decimal"/>
      <w:lvlText w:val="%3."/>
      <w:lvlJc w:val="left"/>
      <w:pPr>
        <w:tabs>
          <w:tab w:val="num" w:pos="2160"/>
        </w:tabs>
        <w:ind w:left="2160" w:hanging="360"/>
      </w:pPr>
    </w:lvl>
    <w:lvl w:ilvl="3" w:tplc="E9A0362E" w:tentative="1">
      <w:start w:val="1"/>
      <w:numFmt w:val="decimal"/>
      <w:lvlText w:val="%4."/>
      <w:lvlJc w:val="left"/>
      <w:pPr>
        <w:tabs>
          <w:tab w:val="num" w:pos="2880"/>
        </w:tabs>
        <w:ind w:left="2880" w:hanging="360"/>
      </w:pPr>
    </w:lvl>
    <w:lvl w:ilvl="4" w:tplc="D8D0331E" w:tentative="1">
      <w:start w:val="1"/>
      <w:numFmt w:val="decimal"/>
      <w:lvlText w:val="%5."/>
      <w:lvlJc w:val="left"/>
      <w:pPr>
        <w:tabs>
          <w:tab w:val="num" w:pos="3600"/>
        </w:tabs>
        <w:ind w:left="3600" w:hanging="360"/>
      </w:pPr>
    </w:lvl>
    <w:lvl w:ilvl="5" w:tplc="82DCB494" w:tentative="1">
      <w:start w:val="1"/>
      <w:numFmt w:val="decimal"/>
      <w:lvlText w:val="%6."/>
      <w:lvlJc w:val="left"/>
      <w:pPr>
        <w:tabs>
          <w:tab w:val="num" w:pos="4320"/>
        </w:tabs>
        <w:ind w:left="4320" w:hanging="360"/>
      </w:pPr>
    </w:lvl>
    <w:lvl w:ilvl="6" w:tplc="439E8186" w:tentative="1">
      <w:start w:val="1"/>
      <w:numFmt w:val="decimal"/>
      <w:lvlText w:val="%7."/>
      <w:lvlJc w:val="left"/>
      <w:pPr>
        <w:tabs>
          <w:tab w:val="num" w:pos="5040"/>
        </w:tabs>
        <w:ind w:left="5040" w:hanging="360"/>
      </w:pPr>
    </w:lvl>
    <w:lvl w:ilvl="7" w:tplc="9ACCFD7E" w:tentative="1">
      <w:start w:val="1"/>
      <w:numFmt w:val="decimal"/>
      <w:lvlText w:val="%8."/>
      <w:lvlJc w:val="left"/>
      <w:pPr>
        <w:tabs>
          <w:tab w:val="num" w:pos="5760"/>
        </w:tabs>
        <w:ind w:left="5760" w:hanging="360"/>
      </w:pPr>
    </w:lvl>
    <w:lvl w:ilvl="8" w:tplc="4D4CF25E" w:tentative="1">
      <w:start w:val="1"/>
      <w:numFmt w:val="decimal"/>
      <w:lvlText w:val="%9."/>
      <w:lvlJc w:val="left"/>
      <w:pPr>
        <w:tabs>
          <w:tab w:val="num" w:pos="6480"/>
        </w:tabs>
        <w:ind w:left="6480" w:hanging="360"/>
      </w:pPr>
    </w:lvl>
  </w:abstractNum>
  <w:num w:numId="1" w16cid:durableId="1635213446">
    <w:abstractNumId w:val="2"/>
  </w:num>
  <w:num w:numId="2" w16cid:durableId="1995378721">
    <w:abstractNumId w:val="3"/>
  </w:num>
  <w:num w:numId="3" w16cid:durableId="1436515252">
    <w:abstractNumId w:val="4"/>
  </w:num>
  <w:num w:numId="4" w16cid:durableId="2121803449">
    <w:abstractNumId w:val="0"/>
  </w:num>
  <w:num w:numId="5" w16cid:durableId="221016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169"/>
    <w:rsid w:val="00026A49"/>
    <w:rsid w:val="000B70D1"/>
    <w:rsid w:val="000E04A0"/>
    <w:rsid w:val="000F2A9E"/>
    <w:rsid w:val="001474DC"/>
    <w:rsid w:val="001604DC"/>
    <w:rsid w:val="001954F0"/>
    <w:rsid w:val="001D73E9"/>
    <w:rsid w:val="00247A02"/>
    <w:rsid w:val="002A79C2"/>
    <w:rsid w:val="003C2B7F"/>
    <w:rsid w:val="00421752"/>
    <w:rsid w:val="00465B4E"/>
    <w:rsid w:val="004C1315"/>
    <w:rsid w:val="004C4480"/>
    <w:rsid w:val="00576282"/>
    <w:rsid w:val="005858E0"/>
    <w:rsid w:val="006C4642"/>
    <w:rsid w:val="0076629A"/>
    <w:rsid w:val="00780C50"/>
    <w:rsid w:val="00837C46"/>
    <w:rsid w:val="00855BA8"/>
    <w:rsid w:val="008B535B"/>
    <w:rsid w:val="0092305C"/>
    <w:rsid w:val="0095523E"/>
    <w:rsid w:val="009A48D2"/>
    <w:rsid w:val="009E1623"/>
    <w:rsid w:val="009F3C71"/>
    <w:rsid w:val="00B04E55"/>
    <w:rsid w:val="00B6717B"/>
    <w:rsid w:val="00B72A39"/>
    <w:rsid w:val="00BD558F"/>
    <w:rsid w:val="00C11E50"/>
    <w:rsid w:val="00C45C24"/>
    <w:rsid w:val="00C65819"/>
    <w:rsid w:val="00C65937"/>
    <w:rsid w:val="00C710E7"/>
    <w:rsid w:val="00C73CB0"/>
    <w:rsid w:val="00C9768D"/>
    <w:rsid w:val="00CB1FBD"/>
    <w:rsid w:val="00DA2ADD"/>
    <w:rsid w:val="00E9336E"/>
    <w:rsid w:val="00ED457C"/>
    <w:rsid w:val="00EE4169"/>
    <w:rsid w:val="00F43822"/>
    <w:rsid w:val="00F43E0F"/>
    <w:rsid w:val="00FD6C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B4631"/>
  <w15:chartTrackingRefBased/>
  <w15:docId w15:val="{2D3713B4-B5AC-4231-9AB1-CB52E2CAA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41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41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41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41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41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41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41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41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41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41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41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41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41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41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41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41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41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4169"/>
    <w:rPr>
      <w:rFonts w:eastAsiaTheme="majorEastAsia" w:cstheme="majorBidi"/>
      <w:color w:val="272727" w:themeColor="text1" w:themeTint="D8"/>
    </w:rPr>
  </w:style>
  <w:style w:type="paragraph" w:styleId="Title">
    <w:name w:val="Title"/>
    <w:basedOn w:val="Normal"/>
    <w:next w:val="Normal"/>
    <w:link w:val="TitleChar"/>
    <w:uiPriority w:val="10"/>
    <w:qFormat/>
    <w:rsid w:val="00EE41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41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41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41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4169"/>
    <w:pPr>
      <w:spacing w:before="160"/>
      <w:jc w:val="center"/>
    </w:pPr>
    <w:rPr>
      <w:i/>
      <w:iCs/>
      <w:color w:val="404040" w:themeColor="text1" w:themeTint="BF"/>
    </w:rPr>
  </w:style>
  <w:style w:type="character" w:customStyle="1" w:styleId="QuoteChar">
    <w:name w:val="Quote Char"/>
    <w:basedOn w:val="DefaultParagraphFont"/>
    <w:link w:val="Quote"/>
    <w:uiPriority w:val="29"/>
    <w:rsid w:val="00EE4169"/>
    <w:rPr>
      <w:i/>
      <w:iCs/>
      <w:color w:val="404040" w:themeColor="text1" w:themeTint="BF"/>
    </w:rPr>
  </w:style>
  <w:style w:type="paragraph" w:styleId="ListParagraph">
    <w:name w:val="List Paragraph"/>
    <w:basedOn w:val="Normal"/>
    <w:uiPriority w:val="34"/>
    <w:qFormat/>
    <w:rsid w:val="00EE4169"/>
    <w:pPr>
      <w:ind w:left="720"/>
      <w:contextualSpacing/>
    </w:pPr>
  </w:style>
  <w:style w:type="character" w:styleId="IntenseEmphasis">
    <w:name w:val="Intense Emphasis"/>
    <w:basedOn w:val="DefaultParagraphFont"/>
    <w:uiPriority w:val="21"/>
    <w:qFormat/>
    <w:rsid w:val="00EE4169"/>
    <w:rPr>
      <w:i/>
      <w:iCs/>
      <w:color w:val="0F4761" w:themeColor="accent1" w:themeShade="BF"/>
    </w:rPr>
  </w:style>
  <w:style w:type="paragraph" w:styleId="IntenseQuote">
    <w:name w:val="Intense Quote"/>
    <w:basedOn w:val="Normal"/>
    <w:next w:val="Normal"/>
    <w:link w:val="IntenseQuoteChar"/>
    <w:uiPriority w:val="30"/>
    <w:qFormat/>
    <w:rsid w:val="00EE41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4169"/>
    <w:rPr>
      <w:i/>
      <w:iCs/>
      <w:color w:val="0F4761" w:themeColor="accent1" w:themeShade="BF"/>
    </w:rPr>
  </w:style>
  <w:style w:type="character" w:styleId="IntenseReference">
    <w:name w:val="Intense Reference"/>
    <w:basedOn w:val="DefaultParagraphFont"/>
    <w:uiPriority w:val="32"/>
    <w:qFormat/>
    <w:rsid w:val="00EE4169"/>
    <w:rPr>
      <w:b/>
      <w:bCs/>
      <w:smallCaps/>
      <w:color w:val="0F4761" w:themeColor="accent1" w:themeShade="BF"/>
      <w:spacing w:val="5"/>
    </w:rPr>
  </w:style>
  <w:style w:type="paragraph" w:styleId="Header">
    <w:name w:val="header"/>
    <w:basedOn w:val="Normal"/>
    <w:link w:val="HeaderChar"/>
    <w:uiPriority w:val="99"/>
    <w:unhideWhenUsed/>
    <w:rsid w:val="00EE4169"/>
    <w:pPr>
      <w:tabs>
        <w:tab w:val="center" w:pos="4536"/>
        <w:tab w:val="right" w:pos="9072"/>
      </w:tabs>
      <w:spacing w:after="0" w:line="240" w:lineRule="auto"/>
    </w:pPr>
  </w:style>
  <w:style w:type="character" w:customStyle="1" w:styleId="HeaderChar">
    <w:name w:val="Header Char"/>
    <w:basedOn w:val="DefaultParagraphFont"/>
    <w:link w:val="Header"/>
    <w:uiPriority w:val="99"/>
    <w:rsid w:val="00EE4169"/>
  </w:style>
  <w:style w:type="paragraph" w:styleId="Footer">
    <w:name w:val="footer"/>
    <w:basedOn w:val="Normal"/>
    <w:link w:val="FooterChar"/>
    <w:uiPriority w:val="99"/>
    <w:unhideWhenUsed/>
    <w:rsid w:val="00EE4169"/>
    <w:pPr>
      <w:tabs>
        <w:tab w:val="center" w:pos="4536"/>
        <w:tab w:val="right" w:pos="9072"/>
      </w:tabs>
      <w:spacing w:after="0" w:line="240" w:lineRule="auto"/>
    </w:pPr>
  </w:style>
  <w:style w:type="character" w:customStyle="1" w:styleId="FooterChar">
    <w:name w:val="Footer Char"/>
    <w:basedOn w:val="DefaultParagraphFont"/>
    <w:link w:val="Footer"/>
    <w:uiPriority w:val="99"/>
    <w:rsid w:val="00EE4169"/>
  </w:style>
  <w:style w:type="character" w:styleId="Hyperlink">
    <w:name w:val="Hyperlink"/>
    <w:basedOn w:val="DefaultParagraphFont"/>
    <w:uiPriority w:val="99"/>
    <w:unhideWhenUsed/>
    <w:rsid w:val="001D73E9"/>
    <w:rPr>
      <w:color w:val="467886" w:themeColor="hyperlink"/>
      <w:u w:val="single"/>
    </w:rPr>
  </w:style>
  <w:style w:type="character" w:styleId="UnresolvedMention">
    <w:name w:val="Unresolved Mention"/>
    <w:basedOn w:val="DefaultParagraphFont"/>
    <w:uiPriority w:val="99"/>
    <w:semiHidden/>
    <w:unhideWhenUsed/>
    <w:rsid w:val="001D73E9"/>
    <w:rPr>
      <w:color w:val="605E5C"/>
      <w:shd w:val="clear" w:color="auto" w:fill="E1DFDD"/>
    </w:rPr>
  </w:style>
  <w:style w:type="paragraph" w:styleId="TOCHeading">
    <w:name w:val="TOC Heading"/>
    <w:basedOn w:val="Heading1"/>
    <w:next w:val="Normal"/>
    <w:uiPriority w:val="39"/>
    <w:unhideWhenUsed/>
    <w:qFormat/>
    <w:rsid w:val="005858E0"/>
    <w:pPr>
      <w:spacing w:before="240" w:after="0" w:line="259" w:lineRule="auto"/>
      <w:outlineLvl w:val="9"/>
    </w:pPr>
    <w:rPr>
      <w:kern w:val="0"/>
      <w:sz w:val="32"/>
      <w:szCs w:val="3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338809">
      <w:bodyDiv w:val="1"/>
      <w:marLeft w:val="0"/>
      <w:marRight w:val="0"/>
      <w:marTop w:val="0"/>
      <w:marBottom w:val="0"/>
      <w:divBdr>
        <w:top w:val="none" w:sz="0" w:space="0" w:color="auto"/>
        <w:left w:val="none" w:sz="0" w:space="0" w:color="auto"/>
        <w:bottom w:val="none" w:sz="0" w:space="0" w:color="auto"/>
        <w:right w:val="none" w:sz="0" w:space="0" w:color="auto"/>
      </w:divBdr>
      <w:divsChild>
        <w:div w:id="1422991456">
          <w:marLeft w:val="547"/>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lr.com/global-footprint"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10</Pages>
  <Words>2681</Words>
  <Characters>15284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Otelea (2410975)</dc:creator>
  <cp:keywords/>
  <dc:description/>
  <cp:lastModifiedBy>Valentin Otelea (2410975)</cp:lastModifiedBy>
  <cp:revision>2</cp:revision>
  <dcterms:created xsi:type="dcterms:W3CDTF">2025-11-16T09:21:00Z</dcterms:created>
  <dcterms:modified xsi:type="dcterms:W3CDTF">2025-11-16T09:21:00Z</dcterms:modified>
</cp:coreProperties>
</file>