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r>
        <w:rPr>
          <w:b/>
          <w:bCs/>
        </w:rPr>
        <w:t>Programme: Master of Business Administration</w:t>
      </w:r>
    </w:p>
    <w:p>
      <w:pPr>
        <w:jc w:val="center"/>
        <w:rPr>
          <w:b/>
          <w:bCs/>
        </w:rPr>
      </w:pPr>
      <w:r>
        <w:rPr>
          <w:b/>
          <w:bCs/>
        </w:rPr>
        <w:t>Module: Marketing Management</w:t>
      </w:r>
    </w:p>
    <w:p>
      <w:pPr>
        <w:jc w:val="center"/>
        <w:rPr>
          <w:b/>
          <w:bCs/>
        </w:rPr>
      </w:pPr>
      <w:r>
        <w:rPr>
          <w:b/>
          <w:bCs/>
        </w:rPr>
        <w:t>Module code: LCMB7024 Contribution to</w:t>
      </w:r>
    </w:p>
    <w:p>
      <w:pPr>
        <w:jc w:val="center"/>
        <w:rPr>
          <w:b/>
          <w:bCs/>
        </w:rPr>
      </w:pPr>
      <w:r>
        <w:rPr>
          <w:b/>
          <w:bCs/>
        </w:rPr>
        <w:t>Assignment Title: Assessment Component 1- Essay</w:t>
      </w:r>
    </w:p>
    <w:p>
      <w:pPr>
        <w:jc w:val="center"/>
        <w:rPr>
          <w:b/>
          <w:bCs/>
        </w:rPr>
      </w:pPr>
    </w:p>
    <w:p>
      <w:pPr>
        <w:jc w:val="center"/>
        <w:rPr>
          <w:b/>
          <w:bCs/>
        </w:rPr>
      </w:pPr>
    </w:p>
    <w:p>
      <w:pPr>
        <w:jc w:val="center"/>
        <w:rPr>
          <w:b/>
          <w:bCs/>
        </w:rPr>
      </w:pPr>
    </w:p>
    <w:p>
      <w:pPr>
        <w:jc w:val="center"/>
        <w:rPr>
          <w:b/>
          <w:bCs/>
        </w:rPr>
      </w:pPr>
      <w:r>
        <w:rPr>
          <w:b/>
          <w:bCs/>
        </w:rPr>
        <w:t>STUDENT ID  :  2409023</w:t>
      </w:r>
    </w:p>
    <w:p>
      <w:pPr>
        <w:jc w:val="center"/>
        <w:rPr>
          <w:b/>
          <w:bCs/>
        </w:rPr>
      </w:pPr>
      <w:r>
        <w:rPr>
          <w:b/>
          <w:bCs/>
        </w:rPr>
        <w:t>STUDENT NAME : VIMAL EDAYILVILA VIJAYAN</w:t>
      </w:r>
      <w:bookmarkStart w:id="8" w:name="_GoBack"/>
      <w:bookmarkEnd w:id="8"/>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p>
      <w:pPr>
        <w:jc w:val="center"/>
        <w:rPr>
          <w:b/>
          <w:bCs/>
        </w:rPr>
      </w:pPr>
    </w:p>
    <w:sdt>
      <w:sdtPr>
        <w:id w:val="1418751999"/>
      </w:sdtPr>
      <w:sdtEndPr>
        <w:rPr>
          <w:rFonts w:ascii="Times New Roman" w:hAnsi="Times New Roman" w:eastAsiaTheme="minorEastAsia" w:cstheme="minorBidi"/>
          <w:b/>
          <w:bCs/>
          <w:color w:val="auto"/>
          <w:kern w:val="2"/>
          <w:sz w:val="24"/>
          <w:szCs w:val="20"/>
          <w:lang w:val="en-IN" w:eastAsia="zh-CN" w:bidi="hi-IN"/>
          <w14:ligatures w14:val="none"/>
        </w:rPr>
      </w:sdtEndPr>
      <w:sdtContent>
        <w:p>
          <w:pPr>
            <w:pStyle w:val="39"/>
            <w:jc w:val="center"/>
            <w:rPr>
              <w:rFonts w:ascii="Times New Roman" w:hAnsi="Times New Roman" w:cs="Times New Roman"/>
              <w:color w:val="0D0D0D" w:themeColor="text1" w:themeTint="F2"/>
              <w:sz w:val="36"/>
              <w:szCs w:val="36"/>
              <w14:textFill>
                <w14:solidFill>
                  <w14:schemeClr w14:val="tx1">
                    <w14:lumMod w14:val="95000"/>
                    <w14:lumOff w14:val="5000"/>
                  </w14:schemeClr>
                </w14:solidFill>
              </w14:textFill>
            </w:rPr>
          </w:pPr>
          <w:r>
            <w:rPr>
              <w:rFonts w:ascii="Times New Roman" w:hAnsi="Times New Roman" w:cs="Times New Roman"/>
              <w:color w:val="0D0D0D" w:themeColor="text1" w:themeTint="F2"/>
              <w:sz w:val="36"/>
              <w:szCs w:val="36"/>
              <w14:textFill>
                <w14:solidFill>
                  <w14:schemeClr w14:val="tx1">
                    <w14:lumMod w14:val="95000"/>
                    <w14:lumOff w14:val="5000"/>
                  </w14:schemeClr>
                </w14:solidFill>
              </w14:textFill>
            </w:rPr>
            <w:t>Table of Contents</w:t>
          </w:r>
        </w:p>
        <w:p>
          <w:pPr>
            <w:pStyle w:val="15"/>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TOC \o "1-3" \h \z \u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fldChar w:fldCharType="begin"/>
          </w:r>
          <w:r>
            <w:instrText xml:space="preserve"> HYPERLINK \l "_Toc194056589"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Introduction</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_Toc194056589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3</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5"/>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"_Toc194056590"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Benefits of Being a Pioneer Firm</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_Toc194056590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3</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5"/>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"_Toc194056591"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Benefits of Being a Follower</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_Toc194056591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4</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5"/>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"_Toc194056592"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Product Life Cycle Strategies of Pioneer and Follower Companies</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_Toc194056592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6</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6"/>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"_Toc194056593"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Pioneer Companies' Strategies</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_Toc194056593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7</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6"/>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"_Toc194056594"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Follower Companies' Strategies</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_Toc194056594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8</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5"/>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"_Toc194056595"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Conclusion</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_Toc194056595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9</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pStyle w:val="15"/>
            <w:tabs>
              <w:tab w:val="right" w:leader="dot" w:pos="9016"/>
            </w:tabs>
            <w:jc w:val="center"/>
            <w:rPr>
              <w:rFonts w:cs="Times New Roman"/>
              <w:color w:val="0D0D0D" w:themeColor="text1" w:themeTint="F2"/>
              <w:sz w:val="28"/>
              <w:szCs w:val="22"/>
              <w14:textFill>
                <w14:solidFill>
                  <w14:schemeClr w14:val="tx1">
                    <w14:lumMod w14:val="95000"/>
                    <w14:lumOff w14:val="5000"/>
                  </w14:schemeClr>
                </w14:solidFill>
              </w14:textFill>
            </w:rPr>
          </w:pPr>
          <w:r>
            <w:fldChar w:fldCharType="begin"/>
          </w:r>
          <w:r>
            <w:instrText xml:space="preserve"> HYPERLINK \l "_Toc194056596" </w:instrText>
          </w:r>
          <w:r>
            <w:fldChar w:fldCharType="separate"/>
          </w:r>
          <w:r>
            <w:rPr>
              <w:rStyle w:val="18"/>
              <w:rFonts w:cs="Times New Roman"/>
              <w:color w:val="0D0D0D" w:themeColor="text1" w:themeTint="F2"/>
              <w:sz w:val="28"/>
              <w:szCs w:val="22"/>
              <w14:textFill>
                <w14:solidFill>
                  <w14:schemeClr w14:val="tx1">
                    <w14:lumMod w14:val="95000"/>
                    <w14:lumOff w14:val="5000"/>
                  </w14:schemeClr>
                </w14:solidFill>
              </w14:textFill>
            </w:rPr>
            <w:t>References</w:t>
          </w:r>
          <w:r>
            <w:rPr>
              <w:rFonts w:cs="Times New Roman"/>
              <w:color w:val="0D0D0D" w:themeColor="text1" w:themeTint="F2"/>
              <w:sz w:val="28"/>
              <w:szCs w:val="22"/>
              <w14:textFill>
                <w14:solidFill>
                  <w14:schemeClr w14:val="tx1">
                    <w14:lumMod w14:val="95000"/>
                    <w14:lumOff w14:val="5000"/>
                  </w14:schemeClr>
                </w14:solidFill>
              </w14:textFill>
            </w:rPr>
            <w:tab/>
          </w:r>
          <w:r>
            <w:rPr>
              <w:rFonts w:cs="Times New Roman"/>
              <w:color w:val="0D0D0D" w:themeColor="text1" w:themeTint="F2"/>
              <w:sz w:val="28"/>
              <w:szCs w:val="22"/>
              <w14:textFill>
                <w14:solidFill>
                  <w14:schemeClr w14:val="tx1">
                    <w14:lumMod w14:val="95000"/>
                    <w14:lumOff w14:val="5000"/>
                  </w14:schemeClr>
                </w14:solidFill>
              </w14:textFill>
            </w:rPr>
            <w:fldChar w:fldCharType="begin"/>
          </w:r>
          <w:r>
            <w:rPr>
              <w:rFonts w:cs="Times New Roman"/>
              <w:color w:val="0D0D0D" w:themeColor="text1" w:themeTint="F2"/>
              <w:sz w:val="28"/>
              <w:szCs w:val="22"/>
              <w14:textFill>
                <w14:solidFill>
                  <w14:schemeClr w14:val="tx1">
                    <w14:lumMod w14:val="95000"/>
                    <w14:lumOff w14:val="5000"/>
                  </w14:schemeClr>
                </w14:solidFill>
              </w14:textFill>
            </w:rPr>
            <w:instrText xml:space="preserve"> PAGEREF _Toc194056596 \h </w:instrText>
          </w:r>
          <w:r>
            <w:rPr>
              <w:rFonts w:cs="Times New Roman"/>
              <w:color w:val="0D0D0D" w:themeColor="text1" w:themeTint="F2"/>
              <w:sz w:val="28"/>
              <w:szCs w:val="22"/>
              <w14:textFill>
                <w14:solidFill>
                  <w14:schemeClr w14:val="tx1">
                    <w14:lumMod w14:val="95000"/>
                    <w14:lumOff w14:val="5000"/>
                  </w14:schemeClr>
                </w14:solidFill>
              </w14:textFill>
            </w:rPr>
            <w:fldChar w:fldCharType="separate"/>
          </w:r>
          <w:r>
            <w:rPr>
              <w:rFonts w:cs="Times New Roman"/>
              <w:color w:val="0D0D0D" w:themeColor="text1" w:themeTint="F2"/>
              <w:sz w:val="28"/>
              <w:szCs w:val="22"/>
              <w14:textFill>
                <w14:solidFill>
                  <w14:schemeClr w14:val="tx1">
                    <w14:lumMod w14:val="95000"/>
                    <w14:lumOff w14:val="5000"/>
                  </w14:schemeClr>
                </w14:solidFill>
              </w14:textFill>
            </w:rPr>
            <w:t>10</w:t>
          </w:r>
          <w:r>
            <w:rPr>
              <w:rFonts w:cs="Times New Roman"/>
              <w:color w:val="0D0D0D" w:themeColor="text1" w:themeTint="F2"/>
              <w:sz w:val="28"/>
              <w:szCs w:val="22"/>
              <w14:textFill>
                <w14:solidFill>
                  <w14:schemeClr w14:val="tx1">
                    <w14:lumMod w14:val="95000"/>
                    <w14:lumOff w14:val="5000"/>
                  </w14:schemeClr>
                </w14:solidFill>
              </w14:textFill>
            </w:rPr>
            <w:fldChar w:fldCharType="end"/>
          </w:r>
          <w:r>
            <w:rPr>
              <w:rFonts w:cs="Times New Roman"/>
              <w:color w:val="0D0D0D" w:themeColor="text1" w:themeTint="F2"/>
              <w:sz w:val="28"/>
              <w:szCs w:val="22"/>
              <w14:textFill>
                <w14:solidFill>
                  <w14:schemeClr w14:val="tx1">
                    <w14:lumMod w14:val="95000"/>
                    <w14:lumOff w14:val="5000"/>
                  </w14:schemeClr>
                </w14:solidFill>
              </w14:textFill>
            </w:rPr>
            <w:fldChar w:fldCharType="end"/>
          </w:r>
        </w:p>
        <w:p>
          <w:pPr>
            <w:jc w:val="center"/>
          </w:pPr>
          <w:r>
            <w:rPr>
              <w:rFonts w:cs="Times New Roman"/>
              <w:b/>
              <w:bCs/>
              <w:color w:val="0D0D0D" w:themeColor="text1" w:themeTint="F2"/>
              <w:sz w:val="28"/>
              <w:szCs w:val="22"/>
              <w14:textFill>
                <w14:solidFill>
                  <w14:schemeClr w14:val="tx1">
                    <w14:lumMod w14:val="95000"/>
                    <w14:lumOff w14:val="5000"/>
                  </w14:schemeClr>
                </w14:solidFill>
              </w14:textFill>
            </w:rPr>
            <w:fldChar w:fldCharType="end"/>
          </w:r>
        </w:p>
      </w:sdtContent>
    </w:sdt>
    <w:p>
      <w:pPr>
        <w:rPr>
          <w:b/>
          <w:bCs/>
        </w:rPr>
        <w:sectPr>
          <w:footerReference r:id="rId3" w:type="default"/>
          <w:pgSz w:w="11906" w:h="16838"/>
          <w:pgMar w:top="1440" w:right="1440" w:bottom="1440" w:left="1440" w:header="708" w:footer="708" w:gutter="0"/>
          <w:cols w:space="708" w:num="1"/>
          <w:docGrid w:linePitch="360" w:charSpace="0"/>
        </w:sectPr>
      </w:pPr>
    </w:p>
    <w:p>
      <w:pPr>
        <w:pStyle w:val="2"/>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0" w:name="_Toc194056589"/>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Introduction</w:t>
      </w:r>
      <w:bookmarkEnd w:id="0"/>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In today's very competitive business world, firms have to make a careful choice between pioneering—getting on the market first with new products and technology</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and following</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coming later with better products. This choice has a profound effect on the success of the firm, shaping brand positioning, market share, and profitability in the long run. While pioneers enjoy first-mover benefits like brand recognition and technological superiority, followers use lower risk, cost savings, and market knowledge to improve products and surpass early movers</w:t>
      </w:r>
      <w:r>
        <w:rPr>
          <w:rFonts w:cs="Times New Roman"/>
          <w:color w:val="0D0D0D" w:themeColor="text1" w:themeTint="F2"/>
          <w:szCs w:val="24"/>
          <w14:textFill>
            <w14:solidFill>
              <w14:schemeClr w14:val="tx1">
                <w14:lumMod w14:val="95000"/>
                <w14:lumOff w14:val="5000"/>
              </w14:schemeClr>
            </w14:solidFill>
          </w14:textFill>
        </w:rPr>
        <w:t xml:space="preserve"> (Nauck and Quast, 2021)</w:t>
      </w:r>
      <w:r>
        <w:rPr>
          <w:rFonts w:cs="Times New Roman"/>
          <w:color w:val="0D0D0D" w:themeColor="text1" w:themeTint="F2"/>
          <w:szCs w:val="24"/>
          <w14:textFill>
            <w14:solidFill>
              <w14:schemeClr w14:val="tx1">
                <w14:lumMod w14:val="95000"/>
                <w14:lumOff w14:val="5000"/>
              </w14:schemeClr>
            </w14:solidFill>
          </w14:textFill>
        </w:rPr>
        <w:t>. This essay discusses the benefits of both strategies, using examples of successful pioneer and follower firms. It also discusses the product life cycle strategies that these firms use to maintain growth and keep a competitive advantage.</w:t>
      </w:r>
    </w:p>
    <w:p>
      <w:pPr>
        <w:pStyle w:val="2"/>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1" w:name="_Toc194056590"/>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Benefits of Being a Pioneer Firm</w:t>
      </w:r>
      <w:bookmarkEnd w:id="1"/>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When launching a new product, businesses have to determine whether to be pioneers, to set the pattern first, or followers, who get into the market once others have created better versions. Both strategies have different advantages and disadvantages. Pioneers get the benefits of first-mover advantages, customer loyalty, and technological supremacy, whereas followers enjoy lower risks, cost savings, and better consumer information. This section discusses the benefits of both strategies with practical illustrations of how they work</w:t>
      </w:r>
      <w:r>
        <w:rPr>
          <w:rFonts w:cs="Times New Roman"/>
          <w:color w:val="0D0D0D" w:themeColor="text1" w:themeTint="F2"/>
          <w:szCs w:val="24"/>
          <w14:textFill>
            <w14:solidFill>
              <w14:schemeClr w14:val="tx1">
                <w14:lumMod w14:val="95000"/>
                <w14:lumOff w14:val="5000"/>
              </w14:schemeClr>
            </w14:solidFill>
          </w14:textFill>
        </w:rPr>
        <w:t xml:space="preserve"> (Ruiz-Ortega et al., 2021)</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1. First-Mover Advantage (FMA)</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One of the greatest advantages of being a pioneer is that they can create high brand recognition and customer loyalty ahead of the competitors. Early entrants can create industry standards, set consumer expectations, and have a loyal clientele. This placement tends to generate long-term dominance in the marketplace</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Jerab</w:t>
      </w:r>
      <w:r>
        <w:rPr>
          <w:rFonts w:cs="Times New Roman"/>
          <w:color w:val="0D0D0D" w:themeColor="text1" w:themeTint="F2"/>
          <w:szCs w:val="24"/>
          <w14:textFill>
            <w14:solidFill>
              <w14:schemeClr w14:val="tx1">
                <w14:lumMod w14:val="95000"/>
                <w14:lumOff w14:val="5000"/>
              </w14:schemeClr>
            </w14:solidFill>
          </w14:textFill>
        </w:rPr>
        <w:t xml:space="preserve"> and Mabrouk, 2023)</w:t>
      </w:r>
      <w:r>
        <w:rPr>
          <w:rFonts w:cs="Times New Roman"/>
          <w:color w:val="0D0D0D" w:themeColor="text1" w:themeTint="F2"/>
          <w:szCs w:val="24"/>
          <w14:textFill>
            <w14:solidFill>
              <w14:schemeClr w14:val="tx1">
                <w14:lumMod w14:val="95000"/>
                <w14:lumOff w14:val="5000"/>
              </w14:schemeClr>
            </w14:solidFill>
          </w14:textFill>
        </w:rPr>
        <w: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Apple's release of the iPhone in 2007 transformed the smartphone market. By presenting a touchscreen interface, an application ecosystem, and an easy-to-use operating system, Apple established the template for contemporary smartphones. With its early mover advantage and ongoing innovation, Apple gained a loyal customer base and dominant market share, holding onto its position in the face of fierce rivalry from businesses such as Samsung and Google</w:t>
      </w:r>
      <w:r>
        <w:rPr>
          <w:rFonts w:cs="Times New Roman"/>
          <w:color w:val="0D0D0D" w:themeColor="text1" w:themeTint="F2"/>
          <w:szCs w:val="24"/>
          <w14:textFill>
            <w14:solidFill>
              <w14:schemeClr w14:val="tx1">
                <w14:lumMod w14:val="95000"/>
                <w14:lumOff w14:val="5000"/>
              </w14:schemeClr>
            </w14:solidFill>
          </w14:textFill>
        </w:rPr>
        <w:t xml:space="preserve"> (Rourke, 2021)</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2. Technological Leadership</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Innovators tend to dominate </w:t>
      </w:r>
      <w:r>
        <w:rPr>
          <w:rFonts w:cs="Times New Roman"/>
          <w:color w:val="0D0D0D" w:themeColor="text1" w:themeTint="F2"/>
          <w:szCs w:val="24"/>
          <w14:textFill>
            <w14:solidFill>
              <w14:schemeClr w14:val="tx1">
                <w14:lumMod w14:val="95000"/>
                <w14:lumOff w14:val="5000"/>
              </w14:schemeClr>
            </w14:solidFill>
          </w14:textFill>
        </w:rPr>
        <w:t>R</w:t>
      </w:r>
      <w:r>
        <w:rPr>
          <w:rFonts w:cs="Times New Roman"/>
          <w:color w:val="0D0D0D" w:themeColor="text1" w:themeTint="F2"/>
          <w:szCs w:val="24"/>
          <w14:textFill>
            <w14:solidFill>
              <w14:schemeClr w14:val="tx1">
                <w14:lumMod w14:val="95000"/>
                <w14:lumOff w14:val="5000"/>
              </w14:schemeClr>
            </w14:solidFill>
          </w14:textFill>
        </w:rPr>
        <w:t>and</w:t>
      </w:r>
      <w:r>
        <w:rPr>
          <w:rFonts w:cs="Times New Roman"/>
          <w:color w:val="0D0D0D" w:themeColor="text1" w:themeTint="F2"/>
          <w:szCs w:val="24"/>
          <w14:textFill>
            <w14:solidFill>
              <w14:schemeClr w14:val="tx1">
                <w14:lumMod w14:val="95000"/>
                <w14:lumOff w14:val="5000"/>
              </w14:schemeClr>
            </w14:solidFill>
          </w14:textFill>
        </w:rPr>
        <w:t>D</w:t>
      </w:r>
      <w:r>
        <w:rPr>
          <w:rFonts w:cs="Times New Roman"/>
          <w:color w:val="0D0D0D" w:themeColor="text1" w:themeTint="F2"/>
          <w:szCs w:val="24"/>
          <w14:textFill>
            <w14:solidFill>
              <w14:schemeClr w14:val="tx1">
                <w14:lumMod w14:val="95000"/>
                <w14:lumOff w14:val="5000"/>
              </w14:schemeClr>
            </w14:solidFill>
          </w14:textFill>
        </w:rPr>
        <w:t>, enjoying patents and proprietary technologies. Such innovations pose barriers to entry for others, as followers cannot easily imitate or beat their products</w:t>
      </w:r>
      <w:r>
        <w:rPr>
          <w:rFonts w:cs="Times New Roman"/>
          <w:color w:val="0D0D0D" w:themeColor="text1" w:themeTint="F2"/>
          <w:szCs w:val="24"/>
          <w14:textFill>
            <w14:solidFill>
              <w14:schemeClr w14:val="tx1">
                <w14:lumMod w14:val="95000"/>
                <w14:lumOff w14:val="5000"/>
              </w14:schemeClr>
            </w14:solidFill>
          </w14:textFill>
        </w:rPr>
        <w:t xml:space="preserve"> (Agarwal et al., 2020)</w:t>
      </w:r>
      <w:r>
        <w:rPr>
          <w:rFonts w:cs="Times New Roman"/>
          <w:color w:val="0D0D0D" w:themeColor="text1" w:themeTint="F2"/>
          <w:szCs w:val="24"/>
          <w14:textFill>
            <w14:solidFill>
              <w14:schemeClr w14:val="tx1">
                <w14:lumMod w14:val="95000"/>
                <w14:lumOff w14:val="5000"/>
              </w14:schemeClr>
            </w14:solidFill>
          </w14:textFill>
        </w:rPr>
        <w: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 xml:space="preserve">Tesla was the first company to dominate the electric vehicle </w:t>
      </w:r>
      <w:r>
        <w:rPr>
          <w:rFonts w:cs="Times New Roman"/>
          <w:color w:val="0D0D0D" w:themeColor="text1" w:themeTint="F2"/>
          <w:szCs w:val="24"/>
          <w14:textFill>
            <w14:solidFill>
              <w14:schemeClr w14:val="tx1">
                <w14:lumMod w14:val="95000"/>
                <w14:lumOff w14:val="5000"/>
              </w14:schemeClr>
            </w14:solidFill>
          </w14:textFill>
        </w:rPr>
        <w:t xml:space="preserve">(EV) segment by creating revolutionary battery technology, autonomous driving technologies, and a vast charging network. Tesla used massive investments in </w:t>
      </w:r>
      <w:r>
        <w:rPr>
          <w:rFonts w:cs="Times New Roman"/>
          <w:color w:val="0D0D0D" w:themeColor="text1" w:themeTint="F2"/>
          <w:szCs w:val="24"/>
          <w14:textFill>
            <w14:solidFill>
              <w14:schemeClr w14:val="tx1">
                <w14:lumMod w14:val="95000"/>
                <w14:lumOff w14:val="5000"/>
              </w14:schemeClr>
            </w14:solidFill>
          </w14:textFill>
        </w:rPr>
        <w:t>R</w:t>
      </w:r>
      <w:r>
        <w:rPr>
          <w:rFonts w:cs="Times New Roman"/>
          <w:color w:val="0D0D0D" w:themeColor="text1" w:themeTint="F2"/>
          <w:szCs w:val="24"/>
          <w14:textFill>
            <w14:solidFill>
              <w14:schemeClr w14:val="tx1">
                <w14:lumMod w14:val="95000"/>
                <w14:lumOff w14:val="5000"/>
              </w14:schemeClr>
            </w14:solidFill>
          </w14:textFill>
        </w:rPr>
        <w:t>and</w:t>
      </w:r>
      <w:r>
        <w:rPr>
          <w:rFonts w:cs="Times New Roman"/>
          <w:color w:val="0D0D0D" w:themeColor="text1" w:themeTint="F2"/>
          <w:szCs w:val="24"/>
          <w14:textFill>
            <w14:solidFill>
              <w14:schemeClr w14:val="tx1">
                <w14:lumMod w14:val="95000"/>
                <w14:lumOff w14:val="5000"/>
              </w14:schemeClr>
            </w14:solidFill>
          </w14:textFill>
        </w:rPr>
        <w:t>D</w:t>
      </w:r>
      <w:r>
        <w:rPr>
          <w:rFonts w:cs="Times New Roman"/>
          <w:color w:val="0D0D0D" w:themeColor="text1" w:themeTint="F2"/>
          <w:szCs w:val="24"/>
          <w14:textFill>
            <w14:solidFill>
              <w14:schemeClr w14:val="tx1">
                <w14:lumMod w14:val="95000"/>
                <w14:lumOff w14:val="5000"/>
              </w14:schemeClr>
            </w14:solidFill>
          </w14:textFill>
        </w:rPr>
        <w:t xml:space="preserve"> to become the dominant player in EVs, taking advantage of prestige brand and technology leadership. Competitors such as Ford, General Motors, and Volkswagen have also joined the EV segment, but Tesla's early mover advantage continues to yield competitive benefits</w:t>
      </w:r>
      <w:r>
        <w:rPr>
          <w:rFonts w:cs="Times New Roman"/>
          <w:color w:val="0D0D0D" w:themeColor="text1" w:themeTint="F2"/>
          <w:szCs w:val="24"/>
          <w14:textFill>
            <w14:solidFill>
              <w14:schemeClr w14:val="tx1">
                <w14:lumMod w14:val="95000"/>
                <w14:lumOff w14:val="5000"/>
              </w14:schemeClr>
            </w14:solidFill>
          </w14:textFill>
        </w:rPr>
        <w:t xml:space="preserve"> (Sull and </w:t>
      </w:r>
      <w:r>
        <w:rPr>
          <w:rFonts w:cs="Times New Roman"/>
          <w:color w:val="0D0D0D" w:themeColor="text1" w:themeTint="F2"/>
          <w:szCs w:val="24"/>
          <w14:textFill>
            <w14:solidFill>
              <w14:schemeClr w14:val="tx1">
                <w14:lumMod w14:val="95000"/>
                <w14:lumOff w14:val="5000"/>
              </w14:schemeClr>
            </w14:solidFill>
          </w14:textFill>
        </w:rPr>
        <w:t>Reavism</w:t>
      </w:r>
      <w:r>
        <w:rPr>
          <w:rFonts w:cs="Times New Roman"/>
          <w:color w:val="0D0D0D" w:themeColor="text1" w:themeTint="F2"/>
          <w:szCs w:val="24"/>
          <w14:textFill>
            <w14:solidFill>
              <w14:schemeClr w14:val="tx1">
                <w14:lumMod w14:val="95000"/>
                <w14:lumOff w14:val="5000"/>
              </w14:schemeClr>
            </w14:solidFill>
          </w14:textFill>
        </w:rPr>
        <w:t xml:space="preserve"> 2019)</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 xml:space="preserve">3. Economies of Scale </w:t>
      </w:r>
      <w:r>
        <w:rPr>
          <w:rFonts w:cs="Times New Roman"/>
          <w:b/>
          <w:bCs/>
          <w:color w:val="0D0D0D" w:themeColor="text1" w:themeTint="F2"/>
          <w:szCs w:val="24"/>
          <w14:textFill>
            <w14:solidFill>
              <w14:schemeClr w14:val="tx1">
                <w14:lumMod w14:val="95000"/>
                <w14:lumOff w14:val="5000"/>
              </w14:schemeClr>
            </w14:solidFill>
          </w14:textFill>
        </w:rPr>
        <w:t>and</w:t>
      </w:r>
      <w:r>
        <w:rPr>
          <w:rFonts w:cs="Times New Roman"/>
          <w:b/>
          <w:bCs/>
          <w:color w:val="0D0D0D" w:themeColor="text1" w:themeTint="F2"/>
          <w:szCs w:val="24"/>
          <w14:textFill>
            <w14:solidFill>
              <w14:schemeClr w14:val="tx1">
                <w14:lumMod w14:val="95000"/>
                <w14:lumOff w14:val="5000"/>
              </w14:schemeClr>
            </w14:solidFill>
          </w14:textFill>
        </w:rPr>
        <w:t xml:space="preserve"> Learning Curve Effects</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Leading a market enables organizations to realize economies of scale since as output, costs of production are minimized. Also, first-movers accrue experience and skills in operations, logistics, and marketing and become more efficient and cost effective in the long run</w:t>
      </w:r>
      <w:r>
        <w:rPr>
          <w:rFonts w:cs="Times New Roman"/>
          <w:color w:val="0D0D0D" w:themeColor="text1" w:themeTint="F2"/>
          <w:szCs w:val="24"/>
          <w14:textFill>
            <w14:solidFill>
              <w14:schemeClr w14:val="tx1">
                <w14:lumMod w14:val="95000"/>
                <w14:lumOff w14:val="5000"/>
              </w14:schemeClr>
            </w14:solidFill>
          </w14:textFill>
        </w:rPr>
        <w:t xml:space="preserve"> (Kadam, 2019)</w:t>
      </w:r>
      <w:r>
        <w:rPr>
          <w:rFonts w:cs="Times New Roman"/>
          <w:color w:val="0D0D0D" w:themeColor="text1" w:themeTint="F2"/>
          <w:szCs w:val="24"/>
          <w14:textFill>
            <w14:solidFill>
              <w14:schemeClr w14:val="tx1">
                <w14:lumMod w14:val="95000"/>
                <w14:lumOff w14:val="5000"/>
              </w14:schemeClr>
            </w14:solidFill>
          </w14:textFill>
        </w:rPr>
        <w: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Amazon started as an online bookstore in 1994 at the dawn of e-commerce. By growing operations early, the company gained expertise in logistics, supply chain management, and cloud computing, which provided it with unprecedented cost advantage. Over time, Amazon ventured into different categories of products and services, such as Amazon Web Services (AWS), which further cemented its leadership in e-commerce and cloud computing</w:t>
      </w:r>
      <w:r>
        <w:rPr>
          <w:rFonts w:cs="Times New Roman"/>
          <w:color w:val="0D0D0D" w:themeColor="text1" w:themeTint="F2"/>
          <w:szCs w:val="24"/>
          <w14:textFill>
            <w14:solidFill>
              <w14:schemeClr w14:val="tx1">
                <w14:lumMod w14:val="95000"/>
                <w14:lumOff w14:val="5000"/>
              </w14:schemeClr>
            </w14:solidFill>
          </w14:textFill>
        </w:rPr>
        <w:t xml:space="preserve"> (Wang and miller, 2020)</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 xml:space="preserve">4. High Market Share </w:t>
      </w:r>
      <w:r>
        <w:rPr>
          <w:rFonts w:cs="Times New Roman"/>
          <w:b/>
          <w:bCs/>
          <w:color w:val="0D0D0D" w:themeColor="text1" w:themeTint="F2"/>
          <w:szCs w:val="24"/>
          <w14:textFill>
            <w14:solidFill>
              <w14:schemeClr w14:val="tx1">
                <w14:lumMod w14:val="95000"/>
                <w14:lumOff w14:val="5000"/>
              </w14:schemeClr>
            </w14:solidFill>
          </w14:textFill>
        </w:rPr>
        <w:t>and</w:t>
      </w:r>
      <w:r>
        <w:rPr>
          <w:rFonts w:cs="Times New Roman"/>
          <w:b/>
          <w:bCs/>
          <w:color w:val="0D0D0D" w:themeColor="text1" w:themeTint="F2"/>
          <w:szCs w:val="24"/>
          <w14:textFill>
            <w14:solidFill>
              <w14:schemeClr w14:val="tx1">
                <w14:lumMod w14:val="95000"/>
                <w14:lumOff w14:val="5000"/>
              </w14:schemeClr>
            </w14:solidFill>
          </w14:textFill>
        </w:rPr>
        <w:t xml:space="preserve"> Pricing Power</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Early movers are usually able to command a monopoly or substantial market share before competitors bring prices down. Pioneers are thus able to command premium prices, realizing maximum profitability before markets become saturated.</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Netflix led the streaming market by transition from DVD rentals to streaming in 2007. With minimal competition during that era, Netflix managed to establish high-end pricing as it built a large content library. When competitors such as Disney+, Amazon Prime, and HBO Max joined the market, Netflix had already established a huge subscriber base and robust brand identity, so it retained a leadership role amidst intensified competition</w:t>
      </w:r>
      <w:r>
        <w:rPr>
          <w:rFonts w:cs="Times New Roman"/>
          <w:color w:val="0D0D0D" w:themeColor="text1" w:themeTint="F2"/>
          <w:szCs w:val="24"/>
          <w14:textFill>
            <w14:solidFill>
              <w14:schemeClr w14:val="tx1">
                <w14:lumMod w14:val="95000"/>
                <w14:lumOff w14:val="5000"/>
              </w14:schemeClr>
            </w14:solidFill>
          </w14:textFill>
        </w:rPr>
        <w:t xml:space="preserve"> (Jenner, 2018)</w:t>
      </w:r>
      <w:r>
        <w:rPr>
          <w:rFonts w:cs="Times New Roman"/>
          <w:color w:val="0D0D0D" w:themeColor="text1" w:themeTint="F2"/>
          <w:szCs w:val="24"/>
          <w14:textFill>
            <w14:solidFill>
              <w14:schemeClr w14:val="tx1">
                <w14:lumMod w14:val="95000"/>
                <w14:lumOff w14:val="5000"/>
              </w14:schemeClr>
            </w14:solidFill>
          </w14:textFill>
        </w:rPr>
        <w:t>.</w:t>
      </w:r>
    </w:p>
    <w:p>
      <w:pPr>
        <w:pStyle w:val="2"/>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2" w:name="_Toc194056591"/>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Benefits of Being a Follower</w:t>
      </w:r>
      <w:bookmarkEnd w:id="2"/>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While pioneers incur heavy costs and risks of innovation, followers can come into the market later with improved products and superior business strategies. Late entrants usually gain from learning from pioneers' errors, riding on established market demand, and minimizing cost structures</w:t>
      </w:r>
      <w:r>
        <w:rPr>
          <w:rFonts w:cs="Times New Roman"/>
          <w:color w:val="0D0D0D" w:themeColor="text1" w:themeTint="F2"/>
          <w:szCs w:val="24"/>
          <w14:textFill>
            <w14:solidFill>
              <w14:schemeClr w14:val="tx1">
                <w14:lumMod w14:val="95000"/>
                <w14:lumOff w14:val="5000"/>
              </w14:schemeClr>
            </w14:solidFill>
          </w14:textFill>
        </w:rPr>
        <w:t xml:space="preserve"> (Wurzel et al., 2019)</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 xml:space="preserve">1. Lower Risk </w:t>
      </w:r>
      <w:r>
        <w:rPr>
          <w:rFonts w:cs="Times New Roman"/>
          <w:b/>
          <w:bCs/>
          <w:color w:val="0D0D0D" w:themeColor="text1" w:themeTint="F2"/>
          <w:szCs w:val="24"/>
          <w14:textFill>
            <w14:solidFill>
              <w14:schemeClr w14:val="tx1">
                <w14:lumMod w14:val="95000"/>
                <w14:lumOff w14:val="5000"/>
              </w14:schemeClr>
            </w14:solidFill>
          </w14:textFill>
        </w:rPr>
        <w:t>and</w:t>
      </w:r>
      <w:r>
        <w:rPr>
          <w:rFonts w:cs="Times New Roman"/>
          <w:b/>
          <w:bCs/>
          <w:color w:val="0D0D0D" w:themeColor="text1" w:themeTint="F2"/>
          <w:szCs w:val="24"/>
          <w14:textFill>
            <w14:solidFill>
              <w14:schemeClr w14:val="tx1">
                <w14:lumMod w14:val="95000"/>
                <w14:lumOff w14:val="5000"/>
              </w14:schemeClr>
            </w14:solidFill>
          </w14:textFill>
        </w:rPr>
        <w:t xml:space="preserve"> Lower </w:t>
      </w:r>
      <w:r>
        <w:rPr>
          <w:rFonts w:cs="Times New Roman"/>
          <w:b/>
          <w:bCs/>
          <w:color w:val="0D0D0D" w:themeColor="text1" w:themeTint="F2"/>
          <w:szCs w:val="24"/>
          <w14:textFill>
            <w14:solidFill>
              <w14:schemeClr w14:val="tx1">
                <w14:lumMod w14:val="95000"/>
                <w14:lumOff w14:val="5000"/>
              </w14:schemeClr>
            </w14:solidFill>
          </w14:textFill>
        </w:rPr>
        <w:t>R</w:t>
      </w:r>
      <w:r>
        <w:rPr>
          <w:rFonts w:cs="Times New Roman"/>
          <w:b/>
          <w:bCs/>
          <w:color w:val="0D0D0D" w:themeColor="text1" w:themeTint="F2"/>
          <w:szCs w:val="24"/>
          <w14:textFill>
            <w14:solidFill>
              <w14:schemeClr w14:val="tx1">
                <w14:lumMod w14:val="95000"/>
                <w14:lumOff w14:val="5000"/>
              </w14:schemeClr>
            </w14:solidFill>
          </w14:textFill>
        </w:rPr>
        <w:t>and</w:t>
      </w:r>
      <w:r>
        <w:rPr>
          <w:rFonts w:cs="Times New Roman"/>
          <w:b/>
          <w:bCs/>
          <w:color w:val="0D0D0D" w:themeColor="text1" w:themeTint="F2"/>
          <w:szCs w:val="24"/>
          <w14:textFill>
            <w14:solidFill>
              <w14:schemeClr w14:val="tx1">
                <w14:lumMod w14:val="95000"/>
                <w14:lumOff w14:val="5000"/>
              </w14:schemeClr>
            </w14:solidFill>
          </w14:textFill>
        </w:rPr>
        <w:t>D</w:t>
      </w:r>
      <w:r>
        <w:rPr>
          <w:rFonts w:cs="Times New Roman"/>
          <w:b/>
          <w:bCs/>
          <w:color w:val="0D0D0D" w:themeColor="text1" w:themeTint="F2"/>
          <w:szCs w:val="24"/>
          <w14:textFill>
            <w14:solidFill>
              <w14:schemeClr w14:val="tx1">
                <w14:lumMod w14:val="95000"/>
                <w14:lumOff w14:val="5000"/>
              </w14:schemeClr>
            </w14:solidFill>
          </w14:textFill>
        </w:rPr>
        <w:t xml:space="preserve"> Costs</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Followers achieve lower risk and lower research and development (</w:t>
      </w:r>
      <w:r>
        <w:rPr>
          <w:rFonts w:cs="Times New Roman"/>
          <w:color w:val="0D0D0D" w:themeColor="text1" w:themeTint="F2"/>
          <w:szCs w:val="24"/>
          <w14:textFill>
            <w14:solidFill>
              <w14:schemeClr w14:val="tx1">
                <w14:lumMod w14:val="95000"/>
                <w14:lumOff w14:val="5000"/>
              </w14:schemeClr>
            </w14:solidFill>
          </w14:textFill>
        </w:rPr>
        <w:t>R</w:t>
      </w:r>
      <w:r>
        <w:rPr>
          <w:rFonts w:cs="Times New Roman"/>
          <w:color w:val="0D0D0D" w:themeColor="text1" w:themeTint="F2"/>
          <w:szCs w:val="24"/>
          <w14:textFill>
            <w14:solidFill>
              <w14:schemeClr w14:val="tx1">
                <w14:lumMod w14:val="95000"/>
                <w14:lumOff w14:val="5000"/>
              </w14:schemeClr>
            </w14:solidFill>
          </w14:textFill>
        </w:rPr>
        <w:t>and</w:t>
      </w:r>
      <w:r>
        <w:rPr>
          <w:rFonts w:cs="Times New Roman"/>
          <w:color w:val="0D0D0D" w:themeColor="text1" w:themeTint="F2"/>
          <w:szCs w:val="24"/>
          <w14:textFill>
            <w14:solidFill>
              <w14:schemeClr w14:val="tx1">
                <w14:lumMod w14:val="95000"/>
                <w14:lumOff w14:val="5000"/>
              </w14:schemeClr>
            </w14:solidFill>
          </w14:textFill>
        </w:rPr>
        <w:t>D</w:t>
      </w:r>
      <w:r>
        <w:rPr>
          <w:rFonts w:cs="Times New Roman"/>
          <w:color w:val="0D0D0D" w:themeColor="text1" w:themeTint="F2"/>
          <w:szCs w:val="24"/>
          <w14:textFill>
            <w14:solidFill>
              <w14:schemeClr w14:val="tx1">
                <w14:lumMod w14:val="95000"/>
                <w14:lumOff w14:val="5000"/>
              </w14:schemeClr>
            </w14:solidFill>
          </w14:textFill>
        </w:rPr>
        <w:t xml:space="preserve">) expenditures through improvement of current products, instead of designing completely new products. Unlike first movers, who have to expend considerable capital in product development, market trial, and educating the consumer, followers can join markets with superior products in areas where consumers are already knowledgeable about and using these products. By doing so, followers are able to keep money at bay while they benefit from first movers' pioneer work. With comparison of consumer criticism and technology shortages, follower companies can improve designs, streamline manufacture, and deploy competitive pricing </w:t>
      </w:r>
      <w:r>
        <w:rPr>
          <w:rFonts w:cs="Times New Roman"/>
          <w:color w:val="0D0D0D" w:themeColor="text1" w:themeTint="F2"/>
          <w:szCs w:val="24"/>
          <w14:textFill>
            <w14:solidFill>
              <w14:schemeClr w14:val="tx1">
                <w14:lumMod w14:val="95000"/>
                <w14:lumOff w14:val="5000"/>
              </w14:schemeClr>
            </w14:solidFill>
          </w14:textFill>
        </w:rPr>
        <w:t>maneuvers</w:t>
      </w:r>
      <w:r>
        <w:rPr>
          <w:rFonts w:cs="Times New Roman"/>
          <w:color w:val="0D0D0D" w:themeColor="text1" w:themeTint="F2"/>
          <w:szCs w:val="24"/>
          <w14:textFill>
            <w14:solidFill>
              <w14:schemeClr w14:val="tx1">
                <w14:lumMod w14:val="95000"/>
                <w14:lumOff w14:val="5000"/>
              </w14:schemeClr>
            </w14:solidFill>
          </w14:textFill>
        </w:rPr>
        <w:t>, allowing them to capture more market share faster.</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A prominent example is that of Samsung, which joined the smartphone market when Apple did, but soon developed into one of its largest contenders. Rather than innovating new smartphone technology, Samsung looked at the iPhone's strengths and weaknesses and created alternative features to appeal to a wider audience</w:t>
      </w:r>
      <w:r>
        <w:rPr>
          <w:rFonts w:cs="Times New Roman"/>
          <w:color w:val="0D0D0D" w:themeColor="text1" w:themeTint="F2"/>
          <w:szCs w:val="24"/>
          <w14:textFill>
            <w14:solidFill>
              <w14:schemeClr w14:val="tx1">
                <w14:lumMod w14:val="95000"/>
                <w14:lumOff w14:val="5000"/>
              </w14:schemeClr>
            </w14:solidFill>
          </w14:textFill>
        </w:rPr>
        <w:t xml:space="preserve"> (Rosenbach et al., 2018)</w:t>
      </w:r>
      <w:r>
        <w:rPr>
          <w:rFonts w:cs="Times New Roman"/>
          <w:color w:val="0D0D0D" w:themeColor="text1" w:themeTint="F2"/>
          <w:szCs w:val="24"/>
          <w14:textFill>
            <w14:solidFill>
              <w14:schemeClr w14:val="tx1">
                <w14:lumMod w14:val="95000"/>
                <w14:lumOff w14:val="5000"/>
              </w14:schemeClr>
            </w14:solidFill>
          </w14:textFill>
        </w:rPr>
        <w:t xml:space="preserve">. </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2. Better Market Understanding</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Late entrants get to enjoy improved market comprehension based on consumer </w:t>
      </w:r>
      <w:r>
        <w:rPr>
          <w:rFonts w:cs="Times New Roman"/>
          <w:color w:val="0D0D0D" w:themeColor="text1" w:themeTint="F2"/>
          <w:szCs w:val="24"/>
          <w14:textFill>
            <w14:solidFill>
              <w14:schemeClr w14:val="tx1">
                <w14:lumMod w14:val="95000"/>
                <w14:lumOff w14:val="5000"/>
              </w14:schemeClr>
            </w14:solidFill>
          </w14:textFill>
        </w:rPr>
        <w:t>behaviour</w:t>
      </w:r>
      <w:r>
        <w:rPr>
          <w:rFonts w:cs="Times New Roman"/>
          <w:color w:val="0D0D0D" w:themeColor="text1" w:themeTint="F2"/>
          <w:szCs w:val="24"/>
          <w14:textFill>
            <w14:solidFill>
              <w14:schemeClr w14:val="tx1">
                <w14:lumMod w14:val="95000"/>
                <w14:lumOff w14:val="5000"/>
              </w14:schemeClr>
            </w14:solidFill>
          </w14:textFill>
        </w:rPr>
        <w:t xml:space="preserve"> and trends in the industry prior to introducing their products. They can thus make improvements to current innovations, improve on weaknesses, and customize their products more than pioneers. Follower firms can create better products with improved usability, functionality, and price management by </w:t>
      </w:r>
      <w:r>
        <w:rPr>
          <w:rFonts w:cs="Times New Roman"/>
          <w:color w:val="0D0D0D" w:themeColor="text1" w:themeTint="F2"/>
          <w:szCs w:val="24"/>
          <w14:textFill>
            <w14:solidFill>
              <w14:schemeClr w14:val="tx1">
                <w14:lumMod w14:val="95000"/>
                <w14:lumOff w14:val="5000"/>
              </w14:schemeClr>
            </w14:solidFill>
          </w14:textFill>
        </w:rPr>
        <w:t>analysing</w:t>
      </w:r>
      <w:r>
        <w:rPr>
          <w:rFonts w:cs="Times New Roman"/>
          <w:color w:val="0D0D0D" w:themeColor="text1" w:themeTint="F2"/>
          <w:szCs w:val="24"/>
          <w14:textFill>
            <w14:solidFill>
              <w14:schemeClr w14:val="tx1">
                <w14:lumMod w14:val="95000"/>
                <w14:lumOff w14:val="5000"/>
              </w14:schemeClr>
            </w14:solidFill>
          </w14:textFill>
        </w:rPr>
        <w:t xml:space="preserve"> early adopters' comments and responses in the market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A case in point is Google, which was not an original search engine</w:t>
      </w:r>
      <w:r>
        <w:rPr>
          <w:rFonts w:cs="Times New Roman"/>
          <w:color w:val="0D0D0D" w:themeColor="text1" w:themeTint="F2"/>
          <w:szCs w:val="24"/>
          <w14:textFill>
            <w14:solidFill>
              <w14:schemeClr w14:val="tx1">
                <w14:lumMod w14:val="95000"/>
                <w14:lumOff w14:val="5000"/>
              </w14:schemeClr>
            </w14:solidFill>
          </w14:textFill>
        </w:rPr>
        <w:t xml:space="preserve"> (Cai et al., 2020)</w:t>
      </w:r>
      <w:r>
        <w:rPr>
          <w:rFonts w:cs="Times New Roman"/>
          <w:color w:val="0D0D0D" w:themeColor="text1" w:themeTint="F2"/>
          <w:szCs w:val="24"/>
          <w14:textFill>
            <w14:solidFill>
              <w14:schemeClr w14:val="tx1">
                <w14:lumMod w14:val="95000"/>
                <w14:lumOff w14:val="5000"/>
              </w14:schemeClr>
            </w14:solidFill>
          </w14:textFill>
        </w:rPr>
        <w:t>. Early rivals such as Yahoo, AltaVista, and Ask Jeeves captured the market with each of its unique styles in searching online. Yet Google pushed into the marketplace with a smoother, more precise search algorithm providing better results and a cleaner, less busy interface. In contrast to its precursors, which had an enormous dependency on banner advertising and directory submissions, Google placed importance on relevance and promptness, making the user's experience better overall</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Hnedrayati</w:t>
      </w:r>
      <w:r>
        <w:rPr>
          <w:rFonts w:cs="Times New Roman"/>
          <w:color w:val="0D0D0D" w:themeColor="text1" w:themeTint="F2"/>
          <w:szCs w:val="24"/>
          <w14:textFill>
            <w14:solidFill>
              <w14:schemeClr w14:val="tx1">
                <w14:lumMod w14:val="95000"/>
                <w14:lumOff w14:val="5000"/>
              </w14:schemeClr>
            </w14:solidFill>
          </w14:textFill>
        </w:rPr>
        <w:t xml:space="preserve"> and </w:t>
      </w:r>
      <w:r>
        <w:rPr>
          <w:rFonts w:cs="Times New Roman"/>
          <w:color w:val="0D0D0D" w:themeColor="text1" w:themeTint="F2"/>
          <w:szCs w:val="24"/>
          <w14:textFill>
            <w14:solidFill>
              <w14:schemeClr w14:val="tx1">
                <w14:lumMod w14:val="95000"/>
                <w14:lumOff w14:val="5000"/>
              </w14:schemeClr>
            </w14:solidFill>
          </w14:textFill>
        </w:rPr>
        <w:t>Pamungkas</w:t>
      </w:r>
      <w:r>
        <w:rPr>
          <w:rFonts w:cs="Times New Roman"/>
          <w:color w:val="0D0D0D" w:themeColor="text1" w:themeTint="F2"/>
          <w:szCs w:val="24"/>
          <w14:textFill>
            <w14:solidFill>
              <w14:schemeClr w14:val="tx1">
                <w14:lumMod w14:val="95000"/>
                <w14:lumOff w14:val="5000"/>
              </w14:schemeClr>
            </w14:solidFill>
          </w14:textFill>
        </w:rPr>
        <w:t>, 2020)</w:t>
      </w:r>
      <w:r>
        <w:rPr>
          <w:rFonts w:cs="Times New Roman"/>
          <w:color w:val="0D0D0D" w:themeColor="text1" w:themeTint="F2"/>
          <w:szCs w:val="24"/>
          <w14:textFill>
            <w14:solidFill>
              <w14:schemeClr w14:val="tx1">
                <w14:lumMod w14:val="95000"/>
                <w14:lumOff w14:val="5000"/>
              </w14:schemeClr>
            </w14:solidFill>
          </w14:textFill>
        </w:rPr>
        <w:t>. This follower strategy enabled Google to achieve widespread acceptance, ultimately becoming the market leader in the search engine industry. The term "Google it" is today used interchangeably with online searching, illustrating the potential that can emerge from a successful follower strategy to achieve industry dominance. Using lessons from early pioneers, late movers can streamline and enhance their market strategy, achieving sustained competitive superiority</w:t>
      </w:r>
      <w:r>
        <w:rPr>
          <w:rFonts w:cs="Times New Roman"/>
          <w:color w:val="0D0D0D" w:themeColor="text1" w:themeTint="F2"/>
          <w:szCs w:val="24"/>
          <w14:textFill>
            <w14:solidFill>
              <w14:schemeClr w14:val="tx1">
                <w14:lumMod w14:val="95000"/>
                <w14:lumOff w14:val="5000"/>
              </w14:schemeClr>
            </w14:solidFill>
          </w14:textFill>
        </w:rPr>
        <w:t xml:space="preserve"> (Krasnik et al., 2021)</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 xml:space="preserve">3. Effective Production </w:t>
      </w:r>
      <w:r>
        <w:rPr>
          <w:rFonts w:cs="Times New Roman"/>
          <w:b/>
          <w:bCs/>
          <w:color w:val="0D0D0D" w:themeColor="text1" w:themeTint="F2"/>
          <w:szCs w:val="24"/>
          <w14:textFill>
            <w14:solidFill>
              <w14:schemeClr w14:val="tx1">
                <w14:lumMod w14:val="95000"/>
                <w14:lumOff w14:val="5000"/>
              </w14:schemeClr>
            </w14:solidFill>
          </w14:textFill>
        </w:rPr>
        <w:t>and</w:t>
      </w:r>
      <w:r>
        <w:rPr>
          <w:rFonts w:cs="Times New Roman"/>
          <w:b/>
          <w:bCs/>
          <w:color w:val="0D0D0D" w:themeColor="text1" w:themeTint="F2"/>
          <w:szCs w:val="24"/>
          <w14:textFill>
            <w14:solidFill>
              <w14:schemeClr w14:val="tx1">
                <w14:lumMod w14:val="95000"/>
                <w14:lumOff w14:val="5000"/>
              </w14:schemeClr>
            </w14:solidFill>
          </w14:textFill>
        </w:rPr>
        <w:t xml:space="preserve"> Competitive Pricing</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Adherents can embrace the newest technology at reduced prices, reaping from innovations achieved by pioneers. They also enjoy the option of rolling out competitive pricing plans, which make their products cheaper to price-sensitive consumers</w:t>
      </w:r>
      <w:r>
        <w:rPr>
          <w:rFonts w:cs="Times New Roman"/>
          <w:color w:val="0D0D0D" w:themeColor="text1" w:themeTint="F2"/>
          <w:szCs w:val="24"/>
          <w14:textFill>
            <w14:solidFill>
              <w14:schemeClr w14:val="tx1">
                <w14:lumMod w14:val="95000"/>
                <w14:lumOff w14:val="5000"/>
              </w14:schemeClr>
            </w14:solidFill>
          </w14:textFill>
        </w:rPr>
        <w:t xml:space="preserve"> (Niermann and Hoppe, 2018)</w:t>
      </w:r>
      <w:r>
        <w:rPr>
          <w:rFonts w:cs="Times New Roman"/>
          <w:color w:val="0D0D0D" w:themeColor="text1" w:themeTint="F2"/>
          <w:szCs w:val="24"/>
          <w14:textFill>
            <w14:solidFill>
              <w14:schemeClr w14:val="tx1">
                <w14:lumMod w14:val="95000"/>
                <w14:lumOff w14:val="5000"/>
              </w14:schemeClr>
            </w14:solidFill>
          </w14:textFill>
        </w:rPr>
        <w: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Xiaomi moved into the smartphone space years later than Apple and Samsung but was able to establish market share almost immediately with high-quality devices that were hundreds of dollars less than their competitors' offerings. Through the use of established supply chains, manufacturing outsourcing, and selling primarily online, Xiaomi cut costs and transferred them to consumers. This tactic positioned Xiaomi as a significant competitor in markets such as India and China, where cost is an important consideration for consumers</w:t>
      </w:r>
      <w:r>
        <w:rPr>
          <w:rFonts w:cs="Times New Roman"/>
          <w:color w:val="0D0D0D" w:themeColor="text1" w:themeTint="F2"/>
          <w:szCs w:val="24"/>
          <w14:textFill>
            <w14:solidFill>
              <w14:schemeClr w14:val="tx1">
                <w14:lumMod w14:val="95000"/>
                <w14:lumOff w14:val="5000"/>
              </w14:schemeClr>
            </w14:solidFill>
          </w14:textFill>
        </w:rPr>
        <w:t xml:space="preserve"> (Chan et al., 2020)</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b/>
          <w:bCs/>
          <w:color w:val="0D0D0D" w:themeColor="text1" w:themeTint="F2"/>
          <w:szCs w:val="24"/>
          <w14:textFill>
            <w14:solidFill>
              <w14:schemeClr w14:val="tx1">
                <w14:lumMod w14:val="95000"/>
                <w14:lumOff w14:val="5000"/>
              </w14:schemeClr>
            </w14:solidFill>
          </w14:textFill>
        </w:rPr>
      </w:pPr>
      <w:r>
        <w:rPr>
          <w:rFonts w:cs="Times New Roman"/>
          <w:b/>
          <w:bCs/>
          <w:color w:val="0D0D0D" w:themeColor="text1" w:themeTint="F2"/>
          <w:szCs w:val="24"/>
          <w14:textFill>
            <w14:solidFill>
              <w14:schemeClr w14:val="tx1">
                <w14:lumMod w14:val="95000"/>
                <w14:lumOff w14:val="5000"/>
              </w14:schemeClr>
            </w14:solidFill>
          </w14:textFill>
        </w:rPr>
        <w:t xml:space="preserve">4. Rapid Innovation </w:t>
      </w:r>
      <w:r>
        <w:rPr>
          <w:rFonts w:cs="Times New Roman"/>
          <w:b/>
          <w:bCs/>
          <w:color w:val="0D0D0D" w:themeColor="text1" w:themeTint="F2"/>
          <w:szCs w:val="24"/>
          <w14:textFill>
            <w14:solidFill>
              <w14:schemeClr w14:val="tx1">
                <w14:lumMod w14:val="95000"/>
                <w14:lumOff w14:val="5000"/>
              </w14:schemeClr>
            </w14:solidFill>
          </w14:textFill>
        </w:rPr>
        <w:t>and</w:t>
      </w:r>
      <w:r>
        <w:rPr>
          <w:rFonts w:cs="Times New Roman"/>
          <w:b/>
          <w:bCs/>
          <w:color w:val="0D0D0D" w:themeColor="text1" w:themeTint="F2"/>
          <w:szCs w:val="24"/>
          <w14:textFill>
            <w14:solidFill>
              <w14:schemeClr w14:val="tx1">
                <w14:lumMod w14:val="95000"/>
                <w14:lumOff w14:val="5000"/>
              </w14:schemeClr>
            </w14:solidFill>
          </w14:textFill>
        </w:rPr>
        <w:t xml:space="preserve"> Flexibility</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Whereas pioneers are usually dedicated to their original idea and technology, followers enjoy flexibility in terms of quickly adapting to changing markets. They can make improvements to the existing model, integrate customer reviews, and catch up with changing trends better</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Kazimierczuk</w:t>
      </w:r>
      <w:r>
        <w:rPr>
          <w:rFonts w:cs="Times New Roman"/>
          <w:color w:val="0D0D0D" w:themeColor="text1" w:themeTint="F2"/>
          <w:szCs w:val="24"/>
          <w14:textFill>
            <w14:solidFill>
              <w14:schemeClr w14:val="tx1">
                <w14:lumMod w14:val="95000"/>
                <w14:lumOff w14:val="5000"/>
              </w14:schemeClr>
            </w14:solidFill>
          </w14:textFill>
        </w:rPr>
        <w:t xml:space="preserve"> et al., 2018)</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Facebook was not the initial social networking site</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MySpace</w:t>
      </w:r>
      <w:r>
        <w:rPr>
          <w:rFonts w:cs="Times New Roman"/>
          <w:color w:val="0D0D0D" w:themeColor="text1" w:themeTint="F2"/>
          <w:szCs w:val="24"/>
          <w14:textFill>
            <w14:solidFill>
              <w14:schemeClr w14:val="tx1">
                <w14:lumMod w14:val="95000"/>
                <w14:lumOff w14:val="5000"/>
              </w14:schemeClr>
            </w14:solidFill>
          </w14:textFill>
        </w:rPr>
        <w:t xml:space="preserve">, Friendster, and Hi5 were already present. But Facebook perfected the social networking model by focusing on user experience, real-name policies for identity, and a simpler interface. Being a late mover, Facebook quickly evolved according to user taste, constantly innovating with features such as the News Feed, Messenger, and social media ads. This gave Facebook the ability to overcome </w:t>
      </w:r>
      <w:r>
        <w:rPr>
          <w:rFonts w:cs="Times New Roman"/>
          <w:color w:val="0D0D0D" w:themeColor="text1" w:themeTint="F2"/>
          <w:szCs w:val="24"/>
          <w14:textFill>
            <w14:solidFill>
              <w14:schemeClr w14:val="tx1">
                <w14:lumMod w14:val="95000"/>
                <w14:lumOff w14:val="5000"/>
              </w14:schemeClr>
            </w14:solidFill>
          </w14:textFill>
        </w:rPr>
        <w:t>Myspace</w:t>
      </w:r>
      <w:r>
        <w:rPr>
          <w:rFonts w:cs="Times New Roman"/>
          <w:color w:val="0D0D0D" w:themeColor="text1" w:themeTint="F2"/>
          <w:szCs w:val="24"/>
          <w14:textFill>
            <w14:solidFill>
              <w14:schemeClr w14:val="tx1">
                <w14:lumMod w14:val="95000"/>
                <w14:lumOff w14:val="5000"/>
              </w14:schemeClr>
            </w14:solidFill>
          </w14:textFill>
        </w:rPr>
        <w:t xml:space="preserve"> and become the leading social networking site globally</w:t>
      </w:r>
      <w:r>
        <w:rPr>
          <w:rFonts w:cs="Times New Roman"/>
          <w:color w:val="0D0D0D" w:themeColor="text1" w:themeTint="F2"/>
          <w:szCs w:val="24"/>
          <w14:textFill>
            <w14:solidFill>
              <w14:schemeClr w14:val="tx1">
                <w14:lumMod w14:val="95000"/>
                <w14:lumOff w14:val="5000"/>
              </w14:schemeClr>
            </w14:solidFill>
          </w14:textFill>
        </w:rPr>
        <w:t xml:space="preserve"> (Barwise and Watkins, 2018)</w:t>
      </w:r>
      <w:r>
        <w:rPr>
          <w:rFonts w:cs="Times New Roman"/>
          <w:color w:val="0D0D0D" w:themeColor="text1" w:themeTint="F2"/>
          <w:szCs w:val="24"/>
          <w14:textFill>
            <w14:solidFill>
              <w14:schemeClr w14:val="tx1">
                <w14:lumMod w14:val="95000"/>
                <w14:lumOff w14:val="5000"/>
              </w14:schemeClr>
            </w14:solidFill>
          </w14:textFill>
        </w:rPr>
        <w:t>.</w:t>
      </w:r>
    </w:p>
    <w:p>
      <w:pPr>
        <w:pStyle w:val="2"/>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3" w:name="_Toc194056592"/>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Product Life Cycle Strategies of Pioneer and Follower Companies</w:t>
      </w:r>
      <w:bookmarkEnd w:id="3"/>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The product life cycle (PLC) is a basic model that directs companies to manage their products throughout their life. It has four phases: Introduction, Growth, Maturity, and Decline. Each phase has specific challenges and opportunities, and companies need to implement specific strategies to ensure competitive edge and maximize product life.</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Pioneer and follower firms use different strategies at every stage of the PLC. Pioneers emphasize innovation, branding, and first-mover advantages, whereas followers take advantage of better technology, competitive prices, and positioning in the market. This section examines the strategies used by pioneer and follower firms at every stage with the help of real-life examples.</w:t>
      </w:r>
    </w:p>
    <w:p>
      <w:pPr>
        <w:pStyle w:val="3"/>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4" w:name="_Toc194056593"/>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Pioneer Companies' Strategies</w:t>
      </w:r>
      <w:bookmarkEnd w:id="4"/>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Pioneer firms bring new products to the market, typically with high development expenses and the difficulty of customer acceptance. Pioneer firms' strategies are </w:t>
      </w:r>
      <w:r>
        <w:rPr>
          <w:rFonts w:cs="Times New Roman"/>
          <w:color w:val="0D0D0D" w:themeColor="text1" w:themeTint="F2"/>
          <w:szCs w:val="24"/>
          <w14:textFill>
            <w14:solidFill>
              <w14:schemeClr w14:val="tx1">
                <w14:lumMod w14:val="95000"/>
                <w14:lumOff w14:val="5000"/>
              </w14:schemeClr>
            </w14:solidFill>
          </w14:textFill>
        </w:rPr>
        <w:t>cantered</w:t>
      </w:r>
      <w:r>
        <w:rPr>
          <w:rFonts w:cs="Times New Roman"/>
          <w:color w:val="0D0D0D" w:themeColor="text1" w:themeTint="F2"/>
          <w:szCs w:val="24"/>
          <w14:textFill>
            <w14:solidFill>
              <w14:schemeClr w14:val="tx1">
                <w14:lumMod w14:val="95000"/>
                <w14:lumOff w14:val="5000"/>
              </w14:schemeClr>
            </w14:solidFill>
          </w14:textFill>
        </w:rPr>
        <w:t xml:space="preserve"> on brand creation, differentiation, and leadership maintenance.</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During the introduction phase, pioneer firms spend extensively on research and development, promotion, and consumer education to establish demand for their new products. They tend to charge premium prices to cover high initial expenses and establish themselves as innovators. Tesla, for instance, invaded the electric car market with premium models like the Tesla Roadster and Model S. By positioning itself among high-end early adopters and leveraging innovation, Tesla established a brand name and laid the groundwork for mass-market adoption of EVs</w:t>
      </w:r>
      <w:r>
        <w:rPr>
          <w:rFonts w:cs="Times New Roman"/>
          <w:color w:val="0D0D0D" w:themeColor="text1" w:themeTint="F2"/>
          <w:szCs w:val="24"/>
          <w14:textFill>
            <w14:solidFill>
              <w14:schemeClr w14:val="tx1">
                <w14:lumMod w14:val="95000"/>
                <w14:lumOff w14:val="5000"/>
              </w14:schemeClr>
            </w14:solidFill>
          </w14:textFill>
        </w:rPr>
        <w:t xml:space="preserve"> (Gupta and Bose, 2019)</w:t>
      </w:r>
      <w:r>
        <w:rPr>
          <w:rFonts w:cs="Times New Roman"/>
          <w:color w:val="0D0D0D" w:themeColor="text1" w:themeTint="F2"/>
          <w:szCs w:val="24"/>
          <w14:textFill>
            <w14:solidFill>
              <w14:schemeClr w14:val="tx1">
                <w14:lumMod w14:val="95000"/>
                <w14:lumOff w14:val="5000"/>
              </w14:schemeClr>
            </w14:solidFill>
          </w14:textFill>
        </w:rPr>
        <w: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In the growth stage, pioneers concentrate on increasing production, widening distribution networks, and establishing product differentiation in order to hold their leadership position. They enhance manufacturing efficiency, improve supply chain management, and develop product variations for targeting various segments of consumers. Apple is the best example to illustrate this tactic by first offering the iPhone as a premium device and subsequently expanding its range by offering different versions at different prices, like the iPhone SE and the iPhone Pro series. It helped increase the customer base for Apple while continuing to maintain its premium brand positioning</w:t>
      </w:r>
      <w:r>
        <w:rPr>
          <w:rFonts w:cs="Times New Roman"/>
          <w:color w:val="0D0D0D" w:themeColor="text1" w:themeTint="F2"/>
          <w:szCs w:val="24"/>
          <w14:textFill>
            <w14:solidFill>
              <w14:schemeClr w14:val="tx1">
                <w14:lumMod w14:val="95000"/>
                <w14:lumOff w14:val="5000"/>
              </w14:schemeClr>
            </w14:solidFill>
          </w14:textFill>
        </w:rPr>
        <w:t xml:space="preserve"> (Parry and Sharma, 2019)</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As competition gets fiercer in the maturity stage, pioneers turn towards market penetration and cost leadership. To maintain their market leadership, they tend to cut prices, maximize supply chain efficacies, and invest in the development of ecosystems to generate long-term value. Netflix, for example, first depended on content licensing but eventually shifted to creating original content like "Stranger Things" and "The Crown." This helped Netflix differentiate itself from others and keep subscribers while growing internationally by localizing content for various regions.</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In the decline phase, pioneers have to either reinvent their business models, diversify into new markets, or plan an exit strategy. Most companies shift to adjacent markets or create new business models in order to remain relevant</w:t>
      </w:r>
      <w:r>
        <w:rPr>
          <w:rFonts w:cs="Times New Roman"/>
          <w:color w:val="0D0D0D" w:themeColor="text1" w:themeTint="F2"/>
          <w:szCs w:val="24"/>
          <w14:textFill>
            <w14:solidFill>
              <w14:schemeClr w14:val="tx1">
                <w14:lumMod w14:val="95000"/>
                <w14:lumOff w14:val="5000"/>
              </w14:schemeClr>
            </w14:solidFill>
          </w14:textFill>
        </w:rPr>
        <w:t xml:space="preserve"> (Collier et al., 2019)</w:t>
      </w:r>
      <w:r>
        <w:rPr>
          <w:rFonts w:cs="Times New Roman"/>
          <w:color w:val="0D0D0D" w:themeColor="text1" w:themeTint="F2"/>
          <w:szCs w:val="24"/>
          <w14:textFill>
            <w14:solidFill>
              <w14:schemeClr w14:val="tx1">
                <w14:lumMod w14:val="95000"/>
                <w14:lumOff w14:val="5000"/>
              </w14:schemeClr>
            </w14:solidFill>
          </w14:textFill>
        </w:rPr>
        <w:t>. IBM is a classic case, having at one point been the behemoth of the personal computer industry before shifting focus to artificial intelligence and cloud computing. Rather than compete in the ever-lower-margin hardware sector, IBM used its capabilities to remain at the forefront of the tech world</w:t>
      </w:r>
      <w:r>
        <w:rPr>
          <w:rFonts w:cs="Times New Roman"/>
          <w:color w:val="0D0D0D" w:themeColor="text1" w:themeTint="F2"/>
          <w:szCs w:val="24"/>
          <w14:textFill>
            <w14:solidFill>
              <w14:schemeClr w14:val="tx1">
                <w14:lumMod w14:val="95000"/>
                <w14:lumOff w14:val="5000"/>
              </w14:schemeClr>
            </w14:solidFill>
          </w14:textFill>
        </w:rPr>
        <w:t xml:space="preserve"> (Zarour et al., 2019)</w:t>
      </w:r>
      <w:r>
        <w:rPr>
          <w:rFonts w:cs="Times New Roman"/>
          <w:color w:val="0D0D0D" w:themeColor="text1" w:themeTint="F2"/>
          <w:szCs w:val="24"/>
          <w14:textFill>
            <w14:solidFill>
              <w14:schemeClr w14:val="tx1">
                <w14:lumMod w14:val="95000"/>
                <w14:lumOff w14:val="5000"/>
              </w14:schemeClr>
            </w14:solidFill>
          </w14:textFill>
        </w:rPr>
        <w:t>.</w:t>
      </w:r>
    </w:p>
    <w:p>
      <w:pPr>
        <w:pStyle w:val="3"/>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5" w:name="_Toc194056594"/>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Follower Companies' Strategies</w:t>
      </w:r>
      <w:bookmarkEnd w:id="5"/>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Followers move into the market subsequent to pioneers, capitalizing on learned lessons, technological advancements, and established consumer demand. They compete on the basis of competitive price, market positioning, and ongoing innovation.</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During the introductory phase, the followers emphasize positioning in the market and competitive pricing instead of over-investment in research and development. By presenting a superior value proposition that captures quality and price, they lure price-sensitive customers. Samsung has done this when it entered the smartphone segment after Apple. Instead of focusing exclusively on the high-end segment, Samsung launched a wide variety of smartphones in different price segments that appealed to high-end as well as price-sensitive customers</w:t>
      </w:r>
      <w:r>
        <w:rPr>
          <w:rFonts w:cs="Times New Roman"/>
          <w:color w:val="0D0D0D" w:themeColor="text1" w:themeTint="F2"/>
          <w:szCs w:val="24"/>
          <w14:textFill>
            <w14:solidFill>
              <w14:schemeClr w14:val="tx1">
                <w14:lumMod w14:val="95000"/>
                <w14:lumOff w14:val="5000"/>
              </w14:schemeClr>
            </w14:solidFill>
          </w14:textFill>
        </w:rPr>
        <w:t xml:space="preserve"> (Gupta and Bose, 2019)</w:t>
      </w:r>
      <w:r>
        <w:rPr>
          <w:rFonts w:cs="Times New Roman"/>
          <w:color w:val="0D0D0D" w:themeColor="text1" w:themeTint="F2"/>
          <w:szCs w:val="24"/>
          <w14:textFill>
            <w14:solidFill>
              <w14:schemeClr w14:val="tx1">
                <w14:lumMod w14:val="95000"/>
                <w14:lumOff w14:val="5000"/>
              </w14:schemeClr>
            </w14:solidFill>
          </w14:textFill>
        </w:rPr>
        <w:t>.</w:t>
      </w:r>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In the growth phase, follower firms undertake aggressive marketing campaigns and improve product features to catch up with pioneers. Most spend on alliances, international expansion, and better technology to gain market share. Google's Android operating system is a classic case in point. Even though Apple's iOS was the initial major mobile operating system, Google soon established dominance by forging alliances with various smartphone makers. By opening up Android to the public, Google allowed Samsung, Huawei, and OnePlus, among other brands, to personalize and fine-tune the system, making it popular</w:t>
      </w:r>
      <w:r>
        <w:rPr>
          <w:rFonts w:cs="Times New Roman"/>
          <w:color w:val="0D0D0D" w:themeColor="text1" w:themeTint="F2"/>
          <w:szCs w:val="24"/>
          <w14:textFill>
            <w14:solidFill>
              <w14:schemeClr w14:val="tx1">
                <w14:lumMod w14:val="95000"/>
                <w14:lumOff w14:val="5000"/>
              </w14:schemeClr>
            </w14:solidFill>
          </w14:textFill>
        </w:rPr>
        <w:t xml:space="preserve"> (Garg and </w:t>
      </w:r>
      <w:r>
        <w:rPr>
          <w:rFonts w:cs="Times New Roman"/>
          <w:color w:val="0D0D0D" w:themeColor="text1" w:themeTint="F2"/>
          <w:szCs w:val="24"/>
          <w14:textFill>
            <w14:solidFill>
              <w14:schemeClr w14:val="tx1">
                <w14:lumMod w14:val="95000"/>
                <w14:lumOff w14:val="5000"/>
              </w14:schemeClr>
            </w14:solidFill>
          </w14:textFill>
        </w:rPr>
        <w:t>Baliyan</w:t>
      </w:r>
      <w:r>
        <w:rPr>
          <w:rFonts w:cs="Times New Roman"/>
          <w:color w:val="0D0D0D" w:themeColor="text1" w:themeTint="F2"/>
          <w:szCs w:val="24"/>
          <w14:textFill>
            <w14:solidFill>
              <w14:schemeClr w14:val="tx1">
                <w14:lumMod w14:val="95000"/>
                <w14:lumOff w14:val="5000"/>
              </w14:schemeClr>
            </w14:solidFill>
          </w14:textFill>
        </w:rPr>
        <w:t>, 2021)</w:t>
      </w:r>
      <w:r>
        <w:rPr>
          <w:rFonts w:cs="Times New Roman"/>
          <w:color w:val="0D0D0D" w:themeColor="text1" w:themeTint="F2"/>
          <w:szCs w:val="24"/>
          <w14:textFill>
            <w14:solidFill>
              <w14:schemeClr w14:val="tx1">
                <w14:lumMod w14:val="95000"/>
                <w14:lumOff w14:val="5000"/>
              </w14:schemeClr>
            </w14:solidFill>
          </w14:textFill>
        </w:rPr>
        <w: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Follower companies differentiate at the maturity phase through innovation, strategic pricing, and operational efficiency. Instead of competing on price alone, they concentrate on product quality and user experience improvement as well as on optimizing the cost of production. Xiaomi was able to execute this strategy by providing high-end smartphone features at mid-range prices. By concentrating on online sales, reducing marketing expenditure, and rationalizing supply chain operations, Xiaomi offered a very attractive alternative to premium brands such as Apple and Samsung.</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When confronted with product decline, follower firms tend to revive current products, expand into new markets, or shift business models. A few diversify into growth-rich emerging markets, whereas others reinvent products to accommodate evolving consumer tastes. Nintendo is a classic example of product reinvention. Having struggled with the disappointing Wii U, Nintendo regenerated its business with the Nintendo Switch. The hybrid console rectified past flaws by providing both a home and portable gaming experience, effectively restoring the company's market standing</w:t>
      </w:r>
      <w:r>
        <w:rPr>
          <w:rFonts w:cs="Times New Roman"/>
          <w:color w:val="0D0D0D" w:themeColor="text1" w:themeTint="F2"/>
          <w:szCs w:val="24"/>
          <w14:textFill>
            <w14:solidFill>
              <w14:schemeClr w14:val="tx1">
                <w14:lumMod w14:val="95000"/>
                <w14:lumOff w14:val="5000"/>
              </w14:schemeClr>
            </w14:solidFill>
          </w14:textFill>
        </w:rPr>
        <w:t xml:space="preserve"> (Leith, 2021)</w:t>
      </w:r>
      <w:r>
        <w:rPr>
          <w:rFonts w:cs="Times New Roman"/>
          <w:color w:val="0D0D0D" w:themeColor="text1" w:themeTint="F2"/>
          <w:szCs w:val="24"/>
          <w14:textFill>
            <w14:solidFill>
              <w14:schemeClr w14:val="tx1">
                <w14:lumMod w14:val="95000"/>
                <w14:lumOff w14:val="5000"/>
              </w14:schemeClr>
            </w14:solidFill>
          </w14:textFill>
        </w:rPr>
        <w:t>.</w:t>
      </w:r>
    </w:p>
    <w:p>
      <w:pPr>
        <w:pStyle w:val="2"/>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6" w:name="_Toc194056595"/>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Conclusion</w:t>
      </w:r>
      <w:bookmarkEnd w:id="6"/>
    </w:p>
    <w:p>
      <w:pPr>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Both pioneer and follower strategies have unique strengths and weaknesses in the strategic marketing process. Pioneers enjoy advantages like first-mover benefits of good brand recall, customer loyalty, and leadership in technology. Pioneers establish industry standards, patents, and economies of scale, erecting entry barriers to competitors. Yet pioneering also entails exorbitant research and development expenditures, the threat of unpredictable market acceptance, and the challenge of maintaining long-term leadership. Firms such as Apple and Tesla have been able to use their pioneering status to monopolize their respective markets by continuously innovating and expanding their ecosystems.</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color w:val="0D0D0D" w:themeColor="text1" w:themeTint="F2"/>
          <w:szCs w:val="24"/>
          <w14:textFill>
            <w14:solidFill>
              <w14:schemeClr w14:val="tx1">
                <w14:lumMod w14:val="95000"/>
                <w14:lumOff w14:val="5000"/>
              </w14:schemeClr>
            </w14:solidFill>
          </w14:textFill>
        </w:rPr>
        <w:t xml:space="preserve">Followers, in contrast, ride on lower risks, lower costs of development, and better understanding of the market. By </w:t>
      </w:r>
      <w:r>
        <w:rPr>
          <w:rFonts w:cs="Times New Roman"/>
          <w:color w:val="0D0D0D" w:themeColor="text1" w:themeTint="F2"/>
          <w:szCs w:val="24"/>
          <w14:textFill>
            <w14:solidFill>
              <w14:schemeClr w14:val="tx1">
                <w14:lumMod w14:val="95000"/>
                <w14:lumOff w14:val="5000"/>
              </w14:schemeClr>
            </w14:solidFill>
          </w14:textFill>
        </w:rPr>
        <w:t>analysing</w:t>
      </w:r>
      <w:r>
        <w:rPr>
          <w:rFonts w:cs="Times New Roman"/>
          <w:color w:val="0D0D0D" w:themeColor="text1" w:themeTint="F2"/>
          <w:szCs w:val="24"/>
          <w14:textFill>
            <w14:solidFill>
              <w14:schemeClr w14:val="tx1">
                <w14:lumMod w14:val="95000"/>
                <w14:lumOff w14:val="5000"/>
              </w14:schemeClr>
            </w14:solidFill>
          </w14:textFill>
        </w:rPr>
        <w:t xml:space="preserve"> the errors made by pioneers, they are able to innovate products, improve price strategies, and provide better value propositions to customers. Companies such as Samsung and Xiaomi have been able to adopt follower strategies by providing good quality products at fair prices and accomplishing huge market penetration. Although followers are challenged by how to differentiate themselves from well-established pioneers, their capacity to quickly evolve, enhance available technologies, and move into new markets enables them to gain sustainable growth.</w:t>
      </w:r>
      <w:r>
        <w:rPr>
          <w:rFonts w:cs="Times New Roman"/>
          <w:color w:val="0D0D0D" w:themeColor="text1" w:themeTint="F2"/>
          <w:szCs w:val="24"/>
          <w14:textFill>
            <w14:solidFill>
              <w14:schemeClr w14:val="tx1">
                <w14:lumMod w14:val="95000"/>
                <w14:lumOff w14:val="5000"/>
              </w14:schemeClr>
            </w14:solidFill>
          </w14:textFill>
        </w:rPr>
        <w:t xml:space="preserve"> The s</w:t>
      </w:r>
      <w:r>
        <w:rPr>
          <w:rFonts w:cs="Times New Roman"/>
          <w:color w:val="0D0D0D" w:themeColor="text1" w:themeTint="F2"/>
          <w:szCs w:val="24"/>
          <w14:textFill>
            <w14:solidFill>
              <w14:schemeClr w14:val="tx1">
                <w14:lumMod w14:val="95000"/>
                <w14:lumOff w14:val="5000"/>
              </w14:schemeClr>
            </w14:solidFill>
          </w14:textFill>
        </w:rPr>
        <w:t>uccess for a company relies on the successful execution of product life cycle strategies. Pioneers have to emphasize constant innovation, branding, and building ecosystems, whereas followers need to emphasize efficiency, differentiation, and responsiveness to markets. Both strategies, when put into practice in a strategic manner, allow companies to sustain a competitive advantage, ensure long-term profitability, and manage the complexity of a changing market environment.</w:t>
      </w: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rPr>
          <w:rFonts w:cs="Times New Roman"/>
          <w:color w:val="0D0D0D" w:themeColor="text1" w:themeTint="F2"/>
          <w:szCs w:val="24"/>
          <w14:textFill>
            <w14:solidFill>
              <w14:schemeClr w14:val="tx1">
                <w14:lumMod w14:val="95000"/>
                <w14:lumOff w14:val="5000"/>
              </w14:schemeClr>
            </w14:solidFill>
          </w14:textFill>
        </w:rPr>
      </w:pPr>
    </w:p>
    <w:p>
      <w:pPr>
        <w:pStyle w:val="2"/>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pPr>
      <w:bookmarkStart w:id="7" w:name="_Toc194056596"/>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References</w:t>
      </w:r>
      <w:bookmarkEnd w:id="7"/>
      <w:r>
        <w:rPr>
          <w:rFonts w:ascii="Times New Roman" w:hAnsi="Times New Roman" w:cs="Times New Roman"/>
          <w:color w:val="0D0D0D" w:themeColor="text1" w:themeTint="F2"/>
          <w:sz w:val="24"/>
          <w:szCs w:val="24"/>
          <w14:textFill>
            <w14:solidFill>
              <w14:schemeClr w14:val="tx1">
                <w14:lumMod w14:val="95000"/>
                <w14:lumOff w14:val="5000"/>
              </w14:schemeClr>
            </w14:solidFill>
          </w14:textFill>
        </w:rPr>
        <w:t xml:space="preserve"> </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Agarwal, R., </w:t>
      </w:r>
      <w:r>
        <w:rPr>
          <w:rFonts w:cs="Times New Roman"/>
          <w:color w:val="0D0D0D" w:themeColor="text1" w:themeTint="F2"/>
          <w:szCs w:val="24"/>
          <w14:textFill>
            <w14:solidFill>
              <w14:schemeClr w14:val="tx1">
                <w14:lumMod w14:val="95000"/>
                <w14:lumOff w14:val="5000"/>
              </w14:schemeClr>
            </w14:solidFill>
          </w14:textFill>
        </w:rPr>
        <w:t>Braguinsky</w:t>
      </w:r>
      <w:r>
        <w:rPr>
          <w:rFonts w:cs="Times New Roman"/>
          <w:color w:val="0D0D0D" w:themeColor="text1" w:themeTint="F2"/>
          <w:szCs w:val="24"/>
          <w14:textFill>
            <w14:solidFill>
              <w14:schemeClr w14:val="tx1">
                <w14:lumMod w14:val="95000"/>
                <w14:lumOff w14:val="5000"/>
              </w14:schemeClr>
            </w14:solidFill>
          </w14:textFill>
        </w:rPr>
        <w:t xml:space="preserve">, S. and Ohyama, A., 2020. </w:t>
      </w:r>
      <w:r>
        <w:rPr>
          <w:rFonts w:cs="Times New Roman"/>
          <w:color w:val="0D0D0D" w:themeColor="text1" w:themeTint="F2"/>
          <w:szCs w:val="24"/>
          <w14:textFill>
            <w14:solidFill>
              <w14:schemeClr w14:val="tx1">
                <w14:lumMod w14:val="95000"/>
                <w14:lumOff w14:val="5000"/>
              </w14:schemeClr>
            </w14:solidFill>
          </w14:textFill>
        </w:rPr>
        <w:t>Centers</w:t>
      </w:r>
      <w:r>
        <w:rPr>
          <w:rFonts w:cs="Times New Roman"/>
          <w:color w:val="0D0D0D" w:themeColor="text1" w:themeTint="F2"/>
          <w:szCs w:val="24"/>
          <w14:textFill>
            <w14:solidFill>
              <w14:schemeClr w14:val="tx1">
                <w14:lumMod w14:val="95000"/>
                <w14:lumOff w14:val="5000"/>
              </w14:schemeClr>
            </w14:solidFill>
          </w14:textFill>
        </w:rPr>
        <w:t xml:space="preserve"> of gravity: The effect of stable shared leadership in top management teams on firm growth and industry evolution. </w:t>
      </w:r>
      <w:r>
        <w:rPr>
          <w:rFonts w:cs="Times New Roman"/>
          <w:i/>
          <w:iCs/>
          <w:color w:val="0D0D0D" w:themeColor="text1" w:themeTint="F2"/>
          <w:szCs w:val="24"/>
          <w14:textFill>
            <w14:solidFill>
              <w14:schemeClr w14:val="tx1">
                <w14:lumMod w14:val="95000"/>
                <w14:lumOff w14:val="5000"/>
              </w14:schemeClr>
            </w14:solidFill>
          </w14:textFill>
        </w:rPr>
        <w:t>Strategic Management Journal</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41</w:t>
      </w:r>
      <w:r>
        <w:rPr>
          <w:rFonts w:cs="Times New Roman"/>
          <w:color w:val="0D0D0D" w:themeColor="text1" w:themeTint="F2"/>
          <w:szCs w:val="24"/>
          <w14:textFill>
            <w14:solidFill>
              <w14:schemeClr w14:val="tx1">
                <w14:lumMod w14:val="95000"/>
                <w14:lumOff w14:val="5000"/>
              </w14:schemeClr>
            </w14:solidFill>
          </w14:textFill>
        </w:rPr>
        <w:t>(3), pp.467-498.</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Barwise, P. and Watkins, L., 2018. The evolution of digital dominance. </w:t>
      </w:r>
      <w:r>
        <w:rPr>
          <w:rFonts w:cs="Times New Roman"/>
          <w:i/>
          <w:iCs/>
          <w:color w:val="0D0D0D" w:themeColor="text1" w:themeTint="F2"/>
          <w:szCs w:val="24"/>
          <w14:textFill>
            <w14:solidFill>
              <w14:schemeClr w14:val="tx1">
                <w14:lumMod w14:val="95000"/>
                <w14:lumOff w14:val="5000"/>
              </w14:schemeClr>
            </w14:solidFill>
          </w14:textFill>
        </w:rPr>
        <w:t>Digital dominance: the power of Google, Amazon, Facebook, and Apple</w:t>
      </w:r>
      <w:r>
        <w:rPr>
          <w:rFonts w:cs="Times New Roman"/>
          <w:color w:val="0D0D0D" w:themeColor="text1" w:themeTint="F2"/>
          <w:szCs w:val="24"/>
          <w14:textFill>
            <w14:solidFill>
              <w14:schemeClr w14:val="tx1">
                <w14:lumMod w14:val="95000"/>
                <w14:lumOff w14:val="5000"/>
              </w14:schemeClr>
            </w14:solidFill>
          </w14:textFill>
        </w:rPr>
        <w:t>, pp.21-49.</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Cai, D., Agarwal, A. and Wierman, A., 2020. On the inefficiency of forward markets in leader–follower competition. </w:t>
      </w:r>
      <w:r>
        <w:rPr>
          <w:rFonts w:cs="Times New Roman"/>
          <w:i/>
          <w:iCs/>
          <w:color w:val="0D0D0D" w:themeColor="text1" w:themeTint="F2"/>
          <w:szCs w:val="24"/>
          <w14:textFill>
            <w14:solidFill>
              <w14:schemeClr w14:val="tx1">
                <w14:lumMod w14:val="95000"/>
                <w14:lumOff w14:val="5000"/>
              </w14:schemeClr>
            </w14:solidFill>
          </w14:textFill>
        </w:rPr>
        <w:t>Operations Research</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68</w:t>
      </w:r>
      <w:r>
        <w:rPr>
          <w:rFonts w:cs="Times New Roman"/>
          <w:color w:val="0D0D0D" w:themeColor="text1" w:themeTint="F2"/>
          <w:szCs w:val="24"/>
          <w14:textFill>
            <w14:solidFill>
              <w14:schemeClr w14:val="tx1">
                <w14:lumMod w14:val="95000"/>
                <w14:lumOff w14:val="5000"/>
              </w14:schemeClr>
            </w14:solidFill>
          </w14:textFill>
        </w:rPr>
        <w:t>(1), pp.35-52.</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Chan, J., Selden, M. and Pun, N., 2020. </w:t>
      </w:r>
      <w:r>
        <w:rPr>
          <w:rFonts w:cs="Times New Roman"/>
          <w:i/>
          <w:iCs/>
          <w:color w:val="0D0D0D" w:themeColor="text1" w:themeTint="F2"/>
          <w:szCs w:val="24"/>
          <w14:textFill>
            <w14:solidFill>
              <w14:schemeClr w14:val="tx1">
                <w14:lumMod w14:val="95000"/>
                <w14:lumOff w14:val="5000"/>
              </w14:schemeClr>
            </w14:solidFill>
          </w14:textFill>
        </w:rPr>
        <w:t>Dying for an iPhone: Apple, Foxconn, and the Lives of China's Workers</w:t>
      </w:r>
      <w:r>
        <w:rPr>
          <w:rFonts w:cs="Times New Roman"/>
          <w:color w:val="0D0D0D" w:themeColor="text1" w:themeTint="F2"/>
          <w:szCs w:val="24"/>
          <w14:textFill>
            <w14:solidFill>
              <w14:schemeClr w14:val="tx1">
                <w14:lumMod w14:val="95000"/>
                <w14:lumOff w14:val="5000"/>
              </w14:schemeClr>
            </w14:solidFill>
          </w14:textFill>
        </w:rPr>
        <w:t>. Haymarket Books.</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Collier, P., Gregory, N. and </w:t>
      </w:r>
      <w:r>
        <w:rPr>
          <w:rFonts w:cs="Times New Roman"/>
          <w:color w:val="0D0D0D" w:themeColor="text1" w:themeTint="F2"/>
          <w:szCs w:val="24"/>
          <w14:textFill>
            <w14:solidFill>
              <w14:schemeClr w14:val="tx1">
                <w14:lumMod w14:val="95000"/>
                <w14:lumOff w14:val="5000"/>
              </w14:schemeClr>
            </w14:solidFill>
          </w14:textFill>
        </w:rPr>
        <w:t>Ragoussis</w:t>
      </w:r>
      <w:r>
        <w:rPr>
          <w:rFonts w:cs="Times New Roman"/>
          <w:color w:val="0D0D0D" w:themeColor="text1" w:themeTint="F2"/>
          <w:szCs w:val="24"/>
          <w14:textFill>
            <w14:solidFill>
              <w14:schemeClr w14:val="tx1">
                <w14:lumMod w14:val="95000"/>
                <w14:lumOff w14:val="5000"/>
              </w14:schemeClr>
            </w14:solidFill>
          </w14:textFill>
        </w:rPr>
        <w:t xml:space="preserve">, A., 2019. Pioneering firms in Fragile and conflict-affected states: Why and how development finance institutions should support them. </w:t>
      </w:r>
      <w:r>
        <w:rPr>
          <w:rFonts w:cs="Times New Roman"/>
          <w:i/>
          <w:iCs/>
          <w:color w:val="0D0D0D" w:themeColor="text1" w:themeTint="F2"/>
          <w:szCs w:val="24"/>
          <w14:textFill>
            <w14:solidFill>
              <w14:schemeClr w14:val="tx1">
                <w14:lumMod w14:val="95000"/>
                <w14:lumOff w14:val="5000"/>
              </w14:schemeClr>
            </w14:solidFill>
          </w14:textFill>
        </w:rPr>
        <w:t>World Bank Policy Research Working Paper</w:t>
      </w:r>
      <w:r>
        <w:rPr>
          <w:rFonts w:cs="Times New Roman"/>
          <w:color w:val="0D0D0D" w:themeColor="text1" w:themeTint="F2"/>
          <w:szCs w:val="24"/>
          <w14:textFill>
            <w14:solidFill>
              <w14:schemeClr w14:val="tx1">
                <w14:lumMod w14:val="95000"/>
                <w14:lumOff w14:val="5000"/>
              </w14:schemeClr>
            </w14:solidFill>
          </w14:textFill>
        </w:rPr>
        <w:t>, (8774).</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Garg, S. and </w:t>
      </w:r>
      <w:r>
        <w:rPr>
          <w:rFonts w:cs="Times New Roman"/>
          <w:color w:val="0D0D0D" w:themeColor="text1" w:themeTint="F2"/>
          <w:szCs w:val="24"/>
          <w14:textFill>
            <w14:solidFill>
              <w14:schemeClr w14:val="tx1">
                <w14:lumMod w14:val="95000"/>
                <w14:lumOff w14:val="5000"/>
              </w14:schemeClr>
            </w14:solidFill>
          </w14:textFill>
        </w:rPr>
        <w:t>Baliyan</w:t>
      </w:r>
      <w:r>
        <w:rPr>
          <w:rFonts w:cs="Times New Roman"/>
          <w:color w:val="0D0D0D" w:themeColor="text1" w:themeTint="F2"/>
          <w:szCs w:val="24"/>
          <w14:textFill>
            <w14:solidFill>
              <w14:schemeClr w14:val="tx1">
                <w14:lumMod w14:val="95000"/>
                <w14:lumOff w14:val="5000"/>
              </w14:schemeClr>
            </w14:solidFill>
          </w14:textFill>
        </w:rPr>
        <w:t xml:space="preserve">, N., 2021. Comparative analysis of Android and iOS from security viewpoint. </w:t>
      </w:r>
      <w:r>
        <w:rPr>
          <w:rFonts w:cs="Times New Roman"/>
          <w:i/>
          <w:iCs/>
          <w:color w:val="0D0D0D" w:themeColor="text1" w:themeTint="F2"/>
          <w:szCs w:val="24"/>
          <w14:textFill>
            <w14:solidFill>
              <w14:schemeClr w14:val="tx1">
                <w14:lumMod w14:val="95000"/>
                <w14:lumOff w14:val="5000"/>
              </w14:schemeClr>
            </w14:solidFill>
          </w14:textFill>
        </w:rPr>
        <w:t>Computer Science Review</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40</w:t>
      </w:r>
      <w:r>
        <w:rPr>
          <w:rFonts w:cs="Times New Roman"/>
          <w:color w:val="0D0D0D" w:themeColor="text1" w:themeTint="F2"/>
          <w:szCs w:val="24"/>
          <w14:textFill>
            <w14:solidFill>
              <w14:schemeClr w14:val="tx1">
                <w14:lumMod w14:val="95000"/>
                <w14:lumOff w14:val="5000"/>
              </w14:schemeClr>
            </w14:solidFill>
          </w14:textFill>
        </w:rPr>
        <w:t>, p.100372.</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Gupta, G. and Bose, I., 2019. Strategic learning for digital market pioneering: Examining the transformation of </w:t>
      </w:r>
      <w:r>
        <w:rPr>
          <w:rFonts w:cs="Times New Roman"/>
          <w:color w:val="0D0D0D" w:themeColor="text1" w:themeTint="F2"/>
          <w:szCs w:val="24"/>
          <w14:textFill>
            <w14:solidFill>
              <w14:schemeClr w14:val="tx1">
                <w14:lumMod w14:val="95000"/>
                <w14:lumOff w14:val="5000"/>
              </w14:schemeClr>
            </w14:solidFill>
          </w14:textFill>
        </w:rPr>
        <w:t>Wishberry's</w:t>
      </w:r>
      <w:r>
        <w:rPr>
          <w:rFonts w:cs="Times New Roman"/>
          <w:color w:val="0D0D0D" w:themeColor="text1" w:themeTint="F2"/>
          <w:szCs w:val="24"/>
          <w14:textFill>
            <w14:solidFill>
              <w14:schemeClr w14:val="tx1">
                <w14:lumMod w14:val="95000"/>
                <w14:lumOff w14:val="5000"/>
              </w14:schemeClr>
            </w14:solidFill>
          </w14:textFill>
        </w:rPr>
        <w:t xml:space="preserve"> crowdfunding model. </w:t>
      </w:r>
      <w:r>
        <w:rPr>
          <w:rFonts w:cs="Times New Roman"/>
          <w:i/>
          <w:iCs/>
          <w:color w:val="0D0D0D" w:themeColor="text1" w:themeTint="F2"/>
          <w:szCs w:val="24"/>
          <w14:textFill>
            <w14:solidFill>
              <w14:schemeClr w14:val="tx1">
                <w14:lumMod w14:val="95000"/>
                <w14:lumOff w14:val="5000"/>
              </w14:schemeClr>
            </w14:solidFill>
          </w14:textFill>
        </w:rPr>
        <w:t>Technological Forecasting and Social Change</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146</w:t>
      </w:r>
      <w:r>
        <w:rPr>
          <w:rFonts w:cs="Times New Roman"/>
          <w:color w:val="0D0D0D" w:themeColor="text1" w:themeTint="F2"/>
          <w:szCs w:val="24"/>
          <w14:textFill>
            <w14:solidFill>
              <w14:schemeClr w14:val="tx1">
                <w14:lumMod w14:val="95000"/>
                <w14:lumOff w14:val="5000"/>
              </w14:schemeClr>
            </w14:solidFill>
          </w14:textFill>
        </w:rPr>
        <w:t>, pp.865-876.</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Hendrayati</w:t>
      </w:r>
      <w:r>
        <w:rPr>
          <w:rFonts w:cs="Times New Roman"/>
          <w:color w:val="0D0D0D" w:themeColor="text1" w:themeTint="F2"/>
          <w:szCs w:val="24"/>
          <w14:textFill>
            <w14:solidFill>
              <w14:schemeClr w14:val="tx1">
                <w14:lumMod w14:val="95000"/>
                <w14:lumOff w14:val="5000"/>
              </w14:schemeClr>
            </w14:solidFill>
          </w14:textFill>
        </w:rPr>
        <w:t xml:space="preserve">, H. and </w:t>
      </w:r>
      <w:r>
        <w:rPr>
          <w:rFonts w:cs="Times New Roman"/>
          <w:color w:val="0D0D0D" w:themeColor="text1" w:themeTint="F2"/>
          <w:szCs w:val="24"/>
          <w14:textFill>
            <w14:solidFill>
              <w14:schemeClr w14:val="tx1">
                <w14:lumMod w14:val="95000"/>
                <w14:lumOff w14:val="5000"/>
              </w14:schemeClr>
            </w14:solidFill>
          </w14:textFill>
        </w:rPr>
        <w:t>Pamungkas</w:t>
      </w:r>
      <w:r>
        <w:rPr>
          <w:rFonts w:cs="Times New Roman"/>
          <w:color w:val="0D0D0D" w:themeColor="text1" w:themeTint="F2"/>
          <w:szCs w:val="24"/>
          <w14:textFill>
            <w14:solidFill>
              <w14:schemeClr w14:val="tx1">
                <w14:lumMod w14:val="95000"/>
                <w14:lumOff w14:val="5000"/>
              </w14:schemeClr>
            </w14:solidFill>
          </w14:textFill>
        </w:rPr>
        <w:t xml:space="preserve">, P., 2020, February. Viral marketing and e-word of mouth communication in social media marketing. In </w:t>
      </w:r>
      <w:r>
        <w:rPr>
          <w:rFonts w:cs="Times New Roman"/>
          <w:i/>
          <w:iCs/>
          <w:color w:val="0D0D0D" w:themeColor="text1" w:themeTint="F2"/>
          <w:szCs w:val="24"/>
          <w14:textFill>
            <w14:solidFill>
              <w14:schemeClr w14:val="tx1">
                <w14:lumMod w14:val="95000"/>
                <w14:lumOff w14:val="5000"/>
              </w14:schemeClr>
            </w14:solidFill>
          </w14:textFill>
        </w:rPr>
        <w:t xml:space="preserve">3rd Global Conference </w:t>
      </w:r>
      <w:r>
        <w:rPr>
          <w:rFonts w:cs="Times New Roman"/>
          <w:i/>
          <w:iCs/>
          <w:color w:val="0D0D0D" w:themeColor="text1" w:themeTint="F2"/>
          <w:szCs w:val="24"/>
          <w14:textFill>
            <w14:solidFill>
              <w14:schemeClr w14:val="tx1">
                <w14:lumMod w14:val="95000"/>
                <w14:lumOff w14:val="5000"/>
              </w14:schemeClr>
            </w14:solidFill>
          </w14:textFill>
        </w:rPr>
        <w:t>On</w:t>
      </w:r>
      <w:r>
        <w:rPr>
          <w:rFonts w:cs="Times New Roman"/>
          <w:i/>
          <w:iCs/>
          <w:color w:val="0D0D0D" w:themeColor="text1" w:themeTint="F2"/>
          <w:szCs w:val="24"/>
          <w14:textFill>
            <w14:solidFill>
              <w14:schemeClr w14:val="tx1">
                <w14:lumMod w14:val="95000"/>
                <w14:lumOff w14:val="5000"/>
              </w14:schemeClr>
            </w14:solidFill>
          </w14:textFill>
        </w:rPr>
        <w:t xml:space="preserve"> Business, Management, and Entrepreneurship (GCBME 2018)</w:t>
      </w:r>
      <w:r>
        <w:rPr>
          <w:rFonts w:cs="Times New Roman"/>
          <w:color w:val="0D0D0D" w:themeColor="text1" w:themeTint="F2"/>
          <w:szCs w:val="24"/>
          <w14:textFill>
            <w14:solidFill>
              <w14:schemeClr w14:val="tx1">
                <w14:lumMod w14:val="95000"/>
                <w14:lumOff w14:val="5000"/>
              </w14:schemeClr>
            </w14:solidFill>
          </w14:textFill>
        </w:rPr>
        <w:t xml:space="preserve"> (pp. 41-48). Atlantis Press.</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Jenner, M., Jenner and </w:t>
      </w:r>
      <w:r>
        <w:rPr>
          <w:rFonts w:cs="Times New Roman"/>
          <w:color w:val="0D0D0D" w:themeColor="text1" w:themeTint="F2"/>
          <w:szCs w:val="24"/>
          <w14:textFill>
            <w14:solidFill>
              <w14:schemeClr w14:val="tx1">
                <w14:lumMod w14:val="95000"/>
                <w14:lumOff w14:val="5000"/>
              </w14:schemeClr>
            </w14:solidFill>
          </w14:textFill>
        </w:rPr>
        <w:t>Aboujieb</w:t>
      </w:r>
      <w:r>
        <w:rPr>
          <w:rFonts w:cs="Times New Roman"/>
          <w:color w:val="0D0D0D" w:themeColor="text1" w:themeTint="F2"/>
          <w:szCs w:val="24"/>
          <w14:textFill>
            <w14:solidFill>
              <w14:schemeClr w14:val="tx1">
                <w14:lumMod w14:val="95000"/>
                <w14:lumOff w14:val="5000"/>
              </w14:schemeClr>
            </w14:solidFill>
          </w14:textFill>
        </w:rPr>
        <w:t xml:space="preserve">, 2018. </w:t>
      </w:r>
      <w:r>
        <w:rPr>
          <w:rFonts w:cs="Times New Roman"/>
          <w:i/>
          <w:iCs/>
          <w:color w:val="0D0D0D" w:themeColor="text1" w:themeTint="F2"/>
          <w:szCs w:val="24"/>
          <w14:textFill>
            <w14:solidFill>
              <w14:schemeClr w14:val="tx1">
                <w14:lumMod w14:val="95000"/>
                <w14:lumOff w14:val="5000"/>
              </w14:schemeClr>
            </w14:solidFill>
          </w14:textFill>
        </w:rPr>
        <w:t>Netflix and the Re-invention of Television</w:t>
      </w:r>
      <w:r>
        <w:rPr>
          <w:rFonts w:cs="Times New Roman"/>
          <w:color w:val="0D0D0D" w:themeColor="text1" w:themeTint="F2"/>
          <w:szCs w:val="24"/>
          <w14:textFill>
            <w14:solidFill>
              <w14:schemeClr w14:val="tx1">
                <w14:lumMod w14:val="95000"/>
                <w14:lumOff w14:val="5000"/>
              </w14:schemeClr>
            </w14:solidFill>
          </w14:textFill>
        </w:rPr>
        <w:t xml:space="preserve"> (p. 155). London: Palgrave Macmillan.</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Jerab</w:t>
      </w:r>
      <w:r>
        <w:rPr>
          <w:rFonts w:cs="Times New Roman"/>
          <w:color w:val="0D0D0D" w:themeColor="text1" w:themeTint="F2"/>
          <w:szCs w:val="24"/>
          <w14:textFill>
            <w14:solidFill>
              <w14:schemeClr w14:val="tx1">
                <w14:lumMod w14:val="95000"/>
                <w14:lumOff w14:val="5000"/>
              </w14:schemeClr>
            </w14:solidFill>
          </w14:textFill>
        </w:rPr>
        <w:t xml:space="preserve">, D. and Mabrouk, T., 2023. Strategic excellence: Achieving competitive advantage through differentiation strategies. </w:t>
      </w:r>
      <w:r>
        <w:rPr>
          <w:rFonts w:cs="Times New Roman"/>
          <w:i/>
          <w:iCs/>
          <w:color w:val="0D0D0D" w:themeColor="text1" w:themeTint="F2"/>
          <w:szCs w:val="24"/>
          <w14:textFill>
            <w14:solidFill>
              <w14:schemeClr w14:val="tx1">
                <w14:lumMod w14:val="95000"/>
                <w14:lumOff w14:val="5000"/>
              </w14:schemeClr>
            </w14:solidFill>
          </w14:textFill>
        </w:rPr>
        <w:t>Available at SSRN 4575042</w:t>
      </w:r>
      <w:r>
        <w:rPr>
          <w:rFonts w:cs="Times New Roman"/>
          <w:color w:val="0D0D0D" w:themeColor="text1" w:themeTint="F2"/>
          <w:szCs w:val="24"/>
          <w14:textFill>
            <w14:solidFill>
              <w14:schemeClr w14:val="tx1">
                <w14:lumMod w14:val="95000"/>
                <w14:lumOff w14:val="5000"/>
              </w14:schemeClr>
            </w14:solidFill>
          </w14:textFill>
        </w:rPr>
        <w:t>.</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Kadam, M.B., 2019. Electronic commerce: a study on benefits and </w:t>
      </w:r>
      <w:r>
        <w:rPr>
          <w:rFonts w:cs="Times New Roman"/>
          <w:color w:val="0D0D0D" w:themeColor="text1" w:themeTint="F2"/>
          <w:szCs w:val="24"/>
          <w14:textFill>
            <w14:solidFill>
              <w14:schemeClr w14:val="tx1">
                <w14:lumMod w14:val="95000"/>
                <w14:lumOff w14:val="5000"/>
              </w14:schemeClr>
            </w14:solidFill>
          </w14:textFill>
        </w:rPr>
        <w:t>challeneges</w:t>
      </w:r>
      <w:r>
        <w:rPr>
          <w:rFonts w:cs="Times New Roman"/>
          <w:color w:val="0D0D0D" w:themeColor="text1" w:themeTint="F2"/>
          <w:szCs w:val="24"/>
          <w14:textFill>
            <w14:solidFill>
              <w14:schemeClr w14:val="tx1">
                <w14:lumMod w14:val="95000"/>
                <w14:lumOff w14:val="5000"/>
              </w14:schemeClr>
            </w14:solidFill>
          </w14:textFill>
        </w:rPr>
        <w:t xml:space="preserve"> in an emerging economy. </w:t>
      </w:r>
      <w:r>
        <w:rPr>
          <w:rFonts w:cs="Times New Roman"/>
          <w:i/>
          <w:iCs/>
          <w:color w:val="0D0D0D" w:themeColor="text1" w:themeTint="F2"/>
          <w:szCs w:val="24"/>
          <w14:textFill>
            <w14:solidFill>
              <w14:schemeClr w14:val="tx1">
                <w14:lumMod w14:val="95000"/>
                <w14:lumOff w14:val="5000"/>
              </w14:schemeClr>
            </w14:solidFill>
          </w14:textFill>
        </w:rPr>
        <w:t>Vidyabharati</w:t>
      </w:r>
      <w:r>
        <w:rPr>
          <w:rFonts w:cs="Times New Roman"/>
          <w:i/>
          <w:iCs/>
          <w:color w:val="0D0D0D" w:themeColor="text1" w:themeTint="F2"/>
          <w:szCs w:val="24"/>
          <w14:textFill>
            <w14:solidFill>
              <w14:schemeClr w14:val="tx1">
                <w14:lumMod w14:val="95000"/>
                <w14:lumOff w14:val="5000"/>
              </w14:schemeClr>
            </w14:solidFill>
          </w14:textFill>
        </w:rPr>
        <w:t xml:space="preserve"> Int </w:t>
      </w:r>
      <w:r>
        <w:rPr>
          <w:rFonts w:cs="Times New Roman"/>
          <w:i/>
          <w:iCs/>
          <w:color w:val="0D0D0D" w:themeColor="text1" w:themeTint="F2"/>
          <w:szCs w:val="24"/>
          <w14:textFill>
            <w14:solidFill>
              <w14:schemeClr w14:val="tx1">
                <w14:lumMod w14:val="95000"/>
                <w14:lumOff w14:val="5000"/>
              </w14:schemeClr>
            </w14:solidFill>
          </w14:textFill>
        </w:rPr>
        <w:t>Interdiscip</w:t>
      </w:r>
      <w:r>
        <w:rPr>
          <w:rFonts w:cs="Times New Roman"/>
          <w:i/>
          <w:iCs/>
          <w:color w:val="0D0D0D" w:themeColor="text1" w:themeTint="F2"/>
          <w:szCs w:val="24"/>
          <w14:textFill>
            <w14:solidFill>
              <w14:schemeClr w14:val="tx1">
                <w14:lumMod w14:val="95000"/>
                <w14:lumOff w14:val="5000"/>
              </w14:schemeClr>
            </w14:solidFill>
          </w14:textFill>
        </w:rPr>
        <w:t xml:space="preserve"> Res J</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9</w:t>
      </w:r>
      <w:r>
        <w:rPr>
          <w:rFonts w:cs="Times New Roman"/>
          <w:color w:val="0D0D0D" w:themeColor="text1" w:themeTint="F2"/>
          <w:szCs w:val="24"/>
          <w14:textFill>
            <w14:solidFill>
              <w14:schemeClr w14:val="tx1">
                <w14:lumMod w14:val="95000"/>
                <w14:lumOff w14:val="5000"/>
              </w14:schemeClr>
            </w14:solidFill>
          </w14:textFill>
        </w:rPr>
        <w:t>(2), pp.149-154.</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Kazimierczuk</w:t>
      </w:r>
      <w:r>
        <w:rPr>
          <w:rFonts w:cs="Times New Roman"/>
          <w:color w:val="0D0D0D" w:themeColor="text1" w:themeTint="F2"/>
          <w:szCs w:val="24"/>
          <w14:textFill>
            <w14:solidFill>
              <w14:schemeClr w14:val="tx1">
                <w14:lumMod w14:val="95000"/>
                <w14:lumOff w14:val="5000"/>
              </w14:schemeClr>
            </w14:solidFill>
          </w14:textFill>
        </w:rPr>
        <w:t xml:space="preserve">, A.H., Kamau, P., Kinuthia, B.K. and Mukoko, C., 2018. Never a rose without a prick:(Dutch) multinational companies and productive employment in the Kenyan flower sector. </w:t>
      </w:r>
      <w:r>
        <w:rPr>
          <w:rFonts w:cs="Times New Roman"/>
          <w:i/>
          <w:iCs/>
          <w:color w:val="0D0D0D" w:themeColor="text1" w:themeTint="F2"/>
          <w:szCs w:val="24"/>
          <w14:textFill>
            <w14:solidFill>
              <w14:schemeClr w14:val="tx1">
                <w14:lumMod w14:val="95000"/>
                <w14:lumOff w14:val="5000"/>
              </w14:schemeClr>
            </w14:solidFill>
          </w14:textFill>
        </w:rPr>
        <w:t>African Studies Centre Working Paper Series</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142</w:t>
      </w:r>
      <w:r>
        <w:rPr>
          <w:rFonts w:cs="Times New Roman"/>
          <w:color w:val="0D0D0D" w:themeColor="text1" w:themeTint="F2"/>
          <w:szCs w:val="24"/>
          <w14:textFill>
            <w14:solidFill>
              <w14:schemeClr w14:val="tx1">
                <w14:lumMod w14:val="95000"/>
                <w14:lumOff w14:val="5000"/>
              </w14:schemeClr>
            </w14:solidFill>
          </w14:textFill>
        </w:rPr>
        <w:t>.</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Krasniak</w:t>
      </w:r>
      <w:r>
        <w:rPr>
          <w:rFonts w:cs="Times New Roman"/>
          <w:color w:val="0D0D0D" w:themeColor="text1" w:themeTint="F2"/>
          <w:szCs w:val="24"/>
          <w14:textFill>
            <w14:solidFill>
              <w14:schemeClr w14:val="tx1">
                <w14:lumMod w14:val="95000"/>
                <w14:lumOff w14:val="5000"/>
              </w14:schemeClr>
            </w14:solidFill>
          </w14:textFill>
        </w:rPr>
        <w:t xml:space="preserve">, M., Zimmerman, J. and Ng, D., 2021. </w:t>
      </w:r>
      <w:r>
        <w:rPr>
          <w:rFonts w:cs="Times New Roman"/>
          <w:i/>
          <w:iCs/>
          <w:color w:val="0D0D0D" w:themeColor="text1" w:themeTint="F2"/>
          <w:szCs w:val="24"/>
          <w14:textFill>
            <w14:solidFill>
              <w14:schemeClr w14:val="tx1">
                <w14:lumMod w14:val="95000"/>
                <w14:lumOff w14:val="5000"/>
              </w14:schemeClr>
            </w14:solidFill>
          </w14:textFill>
        </w:rPr>
        <w:t>Social media marketing all-in-one for dummies</w:t>
      </w:r>
      <w:r>
        <w:rPr>
          <w:rFonts w:cs="Times New Roman"/>
          <w:color w:val="0D0D0D" w:themeColor="text1" w:themeTint="F2"/>
          <w:szCs w:val="24"/>
          <w14:textFill>
            <w14:solidFill>
              <w14:schemeClr w14:val="tx1">
                <w14:lumMod w14:val="95000"/>
                <w14:lumOff w14:val="5000"/>
              </w14:schemeClr>
            </w14:solidFill>
          </w14:textFill>
        </w:rPr>
        <w:t xml:space="preserve">. John Wiley </w:t>
      </w:r>
      <w:r>
        <w:rPr>
          <w:rFonts w:cs="Times New Roman"/>
          <w:color w:val="0D0D0D" w:themeColor="text1" w:themeTint="F2"/>
          <w:szCs w:val="24"/>
          <w14:textFill>
            <w14:solidFill>
              <w14:schemeClr w14:val="tx1">
                <w14:lumMod w14:val="95000"/>
                <w14:lumOff w14:val="5000"/>
              </w14:schemeClr>
            </w14:solidFill>
          </w14:textFill>
        </w:rPr>
        <w:t>and</w:t>
      </w:r>
      <w:r>
        <w:rPr>
          <w:rFonts w:cs="Times New Roman"/>
          <w:color w:val="0D0D0D" w:themeColor="text1" w:themeTint="F2"/>
          <w:szCs w:val="24"/>
          <w14:textFill>
            <w14:solidFill>
              <w14:schemeClr w14:val="tx1">
                <w14:lumMod w14:val="95000"/>
                <w14:lumOff w14:val="5000"/>
              </w14:schemeClr>
            </w14:solidFill>
          </w14:textFill>
        </w:rPr>
        <w:t xml:space="preserve"> Sons.</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Leith, D.J., 2021. Mobile handset privacy: Measuring the data </w:t>
      </w:r>
      <w:r>
        <w:rPr>
          <w:rFonts w:cs="Times New Roman"/>
          <w:color w:val="0D0D0D" w:themeColor="text1" w:themeTint="F2"/>
          <w:szCs w:val="24"/>
          <w14:textFill>
            <w14:solidFill>
              <w14:schemeClr w14:val="tx1">
                <w14:lumMod w14:val="95000"/>
                <w14:lumOff w14:val="5000"/>
              </w14:schemeClr>
            </w14:solidFill>
          </w14:textFill>
        </w:rPr>
        <w:t>ios</w:t>
      </w:r>
      <w:r>
        <w:rPr>
          <w:rFonts w:cs="Times New Roman"/>
          <w:color w:val="0D0D0D" w:themeColor="text1" w:themeTint="F2"/>
          <w:szCs w:val="24"/>
          <w14:textFill>
            <w14:solidFill>
              <w14:schemeClr w14:val="tx1">
                <w14:lumMod w14:val="95000"/>
                <w14:lumOff w14:val="5000"/>
              </w14:schemeClr>
            </w14:solidFill>
          </w14:textFill>
        </w:rPr>
        <w:t xml:space="preserve"> and android send to apple and google. In </w:t>
      </w:r>
      <w:r>
        <w:rPr>
          <w:rFonts w:cs="Times New Roman"/>
          <w:i/>
          <w:iCs/>
          <w:color w:val="0D0D0D" w:themeColor="text1" w:themeTint="F2"/>
          <w:szCs w:val="24"/>
          <w14:textFill>
            <w14:solidFill>
              <w14:schemeClr w14:val="tx1">
                <w14:lumMod w14:val="95000"/>
                <w14:lumOff w14:val="5000"/>
              </w14:schemeClr>
            </w14:solidFill>
          </w14:textFill>
        </w:rPr>
        <w:t xml:space="preserve">Security and Privacy in Communication Networks: 17th EAI International Conference, </w:t>
      </w:r>
      <w:r>
        <w:rPr>
          <w:rFonts w:cs="Times New Roman"/>
          <w:i/>
          <w:iCs/>
          <w:color w:val="0D0D0D" w:themeColor="text1" w:themeTint="F2"/>
          <w:szCs w:val="24"/>
          <w14:textFill>
            <w14:solidFill>
              <w14:schemeClr w14:val="tx1">
                <w14:lumMod w14:val="95000"/>
                <w14:lumOff w14:val="5000"/>
              </w14:schemeClr>
            </w14:solidFill>
          </w14:textFill>
        </w:rPr>
        <w:t>SecureComm</w:t>
      </w:r>
      <w:r>
        <w:rPr>
          <w:rFonts w:cs="Times New Roman"/>
          <w:i/>
          <w:iCs/>
          <w:color w:val="0D0D0D" w:themeColor="text1" w:themeTint="F2"/>
          <w:szCs w:val="24"/>
          <w14:textFill>
            <w14:solidFill>
              <w14:schemeClr w14:val="tx1">
                <w14:lumMod w14:val="95000"/>
                <w14:lumOff w14:val="5000"/>
              </w14:schemeClr>
            </w14:solidFill>
          </w14:textFill>
        </w:rPr>
        <w:t xml:space="preserve"> 2021, Virtual Event, September 6–9, 2021, Proceedings, Part II 17</w:t>
      </w:r>
      <w:r>
        <w:rPr>
          <w:rFonts w:cs="Times New Roman"/>
          <w:color w:val="0D0D0D" w:themeColor="text1" w:themeTint="F2"/>
          <w:szCs w:val="24"/>
          <w14:textFill>
            <w14:solidFill>
              <w14:schemeClr w14:val="tx1">
                <w14:lumMod w14:val="95000"/>
                <w14:lumOff w14:val="5000"/>
              </w14:schemeClr>
            </w14:solidFill>
          </w14:textFill>
        </w:rPr>
        <w:t xml:space="preserve"> (pp. 231-251). Springer International Publishing.</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Model, T., Ford vs. Tesla: What Does a Transformational Automobile Scale-up Look </w:t>
      </w:r>
      <w:r>
        <w:rPr>
          <w:rFonts w:cs="Times New Roman"/>
          <w:color w:val="0D0D0D" w:themeColor="text1" w:themeTint="F2"/>
          <w:szCs w:val="24"/>
          <w14:textFill>
            <w14:solidFill>
              <w14:schemeClr w14:val="tx1">
                <w14:lumMod w14:val="95000"/>
                <w14:lumOff w14:val="5000"/>
              </w14:schemeClr>
            </w14:solidFill>
          </w14:textFill>
        </w:rPr>
        <w:t>Like?.</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Nauck, M.A. and Quast, D.R., 2021. Cardiovascular safety and benefits of </w:t>
      </w:r>
      <w:r>
        <w:rPr>
          <w:rFonts w:cs="Times New Roman"/>
          <w:color w:val="0D0D0D" w:themeColor="text1" w:themeTint="F2"/>
          <w:szCs w:val="24"/>
          <w14:textFill>
            <w14:solidFill>
              <w14:schemeClr w14:val="tx1">
                <w14:lumMod w14:val="95000"/>
                <w14:lumOff w14:val="5000"/>
              </w14:schemeClr>
            </w14:solidFill>
          </w14:textFill>
        </w:rPr>
        <w:t>semaglutide</w:t>
      </w:r>
      <w:r>
        <w:rPr>
          <w:rFonts w:cs="Times New Roman"/>
          <w:color w:val="0D0D0D" w:themeColor="text1" w:themeTint="F2"/>
          <w:szCs w:val="24"/>
          <w14:textFill>
            <w14:solidFill>
              <w14:schemeClr w14:val="tx1">
                <w14:lumMod w14:val="95000"/>
                <w14:lumOff w14:val="5000"/>
              </w14:schemeClr>
            </w14:solidFill>
          </w14:textFill>
        </w:rPr>
        <w:t xml:space="preserve"> in patients with type 2 diabetes: findings from SUSTAIN 6 and PIONEER 6. </w:t>
      </w:r>
      <w:r>
        <w:rPr>
          <w:rFonts w:cs="Times New Roman"/>
          <w:i/>
          <w:iCs/>
          <w:color w:val="0D0D0D" w:themeColor="text1" w:themeTint="F2"/>
          <w:szCs w:val="24"/>
          <w14:textFill>
            <w14:solidFill>
              <w14:schemeClr w14:val="tx1">
                <w14:lumMod w14:val="95000"/>
                <w14:lumOff w14:val="5000"/>
              </w14:schemeClr>
            </w14:solidFill>
          </w14:textFill>
        </w:rPr>
        <w:t>Frontiers in endocrinology</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12</w:t>
      </w:r>
      <w:r>
        <w:rPr>
          <w:rFonts w:cs="Times New Roman"/>
          <w:color w:val="0D0D0D" w:themeColor="text1" w:themeTint="F2"/>
          <w:szCs w:val="24"/>
          <w14:textFill>
            <w14:solidFill>
              <w14:schemeClr w14:val="tx1">
                <w14:lumMod w14:val="95000"/>
                <w14:lumOff w14:val="5000"/>
              </w14:schemeClr>
            </w14:solidFill>
          </w14:textFill>
        </w:rPr>
        <w:t>, p.645566.</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Niemann, L. and Hoppe, T., 2018. Sustainability reporting by local governments: a magic tool? Lessons on use and usefulness from European pioneers. </w:t>
      </w:r>
      <w:r>
        <w:rPr>
          <w:rFonts w:cs="Times New Roman"/>
          <w:i/>
          <w:iCs/>
          <w:color w:val="0D0D0D" w:themeColor="text1" w:themeTint="F2"/>
          <w:szCs w:val="24"/>
          <w14:textFill>
            <w14:solidFill>
              <w14:schemeClr w14:val="tx1">
                <w14:lumMod w14:val="95000"/>
                <w14:lumOff w14:val="5000"/>
              </w14:schemeClr>
            </w14:solidFill>
          </w14:textFill>
        </w:rPr>
        <w:t>Public management review</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20</w:t>
      </w:r>
      <w:r>
        <w:rPr>
          <w:rFonts w:cs="Times New Roman"/>
          <w:color w:val="0D0D0D" w:themeColor="text1" w:themeTint="F2"/>
          <w:szCs w:val="24"/>
          <w14:textFill>
            <w14:solidFill>
              <w14:schemeClr w14:val="tx1">
                <w14:lumMod w14:val="95000"/>
                <w14:lumOff w14:val="5000"/>
              </w14:schemeClr>
            </w14:solidFill>
          </w14:textFill>
        </w:rPr>
        <w:t>(1), pp.201-223.</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O’Rourke, D., 2021. Economic importance of the world apple industry. </w:t>
      </w:r>
      <w:r>
        <w:rPr>
          <w:rFonts w:cs="Times New Roman"/>
          <w:i/>
          <w:iCs/>
          <w:color w:val="0D0D0D" w:themeColor="text1" w:themeTint="F2"/>
          <w:szCs w:val="24"/>
          <w14:textFill>
            <w14:solidFill>
              <w14:schemeClr w14:val="tx1">
                <w14:lumMod w14:val="95000"/>
                <w14:lumOff w14:val="5000"/>
              </w14:schemeClr>
            </w14:solidFill>
          </w14:textFill>
        </w:rPr>
        <w:t>The apple genome</w:t>
      </w:r>
      <w:r>
        <w:rPr>
          <w:rFonts w:cs="Times New Roman"/>
          <w:color w:val="0D0D0D" w:themeColor="text1" w:themeTint="F2"/>
          <w:szCs w:val="24"/>
          <w14:textFill>
            <w14:solidFill>
              <w14:schemeClr w14:val="tx1">
                <w14:lumMod w14:val="95000"/>
                <w14:lumOff w14:val="5000"/>
              </w14:schemeClr>
            </w14:solidFill>
          </w14:textFill>
        </w:rPr>
        <w:t>, pp.1-18.</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Parry, M.E. and Sarma, S., 2019. The impact of pioneer adopter characteristics and perceptions on the perceived costs of switching to a follower product. </w:t>
      </w:r>
      <w:r>
        <w:rPr>
          <w:rFonts w:cs="Times New Roman"/>
          <w:i/>
          <w:iCs/>
          <w:color w:val="0D0D0D" w:themeColor="text1" w:themeTint="F2"/>
          <w:szCs w:val="24"/>
          <w14:textFill>
            <w14:solidFill>
              <w14:schemeClr w14:val="tx1">
                <w14:lumMod w14:val="95000"/>
                <w14:lumOff w14:val="5000"/>
              </w14:schemeClr>
            </w14:solidFill>
          </w14:textFill>
        </w:rPr>
        <w:t>Asia Pacific Journal of Marketing and Logistics</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31</w:t>
      </w:r>
      <w:r>
        <w:rPr>
          <w:rFonts w:cs="Times New Roman"/>
          <w:color w:val="0D0D0D" w:themeColor="text1" w:themeTint="F2"/>
          <w:szCs w:val="24"/>
          <w14:textFill>
            <w14:solidFill>
              <w14:schemeClr w14:val="tx1">
                <w14:lumMod w14:val="95000"/>
                <w14:lumOff w14:val="5000"/>
              </w14:schemeClr>
            </w14:solidFill>
          </w14:textFill>
        </w:rPr>
        <w:t>(4), pp.875-897.</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Rosenbach, W.E., Pittman, T.S. and Potter, E.H., 2018. What makes a </w:t>
      </w:r>
      <w:r>
        <w:rPr>
          <w:rFonts w:cs="Times New Roman"/>
          <w:color w:val="0D0D0D" w:themeColor="text1" w:themeTint="F2"/>
          <w:szCs w:val="24"/>
          <w14:textFill>
            <w14:solidFill>
              <w14:schemeClr w14:val="tx1">
                <w14:lumMod w14:val="95000"/>
                <w14:lumOff w14:val="5000"/>
              </w14:schemeClr>
            </w14:solidFill>
          </w14:textFill>
        </w:rPr>
        <w:t>follower?.</w:t>
      </w:r>
      <w:r>
        <w:rPr>
          <w:rFonts w:cs="Times New Roman"/>
          <w:color w:val="0D0D0D" w:themeColor="text1" w:themeTint="F2"/>
          <w:szCs w:val="24"/>
          <w14:textFill>
            <w14:solidFill>
              <w14:schemeClr w14:val="tx1">
                <w14:lumMod w14:val="95000"/>
                <w14:lumOff w14:val="5000"/>
              </w14:schemeClr>
            </w14:solidFill>
          </w14:textFill>
        </w:rPr>
        <w:t xml:space="preserve"> In </w:t>
      </w:r>
      <w:r>
        <w:rPr>
          <w:rFonts w:cs="Times New Roman"/>
          <w:i/>
          <w:iCs/>
          <w:color w:val="0D0D0D" w:themeColor="text1" w:themeTint="F2"/>
          <w:szCs w:val="24"/>
          <w14:textFill>
            <w14:solidFill>
              <w14:schemeClr w14:val="tx1">
                <w14:lumMod w14:val="95000"/>
                <w14:lumOff w14:val="5000"/>
              </w14:schemeClr>
            </w14:solidFill>
          </w14:textFill>
        </w:rPr>
        <w:t>Contemporary issues in leadership</w:t>
      </w:r>
      <w:r>
        <w:rPr>
          <w:rFonts w:cs="Times New Roman"/>
          <w:color w:val="0D0D0D" w:themeColor="text1" w:themeTint="F2"/>
          <w:szCs w:val="24"/>
          <w14:textFill>
            <w14:solidFill>
              <w14:schemeClr w14:val="tx1">
                <w14:lumMod w14:val="95000"/>
                <w14:lumOff w14:val="5000"/>
              </w14:schemeClr>
            </w14:solidFill>
          </w14:textFill>
        </w:rPr>
        <w:t xml:space="preserve"> (pp. 77-87). Routledge.</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Ruiz-Ortega, M.J., García-Villaverde, P.M., De La Gala-Velásquez, B., Hurtado-Palomino, A. and Arredondo-Salas, Á.Y., 2021. Innovation capability and pioneering orientation in Peru’s cultural heritage tourism destinations: Conflicting environmental effects. </w:t>
      </w:r>
      <w:r>
        <w:rPr>
          <w:rFonts w:cs="Times New Roman"/>
          <w:i/>
          <w:iCs/>
          <w:color w:val="0D0D0D" w:themeColor="text1" w:themeTint="F2"/>
          <w:szCs w:val="24"/>
          <w14:textFill>
            <w14:solidFill>
              <w14:schemeClr w14:val="tx1">
                <w14:lumMod w14:val="95000"/>
                <w14:lumOff w14:val="5000"/>
              </w14:schemeClr>
            </w14:solidFill>
          </w14:textFill>
        </w:rPr>
        <w:t>Journal of Hospitality and Tourism Management</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48</w:t>
      </w:r>
      <w:r>
        <w:rPr>
          <w:rFonts w:cs="Times New Roman"/>
          <w:color w:val="0D0D0D" w:themeColor="text1" w:themeTint="F2"/>
          <w:szCs w:val="24"/>
          <w14:textFill>
            <w14:solidFill>
              <w14:schemeClr w14:val="tx1">
                <w14:lumMod w14:val="95000"/>
                <w14:lumOff w14:val="5000"/>
              </w14:schemeClr>
            </w14:solidFill>
          </w14:textFill>
        </w:rPr>
        <w:t>, pp.441-450.</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Sull, D. and Reavis, C., 2019. Tesla’s entry into the us auto industry.</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Wang, R.D. and Miller, C.D., 2020. Complementors' engagement in an ecosystem: A study of </w:t>
      </w:r>
      <w:r>
        <w:rPr>
          <w:rFonts w:cs="Times New Roman"/>
          <w:color w:val="0D0D0D" w:themeColor="text1" w:themeTint="F2"/>
          <w:szCs w:val="24"/>
          <w14:textFill>
            <w14:solidFill>
              <w14:schemeClr w14:val="tx1">
                <w14:lumMod w14:val="95000"/>
                <w14:lumOff w14:val="5000"/>
              </w14:schemeClr>
            </w14:solidFill>
          </w14:textFill>
        </w:rPr>
        <w:t>publishers'e</w:t>
      </w:r>
      <w:r>
        <w:rPr>
          <w:rFonts w:cs="Times New Roman"/>
          <w:color w:val="0D0D0D" w:themeColor="text1" w:themeTint="F2"/>
          <w:szCs w:val="24"/>
          <w14:textFill>
            <w14:solidFill>
              <w14:schemeClr w14:val="tx1">
                <w14:lumMod w14:val="95000"/>
                <w14:lumOff w14:val="5000"/>
              </w14:schemeClr>
            </w14:solidFill>
          </w14:textFill>
        </w:rPr>
        <w:t xml:space="preserve">‐book offerings on Amazon Kindle. </w:t>
      </w:r>
      <w:r>
        <w:rPr>
          <w:rFonts w:cs="Times New Roman"/>
          <w:i/>
          <w:iCs/>
          <w:color w:val="0D0D0D" w:themeColor="text1" w:themeTint="F2"/>
          <w:szCs w:val="24"/>
          <w14:textFill>
            <w14:solidFill>
              <w14:schemeClr w14:val="tx1">
                <w14:lumMod w14:val="95000"/>
                <w14:lumOff w14:val="5000"/>
              </w14:schemeClr>
            </w14:solidFill>
          </w14:textFill>
        </w:rPr>
        <w:t>Strategic Management Journal</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41</w:t>
      </w:r>
      <w:r>
        <w:rPr>
          <w:rFonts w:cs="Times New Roman"/>
          <w:color w:val="0D0D0D" w:themeColor="text1" w:themeTint="F2"/>
          <w:szCs w:val="24"/>
          <w14:textFill>
            <w14:solidFill>
              <w14:schemeClr w14:val="tx1">
                <w14:lumMod w14:val="95000"/>
                <w14:lumOff w14:val="5000"/>
              </w14:schemeClr>
            </w14:solidFill>
          </w14:textFill>
        </w:rPr>
        <w:t>(1), pp.3-26.</w:t>
      </w:r>
    </w:p>
    <w:p>
      <w:pPr>
        <w:ind w:left="567" w:hanging="567"/>
        <w:rPr>
          <w:rFonts w:cs="Times New Roman"/>
          <w:color w:val="0D0D0D" w:themeColor="text1" w:themeTint="F2"/>
          <w:szCs w:val="24"/>
          <w14:textFill>
            <w14:solidFill>
              <w14:schemeClr w14:val="tx1">
                <w14:lumMod w14:val="95000"/>
                <w14:lumOff w14:val="5000"/>
              </w14:schemeClr>
            </w14:solidFill>
          </w14:textFill>
        </w:rPr>
      </w:pPr>
      <w:r>
        <w:rPr>
          <w:rFonts w:cs="Times New Roman"/>
          <w:color w:val="0D0D0D" w:themeColor="text1" w:themeTint="F2"/>
          <w:szCs w:val="24"/>
          <w14:textFill>
            <w14:solidFill>
              <w14:schemeClr w14:val="tx1">
                <w14:lumMod w14:val="95000"/>
                <w14:lumOff w14:val="5000"/>
              </w14:schemeClr>
            </w14:solidFill>
          </w14:textFill>
        </w:rPr>
        <w:t xml:space="preserve">Wurzel, R.K., </w:t>
      </w:r>
      <w:r>
        <w:rPr>
          <w:rFonts w:cs="Times New Roman"/>
          <w:color w:val="0D0D0D" w:themeColor="text1" w:themeTint="F2"/>
          <w:szCs w:val="24"/>
          <w14:textFill>
            <w14:solidFill>
              <w14:schemeClr w14:val="tx1">
                <w14:lumMod w14:val="95000"/>
                <w14:lumOff w14:val="5000"/>
              </w14:schemeClr>
            </w14:solidFill>
          </w14:textFill>
        </w:rPr>
        <w:t>Liefferink</w:t>
      </w:r>
      <w:r>
        <w:rPr>
          <w:rFonts w:cs="Times New Roman"/>
          <w:color w:val="0D0D0D" w:themeColor="text1" w:themeTint="F2"/>
          <w:szCs w:val="24"/>
          <w14:textFill>
            <w14:solidFill>
              <w14:schemeClr w14:val="tx1">
                <w14:lumMod w14:val="95000"/>
                <w14:lumOff w14:val="5000"/>
              </w14:schemeClr>
            </w14:solidFill>
          </w14:textFill>
        </w:rPr>
        <w:t xml:space="preserve">, D. and Torney, D., 2019. Pioneers, leaders and followers in multilevel and polycentric climate governance. </w:t>
      </w:r>
      <w:r>
        <w:rPr>
          <w:rFonts w:cs="Times New Roman"/>
          <w:i/>
          <w:iCs/>
          <w:color w:val="0D0D0D" w:themeColor="text1" w:themeTint="F2"/>
          <w:szCs w:val="24"/>
          <w14:textFill>
            <w14:solidFill>
              <w14:schemeClr w14:val="tx1">
                <w14:lumMod w14:val="95000"/>
                <w14:lumOff w14:val="5000"/>
              </w14:schemeClr>
            </w14:solidFill>
          </w14:textFill>
        </w:rPr>
        <w:t>Environmental Politics</w:t>
      </w:r>
      <w:r>
        <w:rPr>
          <w:rFonts w:cs="Times New Roman"/>
          <w:color w:val="0D0D0D" w:themeColor="text1" w:themeTint="F2"/>
          <w:szCs w:val="24"/>
          <w14:textFill>
            <w14:solidFill>
              <w14:schemeClr w14:val="tx1">
                <w14:lumMod w14:val="95000"/>
                <w14:lumOff w14:val="5000"/>
              </w14:schemeClr>
            </w14:solidFill>
          </w14:textFill>
        </w:rPr>
        <w:t xml:space="preserve">, </w:t>
      </w:r>
      <w:r>
        <w:rPr>
          <w:rFonts w:cs="Times New Roman"/>
          <w:i/>
          <w:iCs/>
          <w:color w:val="0D0D0D" w:themeColor="text1" w:themeTint="F2"/>
          <w:szCs w:val="24"/>
          <w14:textFill>
            <w14:solidFill>
              <w14:schemeClr w14:val="tx1">
                <w14:lumMod w14:val="95000"/>
                <w14:lumOff w14:val="5000"/>
              </w14:schemeClr>
            </w14:solidFill>
          </w14:textFill>
        </w:rPr>
        <w:t>28</w:t>
      </w:r>
      <w:r>
        <w:rPr>
          <w:rFonts w:cs="Times New Roman"/>
          <w:color w:val="0D0D0D" w:themeColor="text1" w:themeTint="F2"/>
          <w:szCs w:val="24"/>
          <w14:textFill>
            <w14:solidFill>
              <w14:schemeClr w14:val="tx1">
                <w14:lumMod w14:val="95000"/>
                <w14:lumOff w14:val="5000"/>
              </w14:schemeClr>
            </w14:solidFill>
          </w14:textFill>
        </w:rPr>
        <w:t>(1), pp.1-21.</w:t>
      </w:r>
    </w:p>
    <w:sectPr>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0000000000000000000"/>
    <w:charset w:val="86"/>
    <w:family w:val="auto"/>
    <w:pitch w:val="default"/>
    <w:sig w:usb0="00000000" w:usb1="00000000" w:usb2="00000000" w:usb3="00000000" w:csb0="00000000" w:csb1="00000000"/>
  </w:font>
  <w:font w:name="Wingdings">
    <w:altName w:val="Wingdings"/>
    <w:panose1 w:val="05000000000000000000"/>
    <w:charset w:val="00"/>
    <w:family w:val="auto"/>
    <w:pitch w:val="default"/>
    <w:sig w:usb0="00000000" w:usb1="10000000" w:usb2="00000000" w:usb3="00000000" w:csb0="80000000" w:csb1="00000000"/>
  </w:font>
  <w:font w:name="Arial">
    <w:altName w:val="Arial"/>
    <w:panose1 w:val="020B0604020202020204"/>
    <w:charset w:val="00"/>
    <w:family w:val="swiss"/>
    <w:pitch w:val="default"/>
    <w:sig w:usb0="20007A87" w:usb1="80000000" w:usb2="00000008" w:usb3="00000000" w:csb0="000001FF" w:csb1="00000000"/>
  </w:font>
  <w:font w:name="黑体">
    <w:altName w:val="SimHei"/>
    <w:panose1 w:val="02010600030101010101"/>
    <w:charset w:val="00"/>
    <w:family w:val="auto"/>
    <w:pitch w:val="default"/>
    <w:sig w:usb0="00000001" w:usb1="080E0000" w:usb2="00000010" w:usb3="00000000" w:csb0="00040000" w:csb1="00000000"/>
  </w:font>
  <w:font w:name="Courier New">
    <w:altName w:val="Courier New"/>
    <w:panose1 w:val="02070309020205020404"/>
    <w:charset w:val="00"/>
    <w:family w:val="modern"/>
    <w:pitch w:val="default"/>
    <w:sig w:usb0="20007A87" w:usb1="80000000" w:usb2="00000008" w:usb3="00000000" w:csb0="000001FF" w:csb1="00000000"/>
  </w:font>
  <w:font w:name="Cambria">
    <w:panose1 w:val="02040503050406030204"/>
    <w:charset w:val="00"/>
    <w:family w:val="roman"/>
    <w:pitch w:val="default"/>
    <w:sig w:usb0="00000000" w:usb1="00000000" w:usb2="00000000" w:usb3="00000000" w:csb0="0000019F" w:csb1="00000000"/>
  </w:font>
  <w:font w:name="Calibri">
    <w:panose1 w:val="020F0502020204030204"/>
    <w:charset w:val="00"/>
    <w:family w:val="swiss"/>
    <w:pitch w:val="default"/>
    <w:sig w:usb0="00000000" w:usb1="00000000" w:usb2="00000001" w:usb3="00000000" w:csb0="0000019F" w:csb1="00000000"/>
  </w:font>
  <w:font w:name="DengXian">
    <w:altName w:val="等线"/>
    <w:panose1 w:val="02010600030101010101"/>
    <w:charset w:val="86"/>
    <w:family w:val="auto"/>
    <w:pitch w:val="default"/>
    <w:sig w:usb0="00000000" w:usb1="00000000" w:usb2="00000016" w:usb3="00000000" w:csb0="0004000F" w:csb1="00000000"/>
  </w:font>
  <w:font w:name="Mangal">
    <w:panose1 w:val="02040503050203030202"/>
    <w:charset w:val="00"/>
    <w:family w:val="roman"/>
    <w:pitch w:val="default"/>
    <w:sig w:usb0="00000000" w:usb1="00000000" w:usb2="00000000" w:usb3="00000000" w:csb0="00000001" w:csb1="00000000"/>
  </w:font>
  <w:font w:name="Calibri Light">
    <w:panose1 w:val="020F0302020204030204"/>
    <w:charset w:val="00"/>
    <w:family w:val="swiss"/>
    <w:pitch w:val="default"/>
    <w:sig w:usb0="00000000" w:usb1="00000000" w:usb2="00000009" w:usb3="00000000" w:csb0="000001FF" w:csb1="00000000"/>
  </w:font>
  <w:font w:name="DengXian Light">
    <w:altName w:val="等线 Light"/>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36604337"/>
    </w:sdtPr>
    <w:sdtContent>
      <w:p>
        <w:pPr>
          <w:pStyle w:val="11"/>
          <w:jc w:val="center"/>
        </w:pPr>
        <w:r>
          <w:fldChar w:fldCharType="begin"/>
        </w:r>
        <w:r>
          <w:instrText xml:space="preserve"> PAGE   \* MERGEFORMAT </w:instrText>
        </w:r>
        <w:r>
          <w:fldChar w:fldCharType="separate"/>
        </w:r>
        <w:r>
          <w:t>2</w:t>
        </w:r>
        <w:r>
          <w:fldChar w:fldCharType="end"/>
        </w:r>
      </w:p>
    </w:sdtContent>
  </w:sdt>
  <w:p>
    <w:pPr>
      <w:pStyle w:val="11"/>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IN" w:eastAsia="zh-CN" w:bidi="hi-I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before="120" w:after="120" w:line="360" w:lineRule="auto"/>
      <w:jc w:val="both"/>
    </w:pPr>
    <w:rPr>
      <w:rFonts w:ascii="Times New Roman" w:hAnsi="Times New Roman" w:eastAsiaTheme="minorEastAsia" w:cstheme="minorBidi"/>
      <w:kern w:val="2"/>
      <w:sz w:val="24"/>
      <w:lang w:val="en-IN" w:eastAsia="zh-CN" w:bidi="hi-IN"/>
      <w14:ligatures w14:val="none"/>
    </w:rPr>
  </w:style>
  <w:style w:type="paragraph" w:styleId="2">
    <w:name w:val="heading 1"/>
    <w:basedOn w:val="1"/>
    <w:next w:val="1"/>
    <w:link w:val="21"/>
    <w:qFormat/>
    <w:uiPriority w:val="9"/>
    <w:pPr>
      <w:keepNext/>
      <w:keepLines/>
      <w:spacing w:before="240" w:after="0"/>
      <w:outlineLvl w:val="0"/>
    </w:pPr>
    <w:rPr>
      <w:rFonts w:asciiTheme="majorHAnsi" w:hAnsiTheme="majorHAnsi" w:eastAsiaTheme="majorEastAsia" w:cstheme="majorBidi"/>
      <w:b/>
      <w:color w:val="2F5597" w:themeColor="accent1" w:themeShade="BF"/>
      <w:sz w:val="32"/>
      <w:szCs w:val="29"/>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b/>
      <w:color w:val="2F5597" w:themeColor="accent1" w:themeShade="BF"/>
      <w:sz w:val="32"/>
      <w:szCs w:val="29"/>
      <w:u w:val="single"/>
    </w:rPr>
  </w:style>
  <w:style w:type="paragraph" w:styleId="4">
    <w:name w:val="heading 3"/>
    <w:basedOn w:val="1"/>
    <w:next w:val="1"/>
    <w:link w:val="23"/>
    <w:unhideWhenUsed/>
    <w:qFormat/>
    <w:uiPriority w:val="9"/>
    <w:pPr>
      <w:keepNext/>
      <w:keepLines/>
      <w:spacing w:before="160" w:after="80"/>
      <w:outlineLvl w:val="2"/>
    </w:pPr>
    <w:rPr>
      <w:rFonts w:eastAsiaTheme="majorEastAsia" w:cstheme="majorBidi"/>
      <w:color w:val="2F5597" w:themeColor="accent1" w:themeShade="BF"/>
      <w:sz w:val="28"/>
      <w:szCs w:val="25"/>
    </w:rPr>
  </w:style>
  <w:style w:type="paragraph" w:styleId="5">
    <w:name w:val="heading 4"/>
    <w:basedOn w:val="1"/>
    <w:next w:val="1"/>
    <w:link w:val="24"/>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5"/>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6"/>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unhideWhenUsed/>
    <w:qFormat/>
    <w:uiPriority w:val="9"/>
    <w:pPr>
      <w:keepNext/>
      <w:keepLines/>
      <w:spacing w:before="0"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unhideWhenUsed/>
    <w:qFormat/>
    <w:uiPriority w:val="9"/>
    <w:pPr>
      <w:keepNext/>
      <w:keepLines/>
      <w:spacing w:before="0"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7">
    <w:name w:val="Default Paragraph Font"/>
    <w:unhideWhenUsed/>
    <w:uiPriority w:val="1"/>
  </w:style>
  <w:style w:type="table" w:default="1" w:styleId="19">
    <w:name w:val="Normal Table"/>
    <w:unhideWhenUsed/>
    <w:uiPriority w:val="99"/>
    <w:tblPr>
      <w:tblLayout w:type="fixed"/>
      <w:tblCellMar>
        <w:top w:w="0" w:type="dxa"/>
        <w:left w:w="108" w:type="dxa"/>
        <w:bottom w:w="0" w:type="dxa"/>
        <w:right w:w="108" w:type="dxa"/>
      </w:tblCellMar>
    </w:tblPr>
  </w:style>
  <w:style w:type="paragraph" w:styleId="11">
    <w:name w:val="footer"/>
    <w:basedOn w:val="1"/>
    <w:link w:val="41"/>
    <w:unhideWhenUsed/>
    <w:uiPriority w:val="99"/>
    <w:pPr>
      <w:tabs>
        <w:tab w:val="center" w:pos="4513"/>
        <w:tab w:val="right" w:pos="9026"/>
      </w:tabs>
      <w:spacing w:before="0" w:after="0" w:line="240" w:lineRule="auto"/>
    </w:pPr>
  </w:style>
  <w:style w:type="paragraph" w:styleId="12">
    <w:name w:val="header"/>
    <w:basedOn w:val="1"/>
    <w:link w:val="40"/>
    <w:unhideWhenUsed/>
    <w:uiPriority w:val="99"/>
    <w:pPr>
      <w:tabs>
        <w:tab w:val="center" w:pos="4513"/>
        <w:tab w:val="right" w:pos="9026"/>
      </w:tabs>
      <w:spacing w:before="0" w:after="0" w:line="240" w:lineRule="auto"/>
    </w:pPr>
  </w:style>
  <w:style w:type="paragraph" w:styleId="13">
    <w:name w:val="Subtitle"/>
    <w:basedOn w:val="1"/>
    <w:next w:val="1"/>
    <w:link w:val="31"/>
    <w:qFormat/>
    <w:uiPriority w:val="11"/>
    <w:pPr>
      <w:spacing w:after="160"/>
    </w:pPr>
    <w:rPr>
      <w:rFonts w:eastAsiaTheme="majorEastAsia" w:cstheme="majorBidi"/>
      <w:color w:val="595959" w:themeColor="text1" w:themeTint="A6"/>
      <w:spacing w:val="15"/>
      <w:sz w:val="28"/>
      <w:szCs w:val="25"/>
      <w14:textFill>
        <w14:solidFill>
          <w14:schemeClr w14:val="tx1">
            <w14:lumMod w14:val="65000"/>
            <w14:lumOff w14:val="35000"/>
          </w14:schemeClr>
        </w14:solidFill>
      </w14:textFill>
    </w:rPr>
  </w:style>
  <w:style w:type="paragraph" w:styleId="14">
    <w:name w:val="Title"/>
    <w:basedOn w:val="1"/>
    <w:next w:val="1"/>
    <w:link w:val="30"/>
    <w:qFormat/>
    <w:uiPriority w:val="10"/>
    <w:pPr>
      <w:spacing w:before="0" w:after="80" w:line="240" w:lineRule="auto"/>
      <w:contextualSpacing/>
    </w:pPr>
    <w:rPr>
      <w:rFonts w:asciiTheme="majorHAnsi" w:hAnsiTheme="majorHAnsi" w:eastAsiaTheme="majorEastAsia" w:cstheme="majorBidi"/>
      <w:spacing w:val="-10"/>
      <w:kern w:val="28"/>
      <w:sz w:val="56"/>
      <w:szCs w:val="50"/>
    </w:rPr>
  </w:style>
  <w:style w:type="paragraph" w:styleId="15">
    <w:name w:val="toc 1"/>
    <w:basedOn w:val="1"/>
    <w:next w:val="1"/>
    <w:unhideWhenUsed/>
    <w:uiPriority w:val="39"/>
    <w:pPr>
      <w:spacing w:after="100"/>
    </w:pPr>
  </w:style>
  <w:style w:type="paragraph" w:styleId="16">
    <w:name w:val="toc 2"/>
    <w:basedOn w:val="1"/>
    <w:next w:val="1"/>
    <w:unhideWhenUsed/>
    <w:uiPriority w:val="39"/>
    <w:pPr>
      <w:spacing w:after="100"/>
      <w:ind w:left="240"/>
    </w:pPr>
  </w:style>
  <w:style w:type="character" w:styleId="18">
    <w:name w:val="Hyperlink"/>
    <w:basedOn w:val="17"/>
    <w:unhideWhenUsed/>
    <w:uiPriority w:val="99"/>
    <w:rPr>
      <w:color w:val="0563C1" w:themeColor="hyperlink"/>
      <w:u w:val="single"/>
      <w14:textFill>
        <w14:solidFill>
          <w14:schemeClr w14:val="hlink"/>
        </w14:solidFill>
      </w14:textFill>
    </w:rPr>
  </w:style>
  <w:style w:type="paragraph" w:customStyle="1" w:styleId="20">
    <w:name w:val="Style2"/>
    <w:basedOn w:val="2"/>
    <w:qFormat/>
    <w:uiPriority w:val="0"/>
    <w:rPr>
      <w:rFonts w:ascii="Arial" w:hAnsi="Arial"/>
      <w:color w:val="0D0D0D" w:themeColor="text1" w:themeTint="F2"/>
      <w:sz w:val="24"/>
      <w14:textFill>
        <w14:solidFill>
          <w14:schemeClr w14:val="tx1">
            <w14:lumMod w14:val="95000"/>
            <w14:lumOff w14:val="5000"/>
          </w14:schemeClr>
        </w14:solidFill>
      </w14:textFill>
    </w:rPr>
  </w:style>
  <w:style w:type="character" w:customStyle="1" w:styleId="21">
    <w:name w:val="Heading 1 Char"/>
    <w:basedOn w:val="17"/>
    <w:link w:val="2"/>
    <w:uiPriority w:val="9"/>
    <w:rPr>
      <w:rFonts w:asciiTheme="majorHAnsi" w:hAnsiTheme="majorHAnsi" w:eastAsiaTheme="majorEastAsia" w:cstheme="majorBidi"/>
      <w:b/>
      <w:color w:val="2F5597" w:themeColor="accent1" w:themeShade="BF"/>
      <w:sz w:val="32"/>
      <w:szCs w:val="29"/>
    </w:rPr>
  </w:style>
  <w:style w:type="character" w:customStyle="1" w:styleId="22">
    <w:name w:val="Heading 2 Char"/>
    <w:basedOn w:val="17"/>
    <w:link w:val="3"/>
    <w:uiPriority w:val="9"/>
    <w:rPr>
      <w:rFonts w:asciiTheme="majorHAnsi" w:hAnsiTheme="majorHAnsi" w:eastAsiaTheme="majorEastAsia" w:cstheme="majorBidi"/>
      <w:b/>
      <w:color w:val="2F5597" w:themeColor="accent1" w:themeShade="BF"/>
      <w:sz w:val="32"/>
      <w:szCs w:val="29"/>
      <w:u w:val="single"/>
    </w:rPr>
  </w:style>
  <w:style w:type="character" w:customStyle="1" w:styleId="23">
    <w:name w:val="Heading 3 Char"/>
    <w:basedOn w:val="17"/>
    <w:link w:val="4"/>
    <w:semiHidden/>
    <w:uiPriority w:val="9"/>
    <w:rPr>
      <w:rFonts w:eastAsiaTheme="majorEastAsia" w:cstheme="majorBidi"/>
      <w:color w:val="2F5597" w:themeColor="accent1" w:themeShade="BF"/>
      <w:sz w:val="28"/>
      <w:szCs w:val="25"/>
    </w:rPr>
  </w:style>
  <w:style w:type="character" w:customStyle="1" w:styleId="24">
    <w:name w:val="Heading 4 Char"/>
    <w:basedOn w:val="17"/>
    <w:link w:val="5"/>
    <w:semiHidden/>
    <w:uiPriority w:val="9"/>
    <w:rPr>
      <w:rFonts w:eastAsiaTheme="majorEastAsia" w:cstheme="majorBidi"/>
      <w:i/>
      <w:iCs/>
      <w:color w:val="2F5597" w:themeColor="accent1" w:themeShade="BF"/>
    </w:rPr>
  </w:style>
  <w:style w:type="character" w:customStyle="1" w:styleId="25">
    <w:name w:val="Heading 5 Char"/>
    <w:basedOn w:val="17"/>
    <w:link w:val="6"/>
    <w:semiHidden/>
    <w:uiPriority w:val="9"/>
    <w:rPr>
      <w:rFonts w:eastAsiaTheme="majorEastAsia" w:cstheme="majorBidi"/>
      <w:color w:val="2F5597" w:themeColor="accent1" w:themeShade="BF"/>
    </w:rPr>
  </w:style>
  <w:style w:type="character" w:customStyle="1" w:styleId="26">
    <w:name w:val="Heading 6 Char"/>
    <w:basedOn w:val="17"/>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7"/>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7"/>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7"/>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7"/>
    <w:link w:val="14"/>
    <w:uiPriority w:val="10"/>
    <w:rPr>
      <w:rFonts w:asciiTheme="majorHAnsi" w:hAnsiTheme="majorHAnsi" w:eastAsiaTheme="majorEastAsia" w:cstheme="majorBidi"/>
      <w:spacing w:val="-10"/>
      <w:kern w:val="28"/>
      <w:sz w:val="56"/>
      <w:szCs w:val="50"/>
    </w:rPr>
  </w:style>
  <w:style w:type="character" w:customStyle="1" w:styleId="31">
    <w:name w:val="Subtitle Char"/>
    <w:basedOn w:val="17"/>
    <w:link w:val="13"/>
    <w:uiPriority w:val="11"/>
    <w:rPr>
      <w:rFonts w:eastAsiaTheme="majorEastAsia" w:cstheme="majorBidi"/>
      <w:color w:val="595959" w:themeColor="text1" w:themeTint="A6"/>
      <w:spacing w:val="15"/>
      <w:sz w:val="28"/>
      <w:szCs w:val="25"/>
      <w14:textFill>
        <w14:solidFill>
          <w14:schemeClr w14:val="tx1">
            <w14:lumMod w14:val="65000"/>
            <w14:lumOff w14:val="35000"/>
          </w14:schemeClr>
        </w14:solidFill>
      </w14:textFill>
    </w:rPr>
  </w:style>
  <w:style w:type="paragraph" w:customStyle="1" w:styleId="32">
    <w:name w:val="Quote"/>
    <w:basedOn w:val="1"/>
    <w:next w:val="1"/>
    <w:link w:val="33"/>
    <w:qFormat/>
    <w:uiPriority w:val="29"/>
    <w:pPr>
      <w:spacing w:before="160" w:after="160"/>
      <w:jc w:val="center"/>
    </w:pPr>
    <w:rPr>
      <w:i/>
      <w:iCs/>
      <w:color w:val="404040" w:themeColor="text1" w:themeTint="BF"/>
      <w14:textFill>
        <w14:solidFill>
          <w14:schemeClr w14:val="tx1">
            <w14:lumMod w14:val="75000"/>
            <w14:lumOff w14:val="25000"/>
          </w14:schemeClr>
        </w14:solidFill>
      </w14:textFill>
    </w:rPr>
  </w:style>
  <w:style w:type="character" w:customStyle="1" w:styleId="33">
    <w:name w:val="Quote Char"/>
    <w:basedOn w:val="17"/>
    <w:link w:val="32"/>
    <w:uiPriority w:val="29"/>
    <w:rPr>
      <w:i/>
      <w:iCs/>
      <w:color w:val="404040" w:themeColor="text1" w:themeTint="BF"/>
      <w14:textFill>
        <w14:solidFill>
          <w14:schemeClr w14:val="tx1">
            <w14:lumMod w14:val="75000"/>
            <w14:lumOff w14:val="25000"/>
          </w14:schemeClr>
        </w14:solidFill>
      </w14:textFill>
    </w:rPr>
  </w:style>
  <w:style w:type="paragraph" w:customStyle="1" w:styleId="34">
    <w:name w:val="List Paragraph"/>
    <w:basedOn w:val="1"/>
    <w:qFormat/>
    <w:uiPriority w:val="34"/>
    <w:pPr>
      <w:ind w:left="720"/>
      <w:contextualSpacing/>
    </w:pPr>
  </w:style>
  <w:style w:type="character" w:customStyle="1" w:styleId="35">
    <w:name w:val="Intense Emphasis"/>
    <w:basedOn w:val="17"/>
    <w:qFormat/>
    <w:uiPriority w:val="21"/>
    <w:rPr>
      <w:i/>
      <w:iCs/>
      <w:color w:val="2F5597" w:themeColor="accent1" w:themeShade="BF"/>
    </w:rPr>
  </w:style>
  <w:style w:type="paragraph" w:customStyle="1" w:styleId="36">
    <w:name w:val="Intense Quote"/>
    <w:basedOn w:val="1"/>
    <w:next w:val="1"/>
    <w:link w:val="37"/>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7">
    <w:name w:val="Intense Quote Char"/>
    <w:basedOn w:val="17"/>
    <w:link w:val="36"/>
    <w:uiPriority w:val="30"/>
    <w:rPr>
      <w:i/>
      <w:iCs/>
      <w:color w:val="2F5597" w:themeColor="accent1" w:themeShade="BF"/>
    </w:rPr>
  </w:style>
  <w:style w:type="character" w:customStyle="1" w:styleId="38">
    <w:name w:val="Intense Reference"/>
    <w:basedOn w:val="17"/>
    <w:qFormat/>
    <w:uiPriority w:val="32"/>
    <w:rPr>
      <w:b/>
      <w:bCs/>
      <w:smallCaps/>
      <w:color w:val="2F5597" w:themeColor="accent1" w:themeShade="BF"/>
      <w:spacing w:val="5"/>
    </w:rPr>
  </w:style>
  <w:style w:type="paragraph" w:customStyle="1" w:styleId="39">
    <w:name w:val="TOC Heading"/>
    <w:basedOn w:val="2"/>
    <w:next w:val="1"/>
    <w:unhideWhenUsed/>
    <w:qFormat/>
    <w:uiPriority w:val="39"/>
    <w:pPr>
      <w:spacing w:line="259" w:lineRule="auto"/>
      <w:jc w:val="left"/>
      <w:outlineLvl w:val="9"/>
    </w:pPr>
    <w:rPr>
      <w:b w:val="0"/>
      <w:kern w:val="0"/>
      <w:szCs w:val="32"/>
      <w:lang w:val="en-US" w:eastAsia="en-US" w:bidi="ar-SA"/>
      <w14:ligatures w14:val="none"/>
    </w:rPr>
  </w:style>
  <w:style w:type="character" w:customStyle="1" w:styleId="40">
    <w:name w:val="Header Char"/>
    <w:basedOn w:val="17"/>
    <w:link w:val="12"/>
    <w:uiPriority w:val="99"/>
    <w:rPr>
      <w:rFonts w:ascii="Times New Roman" w:hAnsi="Times New Roman"/>
      <w:sz w:val="24"/>
    </w:rPr>
  </w:style>
  <w:style w:type="character" w:customStyle="1" w:styleId="41">
    <w:name w:val="Footer Char"/>
    <w:basedOn w:val="17"/>
    <w:link w:val="11"/>
    <w:uiPriority w:val="99"/>
    <w:rPr>
      <w:rFonts w:ascii="Times New Roman" w:hAnsi="Times New Roman"/>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11</Pages>
  <Words>3366</Words>
  <Characters>19191</Characters>
  <Lines>159</Lines>
  <Paragraphs>45</Paragraphs>
  <TotalTime>0</TotalTime>
  <ScaleCrop>false</ScaleCrop>
  <LinksUpToDate>false</LinksUpToDate>
  <CharactersWithSpaces>22512</CharactersWithSpaces>
  <Application>WPS Office_0.0.0.0_F1E327BC-269C-435d-A152-05C5408002CA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2025-03-28T11:42:00Z</dcterms:created>
  <dc:creator>User</dc:creator>
  <cp:lastModifiedBy>iPhone</cp:lastModifiedBy>
  <dcterms:modified xsi:type="dcterms:W3CDTF">2025-03-28T13:07:05Z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EC5C77F6AADA13E29751E667E3EABB28_32</vt:lpwstr>
  </property>
  <property fmtid="{D5CDD505-2E9C-101B-9397-08002B2CF9AE}" pid="3" name="KSOProductBuildVer">
    <vt:lpwstr>3081-11.33.90</vt:lpwstr>
  </property>
</Properties>
</file>