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r>
        <w:rPr>
          <w:noProof/>
        </w:rPr>
        <mc:AlternateContent>
          <mc:Choice Requires="wpg">
            <w:drawing>
              <wp:anchor distT="0" distB="0" distL="0" distR="0" simplePos="false" relativeHeight="2" behindDoc="true" locked="false" layoutInCell="true" allowOverlap="true">
                <wp:simplePos x="0" y="0"/>
                <wp:positionH relativeFrom="page">
                  <wp:align>center</wp:align>
                </wp:positionH>
                <wp:positionV relativeFrom="page">
                  <wp:align>center</wp:align>
                </wp:positionV>
                <wp:extent cx="6864824" cy="9123528"/>
                <wp:effectExtent l="0" t="0" r="2540" b="635"/>
                <wp:wrapNone/>
                <wp:docPr id="1026" name="Group 19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6864824" cy="9123528"/>
                          <a:chOff x="0" y="0"/>
                          <a:chExt cx="6864824" cy="9123528"/>
                        </a:xfrm>
                      </wpg:grpSpPr>
                      <wps:wsp>
                        <wps:cNvSpPr/>
                        <wps:spPr>
                          <a:xfrm rot="0">
                            <a:off x="0" y="0"/>
                            <a:ext cx="6858000" cy="1371600"/>
                          </a:xfrm>
                          <a:prstGeom prst="rect"/>
                          <a:solidFill>
                            <a:srgbClr val="4472c4"/>
                          </a:solidFill>
                          <a:ln>
                            <a:noFill/>
                          </a:ln>
                        </wps:spPr>
                        <wps:bodyPr>
                          <a:prstTxWarp prst="textNoShape"/>
                        </wps:bodyPr>
                      </wps:wsp>
                      <wps:wsp>
                        <wps:cNvSpPr/>
                        <wps:spPr>
                          <a:xfrm rot="0">
                            <a:off x="0" y="4094328"/>
                            <a:ext cx="6858000" cy="5029200"/>
                          </a:xfrm>
                          <a:prstGeom prst="rect"/>
                          <a:solidFill>
                            <a:srgbClr val="4472c4"/>
                          </a:solidFill>
                          <a:ln>
                            <a:noFill/>
                          </a:ln>
                        </wps:spPr>
                        <wps:txbx id="1028">
                          <w:txbxContent>
                            <w:p>
                              <w:pPr>
                                <w:pStyle w:val="style157"/>
                                <w:spacing w:before="120"/>
                                <w:rPr>
                                  <w:color w:val="ffffff"/>
                                </w:rPr>
                              </w:pPr>
                            </w:p>
                          </w:txbxContent>
                        </wps:txbx>
                        <wps:bodyPr lIns="457200" rIns="457200" tIns="731520" bIns="457200" vert="horz" anchor="b" wrap="square">
                          <a:prstTxWarp prst="textNoShape"/>
                          <a:noAutofit/>
                        </wps:bodyPr>
                      </wps:wsp>
                      <wps:wsp>
                        <wps:cNvSpPr/>
                        <wps:spPr>
                          <a:xfrm rot="0">
                            <a:off x="6824" y="1371600"/>
                            <a:ext cx="6858000" cy="2722728"/>
                          </a:xfrm>
                          <a:prstGeom prst="rect"/>
                          <a:solidFill>
                            <a:srgbClr val="ffffff"/>
                          </a:solidFill>
                          <a:ln>
                            <a:noFill/>
                          </a:ln>
                        </wps:spPr>
                        <wps:txbx id="1029">
                          <w:txbxContent>
                            <w:p>
                              <w:pPr>
                                <w:pStyle w:val="style157"/>
                                <w:jc w:val="center"/>
                                <w:rPr>
                                  <w:rFonts w:ascii="Times New Roman" w:cs="Times New Roman" w:eastAsia="宋体" w:hAnsi="Times New Roman"/>
                                  <w:b/>
                                  <w:bCs/>
                                  <w:caps/>
                                  <w:color w:val="4472c4"/>
                                  <w:sz w:val="32"/>
                                  <w:szCs w:val="32"/>
                                </w:rPr>
                              </w:pPr>
                              <w:r>
                                <w:rPr>
                                  <w:rFonts w:ascii="Times New Roman" w:cs="Times New Roman" w:hAnsi="Times New Roman"/>
                                  <w:b/>
                                  <w:bCs/>
                                  <w:sz w:val="32"/>
                                  <w:szCs w:val="32"/>
                                </w:rPr>
                                <w:t>LCBB5005 Project Management</w:t>
                              </w:r>
                            </w:p>
                            <w:p>
                              <w:pPr>
                                <w:pStyle w:val="style157"/>
                                <w:jc w:val="center"/>
                                <w:rPr>
                                  <w:rFonts w:ascii="Times New Roman" w:cs="Times New Roman" w:eastAsia="宋体" w:hAnsi="Times New Roman"/>
                                  <w:b/>
                                  <w:bCs/>
                                  <w:caps/>
                                  <w:color w:val="4472c4"/>
                                  <w:sz w:val="32"/>
                                  <w:szCs w:val="32"/>
                                </w:rPr>
                              </w:pPr>
                              <w:r>
                                <w:rPr>
                                  <w:rFonts w:ascii="Times New Roman" w:cs="Times New Roman" w:eastAsia="宋体" w:hAnsi="Times New Roman"/>
                                  <w:b/>
                                  <w:bCs/>
                                  <w:caps/>
                                  <w:color w:val="4472c4"/>
                                  <w:sz w:val="32"/>
                                  <w:szCs w:val="32"/>
                                  <w:lang w:val="en-US"/>
                                </w:rPr>
                                <w:t>Student ID:2115193</w:t>
                              </w:r>
                            </w:p>
                            <w:p>
                              <w:pPr>
                                <w:pStyle w:val="style157"/>
                                <w:jc w:val="center"/>
                                <w:rPr>
                                  <w:rFonts w:ascii="Times New Roman" w:cs="Times New Roman" w:eastAsia="宋体" w:hAnsi="Times New Roman"/>
                                  <w:b/>
                                  <w:bCs/>
                                  <w:caps/>
                                  <w:color w:val="4472c4"/>
                                  <w:sz w:val="32"/>
                                  <w:szCs w:val="32"/>
                                </w:rPr>
                              </w:pPr>
                              <w:r>
                                <w:rPr>
                                  <w:rFonts w:ascii="Times New Roman" w:cs="Times New Roman" w:eastAsia="宋体" w:hAnsi="Times New Roman"/>
                                  <w:b/>
                                  <w:bCs/>
                                  <w:caps/>
                                  <w:color w:val="4472c4"/>
                                  <w:sz w:val="32"/>
                                  <w:szCs w:val="32"/>
                                  <w:lang w:val="en-US"/>
                                </w:rPr>
                                <w:t xml:space="preserve">Student name: kostadin Dimitrov Kostov </w:t>
                              </w:r>
                            </w:p>
                          </w:txbxContent>
                        </wps:txbx>
                        <wps:bodyPr lIns="457200" rIns="457200" tIns="91440" bIns="91440" vert="horz" anchor="ctr" wrap="square">
                          <a:prstTxWarp prst="textNoShape"/>
                          <a:noAutofit/>
                        </wps:bodyPr>
                      </wps:wsp>
                    </wpg:wgp>
                  </a:graphicData>
                </a:graphic>
                <wp14:sizeRelH relativeFrom="page">
                  <wp14:pctWidth>88200</wp14:pctWidth>
                </wp14:sizeRelH>
                <wp14:sizeRelV relativeFrom="page">
                  <wp14:pctHeight>90900</wp14:pctHeight>
                </wp14:sizeRelV>
              </wp:anchor>
            </w:drawing>
          </mc:Choice>
          <mc:Fallback>
            <w:pict>
              <v:group id="1026" filled="f" stroked="f" style="position:absolute;margin-left:0.0pt;margin-top:0.0pt;width:540.54pt;height:718.39pt;z-index:-2147483645;mso-position-horizontal:center;mso-position-vertical:center;mso-position-horizontal-relative:page;mso-position-vertical-relative:page;mso-width-percent:882;mso-height-percent:909;mso-width-relative:page;mso-height-relative:page;mso-wrap-distance-left:0.0pt;mso-wrap-distance-right:0.0pt;visibility:visible;" coordsize="6864824,9123528">
                <v:rect id="1027" fillcolor="#4472c4" stroked="f" style="position:absolute;left:0;top:0;width:6858000;height:1371600;z-index:2;mso-position-horizontal-relative:page;mso-position-vertical-relative:page;mso-width-relative:page;mso-height-relative:page;visibility:visible;">
                  <v:stroke on="f" joinstyle="miter" color="#31538f" weight="1.0pt"/>
                  <v:fill/>
                </v:rect>
                <v:rect id="1028" fillcolor="#4472c4" stroked="f" style="position:absolute;left:0;top:4094328;width:6858000;height:5029200;z-index:3;mso-position-horizontal-relative:page;mso-position-vertical-relative:page;mso-width-relative:page;mso-height-relative:page;visibility:visible;v-text-anchor:bottom;">
                  <v:stroke on="f" joinstyle="miter" color="#31538f" weight="1.0pt"/>
                  <v:fill/>
                  <v:textbox inset="36.0pt,57.6pt,36.0pt,36.0pt">
                    <w:txbxContent>
                      <w:p>
                        <w:pPr>
                          <w:pStyle w:val="style157"/>
                          <w:spacing w:before="120"/>
                          <w:rPr>
                            <w:color w:val="ffffff"/>
                          </w:rPr>
                        </w:pPr>
                      </w:p>
                    </w:txbxContent>
                  </v:textbox>
                </v:rect>
                <v:rect id="1029" fillcolor="white" stroked="f" style="position:absolute;left:6824;top:1371600;width:6858000;height:2722728;z-index:4;mso-position-horizontal-relative:page;mso-position-vertical-relative:page;mso-width-relative:page;mso-height-relative:page;visibility:visible;v-text-anchor:middle;">
                  <v:stroke on="f" weight="0.5pt"/>
                  <v:fill/>
                  <v:textbox inset="36.0pt,7.2pt,36.0pt,7.2pt">
                    <w:txbxContent>
                      <w:p>
                        <w:pPr>
                          <w:pStyle w:val="style157"/>
                          <w:jc w:val="center"/>
                          <w:rPr>
                            <w:rFonts w:ascii="Times New Roman" w:cs="Times New Roman" w:eastAsia="宋体" w:hAnsi="Times New Roman"/>
                            <w:b/>
                            <w:bCs/>
                            <w:caps/>
                            <w:color w:val="4472c4"/>
                            <w:sz w:val="32"/>
                            <w:szCs w:val="32"/>
                          </w:rPr>
                        </w:pPr>
                        <w:r>
                          <w:rPr>
                            <w:rFonts w:ascii="Times New Roman" w:cs="Times New Roman" w:hAnsi="Times New Roman"/>
                            <w:b/>
                            <w:bCs/>
                            <w:sz w:val="32"/>
                            <w:szCs w:val="32"/>
                          </w:rPr>
                          <w:t>LCBB5005 Project Management</w:t>
                        </w:r>
                      </w:p>
                      <w:p>
                        <w:pPr>
                          <w:pStyle w:val="style157"/>
                          <w:jc w:val="center"/>
                          <w:rPr>
                            <w:rFonts w:ascii="Times New Roman" w:cs="Times New Roman" w:eastAsia="宋体" w:hAnsi="Times New Roman"/>
                            <w:b/>
                            <w:bCs/>
                            <w:caps/>
                            <w:color w:val="4472c4"/>
                            <w:sz w:val="32"/>
                            <w:szCs w:val="32"/>
                          </w:rPr>
                        </w:pPr>
                        <w:r>
                          <w:rPr>
                            <w:rFonts w:ascii="Times New Roman" w:cs="Times New Roman" w:eastAsia="宋体" w:hAnsi="Times New Roman"/>
                            <w:b/>
                            <w:bCs/>
                            <w:caps/>
                            <w:color w:val="4472c4"/>
                            <w:sz w:val="32"/>
                            <w:szCs w:val="32"/>
                            <w:lang w:val="en-US"/>
                          </w:rPr>
                          <w:t>Student ID:2115193</w:t>
                        </w:r>
                      </w:p>
                      <w:p>
                        <w:pPr>
                          <w:pStyle w:val="style157"/>
                          <w:jc w:val="center"/>
                          <w:rPr>
                            <w:rFonts w:ascii="Times New Roman" w:cs="Times New Roman" w:eastAsia="宋体" w:hAnsi="Times New Roman"/>
                            <w:b/>
                            <w:bCs/>
                            <w:caps/>
                            <w:color w:val="4472c4"/>
                            <w:sz w:val="32"/>
                            <w:szCs w:val="32"/>
                          </w:rPr>
                        </w:pPr>
                        <w:r>
                          <w:rPr>
                            <w:rFonts w:ascii="Times New Roman" w:cs="Times New Roman" w:eastAsia="宋体" w:hAnsi="Times New Roman"/>
                            <w:b/>
                            <w:bCs/>
                            <w:caps/>
                            <w:color w:val="4472c4"/>
                            <w:sz w:val="32"/>
                            <w:szCs w:val="32"/>
                            <w:lang w:val="en-US"/>
                          </w:rPr>
                          <w:t xml:space="preserve">Student name: kostadin Dimitrov Kostov </w:t>
                        </w:r>
                      </w:p>
                    </w:txbxContent>
                  </v:textbox>
                </v:rect>
                <v:fill/>
              </v:group>
            </w:pict>
          </mc:Fallback>
        </mc:AlternateContent>
      </w:r>
    </w:p>
    <w:p>
      <w:pPr>
        <w:pStyle w:val="style0"/>
        <w:rPr>
          <w:rFonts w:ascii="Times New Roman" w:cs="Times New Roman" w:eastAsia="Times New Roman" w:hAnsi="Times New Roman"/>
          <w:color w:val="000000"/>
          <w:kern w:val="0"/>
          <w:sz w:val="24"/>
          <w:szCs w:val="24"/>
          <w14:ligatures xmlns:w14="http://schemas.microsoft.com/office/word/2010/wordml" w14:val="none"/>
        </w:rPr>
      </w:pPr>
      <w:r>
        <w:rPr>
          <w:rFonts w:ascii="Times New Roman" w:cs="Times New Roman" w:eastAsia="Times New Roman" w:hAnsi="Times New Roman"/>
          <w:color w:val="000000"/>
          <w:sz w:val="24"/>
          <w:szCs w:val="24"/>
        </w:rPr>
        <w:br w:type="page"/>
      </w:r>
    </w:p>
    <w:p>
      <w:pPr>
        <w:pStyle w:val="style266"/>
        <w:rPr/>
      </w:pPr>
      <w:r>
        <w:t>Table of Contents</w:t>
      </w:r>
    </w:p>
    <w:p>
      <w:pPr>
        <w:pStyle w:val="style19"/>
        <w:tabs>
          <w:tab w:val="right" w:leader="dot" w:pos="9016"/>
        </w:tabs>
        <w:rPr>
          <w:rFonts w:eastAsia="宋体"/>
          <w:noProof/>
          <w:kern w:val="0"/>
          <w14:ligatures xmlns:w14="http://schemas.microsoft.com/office/word/2010/wordml" w14:val="none"/>
        </w:rPr>
      </w:pPr>
      <w:r>
        <w:rPr/>
        <w:fldChar w:fldCharType="begin"/>
      </w:r>
      <w:r>
        <w:instrText xml:space="preserve"> TOC \o "1-3" \h \z \u </w:instrText>
      </w:r>
      <w:r>
        <w:rPr/>
        <w:fldChar w:fldCharType="separate"/>
      </w:r>
      <w:r>
        <w:rPr/>
        <w:fldChar w:fldCharType="begin"/>
      </w:r>
      <w:r>
        <w:instrText xml:space="preserve"> HYPERLINK \l "_Toc134174739"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_Toc134174739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6"/>
        </w:tabs>
        <w:rPr>
          <w:rFonts w:eastAsia="宋体"/>
          <w:noProof/>
          <w:kern w:val="0"/>
          <w14:ligatures xmlns:w14="http://schemas.microsoft.com/office/word/2010/wordml" w14:val="none"/>
        </w:rPr>
      </w:pPr>
      <w:r>
        <w:rPr/>
        <w:fldChar w:fldCharType="begin"/>
      </w:r>
      <w:r>
        <w:instrText xml:space="preserve"> HYPERLINK \l "_Toc134174740" </w:instrText>
      </w:r>
      <w:r>
        <w:rPr/>
        <w:fldChar w:fldCharType="separate"/>
      </w:r>
      <w:r>
        <w:rPr>
          <w:rStyle w:val="style85"/>
          <w:noProof/>
        </w:rPr>
        <w:t>Main body:</w:t>
      </w:r>
      <w:r>
        <w:rPr>
          <w:noProof/>
          <w:webHidden/>
        </w:rPr>
        <w:tab/>
      </w:r>
      <w:r>
        <w:rPr>
          <w:noProof/>
          <w:webHidden/>
        </w:rPr>
        <w:fldChar w:fldCharType="begin"/>
      </w:r>
      <w:r>
        <w:rPr>
          <w:noProof/>
          <w:webHidden/>
        </w:rPr>
        <w:instrText xml:space="preserve"> PAGEREF _Toc134174740 \h </w:instrText>
      </w:r>
      <w:r>
        <w:rPr>
          <w:noProof/>
          <w:webHidden/>
        </w:rPr>
        <w:fldChar w:fldCharType="separate"/>
      </w:r>
      <w:r>
        <w:rPr>
          <w:noProof/>
          <w:webHidden/>
        </w:rPr>
        <w:t>2</w:t>
      </w:r>
      <w:r>
        <w:rPr>
          <w:noProof/>
          <w:webHidden/>
        </w:rPr>
        <w:fldChar w:fldCharType="end"/>
      </w:r>
      <w:r>
        <w:rPr/>
        <w:fldChar w:fldCharType="end"/>
      </w:r>
    </w:p>
    <w:p>
      <w:pPr>
        <w:pStyle w:val="style20"/>
        <w:tabs>
          <w:tab w:val="right" w:leader="dot" w:pos="9016"/>
        </w:tabs>
        <w:rPr>
          <w:rFonts w:eastAsia="宋体"/>
          <w:noProof/>
          <w:kern w:val="0"/>
          <w14:ligatures xmlns:w14="http://schemas.microsoft.com/office/word/2010/wordml" w14:val="none"/>
        </w:rPr>
      </w:pPr>
      <w:r>
        <w:rPr/>
        <w:fldChar w:fldCharType="begin"/>
      </w:r>
      <w:r>
        <w:instrText xml:space="preserve"> HYPERLINK \l "_Toc134174741" </w:instrText>
      </w:r>
      <w:r>
        <w:rPr/>
        <w:fldChar w:fldCharType="separate"/>
      </w:r>
      <w:r>
        <w:rPr>
          <w:rStyle w:val="style85"/>
          <w:noProof/>
        </w:rPr>
        <w:t>Budget:</w:t>
      </w:r>
      <w:r>
        <w:rPr>
          <w:noProof/>
          <w:webHidden/>
        </w:rPr>
        <w:tab/>
      </w:r>
      <w:r>
        <w:rPr>
          <w:noProof/>
          <w:webHidden/>
        </w:rPr>
        <w:fldChar w:fldCharType="begin"/>
      </w:r>
      <w:r>
        <w:rPr>
          <w:noProof/>
          <w:webHidden/>
        </w:rPr>
        <w:instrText xml:space="preserve"> PAGEREF _Toc134174741 \h </w:instrText>
      </w:r>
      <w:r>
        <w:rPr>
          <w:noProof/>
          <w:webHidden/>
        </w:rPr>
        <w:fldChar w:fldCharType="separate"/>
      </w:r>
      <w:r>
        <w:rPr>
          <w:noProof/>
          <w:webHidden/>
        </w:rPr>
        <w:t>2</w:t>
      </w:r>
      <w:r>
        <w:rPr>
          <w:noProof/>
          <w:webHidden/>
        </w:rPr>
        <w:fldChar w:fldCharType="end"/>
      </w:r>
      <w:r>
        <w:rPr/>
        <w:fldChar w:fldCharType="end"/>
      </w:r>
    </w:p>
    <w:p>
      <w:pPr>
        <w:pStyle w:val="style20"/>
        <w:tabs>
          <w:tab w:val="right" w:leader="dot" w:pos="9016"/>
        </w:tabs>
        <w:rPr>
          <w:rFonts w:eastAsia="宋体"/>
          <w:noProof/>
          <w:kern w:val="0"/>
          <w14:ligatures xmlns:w14="http://schemas.microsoft.com/office/word/2010/wordml" w14:val="none"/>
        </w:rPr>
      </w:pPr>
      <w:r>
        <w:rPr/>
        <w:fldChar w:fldCharType="begin"/>
      </w:r>
      <w:r>
        <w:instrText xml:space="preserve"> HYPERLINK \l "_Toc134174742" </w:instrText>
      </w:r>
      <w:r>
        <w:rPr/>
        <w:fldChar w:fldCharType="separate"/>
      </w:r>
      <w:r>
        <w:rPr>
          <w:rStyle w:val="style85"/>
          <w:noProof/>
        </w:rPr>
        <w:t>Time:</w:t>
      </w:r>
      <w:r>
        <w:rPr>
          <w:noProof/>
          <w:webHidden/>
        </w:rPr>
        <w:tab/>
      </w:r>
      <w:r>
        <w:rPr>
          <w:noProof/>
          <w:webHidden/>
        </w:rPr>
        <w:fldChar w:fldCharType="begin"/>
      </w:r>
      <w:r>
        <w:rPr>
          <w:noProof/>
          <w:webHidden/>
        </w:rPr>
        <w:instrText xml:space="preserve"> PAGEREF _Toc134174742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6"/>
        </w:tabs>
        <w:rPr>
          <w:rFonts w:eastAsia="宋体"/>
          <w:noProof/>
          <w:kern w:val="0"/>
          <w14:ligatures xmlns:w14="http://schemas.microsoft.com/office/word/2010/wordml" w14:val="none"/>
        </w:rPr>
      </w:pPr>
      <w:r>
        <w:rPr/>
        <w:fldChar w:fldCharType="begin"/>
      </w:r>
      <w:r>
        <w:instrText xml:space="preserve"> HYPERLINK \l "_Toc134174743" </w:instrText>
      </w:r>
      <w:r>
        <w:rPr/>
        <w:fldChar w:fldCharType="separate"/>
      </w:r>
      <w:r>
        <w:rPr>
          <w:rStyle w:val="style85"/>
          <w:noProof/>
        </w:rPr>
        <w:t>Quality:</w:t>
      </w:r>
      <w:r>
        <w:rPr>
          <w:noProof/>
          <w:webHidden/>
        </w:rPr>
        <w:tab/>
      </w:r>
      <w:r>
        <w:rPr>
          <w:noProof/>
          <w:webHidden/>
        </w:rPr>
        <w:fldChar w:fldCharType="begin"/>
      </w:r>
      <w:r>
        <w:rPr>
          <w:noProof/>
          <w:webHidden/>
        </w:rPr>
        <w:instrText xml:space="preserve"> PAGEREF _Toc134174743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6"/>
        </w:tabs>
        <w:rPr>
          <w:rFonts w:eastAsia="宋体"/>
          <w:noProof/>
          <w:kern w:val="0"/>
          <w14:ligatures xmlns:w14="http://schemas.microsoft.com/office/word/2010/wordml" w14:val="none"/>
        </w:rPr>
      </w:pPr>
      <w:r>
        <w:rPr/>
        <w:fldChar w:fldCharType="begin"/>
      </w:r>
      <w:r>
        <w:instrText xml:space="preserve"> HYPERLINK \l "_Toc134174744" </w:instrText>
      </w:r>
      <w:r>
        <w:rPr/>
        <w:fldChar w:fldCharType="separate"/>
      </w:r>
      <w:r>
        <w:rPr>
          <w:rStyle w:val="style85"/>
          <w:noProof/>
        </w:rPr>
        <w:t>Stakeholders:</w:t>
      </w:r>
      <w:r>
        <w:rPr>
          <w:noProof/>
          <w:webHidden/>
        </w:rPr>
        <w:tab/>
      </w:r>
      <w:r>
        <w:rPr>
          <w:noProof/>
          <w:webHidden/>
        </w:rPr>
        <w:fldChar w:fldCharType="begin"/>
      </w:r>
      <w:r>
        <w:rPr>
          <w:noProof/>
          <w:webHidden/>
        </w:rPr>
        <w:instrText xml:space="preserve"> PAGEREF _Toc134174744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rPr>
          <w:rFonts w:eastAsia="宋体"/>
          <w:noProof/>
          <w:kern w:val="0"/>
          <w14:ligatures xmlns:w14="http://schemas.microsoft.com/office/word/2010/wordml" w14:val="none"/>
        </w:rPr>
      </w:pPr>
      <w:r>
        <w:rPr/>
        <w:fldChar w:fldCharType="begin"/>
      </w:r>
      <w:r>
        <w:instrText xml:space="preserve"> HYPERLINK \l "_Toc134174745" </w:instrText>
      </w:r>
      <w:r>
        <w:rPr/>
        <w:fldChar w:fldCharType="separate"/>
      </w:r>
      <w:r>
        <w:rPr>
          <w:rStyle w:val="style85"/>
          <w:noProof/>
        </w:rPr>
        <w:t>Risk factors:</w:t>
      </w:r>
      <w:r>
        <w:rPr>
          <w:noProof/>
          <w:webHidden/>
        </w:rPr>
        <w:tab/>
      </w:r>
      <w:r>
        <w:rPr>
          <w:noProof/>
          <w:webHidden/>
        </w:rPr>
        <w:fldChar w:fldCharType="begin"/>
      </w:r>
      <w:r>
        <w:rPr>
          <w:noProof/>
          <w:webHidden/>
        </w:rPr>
        <w:instrText xml:space="preserve"> PAGEREF _Toc134174745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6"/>
        </w:tabs>
        <w:rPr>
          <w:rFonts w:eastAsia="宋体"/>
          <w:noProof/>
          <w:kern w:val="0"/>
          <w14:ligatures xmlns:w14="http://schemas.microsoft.com/office/word/2010/wordml" w14:val="none"/>
        </w:rPr>
      </w:pPr>
      <w:r>
        <w:rPr/>
        <w:fldChar w:fldCharType="begin"/>
      </w:r>
      <w:r>
        <w:instrText xml:space="preserve"> HYPERLINK \l "_Toc134174746" </w:instrText>
      </w:r>
      <w:r>
        <w:rPr/>
        <w:fldChar w:fldCharType="separate"/>
      </w:r>
      <w:r>
        <w:rPr>
          <w:rStyle w:val="style85"/>
          <w:noProof/>
        </w:rPr>
        <w:t>Success and Failure:</w:t>
      </w:r>
      <w:r>
        <w:rPr>
          <w:noProof/>
          <w:webHidden/>
        </w:rPr>
        <w:tab/>
      </w:r>
      <w:r>
        <w:rPr>
          <w:noProof/>
          <w:webHidden/>
        </w:rPr>
        <w:fldChar w:fldCharType="begin"/>
      </w:r>
      <w:r>
        <w:rPr>
          <w:noProof/>
          <w:webHidden/>
        </w:rPr>
        <w:instrText xml:space="preserve"> PAGEREF _Toc134174746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016"/>
        </w:tabs>
        <w:rPr>
          <w:rFonts w:eastAsia="宋体"/>
          <w:noProof/>
          <w:kern w:val="0"/>
          <w14:ligatures xmlns:w14="http://schemas.microsoft.com/office/word/2010/wordml" w14:val="none"/>
        </w:rPr>
      </w:pPr>
      <w:r>
        <w:rPr/>
        <w:fldChar w:fldCharType="begin"/>
      </w:r>
      <w:r>
        <w:instrText xml:space="preserve"> HYPERLINK \l "_Toc134174747"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_Toc134174747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016"/>
        </w:tabs>
        <w:rPr>
          <w:rFonts w:eastAsia="宋体"/>
          <w:noProof/>
          <w:kern w:val="0"/>
          <w14:ligatures xmlns:w14="http://schemas.microsoft.com/office/word/2010/wordml" w14:val="none"/>
        </w:rPr>
      </w:pPr>
      <w:r>
        <w:rPr/>
        <w:fldChar w:fldCharType="begin"/>
      </w:r>
      <w:r>
        <w:instrText xml:space="preserve"> HYPERLINK \l "_Toc134174748" </w:instrText>
      </w:r>
      <w:r>
        <w:rPr/>
        <w:fldChar w:fldCharType="separate"/>
      </w:r>
      <w:r>
        <w:rPr>
          <w:rStyle w:val="style85"/>
          <w:noProof/>
        </w:rPr>
        <w:t>Recommendations:</w:t>
      </w:r>
      <w:r>
        <w:rPr>
          <w:noProof/>
          <w:webHidden/>
        </w:rPr>
        <w:tab/>
      </w:r>
      <w:r>
        <w:rPr>
          <w:noProof/>
          <w:webHidden/>
        </w:rPr>
        <w:fldChar w:fldCharType="begin"/>
      </w:r>
      <w:r>
        <w:rPr>
          <w:noProof/>
          <w:webHidden/>
        </w:rPr>
        <w:instrText xml:space="preserve"> PAGEREF _Toc134174748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016"/>
        </w:tabs>
        <w:rPr>
          <w:rFonts w:eastAsia="宋体"/>
          <w:noProof/>
          <w:kern w:val="0"/>
          <w14:ligatures xmlns:w14="http://schemas.microsoft.com/office/word/2010/wordml" w14:val="none"/>
        </w:rPr>
      </w:pPr>
      <w:r>
        <w:rPr/>
        <w:fldChar w:fldCharType="begin"/>
      </w:r>
      <w:r>
        <w:instrText xml:space="preserve"> HYPERLINK \l "_Toc134174749"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_Toc134174749 \h </w:instrText>
      </w:r>
      <w:r>
        <w:rPr>
          <w:noProof/>
          <w:webHidden/>
        </w:rPr>
        <w:fldChar w:fldCharType="separate"/>
      </w:r>
      <w:r>
        <w:rPr>
          <w:noProof/>
          <w:webHidden/>
        </w:rPr>
        <w:t>8</w:t>
      </w:r>
      <w:r>
        <w:rPr>
          <w:noProof/>
          <w:webHidden/>
        </w:rPr>
        <w:fldChar w:fldCharType="end"/>
      </w:r>
      <w:r>
        <w:rPr/>
        <w:fldChar w:fldCharType="end"/>
      </w:r>
    </w:p>
    <w:p>
      <w:pPr>
        <w:pStyle w:val="style0"/>
        <w:rPr/>
      </w:pPr>
      <w:r>
        <w:rPr>
          <w:b/>
          <w:bCs/>
          <w:noProof/>
        </w:rPr>
        <w:fldChar w:fldCharType="end"/>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bookmarkStart w:id="0" w:name="_Toc134174739"/>
    <w:p>
      <w:pPr>
        <w:pStyle w:val="style1"/>
        <w:rPr/>
      </w:pPr>
      <w:r>
        <w:t>Introduction:</w:t>
      </w:r>
      <w:bookmarkEnd w:id="0"/>
    </w:p>
    <w:p>
      <w:pPr>
        <w:pStyle w:val="style94"/>
        <w:spacing w:lineRule="auto" w:line="360"/>
        <w:jc w:val="both"/>
        <w:rPr>
          <w:color w:val="000000"/>
        </w:rPr>
      </w:pPr>
      <w:r>
        <w:rPr>
          <w:color w:val="000000"/>
        </w:rPr>
        <w:t xml:space="preserve">The Hinkley Point C Project is a nuclear power station being built in Somerset, United Kingdom, with the goals of generating low-carbon energy for almost 6 million households, providing thousands of jobs, and significantly lowering the country's carbon emissions. It is expected to cost between $25 and £26 billion, making it the </w:t>
      </w:r>
      <w:r>
        <w:rPr>
          <w:color w:val="000000"/>
        </w:rPr>
        <w:t>costliest</w:t>
      </w:r>
      <w:r>
        <w:rPr>
          <w:color w:val="000000"/>
        </w:rPr>
        <w:t xml:space="preserve"> nuclear power plant ever built. The Hinkley Point C power plant is the most recent one to be constructed in the United Kingdom. The UK government has said that they would reap long-term financial advantages from Hinkley Point C due to the plant's ability to provide low-carbon power to local families and businesses. To help with the unemployment rate, the building of Hinkley Point C will create 25,000 new jobs. The 1,000 apprenticeships are provided by firms in the United Kingdom. Apprenticeships provide a means to save money on building projects, saving 64% on average. Through Hinkley Point C, the UK government has been working to reduce carbon emissions. The goal of this study is to </w:t>
      </w:r>
      <w:r>
        <w:rPr>
          <w:color w:val="000000"/>
        </w:rPr>
        <w:t>analyse</w:t>
      </w:r>
      <w:r>
        <w:rPr>
          <w:color w:val="000000"/>
        </w:rPr>
        <w:t xml:space="preserve"> how far along the Hinkley Point C Project is and draw conclusions about the project's potential impact on the future of the UK's energy industry. The project's budget, timeline, quality, stakeholders, and risk considerations will be the primary areas of evaluation. The strategy will be pragmatic and rational, with conclusions backed up by applicable examples and solid arguments.</w:t>
      </w:r>
    </w:p>
    <w:bookmarkStart w:id="1" w:name="_Toc134174740"/>
    <w:p>
      <w:pPr>
        <w:pStyle w:val="style1"/>
        <w:rPr/>
      </w:pPr>
      <w:r>
        <w:t>Main body:</w:t>
      </w:r>
      <w:bookmarkEnd w:id="1"/>
    </w:p>
    <w:bookmarkStart w:id="2" w:name="_Toc134174741"/>
    <w:p>
      <w:pPr>
        <w:pStyle w:val="style2"/>
        <w:rPr/>
      </w:pPr>
      <w:r>
        <w:t>Budget:</w:t>
      </w:r>
      <w:bookmarkEnd w:id="2"/>
    </w:p>
    <w:p>
      <w:pPr>
        <w:pStyle w:val="style94"/>
        <w:spacing w:lineRule="auto" w:line="360"/>
        <w:jc w:val="both"/>
        <w:rPr>
          <w:color w:val="000000"/>
        </w:rPr>
      </w:pPr>
      <w:r>
        <w:rPr>
          <w:color w:val="000000"/>
        </w:rPr>
        <w:t xml:space="preserve">The cost of the Hinkley Point C Project has increased from an earlier estimate of £18 billion to a new range of £25–£26 billion, including a contingency buffer of £3 billion. Several factors, such as revisions to the design and construction plans, delays, and price increases for materials and </w:t>
      </w:r>
      <w:r>
        <w:rPr>
          <w:color w:val="000000"/>
        </w:rPr>
        <w:t>labour</w:t>
      </w:r>
      <w:r>
        <w:rPr>
          <w:color w:val="000000"/>
        </w:rPr>
        <w:t>, contributed to the overrun. Significant time and money have been lost due to project delays. The initial anticipated cost of £18 billion for the project is now between £25 and £26 billion. Legal obstacles, architectural revisions, and construction concerns are only some of the causes that have hampered the project's timeline</w:t>
      </w:r>
      <w:r>
        <w:rPr>
          <w:color w:val="000000"/>
        </w:rPr>
        <w:fldChar w:fldCharType="begin"/>
      </w:r>
      <w:r>
        <w:rPr>
          <w:color w:val="000000"/>
        </w:rPr>
        <w:instrText xml:space="preserve"> CITATION Ald19 \l 1033 </w:instrText>
      </w:r>
      <w:r>
        <w:rPr>
          <w:color w:val="000000"/>
        </w:rPr>
        <w:fldChar w:fldCharType="separate"/>
      </w:r>
      <w:r>
        <w:rPr>
          <w:noProof/>
          <w:color w:val="000000"/>
        </w:rPr>
        <w:t xml:space="preserve"> </w:t>
      </w:r>
      <w:r>
        <w:rPr>
          <w:noProof/>
          <w:color w:val="000000"/>
        </w:rPr>
        <w:t>(Aldama-Bustos, 2019)</w:t>
      </w:r>
      <w:r>
        <w:rPr>
          <w:color w:val="000000"/>
        </w:rPr>
        <w:fldChar w:fldCharType="end"/>
      </w:r>
      <w:r>
        <w:rPr>
          <w:color w:val="000000"/>
        </w:rPr>
        <w:t xml:space="preserve">. The project's completion delay may increase costs and affect the United Kingdom's ability to meet its energy needs. The project's present cost is still manageable, but there are factors that might increase or decrease that number. These include design or scope changes, increased material and </w:t>
      </w:r>
      <w:r>
        <w:rPr>
          <w:color w:val="000000"/>
        </w:rPr>
        <w:t>labour</w:t>
      </w:r>
      <w:r>
        <w:rPr>
          <w:color w:val="000000"/>
        </w:rPr>
        <w:t xml:space="preserve"> costs, and delays caused by COVID-19 or other unforeseen technical challenges. The emergency fund helps mitigate these dangers, but it may not be enough to deal with catastrophic events.</w:t>
      </w:r>
    </w:p>
    <w:p>
      <w:pPr>
        <w:pStyle w:val="style94"/>
        <w:spacing w:lineRule="auto" w:line="360"/>
        <w:jc w:val="both"/>
        <w:rPr>
          <w:color w:val="000000"/>
        </w:rPr>
      </w:pPr>
      <w:r>
        <w:rPr>
          <w:color w:val="000000"/>
        </w:rPr>
        <w:t xml:space="preserve">When it comes to nuclear power plant construction, the Hinkley Point C Project is among the world's biggest and priciest. The expected cost of the </w:t>
      </w:r>
      <w:r>
        <w:rPr>
          <w:color w:val="000000"/>
        </w:rPr>
        <w:t>Flamanville</w:t>
      </w:r>
      <w:r>
        <w:rPr>
          <w:color w:val="000000"/>
        </w:rPr>
        <w:t xml:space="preserve"> Nuclear Power Plant in France has climbed from €3.3 billion to €19.1 billion, which is comparable to other projects like Hinkley Point C, which also </w:t>
      </w:r>
      <w:r>
        <w:rPr>
          <w:color w:val="000000"/>
        </w:rPr>
        <w:t>utilises</w:t>
      </w:r>
      <w:r>
        <w:rPr>
          <w:color w:val="000000"/>
        </w:rPr>
        <w:t xml:space="preserve"> the same EPR technology</w:t>
      </w:r>
      <w:r>
        <w:rPr>
          <w:color w:val="000000"/>
        </w:rPr>
        <w:fldChar w:fldCharType="begin"/>
      </w:r>
      <w:r>
        <w:rPr>
          <w:color w:val="000000"/>
        </w:rPr>
        <w:instrText xml:space="preserve"> CITATION Bec19 \l 1033 </w:instrText>
      </w:r>
      <w:r>
        <w:rPr>
          <w:color w:val="000000"/>
        </w:rPr>
        <w:fldChar w:fldCharType="separate"/>
      </w:r>
      <w:r>
        <w:rPr>
          <w:noProof/>
          <w:color w:val="000000"/>
        </w:rPr>
        <w:t xml:space="preserve"> </w:t>
      </w:r>
      <w:r>
        <w:rPr>
          <w:noProof/>
          <w:color w:val="000000"/>
        </w:rPr>
        <w:t>(Becker, 2019)</w:t>
      </w:r>
      <w:r>
        <w:rPr>
          <w:color w:val="000000"/>
        </w:rPr>
        <w:fldChar w:fldCharType="end"/>
      </w:r>
      <w:r>
        <w:rPr>
          <w:color w:val="000000"/>
        </w:rPr>
        <w:t xml:space="preserve">. Potential threats to Hinkley Point C include delays, design revisions, and technical concerns, all of which contributed to </w:t>
      </w:r>
      <w:r>
        <w:rPr>
          <w:color w:val="000000"/>
        </w:rPr>
        <w:t>Flamanville's</w:t>
      </w:r>
      <w:r>
        <w:rPr>
          <w:color w:val="000000"/>
        </w:rPr>
        <w:t xml:space="preserve"> cost overrun. The project is presently on track financially, but there are factors that might increase or decrease the total cost. The project's success relies on careful budget tracking and management.</w:t>
      </w:r>
    </w:p>
    <w:bookmarkStart w:id="3" w:name="_Toc134174742"/>
    <w:p>
      <w:pPr>
        <w:pStyle w:val="style2"/>
        <w:rPr/>
      </w:pPr>
      <w:r>
        <w:t>Time:</w:t>
      </w:r>
      <w:bookmarkEnd w:id="3"/>
    </w:p>
    <w:p>
      <w:pPr>
        <w:pStyle w:val="style94"/>
        <w:spacing w:lineRule="auto" w:line="360"/>
        <w:jc w:val="both"/>
        <w:rPr>
          <w:color w:val="000000"/>
        </w:rPr>
      </w:pPr>
      <w:r>
        <w:rPr>
          <w:color w:val="000000"/>
        </w:rPr>
        <w:t>The first reactor at Hinkley Point C was expected to start up in 2023, with the second to follow in 2024. There have been setbacks, but the first reactor is planned to begin operating in 2026 and the second in 2027. Supply chain interruptions and the COVID-19 epidemic are among the causes of the project's present sluggishness</w:t>
      </w:r>
      <w:r>
        <w:rPr>
          <w:color w:val="000000"/>
        </w:rPr>
        <w:fldChar w:fldCharType="begin"/>
      </w:r>
      <w:r>
        <w:rPr>
          <w:color w:val="000000"/>
        </w:rPr>
        <w:instrText xml:space="preserve"> CITATION Chi19 \l 1033 </w:instrText>
      </w:r>
      <w:r>
        <w:rPr>
          <w:color w:val="000000"/>
        </w:rPr>
        <w:fldChar w:fldCharType="separate"/>
      </w:r>
      <w:r>
        <w:rPr>
          <w:noProof/>
          <w:color w:val="000000"/>
        </w:rPr>
        <w:t xml:space="preserve"> (Child, 2019)</w:t>
      </w:r>
      <w:r>
        <w:rPr>
          <w:color w:val="000000"/>
        </w:rPr>
        <w:fldChar w:fldCharType="end"/>
      </w:r>
      <w:r>
        <w:rPr>
          <w:color w:val="000000"/>
        </w:rPr>
        <w:t>. Although time has been lost, there have been attempts to make up for it through the use of off-site construction and the introduction of new technologies. Potential future delays due to technical difficulties or regulatory hurdles are also a risk.</w:t>
      </w:r>
    </w:p>
    <w:p>
      <w:pPr>
        <w:pStyle w:val="style94"/>
        <w:spacing w:lineRule="auto" w:line="360"/>
        <w:jc w:val="both"/>
        <w:rPr>
          <w:color w:val="000000"/>
        </w:rPr>
      </w:pPr>
      <w:r>
        <w:rPr>
          <w:color w:val="000000"/>
        </w:rPr>
        <w:t xml:space="preserve">The </w:t>
      </w:r>
      <w:r>
        <w:rPr>
          <w:color w:val="000000"/>
        </w:rPr>
        <w:t>Flamanville</w:t>
      </w:r>
      <w:r>
        <w:rPr>
          <w:color w:val="000000"/>
        </w:rPr>
        <w:t xml:space="preserve"> Nuclear Power Plant in France, which uses the same EPR technology as Hinkley Point C, also encountered delays. The original completion date of 2012 for the </w:t>
      </w:r>
      <w:r>
        <w:rPr>
          <w:color w:val="000000"/>
        </w:rPr>
        <w:t>Flamanville</w:t>
      </w:r>
      <w:r>
        <w:rPr>
          <w:color w:val="000000"/>
        </w:rPr>
        <w:t xml:space="preserve"> project has been pushed back numerous times, to 2023 at this point</w:t>
      </w:r>
      <w:r>
        <w:rPr>
          <w:color w:val="000000"/>
        </w:rPr>
        <w:fldChar w:fldCharType="begin"/>
      </w:r>
      <w:r>
        <w:rPr>
          <w:color w:val="000000"/>
        </w:rPr>
        <w:instrText xml:space="preserve"> CITATION Kin21 \l 1033 </w:instrText>
      </w:r>
      <w:r>
        <w:rPr>
          <w:color w:val="000000"/>
        </w:rPr>
        <w:fldChar w:fldCharType="separate"/>
      </w:r>
      <w:r>
        <w:rPr>
          <w:noProof/>
          <w:color w:val="000000"/>
        </w:rPr>
        <w:t xml:space="preserve"> </w:t>
      </w:r>
      <w:r>
        <w:rPr>
          <w:noProof/>
          <w:color w:val="000000"/>
        </w:rPr>
        <w:t>(Kingston, 2021)</w:t>
      </w:r>
      <w:r>
        <w:rPr>
          <w:color w:val="000000"/>
        </w:rPr>
        <w:fldChar w:fldCharType="end"/>
      </w:r>
      <w:r>
        <w:rPr>
          <w:color w:val="000000"/>
        </w:rPr>
        <w:t>. While the completion of the Hinkley Point C Project is expected to take longer than originally planned, efforts are being made to make up for lost time. However, the project's success will depend critically on constant monitoring and careful management of potential delays.</w:t>
      </w:r>
    </w:p>
    <w:bookmarkStart w:id="4" w:name="_Toc134174743"/>
    <w:p>
      <w:pPr>
        <w:pStyle w:val="style2"/>
        <w:rPr/>
      </w:pPr>
      <w:r>
        <w:t>Quality:</w:t>
      </w:r>
      <w:bookmarkEnd w:id="4"/>
    </w:p>
    <w:p>
      <w:pPr>
        <w:pStyle w:val="style94"/>
        <w:spacing w:lineRule="auto" w:line="360"/>
        <w:jc w:val="both"/>
        <w:rPr>
          <w:color w:val="000000"/>
        </w:rPr>
      </w:pPr>
      <w:r>
        <w:rPr>
          <w:color w:val="000000"/>
        </w:rPr>
        <w:t>To guarantee that the Hinkley Point C Project was safe and of the highest quality, an initial quality plan was developed. To guarantee the plant's security and dependability, the project was planned using cutting-edge tools and strict guidelines for safety. The quality plan has been updated to reflect certain architectural improvements made to the facility to enhance security and productivity</w:t>
      </w:r>
      <w:r>
        <w:rPr>
          <w:color w:val="000000"/>
        </w:rPr>
        <w:fldChar w:fldCharType="begin"/>
      </w:r>
      <w:r>
        <w:rPr>
          <w:color w:val="000000"/>
        </w:rPr>
        <w:instrText xml:space="preserve"> CITATION Bec19 \l 1033 </w:instrText>
      </w:r>
      <w:r>
        <w:rPr>
          <w:color w:val="000000"/>
        </w:rPr>
        <w:fldChar w:fldCharType="separate"/>
      </w:r>
      <w:r>
        <w:rPr>
          <w:noProof/>
          <w:color w:val="000000"/>
        </w:rPr>
        <w:t xml:space="preserve"> </w:t>
      </w:r>
      <w:r>
        <w:rPr>
          <w:noProof/>
          <w:color w:val="000000"/>
        </w:rPr>
        <w:t>(Becker, 2019)</w:t>
      </w:r>
      <w:r>
        <w:rPr>
          <w:color w:val="000000"/>
        </w:rPr>
        <w:fldChar w:fldCharType="end"/>
      </w:r>
      <w:r>
        <w:rPr>
          <w:color w:val="000000"/>
        </w:rPr>
        <w:t xml:space="preserve">. There have been various complaints about the Hinkley Point C project. Concerns have been raised by environmental groups about how the project would </w:t>
      </w:r>
      <w:r>
        <w:rPr>
          <w:color w:val="000000"/>
        </w:rPr>
        <w:t xml:space="preserve">affect the local ecosystem and population. Some experts have questioned the efficacy of the project's safety measures, which have come under scrutiny along with the standards themselves. The Office for Nuclear Regulation (ONR) and other regulatory </w:t>
      </w:r>
      <w:r>
        <w:rPr>
          <w:color w:val="000000"/>
        </w:rPr>
        <w:t>organisations</w:t>
      </w:r>
      <w:r>
        <w:rPr>
          <w:color w:val="000000"/>
        </w:rPr>
        <w:t xml:space="preserve"> have established stringent quality criteria that the Hinkley Point C Project must adhere to. To guarantee that the project is up to par in every way, the team has established a thorough quality management system. During construction, the project team discovered and fixed a few problems, such as poor</w:t>
      </w:r>
      <w:r>
        <w:rPr>
          <w:color w:val="000000"/>
        </w:rPr>
        <w:t>-</w:t>
      </w:r>
      <w:r>
        <w:rPr>
          <w:color w:val="000000"/>
        </w:rPr>
        <w:t>quality control with some of the concrete used in the plant.</w:t>
      </w:r>
    </w:p>
    <w:p>
      <w:pPr>
        <w:pStyle w:val="style94"/>
        <w:spacing w:lineRule="auto" w:line="360"/>
        <w:jc w:val="both"/>
        <w:rPr>
          <w:color w:val="000000"/>
        </w:rPr>
      </w:pPr>
      <w:r>
        <w:rPr>
          <w:color w:val="000000"/>
        </w:rPr>
        <w:t xml:space="preserve">Quality control concerns with the reactor vessel and other components plagued the construction of the </w:t>
      </w:r>
      <w:r>
        <w:rPr>
          <w:color w:val="000000"/>
        </w:rPr>
        <w:t>Flamanville</w:t>
      </w:r>
      <w:r>
        <w:rPr>
          <w:color w:val="000000"/>
        </w:rPr>
        <w:t xml:space="preserve"> Nuclear Power Plant in France, and similar problems have plagued subsequent nuclear power plant projects</w:t>
      </w:r>
      <w:r>
        <w:rPr>
          <w:color w:val="000000"/>
        </w:rPr>
        <w:fldChar w:fldCharType="begin"/>
      </w:r>
      <w:r>
        <w:rPr>
          <w:color w:val="000000"/>
        </w:rPr>
        <w:instrText xml:space="preserve"> CITATION Dan191 \l 1033 </w:instrText>
      </w:r>
      <w:r>
        <w:rPr>
          <w:color w:val="000000"/>
        </w:rPr>
        <w:fldChar w:fldCharType="separate"/>
      </w:r>
      <w:r>
        <w:rPr>
          <w:noProof/>
          <w:color w:val="000000"/>
        </w:rPr>
        <w:t xml:space="preserve"> </w:t>
      </w:r>
      <w:r>
        <w:rPr>
          <w:noProof/>
          <w:color w:val="000000"/>
        </w:rPr>
        <w:t>(Daniel, 2019)</w:t>
      </w:r>
      <w:r>
        <w:rPr>
          <w:color w:val="000000"/>
        </w:rPr>
        <w:fldChar w:fldCharType="end"/>
      </w:r>
      <w:r>
        <w:rPr>
          <w:color w:val="000000"/>
        </w:rPr>
        <w:t xml:space="preserve">. </w:t>
      </w:r>
      <w:r>
        <w:rPr>
          <w:color w:val="000000"/>
        </w:rPr>
        <w:t>Flamanville's</w:t>
      </w:r>
      <w:r>
        <w:rPr>
          <w:color w:val="000000"/>
        </w:rPr>
        <w:t xml:space="preserve"> problems have caused substantial time and money to be wasted on the project. In order to guarantee that the plant is safe and up to code, the Hinkley Point C Project has adopted a strict quality management system and is subject to strict regulatory supervision. The project team has taken the necessary steps to guarantee that the facility meets the required requirements, despite the fact that certain quality concerns were discovered during construction.</w:t>
      </w:r>
    </w:p>
    <w:p>
      <w:pPr>
        <w:pStyle w:val="style94"/>
        <w:spacing w:lineRule="auto" w:line="360"/>
        <w:jc w:val="both"/>
        <w:rPr/>
      </w:pPr>
      <w:r>
        <w:t xml:space="preserve">The Hinkley Point C project is assisting with the world's sustainability and climate change mitigation goals. This research makes reference to the "bottom line theory" in this context. With the support of Hinkley Point C's financial performance, the </w:t>
      </w:r>
      <w:r>
        <w:t>bottom-line</w:t>
      </w:r>
      <w:r>
        <w:t xml:space="preserve"> hypothesis seeks to generate profit</w:t>
      </w:r>
      <w:r>
        <w:rPr/>
        <w:fldChar w:fldCharType="begin"/>
      </w:r>
      <w:r>
        <w:instrText xml:space="preserve"> CITATION Dan191 \l 1033 </w:instrText>
      </w:r>
      <w:r>
        <w:rPr/>
        <w:fldChar w:fldCharType="separate"/>
      </w:r>
      <w:r>
        <w:rPr>
          <w:noProof/>
        </w:rPr>
        <w:t xml:space="preserve"> (Daniel, 2019)</w:t>
      </w:r>
      <w:r>
        <w:rPr/>
        <w:fldChar w:fldCharType="end"/>
      </w:r>
      <w:r>
        <w:t>. For nuclear power facilities, the cost of nuclear energy ranges from 115 to 182 euros per megawatt hour. According to this research, Hinkley Point C cannot afford to manufacture the quantity of high-quality goods that they are promising. Project managers expanded the business to facilitate the development of reliable and environmentally friendly energy infrastructure. This has led to a heightened emphasis on investment decision-making among the project's backers.</w:t>
      </w:r>
    </w:p>
    <w:bookmarkStart w:id="5" w:name="_Toc134174744"/>
    <w:p>
      <w:pPr>
        <w:pStyle w:val="style2"/>
        <w:rPr/>
      </w:pPr>
      <w:r>
        <w:t>Stakeholders:</w:t>
      </w:r>
      <w:bookmarkEnd w:id="5"/>
    </w:p>
    <w:p>
      <w:pPr>
        <w:pStyle w:val="style94"/>
        <w:spacing w:lineRule="auto" w:line="360"/>
        <w:jc w:val="both"/>
        <w:rPr>
          <w:color w:val="000000"/>
        </w:rPr>
      </w:pPr>
      <w:r>
        <w:rPr>
          <w:color w:val="000000"/>
        </w:rPr>
        <w:t>Project owners EDF Energy and China General Nuclear Power Corporation (CGN), the United Kingdom (UK) government, the local population, suppliers, and contractors are only a few of the many parties involved in the Hinkley Point C Project. The Hinkley Point C project similarly faced difficulties with stakeholder management</w:t>
      </w:r>
      <w:r>
        <w:rPr>
          <w:color w:val="000000"/>
        </w:rPr>
        <w:fldChar w:fldCharType="begin"/>
      </w:r>
      <w:r>
        <w:rPr>
          <w:color w:val="000000"/>
        </w:rPr>
        <w:instrText xml:space="preserve"> CITATION Ero18 \l 1033 </w:instrText>
      </w:r>
      <w:r>
        <w:rPr>
          <w:color w:val="000000"/>
        </w:rPr>
        <w:fldChar w:fldCharType="separate"/>
      </w:r>
      <w:r>
        <w:rPr>
          <w:noProof/>
          <w:color w:val="000000"/>
        </w:rPr>
        <w:t xml:space="preserve"> </w:t>
      </w:r>
      <w:r>
        <w:rPr>
          <w:noProof/>
          <w:color w:val="000000"/>
        </w:rPr>
        <w:t>(Erol, 2018)</w:t>
      </w:r>
      <w:r>
        <w:rPr>
          <w:color w:val="000000"/>
        </w:rPr>
        <w:fldChar w:fldCharType="end"/>
      </w:r>
      <w:r>
        <w:rPr>
          <w:color w:val="000000"/>
        </w:rPr>
        <w:t xml:space="preserve">. There have been many demonstrations against the project from local communities and environmental </w:t>
      </w:r>
      <w:r>
        <w:rPr>
          <w:color w:val="000000"/>
        </w:rPr>
        <w:t>organisations</w:t>
      </w:r>
      <w:r>
        <w:rPr>
          <w:color w:val="000000"/>
        </w:rPr>
        <w:t xml:space="preserve">, highlighting the difficulty in striking a balance between the interests of numerous parties. Every </w:t>
      </w:r>
      <w:r>
        <w:rPr>
          <w:color w:val="000000"/>
        </w:rPr>
        <w:t xml:space="preserve">person or </w:t>
      </w:r>
      <w:r>
        <w:rPr>
          <w:color w:val="000000"/>
        </w:rPr>
        <w:t>organisation</w:t>
      </w:r>
      <w:r>
        <w:rPr>
          <w:color w:val="000000"/>
        </w:rPr>
        <w:t xml:space="preserve"> involved in the project is a stakeholder, and they all have varied interests and levels of influence over the project's outcome. The power plant's construction will be funded and managed by EDF Energy and CGN, the project's owners. They play a crucial role in the project's outcome since they're accountable for delivering on schedule, within budget, and up to spec.</w:t>
      </w:r>
    </w:p>
    <w:p>
      <w:pPr>
        <w:pStyle w:val="style94"/>
        <w:spacing w:lineRule="auto" w:line="360"/>
        <w:jc w:val="both"/>
        <w:rPr>
          <w:color w:val="000000"/>
        </w:rPr>
      </w:pPr>
      <w:r>
        <w:rPr>
          <w:color w:val="000000"/>
        </w:rPr>
        <w:t>Loan guarantees and government subsidies are only two examples of the many ways the British government has helped the project move forward. The government's endorsement has been essential since it has supplied the project's funding to secure its completion. Concerns about the project's possible effects on the environment and the community have made local residents important project stakeholders</w:t>
      </w:r>
      <w:r>
        <w:rPr>
          <w:color w:val="000000"/>
        </w:rPr>
        <w:fldChar w:fldCharType="begin"/>
      </w:r>
      <w:r>
        <w:rPr>
          <w:color w:val="000000"/>
        </w:rPr>
        <w:instrText xml:space="preserve"> CITATION Fou18 \l 1033 </w:instrText>
      </w:r>
      <w:r>
        <w:rPr>
          <w:color w:val="000000"/>
        </w:rPr>
        <w:fldChar w:fldCharType="separate"/>
      </w:r>
      <w:r>
        <w:rPr>
          <w:noProof/>
          <w:color w:val="000000"/>
        </w:rPr>
        <w:t xml:space="preserve"> </w:t>
      </w:r>
      <w:r>
        <w:rPr>
          <w:noProof/>
          <w:color w:val="000000"/>
        </w:rPr>
        <w:t>(Fouquet, 2018)</w:t>
      </w:r>
      <w:r>
        <w:rPr>
          <w:color w:val="000000"/>
        </w:rPr>
        <w:fldChar w:fldCharType="end"/>
      </w:r>
      <w:r>
        <w:rPr>
          <w:color w:val="000000"/>
        </w:rPr>
        <w:t xml:space="preserve">. Public consultations and community benefit </w:t>
      </w:r>
      <w:r>
        <w:rPr>
          <w:color w:val="000000"/>
        </w:rPr>
        <w:t>programmes</w:t>
      </w:r>
      <w:r>
        <w:rPr>
          <w:color w:val="000000"/>
        </w:rPr>
        <w:t xml:space="preserve"> are only two examples of the ways in which the project team has included the local community and tried to resolve their concerns. The project would not have been possible without the contributions of suppliers and contractors, who have provided crucial materials and </w:t>
      </w:r>
      <w:r>
        <w:rPr>
          <w:color w:val="000000"/>
        </w:rPr>
        <w:t>labour</w:t>
      </w:r>
      <w:r>
        <w:rPr>
          <w:color w:val="000000"/>
        </w:rPr>
        <w:t xml:space="preserve"> for the building of the facility. The project team has collaborated extensively with these parties to establish that their work meets the necessary quality and safety criteria.</w:t>
      </w:r>
    </w:p>
    <w:p>
      <w:pPr>
        <w:pStyle w:val="style94"/>
        <w:spacing w:lineRule="auto" w:line="360"/>
        <w:jc w:val="both"/>
        <w:rPr>
          <w:color w:val="000000"/>
        </w:rPr>
      </w:pPr>
      <w:r>
        <w:rPr>
          <w:color w:val="000000"/>
        </w:rPr>
        <w:t xml:space="preserve">There have been many parties engaged in similar nuclear power plant developments, such as the facility's owners, the government, local residents, suppliers, and contractors. EDF Energy, the French government, local communities, and suppliers were only some of the parties engaged in the construction of the </w:t>
      </w:r>
      <w:r>
        <w:rPr>
          <w:color w:val="000000"/>
        </w:rPr>
        <w:t>Flamanville</w:t>
      </w:r>
      <w:r>
        <w:rPr>
          <w:color w:val="000000"/>
        </w:rPr>
        <w:t xml:space="preserve"> nuclear power plant in France.</w:t>
      </w:r>
    </w:p>
    <w:bookmarkStart w:id="6" w:name="_Toc134174745"/>
    <w:p>
      <w:pPr>
        <w:pStyle w:val="style2"/>
        <w:rPr/>
      </w:pPr>
      <w:r>
        <w:t>Risk factors:</w:t>
      </w:r>
      <w:bookmarkEnd w:id="6"/>
    </w:p>
    <w:p>
      <w:pPr>
        <w:pStyle w:val="style94"/>
        <w:spacing w:lineRule="auto" w:line="360"/>
        <w:jc w:val="both"/>
        <w:rPr>
          <w:color w:val="000000"/>
        </w:rPr>
      </w:pPr>
      <w:r>
        <w:rPr>
          <w:color w:val="000000"/>
        </w:rPr>
        <w:t>Delays in acquiring regulatory permissions, challenges in finding money, and supply chain concerns were only some of the possible hazards noted in the first risk assessment for the Hinkley Point C Project. The project team has made efforts to reduce these risks by developing and implementing mitigation techniques and backup plans.</w:t>
      </w:r>
    </w:p>
    <w:p>
      <w:pPr>
        <w:pStyle w:val="style94"/>
        <w:spacing w:lineRule="auto" w:line="360"/>
        <w:jc w:val="both"/>
        <w:rPr>
          <w:color w:val="000000"/>
        </w:rPr>
      </w:pPr>
      <w:r>
        <w:rPr>
          <w:color w:val="000000"/>
        </w:rPr>
        <w:t>Hinkley Point C is now vulnerable to setbacks caused by COVID-19 constraints and supply chain difficulties. The epidemic has significantly pushed back the facility's construction schedule by many months</w:t>
      </w:r>
      <w:r>
        <w:rPr>
          <w:color w:val="000000"/>
        </w:rPr>
        <w:fldChar w:fldCharType="begin"/>
      </w:r>
      <w:r>
        <w:rPr>
          <w:color w:val="000000"/>
        </w:rPr>
        <w:instrText xml:space="preserve"> CITATION Fou18 \l 1033 </w:instrText>
      </w:r>
      <w:r>
        <w:rPr>
          <w:color w:val="000000"/>
        </w:rPr>
        <w:fldChar w:fldCharType="separate"/>
      </w:r>
      <w:r>
        <w:rPr>
          <w:noProof/>
          <w:color w:val="000000"/>
        </w:rPr>
        <w:t xml:space="preserve"> </w:t>
      </w:r>
      <w:r>
        <w:rPr>
          <w:noProof/>
          <w:color w:val="000000"/>
        </w:rPr>
        <w:t>(Fouquet, 2018)</w:t>
      </w:r>
      <w:r>
        <w:rPr>
          <w:color w:val="000000"/>
        </w:rPr>
        <w:fldChar w:fldCharType="end"/>
      </w:r>
      <w:r>
        <w:rPr>
          <w:color w:val="000000"/>
        </w:rPr>
        <w:t xml:space="preserve">. The project team has taken efforts to lessen these dangers by instituting rigorous safety protocols to safeguard personnel and preserve social distance. Delays in the delivery of crucial components and supplies due to supply chain interruptions have also posed a major threat to the project's success. As a result, expenses have </w:t>
      </w:r>
      <w:r>
        <w:rPr>
          <w:color w:val="000000"/>
        </w:rPr>
        <w:t>gone up, and the project timeline may slip. The project team has taken steps to lessen the impact of these dangers by securing supplies from a wider variety of vendors. Technical risks, including problems with the plant's design or construction, and regulatory and political risks, such as changes in government policy, are two other important considerations. The project team has implemented risk management measures to deal with these threats, which might have serious consequences for the project's outcome.</w:t>
      </w:r>
    </w:p>
    <w:p>
      <w:pPr>
        <w:pStyle w:val="style94"/>
        <w:spacing w:lineRule="auto" w:line="360"/>
        <w:jc w:val="both"/>
        <w:rPr>
          <w:color w:val="000000"/>
        </w:rPr>
      </w:pPr>
      <w:r>
        <w:rPr>
          <w:color w:val="000000"/>
        </w:rPr>
        <w:t xml:space="preserve">Regulatory and political concerns, technical hazards, and supply chain problems have all plagued similar projects in the nuclear power sector. There were design and construction delays and cost overruns at the </w:t>
      </w:r>
      <w:r>
        <w:rPr>
          <w:color w:val="000000"/>
        </w:rPr>
        <w:t>Flamanville</w:t>
      </w:r>
      <w:r>
        <w:rPr>
          <w:color w:val="000000"/>
        </w:rPr>
        <w:t xml:space="preserve"> nuclear power project in France, for instance.</w:t>
      </w:r>
    </w:p>
    <w:bookmarkStart w:id="7" w:name="_Toc134174746"/>
    <w:p>
      <w:pPr>
        <w:pStyle w:val="style1"/>
        <w:rPr/>
      </w:pPr>
      <w:r>
        <w:t>Success and Failure:</w:t>
      </w:r>
      <w:bookmarkEnd w:id="7"/>
    </w:p>
    <w:p>
      <w:pPr>
        <w:pStyle w:val="style94"/>
        <w:spacing w:lineRule="auto" w:line="360"/>
        <w:jc w:val="both"/>
        <w:rPr>
          <w:color w:val="000000"/>
        </w:rPr>
      </w:pPr>
      <w:r>
        <w:rPr>
          <w:color w:val="000000"/>
        </w:rPr>
        <w:t>Major construction and development milestones for the Hinkley Point C plant have been reached since the project's inception. The numerous issues that have cropped up over the course of the project have, however, hampered its overall success.</w:t>
      </w:r>
    </w:p>
    <w:p>
      <w:pPr>
        <w:pStyle w:val="style94"/>
        <w:spacing w:lineRule="auto" w:line="360"/>
        <w:jc w:val="both"/>
        <w:rPr>
          <w:color w:val="000000"/>
        </w:rPr>
      </w:pPr>
      <w:r>
        <w:rPr>
          <w:color w:val="000000"/>
        </w:rPr>
        <w:t>Despite the fact that it has experienced difficulties and setbacks, it is impossible to assess the success of the Hinkley Point C Project solely by its current state. Delivering low-carbon power to millions of households, generating thousands of new jobs, and providing long-term benefits to the UK economy are all crucial to the project's success</w:t>
      </w:r>
      <w:r>
        <w:rPr>
          <w:color w:val="000000"/>
        </w:rPr>
        <w:fldChar w:fldCharType="begin"/>
      </w:r>
      <w:r>
        <w:rPr>
          <w:color w:val="000000"/>
        </w:rPr>
        <w:instrText xml:space="preserve"> CITATION Gla211 \l 1033 </w:instrText>
      </w:r>
      <w:r>
        <w:rPr>
          <w:color w:val="000000"/>
        </w:rPr>
        <w:fldChar w:fldCharType="separate"/>
      </w:r>
      <w:r>
        <w:rPr>
          <w:noProof/>
          <w:color w:val="000000"/>
        </w:rPr>
        <w:t xml:space="preserve"> </w:t>
      </w:r>
      <w:r>
        <w:rPr>
          <w:noProof/>
          <w:color w:val="000000"/>
        </w:rPr>
        <w:t>(Glasson, 2021)</w:t>
      </w:r>
      <w:r>
        <w:rPr>
          <w:color w:val="000000"/>
        </w:rPr>
        <w:fldChar w:fldCharType="end"/>
      </w:r>
      <w:r>
        <w:rPr>
          <w:color w:val="000000"/>
        </w:rPr>
        <w:t>. The initiative may play an important part in the United Kingdom's move towards a low-carbon economy, which is necessary for coping with climate change's effects.</w:t>
      </w:r>
    </w:p>
    <w:p>
      <w:pPr>
        <w:pStyle w:val="style94"/>
        <w:spacing w:lineRule="auto" w:line="360"/>
        <w:jc w:val="both"/>
        <w:rPr>
          <w:color w:val="000000"/>
        </w:rPr>
      </w:pPr>
      <w:r>
        <w:rPr>
          <w:color w:val="000000"/>
        </w:rPr>
        <w:t xml:space="preserve">Several valuable lessons were learned from the Hinkley Point C Project that can be applied to similar </w:t>
      </w:r>
      <w:r>
        <w:rPr>
          <w:color w:val="000000"/>
        </w:rPr>
        <w:t>endeavours</w:t>
      </w:r>
      <w:r>
        <w:rPr>
          <w:color w:val="000000"/>
        </w:rPr>
        <w:t xml:space="preserve"> in the future. Among them is the significance of communicating with and involving stakeholders in risk management methods. The project team has shown that it is prepared for the possibility of risk by </w:t>
      </w:r>
      <w:r>
        <w:rPr>
          <w:color w:val="000000"/>
        </w:rPr>
        <w:t>recognising</w:t>
      </w:r>
      <w:r>
        <w:rPr>
          <w:color w:val="000000"/>
        </w:rPr>
        <w:t xml:space="preserve"> possible threats and developing ways to deal with them</w:t>
      </w:r>
      <w:r>
        <w:rPr>
          <w:color w:val="000000"/>
        </w:rPr>
        <w:fldChar w:fldCharType="begin"/>
      </w:r>
      <w:r>
        <w:rPr>
          <w:color w:val="000000"/>
        </w:rPr>
        <w:instrText xml:space="preserve"> CITATION Gui18 \l 1033 </w:instrText>
      </w:r>
      <w:r>
        <w:rPr>
          <w:color w:val="000000"/>
        </w:rPr>
        <w:fldChar w:fldCharType="separate"/>
      </w:r>
      <w:r>
        <w:rPr>
          <w:noProof/>
          <w:color w:val="000000"/>
        </w:rPr>
        <w:t xml:space="preserve"> </w:t>
      </w:r>
      <w:r>
        <w:rPr>
          <w:noProof/>
          <w:color w:val="000000"/>
        </w:rPr>
        <w:t>(Guillaume, 2018)</w:t>
      </w:r>
      <w:r>
        <w:rPr>
          <w:color w:val="000000"/>
        </w:rPr>
        <w:fldChar w:fldCharType="end"/>
      </w:r>
      <w:r>
        <w:rPr>
          <w:color w:val="000000"/>
        </w:rPr>
        <w:t>. Participation and support from local communities and companies have been essential to the project's success, and the project team has worked closely with them to foster that participation and support via open communication and regular meetings. Important lessons in supply chain management and worker development have also been gleaned from the project for the construction sector as a whole.</w:t>
      </w:r>
    </w:p>
    <w:bookmarkStart w:id="8" w:name="_Toc134174747"/>
    <w:p>
      <w:pPr>
        <w:pStyle w:val="style1"/>
        <w:rPr/>
      </w:pPr>
      <w:r>
        <w:t>Conclusion:</w:t>
      </w:r>
      <w:bookmarkEnd w:id="8"/>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In conclusion, the Hinkley Point C Project represents a substantial investment in the energy infrastructure of the United Kingdom. Cost overruns, delays, and worries over quality standards have plagued the project, but it is still an important component of the United Kingdom's plan to switch to low-carbon energy. It is too soon to tell whether the project will be successful or not based on its present status. Risk management, stakeholder engagement and communication, supply chain management, and workforce development all play critical roles in the success of large-scale infrastructure projects, as this project has made abundantly evident. The next step is to improve construction quality while simultaneously addressing the cost overruns and delays that have slowed down the project. To fulfil its mission of supplying low-carbon power to millions of UK households and generating thousands of </w:t>
      </w:r>
      <w:r>
        <w:rPr>
          <w:rFonts w:ascii="Times New Roman" w:cs="Times New Roman" w:hAnsi="Times New Roman"/>
          <w:color w:val="000000"/>
          <w:sz w:val="24"/>
          <w:szCs w:val="24"/>
        </w:rPr>
        <w:t>employments</w:t>
      </w:r>
      <w:r>
        <w:rPr>
          <w:rFonts w:ascii="Times New Roman" w:cs="Times New Roman" w:hAnsi="Times New Roman"/>
          <w:color w:val="000000"/>
          <w:sz w:val="24"/>
          <w:szCs w:val="24"/>
        </w:rPr>
        <w:t xml:space="preserve">, and to serve as a model for future large-scale infrastructure projects, the Hinkley Point C Project must </w:t>
      </w:r>
      <w:r>
        <w:rPr>
          <w:rFonts w:ascii="Times New Roman" w:cs="Times New Roman" w:hAnsi="Times New Roman"/>
          <w:color w:val="000000"/>
          <w:sz w:val="24"/>
          <w:szCs w:val="24"/>
        </w:rPr>
        <w:t>prioritise</w:t>
      </w:r>
      <w:r>
        <w:rPr>
          <w:rFonts w:ascii="Times New Roman" w:cs="Times New Roman" w:hAnsi="Times New Roman"/>
          <w:color w:val="000000"/>
          <w:sz w:val="24"/>
          <w:szCs w:val="24"/>
        </w:rPr>
        <w:t xml:space="preserve"> these enhancements.</w:t>
      </w:r>
    </w:p>
    <w:bookmarkStart w:id="9" w:name="_Toc134174748"/>
    <w:p>
      <w:pPr>
        <w:pStyle w:val="style1"/>
        <w:rPr/>
      </w:pPr>
      <w:r>
        <w:t>Recommendations:</w:t>
      </w:r>
      <w:bookmarkEnd w:id="9"/>
    </w:p>
    <w:p>
      <w:pPr>
        <w:pStyle w:val="style94"/>
        <w:spacing w:lineRule="auto" w:line="360"/>
        <w:jc w:val="both"/>
        <w:rPr>
          <w:color w:val="000000"/>
        </w:rPr>
      </w:pPr>
      <w:r>
        <w:rPr>
          <w:color w:val="000000"/>
        </w:rPr>
        <w:t>After a decade, Hinkley Project Management is the first nuclear project to go forward. To ensure the long-term viability of nuclear energy in the UK, which is a primary goal of the Hinkley project, But the project could use some standard suggestions to lessen the severity of the problems and complications.</w:t>
      </w:r>
    </w:p>
    <w:p>
      <w:pPr>
        <w:pStyle w:val="style94"/>
        <w:numPr>
          <w:ilvl w:val="0"/>
          <w:numId w:val="1"/>
        </w:numPr>
        <w:spacing w:lineRule="auto" w:line="360"/>
        <w:jc w:val="both"/>
        <w:rPr>
          <w:color w:val="000000"/>
        </w:rPr>
      </w:pPr>
      <w:r>
        <w:rPr>
          <w:color w:val="000000"/>
        </w:rPr>
        <w:t xml:space="preserve">Effective risk management measures should be </w:t>
      </w:r>
      <w:r>
        <w:rPr>
          <w:color w:val="000000"/>
        </w:rPr>
        <w:t>prioritised</w:t>
      </w:r>
      <w:r>
        <w:rPr>
          <w:color w:val="000000"/>
        </w:rPr>
        <w:t xml:space="preserve"> in future projects based on the lessons learned from the Hinkley Point C Project. This entails anticipating future threats and putting together measures to deal with them.</w:t>
      </w:r>
    </w:p>
    <w:p>
      <w:pPr>
        <w:pStyle w:val="style94"/>
        <w:numPr>
          <w:ilvl w:val="0"/>
          <w:numId w:val="1"/>
        </w:numPr>
        <w:spacing w:lineRule="auto" w:line="360"/>
        <w:jc w:val="both"/>
        <w:rPr>
          <w:color w:val="000000"/>
        </w:rPr>
      </w:pPr>
      <w:r>
        <w:rPr>
          <w:color w:val="000000"/>
        </w:rPr>
        <w:t>Stakeholder involvement and open lines of communication were crucial to the success of the Hinkley Point C Project. Participation and support from local communities and companies should be a top priority for any future initiatives.</w:t>
      </w:r>
    </w:p>
    <w:p>
      <w:pPr>
        <w:pStyle w:val="style94"/>
        <w:numPr>
          <w:ilvl w:val="0"/>
          <w:numId w:val="1"/>
        </w:numPr>
        <w:spacing w:lineRule="auto" w:line="360"/>
        <w:jc w:val="both"/>
        <w:rPr>
          <w:color w:val="000000"/>
        </w:rPr>
      </w:pPr>
      <w:r>
        <w:rPr>
          <w:color w:val="000000"/>
        </w:rPr>
        <w:t>Successful supply chain management and training of personnel are crucial to the success of large-scale infrastructure projects like Hinkley Point C. If future initiatives want to have a long-lasting impact on the local economy, they should put an emphasis on building up local supply chains and training local workers.</w:t>
      </w:r>
    </w:p>
    <w:p>
      <w:pPr>
        <w:pStyle w:val="style94"/>
        <w:numPr>
          <w:ilvl w:val="0"/>
          <w:numId w:val="1"/>
        </w:numPr>
        <w:spacing w:lineRule="auto" w:line="360"/>
        <w:jc w:val="both"/>
        <w:rPr>
          <w:color w:val="000000"/>
        </w:rPr>
      </w:pPr>
      <w:r>
        <w:rPr>
          <w:color w:val="000000"/>
        </w:rPr>
        <w:t>Huge budget overruns have hampered progress on the Hinkley Point C project. Fixing these cost overruns and discovering methods to lower the project's total price tag are two priorities for future enhancements</w:t>
      </w:r>
      <w:r>
        <w:rPr>
          <w:color w:val="000000"/>
        </w:rPr>
        <w:fldChar w:fldCharType="begin"/>
      </w:r>
      <w:r>
        <w:rPr>
          <w:color w:val="000000"/>
        </w:rPr>
        <w:instrText xml:space="preserve"> CITATION Joh221 \l 1033 </w:instrText>
      </w:r>
      <w:r>
        <w:rPr>
          <w:color w:val="000000"/>
        </w:rPr>
        <w:fldChar w:fldCharType="separate"/>
      </w:r>
      <w:r>
        <w:rPr>
          <w:noProof/>
          <w:color w:val="000000"/>
        </w:rPr>
        <w:t xml:space="preserve"> </w:t>
      </w:r>
      <w:r>
        <w:rPr>
          <w:noProof/>
          <w:color w:val="000000"/>
        </w:rPr>
        <w:t>(Johnstone, 2022)</w:t>
      </w:r>
      <w:r>
        <w:rPr>
          <w:color w:val="000000"/>
        </w:rPr>
        <w:fldChar w:fldCharType="end"/>
      </w:r>
      <w:r>
        <w:rPr>
          <w:color w:val="000000"/>
        </w:rPr>
        <w:t>.</w:t>
      </w:r>
    </w:p>
    <w:p>
      <w:pPr>
        <w:pStyle w:val="style94"/>
        <w:numPr>
          <w:ilvl w:val="0"/>
          <w:numId w:val="1"/>
        </w:numPr>
        <w:spacing w:lineRule="auto" w:line="360"/>
        <w:jc w:val="both"/>
        <w:rPr>
          <w:color w:val="000000"/>
        </w:rPr>
      </w:pPr>
      <w:r>
        <w:rPr>
          <w:color w:val="000000"/>
        </w:rPr>
        <w:t>Significant setbacks have occurred in the project that have affected the schedule as a whole. In order to finish the project on schedule, it is essential that future enhancements focus on reducing these types of delays.</w:t>
      </w:r>
    </w:p>
    <w:p>
      <w:pPr>
        <w:pStyle w:val="style94"/>
        <w:numPr>
          <w:ilvl w:val="0"/>
          <w:numId w:val="1"/>
        </w:numPr>
        <w:spacing w:lineRule="auto" w:line="360"/>
        <w:jc w:val="both"/>
        <w:rPr>
          <w:color w:val="000000"/>
        </w:rPr>
      </w:pPr>
      <w:r>
        <w:rPr>
          <w:color w:val="000000"/>
        </w:rPr>
        <w:t>There have been concerns raised about the quality of the concrete used in the Hinkley Point C Project's foundations. Future upgrades should focus on raising the bar for building quality to guarantee the plant's security and durability.</w:t>
      </w:r>
    </w:p>
    <w:p>
      <w:pPr>
        <w:pStyle w:val="style94"/>
        <w:numPr>
          <w:ilvl w:val="0"/>
          <w:numId w:val="1"/>
        </w:numPr>
        <w:spacing w:lineRule="auto" w:line="360"/>
        <w:jc w:val="both"/>
        <w:rPr>
          <w:color w:val="000000"/>
        </w:rPr>
      </w:pPr>
      <w:r>
        <w:rPr>
          <w:color w:val="000000"/>
        </w:rPr>
        <w:t xml:space="preserve">When it comes to nuclear power plants in the United Kingdom, Hinkley Point C is a major player. The project employs the most cutting-edge techniques and management </w:t>
      </w:r>
      <w:r>
        <w:rPr>
          <w:color w:val="000000"/>
        </w:rPr>
        <w:t>practises</w:t>
      </w:r>
      <w:r>
        <w:rPr>
          <w:color w:val="000000"/>
        </w:rPr>
        <w:t xml:space="preserve"> in its technical operations and administration. The management plan did, however, uncover a few technical concerns, such as a deficiency of power. For Due to these technological challenges, managerial work is often halted for many days at a time. Management failure causes ineffective professional performance</w:t>
      </w:r>
      <w:r>
        <w:rPr>
          <w:color w:val="000000"/>
        </w:rPr>
        <w:fldChar w:fldCharType="begin"/>
      </w:r>
      <w:r>
        <w:rPr>
          <w:color w:val="000000"/>
        </w:rPr>
        <w:instrText xml:space="preserve"> CITATION Guo18 \l 1033 </w:instrText>
      </w:r>
      <w:r>
        <w:rPr>
          <w:color w:val="000000"/>
        </w:rPr>
        <w:fldChar w:fldCharType="separate"/>
      </w:r>
      <w:r>
        <w:rPr>
          <w:noProof/>
          <w:color w:val="000000"/>
        </w:rPr>
        <w:t xml:space="preserve"> </w:t>
      </w:r>
      <w:r>
        <w:rPr>
          <w:noProof/>
          <w:color w:val="000000"/>
        </w:rPr>
        <w:t>(Guo, 2018)</w:t>
      </w:r>
      <w:r>
        <w:rPr>
          <w:color w:val="000000"/>
        </w:rPr>
        <w:fldChar w:fldCharType="end"/>
      </w:r>
      <w:r>
        <w:rPr>
          <w:color w:val="000000"/>
        </w:rPr>
        <w:t>. These issues may be reduced if leadership is strengthened and improved. Owners must play a more proactive role in developing novel approaches to technical work. More machines in the power supply system, which keep the lights on throughout the process, are needed, and the management knows it.</w:t>
      </w:r>
    </w:p>
    <w:bookmarkStart w:id="10" w:name="_Toc134174749"/>
    <w:p>
      <w:pPr>
        <w:pStyle w:val="style1"/>
        <w:rPr/>
      </w:pPr>
      <w:r>
        <w:t>References:</w:t>
      </w:r>
      <w:bookmarkEnd w:id="10"/>
    </w:p>
    <w:p>
      <w:pPr>
        <w:pStyle w:val="style94"/>
        <w:spacing w:lineRule="auto" w:line="360"/>
        <w:jc w:val="both"/>
        <w:rPr/>
      </w:pPr>
      <w:r>
        <w:t>Aldama</w:t>
      </w:r>
      <w:r>
        <w:t xml:space="preserve">-Bustos, G., </w:t>
      </w:r>
      <w:r>
        <w:t>Tromans</w:t>
      </w:r>
      <w:r>
        <w:t xml:space="preserve">, I.J., Strasser, F., Garrard, G., Green, G., Rivers, L., Douglas, J., Musson, R.M., Hunt, S., </w:t>
      </w:r>
      <w:r>
        <w:t>Lessi-Cheimariou</w:t>
      </w:r>
      <w:r>
        <w:t xml:space="preserve">, A. and </w:t>
      </w:r>
      <w:r>
        <w:t>Daví</w:t>
      </w:r>
      <w:r>
        <w:t xml:space="preserve">, M., 2019. A streamlined approach for the seismic hazard assessment of a new nuclear power plant in the UK. Bulletin of earthquake engineering, 17(1), pp.37-54. </w:t>
      </w:r>
    </w:p>
    <w:p>
      <w:pPr>
        <w:pStyle w:val="style94"/>
        <w:spacing w:lineRule="auto" w:line="360"/>
        <w:jc w:val="both"/>
        <w:rPr/>
      </w:pPr>
      <w:r>
        <w:t xml:space="preserve">Becker, P., 2019. Hinkley Point C, </w:t>
      </w:r>
      <w:r>
        <w:t>Flamanville</w:t>
      </w:r>
      <w:r>
        <w:t xml:space="preserve">, </w:t>
      </w:r>
      <w:r>
        <w:t>Olkiluoto</w:t>
      </w:r>
      <w:r>
        <w:t xml:space="preserve">. The rescue attempts for nuclear power. </w:t>
      </w:r>
      <w:r>
        <w:t>Zeitschrift</w:t>
      </w:r>
      <w:r>
        <w:t xml:space="preserve"> </w:t>
      </w:r>
      <w:r>
        <w:t>fuer</w:t>
      </w:r>
      <w:r>
        <w:t xml:space="preserve"> </w:t>
      </w:r>
      <w:r>
        <w:t>Neues</w:t>
      </w:r>
      <w:r>
        <w:t xml:space="preserve"> </w:t>
      </w:r>
      <w:r>
        <w:t>Energierecht</w:t>
      </w:r>
      <w:r>
        <w:t xml:space="preserve">, 23(1), pp.15-16. </w:t>
      </w:r>
    </w:p>
    <w:p>
      <w:pPr>
        <w:pStyle w:val="style94"/>
        <w:spacing w:lineRule="auto" w:line="360"/>
        <w:jc w:val="both"/>
        <w:rPr/>
      </w:pPr>
      <w:r>
        <w:t xml:space="preserve">Butcher, A., Stork, A.L., Verdon, J.P., Kendall, J.M., </w:t>
      </w:r>
      <w:r>
        <w:t>Plenkers</w:t>
      </w:r>
      <w:r>
        <w:t xml:space="preserve">, K., Booth, F., </w:t>
      </w:r>
      <w:r>
        <w:t>Boneham</w:t>
      </w:r>
      <w:r>
        <w:t xml:space="preserve">, M. and Koe, A., 2021. Evaluating rock mass disturbance within open-pit excavations using seismic methods: A case study from the Hinkley Point C nuclear power station. Journal of Rock Mechanics and Geotechnical Engineering, 13(3), pp.500-512. </w:t>
      </w:r>
    </w:p>
    <w:p>
      <w:pPr>
        <w:pStyle w:val="style94"/>
        <w:spacing w:lineRule="auto" w:line="360"/>
        <w:jc w:val="both"/>
        <w:rPr/>
      </w:pPr>
      <w:r>
        <w:t xml:space="preserve">Child, M., Ilonen, R., Vavilov, M., </w:t>
      </w:r>
      <w:r>
        <w:t>Kolehmainen</w:t>
      </w:r>
      <w:r>
        <w:t xml:space="preserve">, M. and Breyer, C., 2019. Scenarios for sustainable energy in Scotland. Wind Energy, 22(5), pp.666-684. </w:t>
      </w:r>
    </w:p>
    <w:p>
      <w:pPr>
        <w:pStyle w:val="style94"/>
        <w:spacing w:lineRule="auto" w:line="360"/>
        <w:jc w:val="both"/>
        <w:rPr/>
      </w:pPr>
      <w:r>
        <w:t xml:space="preserve">Daniel, E. and Daniel, P.A., 2019. Megaprojects as complex adaptive systems: The Hinkley point C case. International Journal of Project Management, 37(8), pp.1017-1033. </w:t>
      </w:r>
    </w:p>
    <w:p>
      <w:pPr>
        <w:pStyle w:val="style94"/>
        <w:spacing w:lineRule="auto" w:line="360"/>
        <w:jc w:val="both"/>
        <w:rPr/>
      </w:pPr>
      <w:r>
        <w:t xml:space="preserve">Erol, H., </w:t>
      </w:r>
      <w:r>
        <w:t>Dikmen</w:t>
      </w:r>
      <w:r>
        <w:t xml:space="preserve">, I., </w:t>
      </w:r>
      <w:r>
        <w:t>Atasoy</w:t>
      </w:r>
      <w:r>
        <w:t xml:space="preserve">, G. and </w:t>
      </w:r>
      <w:r>
        <w:t>Birgonul</w:t>
      </w:r>
      <w:r>
        <w:t xml:space="preserve">, M.T., 2018, November. Contemporary issues in mega construction projects. In Proceedings of the 5th International Project and Construction Management Conference (IPCMC 2018), Nicosia, Cyprus (pp. 16-18). </w:t>
      </w:r>
    </w:p>
    <w:p>
      <w:pPr>
        <w:pStyle w:val="style94"/>
        <w:spacing w:lineRule="auto" w:line="360"/>
        <w:jc w:val="both"/>
        <w:rPr/>
      </w:pPr>
      <w:r>
        <w:t xml:space="preserve">Fouquet, D., 2018. The Hinkley Point C Judgment of the General Court in view of a changing internal electricity market. Renewable Energy Law and Policy Review, 9(1), pp.35-43.  </w:t>
      </w:r>
    </w:p>
    <w:p>
      <w:pPr>
        <w:pStyle w:val="style94"/>
        <w:spacing w:lineRule="auto" w:line="360"/>
        <w:jc w:val="both"/>
        <w:rPr/>
      </w:pPr>
      <w:r>
        <w:t xml:space="preserve">Glasson, J., </w:t>
      </w:r>
      <w:r>
        <w:t>Durning</w:t>
      </w:r>
      <w:r>
        <w:t xml:space="preserve">, B., Broderick, M. and Welch, K., 2021. Monitoring and auditing the local socio-economic and environmental impacts of the </w:t>
      </w:r>
      <w:r>
        <w:t>early stage</w:t>
      </w:r>
      <w:r>
        <w:t xml:space="preserve"> construction of Hinkley Point C Nuclear Power Station, UK. Impact Assessment and Project Appraisal, 39(2), pp.84-95.  </w:t>
      </w:r>
    </w:p>
    <w:p>
      <w:pPr>
        <w:pStyle w:val="style94"/>
        <w:spacing w:lineRule="auto" w:line="360"/>
        <w:jc w:val="both"/>
        <w:rPr/>
      </w:pPr>
      <w:r>
        <w:t xml:space="preserve">Guillaume, N., 2018. Hinkley Point C: the biggest construction site in Europe is on track. Revue </w:t>
      </w:r>
      <w:r>
        <w:t>Generale</w:t>
      </w:r>
      <w:r>
        <w:t xml:space="preserve"> </w:t>
      </w:r>
      <w:r>
        <w:t>Nucleaire</w:t>
      </w:r>
      <w:r>
        <w:t xml:space="preserve">, pp.54-57. </w:t>
      </w:r>
    </w:p>
    <w:p>
      <w:pPr>
        <w:pStyle w:val="style94"/>
        <w:spacing w:lineRule="auto" w:line="360"/>
        <w:jc w:val="both"/>
        <w:rPr/>
      </w:pPr>
      <w:r>
        <w:t xml:space="preserve">Guo, C. and Sheng, Z., 2018. Infrastructure mega-project management on the Hong </w:t>
      </w:r>
      <w:r>
        <w:t>KongZhuhai</w:t>
      </w:r>
      <w:r>
        <w:t xml:space="preserve">-Macao Bridge project. Frontiers of Engineering Management, 5(1), pp.1-3. </w:t>
      </w:r>
    </w:p>
    <w:p>
      <w:pPr>
        <w:pStyle w:val="style94"/>
        <w:spacing w:lineRule="auto" w:line="360"/>
        <w:jc w:val="both"/>
        <w:rPr/>
      </w:pPr>
      <w:r>
        <w:t xml:space="preserve">Johnstone, P. and Stirling, A., 2022. Beyond and beneath megaprojects: exploring submerged drivers of nuclear infrastructures. Journal of Mega Infrastructure &amp; Sustainable Development, pp.1-22. </w:t>
      </w:r>
    </w:p>
    <w:p>
      <w:pPr>
        <w:pStyle w:val="style94"/>
        <w:spacing w:lineRule="auto" w:line="360"/>
        <w:jc w:val="both"/>
        <w:rPr>
          <w:color w:val="000000"/>
        </w:rPr>
      </w:pPr>
      <w:r>
        <w:t>Kingston, S., 2021. State aid and the European green deal: The implications of Austria v European commission (C-594/18 P). European law review, (3), pp.365-379.</w:t>
      </w:r>
    </w:p>
    <w:p>
      <w:pPr>
        <w:pStyle w:val="style94"/>
        <w:spacing w:lineRule="auto" w:line="360"/>
        <w:jc w:val="both"/>
        <w:rPr>
          <w:color w:val="000000"/>
        </w:rPr>
      </w:pPr>
    </w:p>
    <w:p>
      <w:pPr>
        <w:pStyle w:val="style0"/>
        <w:spacing w:lineRule="auto" w:line="360"/>
        <w:jc w:val="both"/>
        <w:rPr>
          <w:rFonts w:ascii="Times New Roman" w:cs="Times New Roman" w:hAnsi="Times New Roman"/>
          <w:color w:val="000000"/>
          <w:sz w:val="24"/>
          <w:szCs w:val="24"/>
        </w:rPr>
      </w:pPr>
    </w:p>
    <w:p>
      <w:pPr>
        <w:pStyle w:val="style0"/>
        <w:spacing w:lineRule="auto" w:line="360"/>
        <w:jc w:val="both"/>
        <w:rPr>
          <w:rFonts w:ascii="Times New Roman" w:cs="Times New Roman" w:hAnsi="Times New Roman"/>
          <w:color w:val="000000"/>
          <w:sz w:val="24"/>
          <w:szCs w:val="24"/>
        </w:rPr>
      </w:pPr>
    </w:p>
    <w:sectPr>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13C4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240" w:after="0"/>
      <w:outlineLvl w:val="0"/>
    </w:pPr>
    <w:rPr>
      <w:rFonts w:ascii="Times New Roman" w:cs="宋体" w:eastAsia="宋体" w:hAnsi="Times New Roman"/>
      <w:b/>
      <w:color w:val="000000"/>
      <w:sz w:val="32"/>
      <w:szCs w:val="32"/>
    </w:rPr>
  </w:style>
  <w:style w:type="paragraph" w:styleId="style2">
    <w:name w:val="heading 2"/>
    <w:basedOn w:val="style0"/>
    <w:next w:val="style0"/>
    <w:link w:val="style4098"/>
    <w:qFormat/>
    <w:uiPriority w:val="9"/>
    <w:pPr>
      <w:keepNext/>
      <w:keepLines/>
      <w:spacing w:before="40" w:after="0"/>
      <w:outlineLvl w:val="1"/>
    </w:pPr>
    <w:rPr>
      <w:rFonts w:ascii="Times New Roman" w:cs="宋体" w:eastAsia="宋体" w:hAnsi="Times New Roman"/>
      <w:b/>
      <w:color w:val="000000"/>
      <w:sz w:val="28"/>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customStyle="1" w:styleId="style4097">
    <w:name w:val="Heading 1 Char_68c08378-1020-4633-b798-390f02fd12ac"/>
    <w:basedOn w:val="style65"/>
    <w:next w:val="style4097"/>
    <w:link w:val="style1"/>
    <w:uiPriority w:val="9"/>
    <w:rPr>
      <w:rFonts w:ascii="Times New Roman" w:cs="宋体" w:eastAsia="宋体" w:hAnsi="Times New Roman"/>
      <w:b/>
      <w:color w:val="000000"/>
      <w:sz w:val="32"/>
      <w:szCs w:val="32"/>
    </w:rPr>
  </w:style>
  <w:style w:type="character" w:customStyle="1" w:styleId="style4098">
    <w:name w:val="Heading 2 Char_a33a780b-ba44-4203-ab29-4cc25c74156f"/>
    <w:basedOn w:val="style65"/>
    <w:next w:val="style4098"/>
    <w:link w:val="style2"/>
    <w:uiPriority w:val="9"/>
    <w:rPr>
      <w:rFonts w:ascii="Times New Roman" w:cs="宋体" w:eastAsia="宋体" w:hAnsi="Times New Roman"/>
      <w:b/>
      <w:color w:val="000000"/>
      <w:sz w:val="28"/>
      <w:szCs w:val="26"/>
    </w:rPr>
  </w:style>
  <w:style w:type="paragraph" w:styleId="style266">
    <w:name w:val="TOC Heading"/>
    <w:basedOn w:val="style1"/>
    <w:next w:val="style0"/>
    <w:qFormat/>
    <w:uiPriority w:val="39"/>
    <w:pPr>
      <w:outlineLvl w:val="9"/>
    </w:pPr>
    <w:rPr>
      <w:rFonts w:ascii="Calibri Light" w:hAnsi="Calibri Light"/>
      <w:b w:val="false"/>
      <w:color w:val="2f5496"/>
      <w:kern w:val="0"/>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paragraph" w:styleId="style157">
    <w:name w:val="No Spacing"/>
    <w:next w:val="style157"/>
    <w:link w:val="style4099"/>
    <w:qFormat/>
    <w:uiPriority w:val="1"/>
    <w:pPr>
      <w:spacing w:after="0" w:lineRule="auto" w:line="240"/>
    </w:pPr>
    <w:rPr>
      <w:rFonts w:eastAsia="宋体"/>
      <w:kern w:val="0"/>
      <w14:ligatures xmlns:w14="http://schemas.microsoft.com/office/word/2010/wordml" w14:val="none"/>
    </w:rPr>
  </w:style>
  <w:style w:type="character" w:customStyle="1" w:styleId="style4099">
    <w:name w:val="No Spacing Char"/>
    <w:basedOn w:val="style65"/>
    <w:next w:val="style4099"/>
    <w:link w:val="style157"/>
    <w:uiPriority w:val="1"/>
    <w:rPr>
      <w:rFonts w:eastAsia="宋体"/>
      <w:kern w:val="0"/>
      <w14:ligatures xmlns:w14="http://schemas.microsoft.com/office/word/2010/wordml" w14:val="non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Ald19</b:Tag>
    <b:SourceType>Report</b:SourceType>
    <b:Guid>{D93BCF22-04D3-4858-A374-AB8194E655FB}</b:Guid>
    <b:Author>
      <b:Author>
        <b:NameList>
          <b:Person>
            <b:Last>Aldama-Bustos</b:Last>
            <b:First>G.,</b:First>
            <b:Middle>Tromans, I.J., Strasser, F., Garrard, G., Green, G., Rivers, L., Douglas, J., Musson, R.M., Hunt, S., Lessi-Cheimariou, A. and Daví, M.,</b:Middle>
          </b:Person>
        </b:NameList>
      </b:Author>
    </b:Author>
    <b:Year>2019</b:Year>
    <b:RefOrder>1</b:RefOrder>
  </b:Source>
  <b:Source>
    <b:Tag>Bec19</b:Tag>
    <b:SourceType>Report</b:SourceType>
    <b:Guid>{DD0750BE-DB84-4D13-861F-2F52DEBEA751}</b:Guid>
    <b:Author>
      <b:Author>
        <b:NameList>
          <b:Person>
            <b:Last>Becker</b:Last>
            <b:First>P.,</b:First>
          </b:Person>
        </b:NameList>
      </b:Author>
    </b:Author>
    <b:Year>2019</b:Year>
    <b:RefOrder>2</b:RefOrder>
  </b:Source>
  <b:Source>
    <b:Tag>But211</b:Tag>
    <b:SourceType>Report</b:SourceType>
    <b:Guid>{A8F39286-29FD-4543-B5EC-52E129FE2A54}</b:Guid>
    <b:Author>
      <b:Author>
        <b:NameList>
          <b:Person>
            <b:Last>Butcher</b:Last>
            <b:First>A.,</b:First>
            <b:Middle>Stork, A.L., Verdon, J.P., Kendall, J.M., Plenkers, K., Booth, F., Boneham, M. and Koe, A.,</b:Middle>
          </b:Person>
        </b:NameList>
      </b:Author>
    </b:Author>
    <b:Year>2021</b:Year>
    <b:RefOrder>12</b:RefOrder>
  </b:Source>
  <b:Source>
    <b:Tag>Chi19</b:Tag>
    <b:SourceType>Report</b:SourceType>
    <b:Guid>{972D815D-280C-413E-A77C-64A5D1033AB8}</b:Guid>
    <b:Author>
      <b:Author>
        <b:NameList>
          <b:Person>
            <b:Last>Child</b:Last>
            <b:First>M.,</b:First>
            <b:Middle>Ilonen, R., Vavilov, M., Kolehmainen, M. and Breyer, C.,</b:Middle>
          </b:Person>
        </b:NameList>
      </b:Author>
    </b:Author>
    <b:Year>2019</b:Year>
    <b:RefOrder>3</b:RefOrder>
  </b:Source>
  <b:Source>
    <b:Tag>Dan191</b:Tag>
    <b:SourceType>Report</b:SourceType>
    <b:Guid>{26CC29CE-3099-4A2C-B9E3-FDAC5421C307}</b:Guid>
    <b:Author>
      <b:Author>
        <b:NameList>
          <b:Person>
            <b:Last>Daniel</b:Last>
            <b:First>E.</b:First>
            <b:Middle>and Daniel, P.A.,</b:Middle>
          </b:Person>
        </b:NameList>
      </b:Author>
    </b:Author>
    <b:Year>2019</b:Year>
    <b:RefOrder>5</b:RefOrder>
  </b:Source>
  <b:Source>
    <b:Tag>Ero18</b:Tag>
    <b:SourceType>Report</b:SourceType>
    <b:Guid>{488FC82C-269D-42A8-B484-432DA78A0E5C}</b:Guid>
    <b:Author>
      <b:Author>
        <b:NameList>
          <b:Person>
            <b:Last>Erol</b:Last>
            <b:First>H.,</b:First>
            <b:Middle>Dikmen, I., Atasoy, G. and Birgonul, M.T.,</b:Middle>
          </b:Person>
        </b:NameList>
      </b:Author>
    </b:Author>
    <b:Year>2018</b:Year>
    <b:RefOrder>6</b:RefOrder>
  </b:Source>
  <b:Source>
    <b:Tag>Fou18</b:Tag>
    <b:SourceType>Report</b:SourceType>
    <b:Guid>{0A38C031-0315-4B38-B9CC-9DFF1CB01E47}</b:Guid>
    <b:Author>
      <b:Author>
        <b:NameList>
          <b:Person>
            <b:Last>Fouquet</b:Last>
            <b:First>D.,</b:First>
          </b:Person>
        </b:NameList>
      </b:Author>
    </b:Author>
    <b:Year>2018</b:Year>
    <b:RefOrder>7</b:RefOrder>
  </b:Source>
  <b:Source>
    <b:Tag>Gla211</b:Tag>
    <b:SourceType>Report</b:SourceType>
    <b:Guid>{DA85F550-18C7-4094-94AB-62A370029C55}</b:Guid>
    <b:Author>
      <b:Author>
        <b:NameList>
          <b:Person>
            <b:Last>Glasson</b:Last>
            <b:First>J.,</b:First>
            <b:Middle>Durning, B., Broderick, M. and Welch, K.,</b:Middle>
          </b:Person>
        </b:NameList>
      </b:Author>
    </b:Author>
    <b:Year>2021</b:Year>
    <b:RefOrder>8</b:RefOrder>
  </b:Source>
  <b:Source>
    <b:Tag>Gui18</b:Tag>
    <b:SourceType>Report</b:SourceType>
    <b:Guid>{5CB333FA-6D16-4AF4-BEF6-F0768AE5A038}</b:Guid>
    <b:Author>
      <b:Author>
        <b:NameList>
          <b:Person>
            <b:Last>Guillaume</b:Last>
            <b:First>N.,</b:First>
          </b:Person>
        </b:NameList>
      </b:Author>
    </b:Author>
    <b:Year>2018</b:Year>
    <b:RefOrder>9</b:RefOrder>
  </b:Source>
  <b:Source>
    <b:Tag>Guo18</b:Tag>
    <b:SourceType>Report</b:SourceType>
    <b:Guid>{34981284-0B7A-487B-B089-B07FDD7C2EEF}</b:Guid>
    <b:Author>
      <b:Author>
        <b:NameList>
          <b:Person>
            <b:Last>Guo</b:Last>
            <b:First>C.</b:First>
            <b:Middle>and Sheng, Z.,</b:Middle>
          </b:Person>
        </b:NameList>
      </b:Author>
    </b:Author>
    <b:Year>2018</b:Year>
    <b:RefOrder>11</b:RefOrder>
  </b:Source>
  <b:Source>
    <b:Tag>Joh221</b:Tag>
    <b:SourceType>Report</b:SourceType>
    <b:Guid>{2A0C1A84-1FA4-45EB-A74B-B146C2E69F33}</b:Guid>
    <b:Author>
      <b:Author>
        <b:NameList>
          <b:Person>
            <b:Last>Johnstone</b:Last>
            <b:First>P.</b:First>
            <b:Middle>and Stirling, A.,</b:Middle>
          </b:Person>
        </b:NameList>
      </b:Author>
    </b:Author>
    <b:Year>2022</b:Year>
    <b:RefOrder>10</b:RefOrder>
  </b:Source>
  <b:Source>
    <b:Tag>Kin21</b:Tag>
    <b:SourceType>Report</b:SourceType>
    <b:Guid>{12563A0C-EDD1-488B-B2B6-4E1FA99F6820}</b:Guid>
    <b:Author>
      <b:Author>
        <b:NameList>
          <b:Person>
            <b:Last>Kingston</b:Last>
            <b:First>S.,</b:First>
          </b:Person>
        </b:NameList>
      </b:Author>
    </b:Author>
    <b:Year>2021</b:Year>
    <b:RefOrder>4</b:RefOrder>
  </b:Source>
</b:Sources>
</file>

<file path=customXml/itemProps1.xml><?xml version="1.0" encoding="utf-8"?>
<ds:datastoreItem xmlns:ds="http://schemas.openxmlformats.org/officeDocument/2006/customXml" ds:itemID="{0DDEDEA4-08A3-4BCC-8A4A-F1507B06F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Words>2880</Words>
  <Pages>10</Pages>
  <Characters>16092</Characters>
  <Application>WPS Office</Application>
  <DocSecurity>0</DocSecurity>
  <Paragraphs>90</Paragraphs>
  <ScaleCrop>false</ScaleCrop>
  <LinksUpToDate>false</LinksUpToDate>
  <CharactersWithSpaces>18921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2023-05-05T04:50:00Z</dcterms:created>
  <dc:creator>ABBAS COMPUTERS</dc:creator>
  <lastModifiedBy>2201116TG</lastModifiedBy>
  <dcterms:modified xsi:type="dcterms:W3CDTF">2023-05-05T22:38:11Z</dcterms:modified>
  <revision>2</revision>
  <dc:title>LCBB5005 Project Management</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1601ae501de443de91408c1b33a90d0f</vt:lpwstr>
  </property>
</Properties>
</file>