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D8D" w:rsidRDefault="000D0D8D" w:rsidP="001B7CE4">
      <w:pPr>
        <w:pStyle w:val="Heading1"/>
      </w:pPr>
      <w:r w:rsidRPr="001B7CE4">
        <w:t>Introduction</w:t>
      </w:r>
    </w:p>
    <w:p w:rsidR="00791118" w:rsidRDefault="002A3F5C" w:rsidP="003F3703">
      <w:pPr>
        <w:spacing w:line="480" w:lineRule="auto"/>
      </w:pPr>
      <w:r w:rsidRPr="002A3F5C">
        <w:t>School</w:t>
      </w:r>
      <w:r>
        <w:t xml:space="preserve"> A</w:t>
      </w:r>
      <w:r w:rsidRPr="002A3F5C">
        <w:t xml:space="preserve"> is an 11-16 English-medium mixed comprehensive school </w:t>
      </w:r>
      <w:r w:rsidR="007226F1">
        <w:t>located in Swansea</w:t>
      </w:r>
      <w:r w:rsidRPr="002A3F5C">
        <w:t xml:space="preserve">. There are currently </w:t>
      </w:r>
      <w:r>
        <w:t>946</w:t>
      </w:r>
      <w:r w:rsidRPr="002A3F5C">
        <w:t xml:space="preserve"> pupils on roll. </w:t>
      </w:r>
      <w:r>
        <w:t>Of these, a</w:t>
      </w:r>
      <w:r w:rsidRPr="002A3F5C">
        <w:t xml:space="preserve"> total of </w:t>
      </w:r>
      <w:r>
        <w:t>27.5</w:t>
      </w:r>
      <w:r w:rsidRPr="002A3F5C">
        <w:t>% of pupils are eligible</w:t>
      </w:r>
      <w:r>
        <w:t xml:space="preserve"> for</w:t>
      </w:r>
      <w:r w:rsidRPr="002A3F5C">
        <w:t xml:space="preserve"> free school meals</w:t>
      </w:r>
      <w:r w:rsidR="007226F1">
        <w:t>, which</w:t>
      </w:r>
      <w:r w:rsidRPr="002A3F5C">
        <w:t xml:space="preserve"> is significantly ab</w:t>
      </w:r>
      <w:r>
        <w:t>ove the national average of 17</w:t>
      </w:r>
      <w:r w:rsidRPr="002A3F5C">
        <w:t>% for secondary schools in Wales</w:t>
      </w:r>
      <w:r>
        <w:t>, and the Local Authority average of 18.3%</w:t>
      </w:r>
      <w:r w:rsidR="007226F1">
        <w:t xml:space="preserve"> (My</w:t>
      </w:r>
      <w:r w:rsidR="00667677">
        <w:t xml:space="preserve"> </w:t>
      </w:r>
      <w:r w:rsidR="007226F1">
        <w:t>Local</w:t>
      </w:r>
      <w:r w:rsidR="00667677">
        <w:t xml:space="preserve"> </w:t>
      </w:r>
      <w:r w:rsidR="007226F1">
        <w:t>School, 2017)</w:t>
      </w:r>
      <w:r w:rsidRPr="002A3F5C">
        <w:t xml:space="preserve">. </w:t>
      </w:r>
      <w:r>
        <w:t xml:space="preserve">School A represents a truly comprehensive school, as </w:t>
      </w:r>
      <w:r w:rsidRPr="002A3F5C">
        <w:t xml:space="preserve">pupils </w:t>
      </w:r>
      <w:r w:rsidR="00524389" w:rsidRPr="002A3F5C">
        <w:t>embody</w:t>
      </w:r>
      <w:r w:rsidRPr="002A3F5C">
        <w:t xml:space="preserve"> the full range of ability. </w:t>
      </w:r>
      <w:r w:rsidR="001B7CE4">
        <w:t>Around 38% of pupils have a Special Educational Need [SEN]</w:t>
      </w:r>
      <w:r w:rsidR="00667677" w:rsidRPr="00667677">
        <w:t xml:space="preserve"> </w:t>
      </w:r>
      <w:r w:rsidR="00667677">
        <w:t>(My</w:t>
      </w:r>
      <w:r w:rsidR="00667677">
        <w:t xml:space="preserve"> </w:t>
      </w:r>
      <w:r w:rsidR="00667677">
        <w:t>Local</w:t>
      </w:r>
      <w:r w:rsidR="00667677">
        <w:t xml:space="preserve"> </w:t>
      </w:r>
      <w:r w:rsidR="00667677">
        <w:t>School, 2017)</w:t>
      </w:r>
      <w:r w:rsidR="00667677" w:rsidRPr="002A3F5C">
        <w:t>.</w:t>
      </w:r>
      <w:r w:rsidR="001B7CE4">
        <w:t xml:space="preserve"> </w:t>
      </w:r>
      <w:r w:rsidRPr="002A3F5C">
        <w:t>The school has a</w:t>
      </w:r>
      <w:r w:rsidR="007226F1">
        <w:t>n on-site</w:t>
      </w:r>
      <w:r w:rsidRPr="002A3F5C">
        <w:t xml:space="preserve"> Special</w:t>
      </w:r>
      <w:r w:rsidR="007226F1">
        <w:t>ist</w:t>
      </w:r>
      <w:r w:rsidRPr="002A3F5C">
        <w:t xml:space="preserve"> Teaching Facility [STF] for pupils with speech, language and communication needs, however this will not be included in the data for this research, as these pupils largely do not attend mainstream classes for humanities.</w:t>
      </w:r>
      <w:r>
        <w:t xml:space="preserve"> 82.1% </w:t>
      </w:r>
      <w:r w:rsidRPr="002A3F5C">
        <w:t>of pupils are from a White British ethnic background</w:t>
      </w:r>
      <w:r>
        <w:t>, with approximately 10% of pupils classified as having English as an Additional Language [EAL]</w:t>
      </w:r>
      <w:r w:rsidR="00667677" w:rsidRPr="00667677">
        <w:t xml:space="preserve"> </w:t>
      </w:r>
      <w:r w:rsidR="00667677">
        <w:t>(My</w:t>
      </w:r>
      <w:r w:rsidR="00667677">
        <w:t xml:space="preserve"> </w:t>
      </w:r>
      <w:r w:rsidR="00667677">
        <w:t>Local</w:t>
      </w:r>
      <w:r w:rsidR="00667677">
        <w:t xml:space="preserve"> </w:t>
      </w:r>
      <w:r w:rsidR="00667677">
        <w:t>School, 2017)</w:t>
      </w:r>
      <w:r w:rsidR="00667677" w:rsidRPr="002A3F5C">
        <w:t>.</w:t>
      </w:r>
      <w:r w:rsidRPr="002A3F5C">
        <w:t xml:space="preserve"> </w:t>
      </w:r>
      <w:r w:rsidR="001B7CE4">
        <w:t>Outcomes and attainment at School A are below national averages, with 43.7% achieving 5+ GSCEs A*-C including</w:t>
      </w:r>
      <w:r w:rsidR="001B7CE4" w:rsidRPr="001B7CE4">
        <w:t xml:space="preserve"> English and Maths</w:t>
      </w:r>
      <w:r w:rsidR="001B7CE4">
        <w:t>, compared to 69.7% nationally</w:t>
      </w:r>
      <w:r w:rsidR="00667677">
        <w:t xml:space="preserve"> </w:t>
      </w:r>
      <w:r w:rsidR="00667677">
        <w:t>(My</w:t>
      </w:r>
      <w:r w:rsidR="00667677">
        <w:t xml:space="preserve"> </w:t>
      </w:r>
      <w:r w:rsidR="00667677">
        <w:t>Local</w:t>
      </w:r>
      <w:r w:rsidR="00667677">
        <w:t xml:space="preserve"> </w:t>
      </w:r>
      <w:r w:rsidR="00667677">
        <w:t>School, 2017)</w:t>
      </w:r>
      <w:r w:rsidR="00667677" w:rsidRPr="002A3F5C">
        <w:t>.</w:t>
      </w:r>
      <w:r w:rsidR="001B7CE4">
        <w:t xml:space="preserve"> </w:t>
      </w:r>
    </w:p>
    <w:p w:rsidR="00F67D05" w:rsidRDefault="00791118" w:rsidP="00F67D05">
      <w:pPr>
        <w:spacing w:line="480" w:lineRule="auto"/>
      </w:pPr>
      <w:r>
        <w:tab/>
      </w:r>
      <w:r w:rsidR="00F67D05">
        <w:t xml:space="preserve">The chosen research area is the use of seating plans as a form of classroom arrangement. This was chosen as the research area as a result of observations in School A, as well as experimental use during the first professional teaching experience placement. This was a particular focus, as behaviour management has been set as a consistent target during formal observations, and seating plans have been suggested as a possible solution to this. After extensive reading, which is outlined below, it became clear that there is no single consensus of the benefits of implementing a seating plan, and therefore this research compares engagement and attainment in a class with a seating plan, in comparison to a class without a seating plan. </w:t>
      </w:r>
    </w:p>
    <w:p w:rsidR="00F67D05" w:rsidRDefault="00791118" w:rsidP="00F67D05">
      <w:pPr>
        <w:spacing w:line="480" w:lineRule="auto"/>
        <w:ind w:firstLine="720"/>
      </w:pPr>
      <w:r>
        <w:t xml:space="preserve">Two classes were chosen to be involved in the study, upon discussion with the PGCE Mentor at School A. The two classes involved in the study were Year 8 classes, herein referred to as Class SP and Class NSP.  Pupils in Class SP were put into a seating plan to investigate the research question, </w:t>
      </w:r>
      <w:r>
        <w:lastRenderedPageBreak/>
        <w:t>whereas pupils in Class NSP were kept out of a seating plan. As classes are set by ability, it would not be possible to directly compare between ability levels, and therefore all results will be based on percentage change from exp</w:t>
      </w:r>
      <w:r w:rsidR="007E7206">
        <w:t xml:space="preserve">ected as opposed to raw grades. However, both classes had similar levels of pupils with additional learning needs, and therefore, this was </w:t>
      </w:r>
      <w:r w:rsidR="00355DD7">
        <w:t xml:space="preserve">controlled and accounted for throughout the research study. </w:t>
      </w:r>
    </w:p>
    <w:p w:rsidR="000D0D8D" w:rsidRPr="005E0160" w:rsidRDefault="00F67D05" w:rsidP="003F3703">
      <w:pPr>
        <w:spacing w:line="480" w:lineRule="auto"/>
      </w:pPr>
      <w:r>
        <w:tab/>
      </w:r>
      <w:r w:rsidR="000D0D8D">
        <w:br w:type="page"/>
      </w:r>
    </w:p>
    <w:p w:rsidR="000D0D8D" w:rsidRPr="000D0D8D" w:rsidRDefault="000D0D8D" w:rsidP="001B7CE4">
      <w:pPr>
        <w:pStyle w:val="Heading1"/>
      </w:pPr>
      <w:r>
        <w:lastRenderedPageBreak/>
        <w:t>Literature Review</w:t>
      </w:r>
    </w:p>
    <w:p w:rsidR="00087BC9" w:rsidRDefault="00087BC9" w:rsidP="003F3703">
      <w:pPr>
        <w:spacing w:line="480" w:lineRule="auto"/>
      </w:pPr>
      <w:r>
        <w:t>Classroom environment is a much discussed topic within educational research. Generally, this</w:t>
      </w:r>
      <w:r w:rsidR="00006232">
        <w:t xml:space="preserve"> debate</w:t>
      </w:r>
      <w:r>
        <w:t xml:space="preserve"> falls into two main categories – the physical arrangement of classroom </w:t>
      </w:r>
      <w:r w:rsidR="00006232">
        <w:t xml:space="preserve">furniture </w:t>
      </w:r>
      <w:r>
        <w:t>and the</w:t>
      </w:r>
      <w:r w:rsidR="00006232">
        <w:t xml:space="preserve"> placement of children within such layout.</w:t>
      </w:r>
      <w:r>
        <w:t xml:space="preserve"> </w:t>
      </w:r>
      <w:r w:rsidR="00006232">
        <w:t xml:space="preserve">It is important to bear in mind, throughout this essay, that classrooms are </w:t>
      </w:r>
      <w:r w:rsidR="00667677">
        <w:t>“</w:t>
      </w:r>
      <w:r w:rsidR="00006232">
        <w:t>physical entities as well as organisational units</w:t>
      </w:r>
      <w:r w:rsidR="00667677">
        <w:t>”</w:t>
      </w:r>
      <w:r w:rsidR="00006232">
        <w:t xml:space="preserve"> (Marx </w:t>
      </w:r>
      <w:r w:rsidR="00006232" w:rsidRPr="00A331F1">
        <w:rPr>
          <w:i/>
        </w:rPr>
        <w:t>et al.,</w:t>
      </w:r>
      <w:r w:rsidR="00006232">
        <w:t xml:space="preserve"> 1999</w:t>
      </w:r>
      <w:r w:rsidR="00667677">
        <w:t>, p.249</w:t>
      </w:r>
      <w:r w:rsidR="00006232">
        <w:t>), and therefore, the layout of tables and other furniture within the classroom space should be considered. The debate consistently remains as to whether classrooms should be arranged in a typical row-and-column setting, with all pupils facing f</w:t>
      </w:r>
      <w:r w:rsidR="00A331F1">
        <w:t>or</w:t>
      </w:r>
      <w:r w:rsidR="00006232">
        <w:t>wards, or whether a grouping approach would be more appropr</w:t>
      </w:r>
      <w:r w:rsidR="00A331F1">
        <w:t>iate. Interestingly, discussion</w:t>
      </w:r>
      <w:r w:rsidR="00006232">
        <w:t xml:space="preserve"> over the use of fixed row-and-column seating  </w:t>
      </w:r>
      <w:r w:rsidR="00A331F1">
        <w:t>dates back as early as the year 1900</w:t>
      </w:r>
      <w:r w:rsidR="003F3703">
        <w:t>,</w:t>
      </w:r>
      <w:r w:rsidR="00A331F1">
        <w:t xml:space="preserve"> with John Dewey criticizing </w:t>
      </w:r>
      <w:r w:rsidR="00006232">
        <w:t>the seating arrangemen</w:t>
      </w:r>
      <w:r w:rsidR="00A331F1">
        <w:t xml:space="preserve">t (in </w:t>
      </w:r>
      <w:proofErr w:type="spellStart"/>
      <w:r w:rsidR="00A331F1">
        <w:t>Norum</w:t>
      </w:r>
      <w:proofErr w:type="spellEnd"/>
      <w:r w:rsidR="00A331F1">
        <w:t xml:space="preserve"> </w:t>
      </w:r>
      <w:r w:rsidR="00A331F1" w:rsidRPr="00A331F1">
        <w:rPr>
          <w:i/>
        </w:rPr>
        <w:t>et al.,</w:t>
      </w:r>
      <w:r w:rsidR="00A331F1">
        <w:t xml:space="preserve"> 1967), as “antagonistic to the philosophy of experimentation” (</w:t>
      </w:r>
      <w:proofErr w:type="spellStart"/>
      <w:r w:rsidR="00A331F1">
        <w:t>Koneya</w:t>
      </w:r>
      <w:proofErr w:type="spellEnd"/>
      <w:r w:rsidR="00A331F1">
        <w:t xml:space="preserve">, 1976, p.265), suggesting that the use of </w:t>
      </w:r>
      <w:r w:rsidR="003F3703">
        <w:t>such</w:t>
      </w:r>
      <w:r w:rsidR="00A331F1">
        <w:t xml:space="preserve"> layout prohibits</w:t>
      </w:r>
      <w:r w:rsidR="003F3703">
        <w:t xml:space="preserve"> social interaction within the classroom</w:t>
      </w:r>
      <w:r w:rsidR="00A331F1">
        <w:t>. More recent research has supported</w:t>
      </w:r>
      <w:r w:rsidR="00670206">
        <w:t xml:space="preserve"> this view</w:t>
      </w:r>
      <w:r w:rsidR="00A331F1">
        <w:t xml:space="preserve">, with </w:t>
      </w:r>
      <w:r w:rsidR="003F3703">
        <w:t xml:space="preserve">Chaplain (2003) arguing that row-and-column layout is appropriate only when a teacher is presenting information, facts and rules to the whole class. </w:t>
      </w:r>
    </w:p>
    <w:p w:rsidR="00E62A40" w:rsidRDefault="00670206" w:rsidP="003F3703">
      <w:pPr>
        <w:spacing w:line="480" w:lineRule="auto"/>
      </w:pPr>
      <w:r>
        <w:tab/>
        <w:t xml:space="preserve">Furthermore, it has been found that arranging the class in a row-and-column style layout is often an underlying factor in determining who in the classroom interacts with the teacher. Chaplain (2003) has suggested that </w:t>
      </w:r>
      <w:r w:rsidR="00E62A40">
        <w:t>shy pupils, who lack self-confidence, are less likely to ask questions when sat in this layout, as the whole class is able to witness the interaction, and that, therefore, this layout can be intimidating. Additionally, it has been observed that interaction rates are highest among persons sitting in the front and middle rows in the typical row-and column seat layout (</w:t>
      </w:r>
      <w:proofErr w:type="spellStart"/>
      <w:r w:rsidR="00E62A40">
        <w:t>Sommer</w:t>
      </w:r>
      <w:proofErr w:type="spellEnd"/>
      <w:r w:rsidR="00E62A40">
        <w:t>, 1967; Adams, 1969; Adams and Biddle, 1970), in what has been described as the “triangle of centrality” or “centre of greatest activity” (</w:t>
      </w:r>
      <w:proofErr w:type="spellStart"/>
      <w:r w:rsidR="00E62A40">
        <w:t>Koneya</w:t>
      </w:r>
      <w:proofErr w:type="spellEnd"/>
      <w:r w:rsidR="00E62A40">
        <w:t xml:space="preserve">, 1976, p. 277). </w:t>
      </w:r>
      <w:r w:rsidR="00F7795E">
        <w:t xml:space="preserve">According to </w:t>
      </w:r>
      <w:proofErr w:type="spellStart"/>
      <w:r w:rsidR="00F7795E">
        <w:t>Zwozdiak</w:t>
      </w:r>
      <w:proofErr w:type="spellEnd"/>
      <w:r w:rsidR="00F7795E">
        <w:t>-Mye</w:t>
      </w:r>
      <w:r w:rsidR="00667677">
        <w:t>rs and Capel (2016</w:t>
      </w:r>
      <w:r w:rsidR="00F7795E">
        <w:t xml:space="preserve">), this is especially true when a class is being taught by a student teacher, who “tend to focus on a V-shaped wedge in the middle of the classroom” (p.152). </w:t>
      </w:r>
      <w:r w:rsidR="00E62A40">
        <w:t>Therefore, it has been suggested that, if opting for the row-and-column layout of furniture within their classrooms, teachers should consider carefully the placement of pupils in terms of seating arrangements</w:t>
      </w:r>
      <w:r w:rsidR="009D094B">
        <w:t xml:space="preserve"> (</w:t>
      </w:r>
      <w:r w:rsidR="00125FE8">
        <w:t xml:space="preserve">Smith </w:t>
      </w:r>
      <w:r w:rsidR="00125FE8">
        <w:lastRenderedPageBreak/>
        <w:t xml:space="preserve">and </w:t>
      </w:r>
      <w:proofErr w:type="spellStart"/>
      <w:r w:rsidR="00125FE8">
        <w:t>Laslett</w:t>
      </w:r>
      <w:proofErr w:type="spellEnd"/>
      <w:r w:rsidR="00125FE8">
        <w:t>, 1993</w:t>
      </w:r>
      <w:r w:rsidR="009D094B">
        <w:t>)</w:t>
      </w:r>
      <w:r w:rsidR="00E62A40">
        <w:t xml:space="preserve">. </w:t>
      </w:r>
      <w:r w:rsidR="002954ED">
        <w:t xml:space="preserve">Classrooms are dialogic communities (Bakhtin, 1986), and therefore, questioning and participation should be actively encouraged. If a classroom setting can so strongly influence the behaviour of its users, this is something that should be considered by leaders (Marx </w:t>
      </w:r>
      <w:r w:rsidR="002954ED" w:rsidRPr="002954ED">
        <w:rPr>
          <w:i/>
        </w:rPr>
        <w:t>et al.,</w:t>
      </w:r>
      <w:r w:rsidR="002954ED">
        <w:t xml:space="preserve"> 1999).</w:t>
      </w:r>
    </w:p>
    <w:p w:rsidR="00670206" w:rsidRDefault="00E62A40" w:rsidP="003F3703">
      <w:pPr>
        <w:spacing w:line="480" w:lineRule="auto"/>
      </w:pPr>
      <w:r>
        <w:tab/>
        <w:t>An alternative seating arrangement that has been widely discussed in the literature is the use of a horseshoe or sem</w:t>
      </w:r>
      <w:r w:rsidR="009D094B">
        <w:t>i</w:t>
      </w:r>
      <w:r>
        <w:t xml:space="preserve">circle setting. </w:t>
      </w:r>
      <w:r w:rsidR="009D094B">
        <w:t xml:space="preserve">Previous research has found that children asked more questions when sat in a semicircle than in row-and-column layout (Marx </w:t>
      </w:r>
      <w:r w:rsidR="009D094B" w:rsidRPr="009D094B">
        <w:rPr>
          <w:i/>
        </w:rPr>
        <w:t>et al.,</w:t>
      </w:r>
      <w:r w:rsidR="009D094B">
        <w:t xml:space="preserve"> 1999), due to the fact that social interaction is encourage</w:t>
      </w:r>
      <w:r w:rsidR="00DD22B3">
        <w:t>d</w:t>
      </w:r>
      <w:r w:rsidR="009D094B">
        <w:t xml:space="preserve"> when individuals are able to establish face-to-face contact, which allows both teacher-pupil and pupil-pupil eye contact. This could be due to the fact that pupils feel required to be more courteous and pay attention through showing interest (Becker et al., 1973) when sat in such a formation. Alternatively, it has been suggested that </w:t>
      </w:r>
      <w:r w:rsidR="00211ECE">
        <w:t>participation is greater where pupils are able to move around</w:t>
      </w:r>
      <w:r w:rsidR="00DC7C2F">
        <w:t xml:space="preserve"> and interact with one another </w:t>
      </w:r>
      <w:r w:rsidR="00211ECE">
        <w:t>and that a semicircle layout allows room for this, as desks do not fill the room (O-</w:t>
      </w:r>
      <w:proofErr w:type="spellStart"/>
      <w:r w:rsidR="00211ECE">
        <w:t>saki</w:t>
      </w:r>
      <w:proofErr w:type="spellEnd"/>
      <w:r w:rsidR="00211ECE">
        <w:t xml:space="preserve"> and </w:t>
      </w:r>
      <w:proofErr w:type="spellStart"/>
      <w:r w:rsidR="00211ECE">
        <w:t>Agu</w:t>
      </w:r>
      <w:proofErr w:type="spellEnd"/>
      <w:r w:rsidR="00211ECE">
        <w:t>, 2002).</w:t>
      </w:r>
      <w:r w:rsidR="002954ED">
        <w:t xml:space="preserve"> However, Chaplain (2003) has argued that by creating such an open space, or vacuum, in the middle of the horseshoe semicircle layout, this can often be very threatening to some pupils, as they are fully exposed and visible to other class members. </w:t>
      </w:r>
      <w:r w:rsidR="00211ECE">
        <w:t xml:space="preserve"> </w:t>
      </w:r>
    </w:p>
    <w:p w:rsidR="002954ED" w:rsidRDefault="002954ED" w:rsidP="003F3703">
      <w:pPr>
        <w:spacing w:line="480" w:lineRule="auto"/>
      </w:pPr>
      <w:r>
        <w:tab/>
        <w:t>It has been widely accepted in recent years that group work enhances pupil learning (Chaplain, 2003). Therefore, a third model of classroom layout has emerged within the literature. Where space allows, it is often possible to group pupils around desks in a “coffee bar” or “nightclub” setting</w:t>
      </w:r>
      <w:r w:rsidR="00DD22B3">
        <w:t xml:space="preserve"> (Chaplain, 2003, p. 128), where multiple pupils are sat around the same table. Such arrangements maximise interaction and facilitate group work in a way that is not feasible in a row-and-column or semicircle setting, whilst also allowing the teacher to circulate and assist pupils as and when required (Rogers, 2012). However, such a layout can also create issues when attempting to teach to the whole class, as it can be inevitable that some pupils will be faced backwards away from the teacher (</w:t>
      </w:r>
      <w:r w:rsidR="00113186">
        <w:t xml:space="preserve">Chaplain, 2003). If allowed to sit near their friends, this could cause behaviour </w:t>
      </w:r>
      <w:r w:rsidR="00113186">
        <w:lastRenderedPageBreak/>
        <w:t>issues, and therefore it has been suggested that teachers should carefully manage seating arrangements if opting for this style of classroom layout (</w:t>
      </w:r>
      <w:r w:rsidR="00125FE8">
        <w:t xml:space="preserve">Smith and </w:t>
      </w:r>
      <w:proofErr w:type="spellStart"/>
      <w:r w:rsidR="00125FE8">
        <w:t>Laslett</w:t>
      </w:r>
      <w:proofErr w:type="spellEnd"/>
      <w:r w:rsidR="00125FE8">
        <w:t>, 1993</w:t>
      </w:r>
      <w:r w:rsidR="00113186">
        <w:t xml:space="preserve">). </w:t>
      </w:r>
    </w:p>
    <w:p w:rsidR="00125FE8" w:rsidRDefault="00113186" w:rsidP="003F3703">
      <w:pPr>
        <w:spacing w:line="480" w:lineRule="auto"/>
      </w:pPr>
      <w:r>
        <w:tab/>
        <w:t>Underpinning all of this research on classroom layout, then, is the underlying notion that the teacher should control where a pupil is sat, regardless of which arrangement of furniture in the classroom is opted for. Previous research has generally been overwhelmingly positive about the use of seating plans within cl</w:t>
      </w:r>
      <w:r w:rsidR="00530D14">
        <w:t xml:space="preserve">assrooms </w:t>
      </w:r>
      <w:r>
        <w:t>as a tool for teachers</w:t>
      </w:r>
      <w:r w:rsidR="0053626A">
        <w:t xml:space="preserve">, suggesting that teachers should always set a seating plan upon their first meeting </w:t>
      </w:r>
      <w:r w:rsidR="00125FE8">
        <w:t xml:space="preserve">with pupils (e.g. Smith and </w:t>
      </w:r>
      <w:proofErr w:type="spellStart"/>
      <w:r w:rsidR="00125FE8">
        <w:t>Lasl</w:t>
      </w:r>
      <w:r w:rsidR="0053626A">
        <w:t>ett</w:t>
      </w:r>
      <w:proofErr w:type="spellEnd"/>
      <w:r w:rsidR="0053626A">
        <w:t xml:space="preserve">, </w:t>
      </w:r>
      <w:r w:rsidR="00125FE8">
        <w:t>1</w:t>
      </w:r>
      <w:r w:rsidR="0053626A">
        <w:t>993;</w:t>
      </w:r>
      <w:r w:rsidR="00667677">
        <w:t xml:space="preserve"> </w:t>
      </w:r>
      <w:proofErr w:type="spellStart"/>
      <w:r w:rsidR="00667677">
        <w:t>Titchmarsh</w:t>
      </w:r>
      <w:proofErr w:type="spellEnd"/>
      <w:r w:rsidR="00667677">
        <w:t xml:space="preserve"> 2016</w:t>
      </w:r>
      <w:r w:rsidR="0053626A">
        <w:t>; Bennett, 2013)</w:t>
      </w:r>
      <w:r>
        <w:t>.</w:t>
      </w:r>
      <w:r w:rsidR="00F7795E">
        <w:t xml:space="preserve"> However, it has been noted that this is more difficult for student teachers, who often meet their classes for the first time during </w:t>
      </w:r>
      <w:r w:rsidR="00125FE8">
        <w:t>the middle of the academic year</w:t>
      </w:r>
      <w:r>
        <w:t xml:space="preserve"> </w:t>
      </w:r>
      <w:r w:rsidR="00125FE8">
        <w:t xml:space="preserve">(Haydn, 2007), and this is something that will inform the research of this essay. </w:t>
      </w:r>
    </w:p>
    <w:p w:rsidR="00125FE8" w:rsidRDefault="00113186" w:rsidP="00825CAD">
      <w:pPr>
        <w:spacing w:line="480" w:lineRule="auto"/>
        <w:ind w:firstLine="720"/>
      </w:pPr>
      <w:r>
        <w:t xml:space="preserve">The use of seating plans has two main aims, </w:t>
      </w:r>
      <w:r w:rsidR="00F45E31">
        <w:t>learning and logistics</w:t>
      </w:r>
      <w:r w:rsidR="0053626A">
        <w:t xml:space="preserve"> (Bassett </w:t>
      </w:r>
      <w:r w:rsidR="0053626A" w:rsidRPr="0053626A">
        <w:rPr>
          <w:i/>
        </w:rPr>
        <w:t>et al.,</w:t>
      </w:r>
      <w:r w:rsidR="00667677">
        <w:t xml:space="preserve"> 2016</w:t>
      </w:r>
      <w:r w:rsidR="0053626A">
        <w:t>)</w:t>
      </w:r>
      <w:r>
        <w:t xml:space="preserve">, and these will each be explored in turn. </w:t>
      </w:r>
      <w:r w:rsidR="00125FE8">
        <w:t>When considering the impact of seating plans on learning, a consistent theme</w:t>
      </w:r>
      <w:r w:rsidR="003140BC">
        <w:t xml:space="preserve"> emerged of the use of seating plans as a behaviour management tool. Teachers may choose to encourage children to sit with their friends, or they may deliberately and arbitrarily disperse such centres of potential distraction through a controlled seating plan (Smith and </w:t>
      </w:r>
      <w:proofErr w:type="spellStart"/>
      <w:r w:rsidR="003140BC">
        <w:t>Laslett</w:t>
      </w:r>
      <w:proofErr w:type="spellEnd"/>
      <w:r w:rsidR="003140BC">
        <w:t>, 1993).  A</w:t>
      </w:r>
      <w:r w:rsidR="00667677">
        <w:t xml:space="preserve">ccording to Green and </w:t>
      </w:r>
      <w:proofErr w:type="spellStart"/>
      <w:r w:rsidR="00667677">
        <w:t>Leask</w:t>
      </w:r>
      <w:proofErr w:type="spellEnd"/>
      <w:r w:rsidR="00667677">
        <w:t xml:space="preserve"> (2016</w:t>
      </w:r>
      <w:r w:rsidR="003140BC">
        <w:t xml:space="preserve">), “effective teachers run efficient classrooms” (p.23), and this is largely down to how the teacher chooses to manage his or her behavioural setting (Chaplain, 2003). </w:t>
      </w:r>
      <w:r w:rsidR="00825CAD">
        <w:t>Therefore, implementing a seating plan can disband friendship groups who may be otherwise disruptive. As an experienced teacher referenced in Haydn (2007) recounted “prevention is better than cure” (p. 86), and therefore using a seating plan at the beginning of the school year can reduce the likelihood of any behavioural issues before they occur.</w:t>
      </w:r>
      <w:r w:rsidR="00AF0F3C">
        <w:t xml:space="preserve"> Allowing friendship groups to sit together in a classroom may form unhelpful power cliques which are hard to refocus (Rogers, 2005) and therefore, using a seating plan may help to ensure students are seated away from those who may disrupt their learning (Ingram, 2008). </w:t>
      </w:r>
      <w:r w:rsidR="0098439A">
        <w:t xml:space="preserve">In some cases, certain pupils can be used as a “barrier” (Haydn, 2007, p.84) </w:t>
      </w:r>
      <w:r w:rsidR="00C52DB8">
        <w:t xml:space="preserve">between potentially challenging pupils. Therefore, it is clear that many </w:t>
      </w:r>
      <w:r w:rsidR="00C52DB8">
        <w:lastRenderedPageBreak/>
        <w:t xml:space="preserve">academic sources </w:t>
      </w:r>
      <w:r w:rsidR="0064336D">
        <w:t>agree that seating plans can be a useful way to manage behaviour. Interestingly, in its guidance to primary school teachers, the Welsh Government also recommends the use of strategic seating, suggesting that “children who have the potential to display unwanted behaviour should be facing the teacher” (Welsh Government, 2012, p.14). This shows that there is a</w:t>
      </w:r>
      <w:r w:rsidR="00DF046E">
        <w:t xml:space="preserve"> clear</w:t>
      </w:r>
      <w:r w:rsidR="0064336D">
        <w:t xml:space="preserve"> link between academic research and proposals put forward in professional documents.  </w:t>
      </w:r>
    </w:p>
    <w:p w:rsidR="00DF046E" w:rsidRDefault="00DF046E" w:rsidP="00825CAD">
      <w:pPr>
        <w:spacing w:line="480" w:lineRule="auto"/>
        <w:ind w:firstLine="720"/>
      </w:pPr>
      <w:r>
        <w:t>Interestingly, there is also a wide-ranging debate about the role of seating plans in achieving improved academic outcomes for pupils. According to Ingram (2008), seating plans can ensure students’ academic and social needs are met, improving students’ learning through positive discussion and help-seeking</w:t>
      </w:r>
      <w:r w:rsidR="00F62916">
        <w:t>, if pupils are sat near those they feel comfortable with</w:t>
      </w:r>
      <w:r>
        <w:t>.  This is especially important in adolescents, who are the focus of this study, as they have particularly strong social needs (Ryan, 2001) and are more likely to be self</w:t>
      </w:r>
      <w:r w:rsidR="00B82627">
        <w:t>-conscious and sensitive (Ryan and Patrick</w:t>
      </w:r>
      <w:r w:rsidR="00F62916">
        <w:t>, 2001). Therefore, Ingram (2008</w:t>
      </w:r>
      <w:r w:rsidR="00B82627">
        <w:t>) argues that pupils should always be sat near those they feel comfortable with, apparently at odds with the view presented earlier, that friendship groups should be dispersed in order to more effectively manage the behaviour of pupils. Ingram’s argument rests upon the view that when pupils are sat near those they feel comfortable with, they are more likely to ask questions and seek help from their peers. Similarly, Hattie (2012) argues that a teenager’s peers can have a positive impact on learning through helping and tutoring.</w:t>
      </w:r>
      <w:r w:rsidR="00500A76">
        <w:t xml:space="preserve"> Whilst classrooms are not a place for socialising (Rogers, 2005), they are a social place (Ingram, 2008), and it has been suggested that teachers could use this to the advantage of their pupils.</w:t>
      </w:r>
      <w:r w:rsidR="00B82627">
        <w:t xml:space="preserve"> Interestingly, it has been argued that it is only </w:t>
      </w:r>
      <w:r w:rsidR="00F45E31">
        <w:t>when referring to</w:t>
      </w:r>
      <w:r w:rsidR="00B82627">
        <w:t xml:space="preserve"> adolescents that friendship is seen as a hindrance to education (Ingram, 2008)</w:t>
      </w:r>
      <w:r w:rsidR="00F45E31">
        <w:t>; in other life stages friendship</w:t>
      </w:r>
      <w:r w:rsidR="00B82627">
        <w:t xml:space="preserve"> is a social resource (</w:t>
      </w:r>
      <w:proofErr w:type="spellStart"/>
      <w:r w:rsidR="00B82627">
        <w:t>Crosnoe</w:t>
      </w:r>
      <w:proofErr w:type="spellEnd"/>
      <w:r w:rsidR="00B82627">
        <w:t xml:space="preserve"> </w:t>
      </w:r>
      <w:r w:rsidR="00B82627" w:rsidRPr="00F45E31">
        <w:rPr>
          <w:i/>
        </w:rPr>
        <w:t>et al.,</w:t>
      </w:r>
      <w:r w:rsidR="00B82627">
        <w:t xml:space="preserve"> 2003), offering a useful source of “social capital”</w:t>
      </w:r>
      <w:r w:rsidR="00F45E31">
        <w:t xml:space="preserve"> that should</w:t>
      </w:r>
      <w:r w:rsidR="00B82627">
        <w:t xml:space="preserve"> be drawn upon (Ingram, 2008, p.</w:t>
      </w:r>
      <w:r w:rsidR="00F62916">
        <w:t xml:space="preserve">281). Therefore, this would seem to suggest that a seating plan should take into account a pupils social needs, alongside those of a more academic nature. </w:t>
      </w:r>
      <w:r w:rsidR="00F9154F">
        <w:t xml:space="preserve">Furthermore, when considering group work activities, which underlie much of the social aspect of a classroom, </w:t>
      </w:r>
      <w:r w:rsidR="00F9154F">
        <w:rPr>
          <w:rFonts w:cstheme="minorHAnsi"/>
        </w:rPr>
        <w:t>the groups within which pupils work should always be strategically considered with a teacher’s professional judgement (</w:t>
      </w:r>
      <w:proofErr w:type="spellStart"/>
      <w:r w:rsidR="00F9154F">
        <w:rPr>
          <w:rFonts w:cstheme="minorHAnsi"/>
        </w:rPr>
        <w:t>Kutnick</w:t>
      </w:r>
      <w:proofErr w:type="spellEnd"/>
      <w:r w:rsidR="00F9154F">
        <w:rPr>
          <w:rFonts w:cstheme="minorHAnsi"/>
        </w:rPr>
        <w:t xml:space="preserve"> </w:t>
      </w:r>
      <w:r w:rsidR="00F9154F" w:rsidRPr="00897172">
        <w:rPr>
          <w:rFonts w:cstheme="minorHAnsi"/>
          <w:i/>
        </w:rPr>
        <w:t>et al.,</w:t>
      </w:r>
      <w:r w:rsidR="00F9154F">
        <w:rPr>
          <w:rFonts w:cstheme="minorHAnsi"/>
        </w:rPr>
        <w:t xml:space="preserve"> 2002). When pupils </w:t>
      </w:r>
      <w:r w:rsidR="00F9154F">
        <w:rPr>
          <w:rFonts w:cstheme="minorHAnsi"/>
        </w:rPr>
        <w:lastRenderedPageBreak/>
        <w:t>are sat with friends, this may have advantages in terms of developing friendships and learning networks (Jindal-Snape, 2016), however, it has also been argued that grouping in this way would be unconducive to work in some classrooms, with the Department of Education even suggesting that friendship-based groupings can lead to an “anti-work culture” (</w:t>
      </w:r>
      <w:proofErr w:type="spellStart"/>
      <w:r w:rsidR="00F9154F">
        <w:rPr>
          <w:rFonts w:cstheme="minorHAnsi"/>
        </w:rPr>
        <w:t>DfE</w:t>
      </w:r>
      <w:proofErr w:type="spellEnd"/>
      <w:r w:rsidR="00F9154F">
        <w:rPr>
          <w:rFonts w:cstheme="minorHAnsi"/>
        </w:rPr>
        <w:t xml:space="preserve">, 2006, p. **). It is clear, then, that there is still much debate regarding the value of allowing pupils to sit near the friends in a classroom environment. </w:t>
      </w:r>
    </w:p>
    <w:p w:rsidR="00825CAD" w:rsidRDefault="00825CAD" w:rsidP="00825CAD">
      <w:pPr>
        <w:spacing w:line="480" w:lineRule="auto"/>
      </w:pPr>
      <w:r>
        <w:tab/>
        <w:t xml:space="preserve">From a logistics point of view, it has been discussed that implementing a seating plan can assist a teacher in learning </w:t>
      </w:r>
      <w:r w:rsidR="00A70D70">
        <w:t xml:space="preserve">and using individual </w:t>
      </w:r>
      <w:r>
        <w:t>pupils</w:t>
      </w:r>
      <w:r w:rsidR="00A70D70">
        <w:t>’</w:t>
      </w:r>
      <w:r>
        <w:t xml:space="preserve"> names</w:t>
      </w:r>
      <w:r w:rsidR="00A70D70">
        <w:t xml:space="preserve"> (Smith and </w:t>
      </w:r>
      <w:proofErr w:type="spellStart"/>
      <w:r w:rsidR="00A70D70">
        <w:t>Laslett</w:t>
      </w:r>
      <w:proofErr w:type="spellEnd"/>
      <w:r w:rsidR="00A70D70">
        <w:t>, 1993)</w:t>
      </w:r>
      <w:r>
        <w:t xml:space="preserve">, </w:t>
      </w:r>
      <w:r w:rsidR="00AF0F3C">
        <w:t>such as by seating pupils</w:t>
      </w:r>
      <w:r>
        <w:t xml:space="preserve"> in alphabetical order (Rogers, 2005), and</w:t>
      </w:r>
      <w:r w:rsidR="00AF0F3C">
        <w:t xml:space="preserve"> can quicken the process of </w:t>
      </w:r>
      <w:r>
        <w:t>get</w:t>
      </w:r>
      <w:r w:rsidR="00AF0F3C">
        <w:t>ting</w:t>
      </w:r>
      <w:r>
        <w:t xml:space="preserve"> to know pupils. In some senses, it has been suggested that, initially, seating plans should be implemented in a ‘non-provocative’ manner (Brighouse, 2001), as they can often seem punitive (Haydn, 2007). Further to this, it has been suggested that there should be an emphasis on why a seating plan is needed (Rogers, 2012), and that this should be discussed in a “special class</w:t>
      </w:r>
      <w:r w:rsidR="00A70D70">
        <w:t>room</w:t>
      </w:r>
      <w:r>
        <w:t xml:space="preserve"> meeting” (p.202) towards the beginning of the academic year.  However, this represents a tension between the classroom as a “democratic space” (Haydn, 2007, p. 87), in which decisions are discussed as a group and debated, and the classroom as a space where the teacher is the leader and is solely responsible for all actions. Hattie (2012) argues that it is important for students to believe that the climate of the classroom is “fair, empathetic and trustworthy” (p. 187), but this could represent different things for different pupils. Implementing a seating plan, it has been proposed, can be seen as the fairest method of all (Smith and </w:t>
      </w:r>
      <w:proofErr w:type="spellStart"/>
      <w:r>
        <w:t>Laslett</w:t>
      </w:r>
      <w:proofErr w:type="spellEnd"/>
      <w:r>
        <w:t>, 1993), as long as the teacher has applied it equally across all members of the class. Therefore, it is suggested that teachers should plan their seating arrangements carefully (Rogers, 2005), especially if they are doing so for a purely logistical purpose.</w:t>
      </w:r>
    </w:p>
    <w:p w:rsidR="001106C0" w:rsidRDefault="001106C0" w:rsidP="00825CAD">
      <w:pPr>
        <w:spacing w:line="480" w:lineRule="auto"/>
      </w:pPr>
      <w:r>
        <w:tab/>
        <w:t>As seen then, there is still much debate over the value of seating plans within a classroom, both as a logistical and learning tool. Therefore, the research question for this action-research project was “How effective are seating plans for atta</w:t>
      </w:r>
      <w:r w:rsidR="00A70D70">
        <w:t xml:space="preserve">inment and engagement?”, as it is suggested </w:t>
      </w:r>
      <w:r w:rsidR="00A70D70">
        <w:lastRenderedPageBreak/>
        <w:t xml:space="preserve">that there is a lack of consensus as to whether it is more beneficial for pupils to be sat with friends during lessons, or in a rigid seating plan arranged and implemented by the teacher. </w:t>
      </w:r>
      <w:r w:rsidR="00510E36">
        <w:t xml:space="preserve">Using this background research as a framework for the study allowed a greater context of understanding upon which to base the findings. </w:t>
      </w:r>
    </w:p>
    <w:p w:rsidR="001B7CE4" w:rsidRDefault="001B7CE4" w:rsidP="0035724A">
      <w:r>
        <w:br w:type="page"/>
      </w:r>
    </w:p>
    <w:p w:rsidR="001B7CE4" w:rsidRDefault="001B7CE4" w:rsidP="001B7CE4">
      <w:pPr>
        <w:pStyle w:val="Heading1"/>
      </w:pPr>
      <w:r>
        <w:lastRenderedPageBreak/>
        <w:t>School Policy and Practice</w:t>
      </w:r>
    </w:p>
    <w:p w:rsidR="001B7CE4" w:rsidRPr="00731914" w:rsidRDefault="001106C0" w:rsidP="00731914">
      <w:pPr>
        <w:spacing w:line="480" w:lineRule="auto"/>
      </w:pPr>
      <w:r>
        <w:t xml:space="preserve">School A’s policy towards classroom arrangements suggests that it is an expectation of the classroom teacher to put all classes into seating plans. The school’s achievement policy states, as such, that it is the classroom teachers’ responsibility </w:t>
      </w:r>
      <w:r w:rsidR="00B65C8F">
        <w:t>to place pupils in a seating plan that “maximises learning and minimises disruption” (</w:t>
      </w:r>
      <w:r w:rsidR="008965FB">
        <w:t xml:space="preserve">School </w:t>
      </w:r>
      <w:proofErr w:type="gramStart"/>
      <w:r w:rsidR="008965FB">
        <w:t>A</w:t>
      </w:r>
      <w:proofErr w:type="gramEnd"/>
      <w:r w:rsidR="008965FB">
        <w:t xml:space="preserve">, 2016). </w:t>
      </w:r>
      <w:r w:rsidR="00B65C8F">
        <w:t>However, in some senses,</w:t>
      </w:r>
      <w:r w:rsidR="00510E36">
        <w:t xml:space="preserve"> it could be argued that</w:t>
      </w:r>
      <w:r w:rsidR="00B65C8F">
        <w:t xml:space="preserve"> this is an ambigu</w:t>
      </w:r>
      <w:r w:rsidR="008965FB">
        <w:t xml:space="preserve">ous phrasing, as it </w:t>
      </w:r>
      <w:r w:rsidR="00510E36">
        <w:t>has been previously suggested</w:t>
      </w:r>
      <w:r w:rsidR="008965FB">
        <w:t xml:space="preserve"> that allowing pupils to sit within friendship groups can have academic benefits to pupils</w:t>
      </w:r>
      <w:r w:rsidR="00F9154F">
        <w:t xml:space="preserve">, as </w:t>
      </w:r>
      <w:r w:rsidR="00510E36">
        <w:t>proposed</w:t>
      </w:r>
      <w:r w:rsidR="00F9154F">
        <w:t xml:space="preserve"> by some authors (e.g. Ingram, 2008; Jindal-Snape, 2016)</w:t>
      </w:r>
      <w:r w:rsidR="008965FB">
        <w:t>.</w:t>
      </w:r>
      <w:r w:rsidR="00F9154F">
        <w:t xml:space="preserve"> Therefore, it is often </w:t>
      </w:r>
      <w:r w:rsidR="00510E36">
        <w:t xml:space="preserve">the case that the decision is </w:t>
      </w:r>
      <w:r w:rsidR="00F9154F">
        <w:t>left to individual departments to decide their own policy on the use of seating plans.</w:t>
      </w:r>
      <w:r w:rsidR="00F9154F" w:rsidRPr="00F9154F">
        <w:t xml:space="preserve"> </w:t>
      </w:r>
      <w:r w:rsidR="00F9154F">
        <w:t>As there is only one Geography teacher within School A, there was no departmental policy as such regarding this issue</w:t>
      </w:r>
      <w:r w:rsidR="00510E36">
        <w:t>, and seating plans were used intermittently in Geography lessons, often put in place as a temporary response to poor behaviour before reverting back to sitting with friends</w:t>
      </w:r>
      <w:r w:rsidR="00F9154F">
        <w:t xml:space="preserve">. Therefore, it was necessary to observe practice from outside the subject area, in order to gain a wider understanding of the school’s approach to seating plans. This coincided with pre-planned cross-department observations, which provided some useful context for the research study. Some teachers used seating plans throughout the key stages and used seating plans consistently with all classes, whereas others let all classes sit near friends. </w:t>
      </w:r>
      <w:r w:rsidR="008965FB">
        <w:t xml:space="preserve">  </w:t>
      </w:r>
      <w:r w:rsidR="00DB7C46">
        <w:t xml:space="preserve">As a result, </w:t>
      </w:r>
      <w:r w:rsidR="00F9154F">
        <w:t xml:space="preserve">it is clear that </w:t>
      </w:r>
      <w:r w:rsidR="00DB7C46">
        <w:t xml:space="preserve">there is a level of discretion in terms of the school policy towards seating plans. </w:t>
      </w:r>
      <w:r w:rsidR="00725D5C">
        <w:t xml:space="preserve">In practice, this means that there is </w:t>
      </w:r>
      <w:r w:rsidR="00F9154F">
        <w:t>a lack of consistency</w:t>
      </w:r>
      <w:r w:rsidR="00725D5C">
        <w:t xml:space="preserve"> between departments as to whether pupils are put into rigid seating plans across the school and that there is no blanket implementation of the policy. </w:t>
      </w:r>
      <w:r w:rsidR="00731914">
        <w:t xml:space="preserve"> </w:t>
      </w:r>
      <w:r w:rsidR="00F67D05">
        <w:t>This is potentially problematic, as it has been suggested that seating plans are more likely to work in a consistent environment, where schools have strong systems in place</w:t>
      </w:r>
      <w:r w:rsidR="006F49B3">
        <w:t xml:space="preserve"> and there is a culture of seating plans being used</w:t>
      </w:r>
      <w:r w:rsidR="00F67D05">
        <w:t xml:space="preserve"> (Haydn, 2007). Therefore, it </w:t>
      </w:r>
      <w:r w:rsidR="006F49B3">
        <w:t>is clear that</w:t>
      </w:r>
      <w:r w:rsidR="00F67D05">
        <w:t xml:space="preserve"> classes </w:t>
      </w:r>
      <w:r w:rsidR="006F49B3">
        <w:t xml:space="preserve">within the school would have had their </w:t>
      </w:r>
      <w:r w:rsidR="00F67D05">
        <w:t>own experience of seating plans,</w:t>
      </w:r>
      <w:r w:rsidR="006F49B3">
        <w:t xml:space="preserve"> as it </w:t>
      </w:r>
      <w:r w:rsidR="00F67D05">
        <w:t xml:space="preserve">is often left to chance as to whether an individual class is taught by teachers who opt for such classroom arrangements or not. </w:t>
      </w:r>
      <w:r w:rsidR="001B7CE4">
        <w:br w:type="page"/>
      </w:r>
    </w:p>
    <w:p w:rsidR="001B7CE4" w:rsidRDefault="001B7CE4" w:rsidP="001B7CE4">
      <w:pPr>
        <w:pStyle w:val="Heading1"/>
      </w:pPr>
      <w:r>
        <w:lastRenderedPageBreak/>
        <w:t>Methodology and Ethics</w:t>
      </w:r>
    </w:p>
    <w:p w:rsidR="00BF4F15" w:rsidRPr="00BF4F15" w:rsidRDefault="00BF4F15" w:rsidP="00BF4F15">
      <w:pPr>
        <w:spacing w:after="160" w:line="480" w:lineRule="auto"/>
        <w:rPr>
          <w:rFonts w:eastAsiaTheme="minorHAnsi"/>
        </w:rPr>
      </w:pPr>
      <w:r w:rsidRPr="00BF4F15">
        <w:rPr>
          <w:rFonts w:eastAsiaTheme="minorHAnsi"/>
        </w:rPr>
        <w:t xml:space="preserve">It has been suggested that undertaking research in the classroom is a practice which involves searching for information (Wilson, 2013), and that therefore, when undertaking action research, the researcher must decide upon an approach which is “most likely to provide evidence” (Wilson, 2013, p.82). The methodological approaches for investigating the research question were chosen to provide a broad view of the issue of the use of seating plans, using a variety of methods to produce informative data sources (Taber, 2007). As an action-research project, where the researcher is directly involved and participates in the process of initiating change (see </w:t>
      </w:r>
      <w:proofErr w:type="spellStart"/>
      <w:r w:rsidRPr="00BF4F15">
        <w:rPr>
          <w:rFonts w:eastAsiaTheme="minorHAnsi"/>
        </w:rPr>
        <w:t>Donohoe</w:t>
      </w:r>
      <w:proofErr w:type="spellEnd"/>
      <w:r w:rsidRPr="00BF4F15">
        <w:rPr>
          <w:rFonts w:eastAsiaTheme="minorHAnsi"/>
        </w:rPr>
        <w:t xml:space="preserve"> </w:t>
      </w:r>
      <w:r w:rsidRPr="00BF4F15">
        <w:rPr>
          <w:rFonts w:eastAsiaTheme="minorHAnsi"/>
          <w:i/>
        </w:rPr>
        <w:t>et al.,</w:t>
      </w:r>
      <w:r w:rsidRPr="00BF4F15">
        <w:rPr>
          <w:rFonts w:eastAsiaTheme="minorHAnsi"/>
        </w:rPr>
        <w:t xml:space="preserve"> 2012 </w:t>
      </w:r>
      <w:r w:rsidRPr="00BF4F15">
        <w:rPr>
          <w:rFonts w:eastAsiaTheme="minorHAnsi"/>
          <w:highlight w:val="yellow"/>
        </w:rPr>
        <w:t>(in Wilson, 2013)),</w:t>
      </w:r>
      <w:r w:rsidRPr="00BF4F15">
        <w:rPr>
          <w:rFonts w:eastAsiaTheme="minorHAnsi"/>
        </w:rPr>
        <w:t xml:space="preserve"> this was an important consideration when deciding upon the methodological tools in this case. Therefore, the chosen methodological tools will be explored, and the rationale for choosing such approaches will be outlined. </w:t>
      </w:r>
    </w:p>
    <w:p w:rsidR="00BF4F15" w:rsidRPr="00BF4F15" w:rsidRDefault="00BF4F15" w:rsidP="00BF4F15">
      <w:pPr>
        <w:spacing w:after="160" w:line="480" w:lineRule="auto"/>
        <w:rPr>
          <w:rFonts w:eastAsiaTheme="minorHAnsi"/>
        </w:rPr>
      </w:pPr>
      <w:r w:rsidRPr="00BF4F15">
        <w:rPr>
          <w:rFonts w:eastAsiaTheme="minorHAnsi"/>
        </w:rPr>
        <w:tab/>
        <w:t>The research revolved around the use of a strategic intervention to determine the value of using seating plans in a secondary school context. The strategic intervention in this case was</w:t>
      </w:r>
      <w:r w:rsidR="00771C59">
        <w:rPr>
          <w:rFonts w:eastAsiaTheme="minorHAnsi"/>
        </w:rPr>
        <w:t>, unsurprisingly,</w:t>
      </w:r>
      <w:r w:rsidRPr="00BF4F15">
        <w:rPr>
          <w:rFonts w:eastAsiaTheme="minorHAnsi"/>
        </w:rPr>
        <w:t xml:space="preserve"> putting pupils in one class into a seating plan, in a boy-girl paired set up,</w:t>
      </w:r>
      <w:r w:rsidR="00771C59">
        <w:rPr>
          <w:rFonts w:eastAsiaTheme="minorHAnsi"/>
        </w:rPr>
        <w:t xml:space="preserve"> whilst</w:t>
      </w:r>
      <w:r w:rsidR="00771C59">
        <w:rPr>
          <w:rFonts w:eastAsiaTheme="minorHAnsi"/>
        </w:rPr>
        <w:t xml:space="preserve"> letting a second class continue to sit with friends</w:t>
      </w:r>
      <w:r w:rsidR="00771C59">
        <w:rPr>
          <w:rFonts w:eastAsiaTheme="minorHAnsi"/>
        </w:rPr>
        <w:t>,</w:t>
      </w:r>
      <w:r w:rsidRPr="00BF4F15">
        <w:rPr>
          <w:rFonts w:eastAsiaTheme="minorHAnsi"/>
        </w:rPr>
        <w:t xml:space="preserve"> in order to study the effects on learners. As stated in the research question, the aim was to study the impact of seating plan on both engagement and achievement, and therefore, different methodological tools were utilised to examine these, and each of these will be discussed in turn. Initially, the main methodological tool for researching this question was the</w:t>
      </w:r>
      <w:r w:rsidR="00771C59">
        <w:rPr>
          <w:rFonts w:eastAsiaTheme="minorHAnsi"/>
        </w:rPr>
        <w:t xml:space="preserve"> proposed</w:t>
      </w:r>
      <w:r w:rsidRPr="00BF4F15">
        <w:rPr>
          <w:rFonts w:eastAsiaTheme="minorHAnsi"/>
        </w:rPr>
        <w:t xml:space="preserve"> use of a baseline testing and post-intervention test, using a teacher </w:t>
      </w:r>
      <w:r w:rsidR="00771C59">
        <w:rPr>
          <w:rFonts w:eastAsiaTheme="minorHAnsi"/>
        </w:rPr>
        <w:t>designed multiple choice test. The</w:t>
      </w:r>
      <w:r w:rsidRPr="00BF4F15">
        <w:rPr>
          <w:rFonts w:eastAsiaTheme="minorHAnsi"/>
        </w:rPr>
        <w:t xml:space="preserve"> class with no seating plan would take the same test, in order to compare results. However, as Wilson (2013) suggests, it is sometimes necessary to alter methodology during the research process, and this was the case in this instance. Further deliberation revealed that the use of multiple choice tests would be unlikely to provide useful or reliable information, as Taber (2007) suggests correct answers can just be guesses, and the results could be impacted by other variables if conducted during one session alone. Therefore, it would be </w:t>
      </w:r>
      <w:r w:rsidRPr="00BF4F15">
        <w:rPr>
          <w:rFonts w:eastAsiaTheme="minorHAnsi"/>
        </w:rPr>
        <w:lastRenderedPageBreak/>
        <w:t>difficult to draw any substantial conclusions from the use of multiple choice tests, and</w:t>
      </w:r>
      <w:r w:rsidR="00771C59">
        <w:rPr>
          <w:rFonts w:eastAsiaTheme="minorHAnsi"/>
        </w:rPr>
        <w:t xml:space="preserve"> so</w:t>
      </w:r>
      <w:r w:rsidRPr="00BF4F15">
        <w:rPr>
          <w:rFonts w:eastAsiaTheme="minorHAnsi"/>
        </w:rPr>
        <w:t xml:space="preserve"> this method was dismissed. </w:t>
      </w:r>
    </w:p>
    <w:p w:rsidR="00BF4F15" w:rsidRPr="00BF4F15" w:rsidRDefault="00BF4F15" w:rsidP="00BF4F15">
      <w:pPr>
        <w:spacing w:after="160" w:line="480" w:lineRule="auto"/>
        <w:rPr>
          <w:rFonts w:eastAsiaTheme="minorHAnsi"/>
        </w:rPr>
      </w:pPr>
      <w:r w:rsidRPr="00BF4F15">
        <w:rPr>
          <w:rFonts w:eastAsiaTheme="minorHAnsi"/>
        </w:rPr>
        <w:tab/>
        <w:t xml:space="preserve">As a result, the use of other learner-produced work was deemed appropriate, as it would extend over a longer period of time and would therefore show a clearer picture of pupils’ work both in a classroom and homework setting. Taber (2007) argues that such learner-produced work is regularly used by teachers to collect evidence of understanding by pupils, and this is, therefore, an appropriate method of data collection. </w:t>
      </w:r>
      <w:r w:rsidR="00524389">
        <w:rPr>
          <w:rFonts w:eastAsiaTheme="minorHAnsi"/>
        </w:rPr>
        <w:t xml:space="preserve">All pupils were taught the same sequence of lessons, which will be evaluated further on, before being set the assessment. </w:t>
      </w:r>
      <w:r w:rsidRPr="00BF4F15">
        <w:rPr>
          <w:rFonts w:eastAsiaTheme="minorHAnsi"/>
        </w:rPr>
        <w:t xml:space="preserve">This </w:t>
      </w:r>
      <w:r w:rsidR="00524389">
        <w:rPr>
          <w:rFonts w:eastAsiaTheme="minorHAnsi"/>
        </w:rPr>
        <w:t xml:space="preserve">resulted </w:t>
      </w:r>
      <w:r w:rsidRPr="00BF4F15">
        <w:rPr>
          <w:rFonts w:eastAsiaTheme="minorHAnsi"/>
        </w:rPr>
        <w:t>in the production of an independent research project which was level-assessed using the old national curriculum levels, as per school policy, in discussion with the class teacher.  Results of this assessment were then compared to predicted levels for each pupil in order to determine whether pupils sat in a seating plan did better than those who sat where they chose. This, therefore, represents a use of quantitative data, which can be given a numerical value (Newby, 2014), and externally verified if necessary. This is useful because it allows the researcher to draw objective relationships between two variables (</w:t>
      </w:r>
      <w:proofErr w:type="spellStart"/>
      <w:r w:rsidRPr="00BF4F15">
        <w:rPr>
          <w:rFonts w:eastAsiaTheme="minorHAnsi"/>
        </w:rPr>
        <w:t>Babbie</w:t>
      </w:r>
      <w:proofErr w:type="spellEnd"/>
      <w:r w:rsidRPr="00BF4F15">
        <w:rPr>
          <w:rFonts w:eastAsiaTheme="minorHAnsi"/>
        </w:rPr>
        <w:t xml:space="preserve">, 2010), as is the case in this study, whilst also allowing comparisons between groups of data where necessary (Singh, 2007). It is important to note, however, that learner-produced work is limited in its basis for drawing inferences, resulting in what Taber (2007) has described as “fuzzy data” (p. 147). Therefore, students work should be considered alongside other data, in order to draw useful conclusions. </w:t>
      </w:r>
    </w:p>
    <w:p w:rsidR="00BF4F15" w:rsidRPr="00BF4F15" w:rsidRDefault="00BF4F15" w:rsidP="00BF4F15">
      <w:pPr>
        <w:spacing w:after="160" w:line="480" w:lineRule="auto"/>
        <w:rPr>
          <w:rFonts w:eastAsiaTheme="minorHAnsi"/>
        </w:rPr>
      </w:pPr>
      <w:r w:rsidRPr="00BF4F15">
        <w:rPr>
          <w:rFonts w:eastAsiaTheme="minorHAnsi"/>
        </w:rPr>
        <w:tab/>
        <w:t xml:space="preserve">Newby (2014) suggests that in order to fain a wider understanding of a research issue, researchers should use a mix of quantitative and qualitative data. Furthermore, it is widely accepted that the use of more than one methodological tool is beneficial to the research process (e.g. Taber, 2007; Wilson, 2013; Newby, 2014) Therefore, the use of a teacher diary was also included in the research process.  Teacher diaries are a largely subjective tool (Taber, 2007) which can be used to record and examine critical incidents within the classroom. Such tools can be useful in assisting a </w:t>
      </w:r>
      <w:r w:rsidRPr="00BF4F15">
        <w:rPr>
          <w:rFonts w:eastAsiaTheme="minorHAnsi"/>
        </w:rPr>
        <w:lastRenderedPageBreak/>
        <w:t>teacher’s self-reflection, and for providing a teacher-research position to help systemise and organise one’s own professional development (Whitehead, 2000</w:t>
      </w:r>
      <w:r w:rsidR="00524389">
        <w:rPr>
          <w:rFonts w:eastAsiaTheme="minorHAnsi"/>
        </w:rPr>
        <w:t xml:space="preserve"> </w:t>
      </w:r>
      <w:r w:rsidRPr="00BF4F15">
        <w:rPr>
          <w:rFonts w:eastAsiaTheme="minorHAnsi"/>
          <w:highlight w:val="yellow"/>
        </w:rPr>
        <w:t>in Taber, 2007</w:t>
      </w:r>
      <w:r w:rsidRPr="00BF4F15">
        <w:rPr>
          <w:rFonts w:eastAsiaTheme="minorHAnsi"/>
        </w:rPr>
        <w:t>). Elliott (1991) notes that a teaching diary can contain “observations, feelings, reactions, interpretations, reflections, hunches, hypotheses, explanations” (i</w:t>
      </w:r>
      <w:r w:rsidR="00771C59">
        <w:rPr>
          <w:rFonts w:eastAsiaTheme="minorHAnsi"/>
        </w:rPr>
        <w:t>n McDonough, 1994, p.58) and is</w:t>
      </w:r>
      <w:r w:rsidRPr="00BF4F15">
        <w:rPr>
          <w:rFonts w:eastAsiaTheme="minorHAnsi"/>
        </w:rPr>
        <w:t xml:space="preserve">, therefore, a useful qualitative tool available when undertaking classroom-based action research. Resultantly, teaching diaries were kept alongside the intervention, </w:t>
      </w:r>
      <w:r w:rsidR="000349AF">
        <w:rPr>
          <w:rFonts w:eastAsiaTheme="minorHAnsi"/>
        </w:rPr>
        <w:t>from 26</w:t>
      </w:r>
      <w:r w:rsidR="000349AF" w:rsidRPr="000349AF">
        <w:rPr>
          <w:rFonts w:eastAsiaTheme="minorHAnsi"/>
          <w:vertAlign w:val="superscript"/>
        </w:rPr>
        <w:t>th</w:t>
      </w:r>
      <w:r w:rsidR="000349AF">
        <w:rPr>
          <w:rFonts w:eastAsiaTheme="minorHAnsi"/>
        </w:rPr>
        <w:t xml:space="preserve"> February 2018 until 28</w:t>
      </w:r>
      <w:r w:rsidR="000349AF" w:rsidRPr="000349AF">
        <w:rPr>
          <w:rFonts w:eastAsiaTheme="minorHAnsi"/>
          <w:vertAlign w:val="superscript"/>
        </w:rPr>
        <w:t>th</w:t>
      </w:r>
      <w:r w:rsidR="000349AF">
        <w:rPr>
          <w:rFonts w:eastAsiaTheme="minorHAnsi"/>
        </w:rPr>
        <w:t xml:space="preserve"> March 2018 </w:t>
      </w:r>
      <w:r w:rsidRPr="00BF4F15">
        <w:rPr>
          <w:rFonts w:eastAsiaTheme="minorHAnsi"/>
        </w:rPr>
        <w:t>in order to record observations and notes about the classroom atmosphere and experience. A limitation of this approach is that it is based purely on personal reflections, and thus provides limited rigorous evidence for the profession as a whole, and is subject to bias as the researcher co</w:t>
      </w:r>
      <w:r w:rsidR="000349AF">
        <w:rPr>
          <w:rFonts w:eastAsiaTheme="minorHAnsi"/>
        </w:rPr>
        <w:t>mpletes the diary (Taber, 2007)</w:t>
      </w:r>
      <w:r w:rsidRPr="00BF4F15">
        <w:rPr>
          <w:rFonts w:eastAsiaTheme="minorHAnsi"/>
        </w:rPr>
        <w:t xml:space="preserve">. </w:t>
      </w:r>
      <w:r w:rsidR="00F35D1E">
        <w:rPr>
          <w:rFonts w:eastAsiaTheme="minorHAnsi"/>
        </w:rPr>
        <w:t>The teaching dia</w:t>
      </w:r>
      <w:r w:rsidR="00CA4180">
        <w:rPr>
          <w:rFonts w:eastAsiaTheme="minorHAnsi"/>
        </w:rPr>
        <w:t xml:space="preserve">ry was thematically coded </w:t>
      </w:r>
      <w:r w:rsidR="00F35D1E" w:rsidRPr="00CA4180">
        <w:t>through multiple readings of the diary, firstly identifying broad themes before carrying out a more detailed annotation</w:t>
      </w:r>
      <w:r w:rsidR="008F6D32">
        <w:t>.</w:t>
      </w:r>
      <w:r w:rsidR="00F87A12">
        <w:t xml:space="preserve"> </w:t>
      </w:r>
      <w:r w:rsidRPr="00BF4F15">
        <w:rPr>
          <w:rFonts w:eastAsiaTheme="minorHAnsi"/>
        </w:rPr>
        <w:t xml:space="preserve">The use of these two methodological approaches produced various results which will be discussed in following chapters. </w:t>
      </w:r>
    </w:p>
    <w:p w:rsidR="00F87A12" w:rsidRDefault="00BF4F15" w:rsidP="00CA4180">
      <w:pPr>
        <w:spacing w:after="160" w:line="480" w:lineRule="auto"/>
        <w:rPr>
          <w:rFonts w:eastAsiaTheme="minorHAnsi"/>
        </w:rPr>
      </w:pPr>
      <w:r w:rsidRPr="00BF4F15">
        <w:rPr>
          <w:rFonts w:eastAsiaTheme="minorHAnsi"/>
        </w:rPr>
        <w:tab/>
        <w:t>A final consideration when undertaking educational research is that of ethics. Important factors had to be taken into account when completing the research (</w:t>
      </w:r>
      <w:proofErr w:type="spellStart"/>
      <w:r w:rsidRPr="00BF4F15">
        <w:rPr>
          <w:rFonts w:eastAsiaTheme="minorHAnsi"/>
        </w:rPr>
        <w:t>Stutchbury</w:t>
      </w:r>
      <w:proofErr w:type="spellEnd"/>
      <w:r w:rsidRPr="00BF4F15">
        <w:rPr>
          <w:rFonts w:eastAsiaTheme="minorHAnsi"/>
        </w:rPr>
        <w:t>, 2013). All pupils involved in the study were subject to informed consent (</w:t>
      </w:r>
      <w:proofErr w:type="spellStart"/>
      <w:r w:rsidRPr="00BF4F15">
        <w:rPr>
          <w:rFonts w:eastAsiaTheme="minorHAnsi"/>
        </w:rPr>
        <w:t>Stutchbury</w:t>
      </w:r>
      <w:proofErr w:type="spellEnd"/>
      <w:r w:rsidRPr="00BF4F15">
        <w:rPr>
          <w:rFonts w:eastAsiaTheme="minorHAnsi"/>
        </w:rPr>
        <w:t>, 2013), which meant they were informed of the research and given the opportunity to withdraw their data from the study. No pupils took this decision, and therefore the data from all pupils involved in the study is included in the analysis. Pupils were informed that the results of the research would have no impact on their academic standing and they would not face any consequences for negative outcomes</w:t>
      </w:r>
      <w:r w:rsidR="008C6F38">
        <w:rPr>
          <w:rFonts w:eastAsiaTheme="minorHAnsi"/>
        </w:rPr>
        <w:t>, and all</w:t>
      </w:r>
      <w:r w:rsidR="00F87A12">
        <w:rPr>
          <w:rFonts w:eastAsiaTheme="minorHAnsi"/>
        </w:rPr>
        <w:t xml:space="preserve"> names have been anonymised</w:t>
      </w:r>
      <w:r w:rsidR="008C6F38">
        <w:rPr>
          <w:rFonts w:eastAsiaTheme="minorHAnsi"/>
        </w:rPr>
        <w:t xml:space="preserve"> to ensure pupils cannot be traced</w:t>
      </w:r>
      <w:r w:rsidRPr="00BF4F15">
        <w:rPr>
          <w:rFonts w:eastAsiaTheme="minorHAnsi"/>
        </w:rPr>
        <w:t>.</w:t>
      </w:r>
      <w:r w:rsidR="00F87A12">
        <w:rPr>
          <w:rFonts w:eastAsiaTheme="minorHAnsi"/>
        </w:rPr>
        <w:t xml:space="preserve"> Anonymity was ensured by allocating each pupil with a random letter of the alphabet, the list of which was only available to the researcher.</w:t>
      </w:r>
      <w:r w:rsidRPr="00BF4F15">
        <w:rPr>
          <w:rFonts w:eastAsiaTheme="minorHAnsi"/>
        </w:rPr>
        <w:t xml:space="preserve"> Further ethical considerations included the potential detriment to pupils’ education. This was managed by ensuring all pupils across the year group were taught the same content and undertook the same independent research project regardless of whether they were involved in the study. Furthermore, the subject content and assessment were planned in collaboration with an </w:t>
      </w:r>
      <w:r w:rsidRPr="00BF4F15">
        <w:rPr>
          <w:rFonts w:eastAsiaTheme="minorHAnsi"/>
        </w:rPr>
        <w:lastRenderedPageBreak/>
        <w:t xml:space="preserve">experienced classroom teacher, to ensure a high quality level. The final consideration was on pupil wellbeing. Pupils were not required to give up any break or lunch time periods to complete the tasks for the research, the only extra-curricular involvement was the allocation of homework. This was not deemed to be an ethical issue as the school policy requires that homework is set. </w:t>
      </w:r>
    </w:p>
    <w:p w:rsidR="001B7CE4" w:rsidRPr="00CA4180" w:rsidRDefault="00F87A12" w:rsidP="00F87A12">
      <w:pPr>
        <w:rPr>
          <w:rFonts w:eastAsiaTheme="minorHAnsi"/>
        </w:rPr>
      </w:pPr>
      <w:r>
        <w:rPr>
          <w:rFonts w:eastAsiaTheme="minorHAnsi"/>
        </w:rPr>
        <w:br w:type="page"/>
      </w:r>
    </w:p>
    <w:p w:rsidR="001B7CE4" w:rsidRDefault="001B7CE4" w:rsidP="001B7CE4">
      <w:pPr>
        <w:pStyle w:val="Heading1"/>
      </w:pPr>
      <w:r>
        <w:lastRenderedPageBreak/>
        <w:t>Evaluation</w:t>
      </w:r>
    </w:p>
    <w:p w:rsidR="000349AF" w:rsidRDefault="007E7206" w:rsidP="00A82866">
      <w:pPr>
        <w:spacing w:line="480" w:lineRule="auto"/>
      </w:pPr>
      <w:r>
        <w:t>Pupils in Class SP</w:t>
      </w:r>
      <w:r w:rsidR="00F35D1E">
        <w:t xml:space="preserve"> were, therefore, put into a seating plan for the sequence of lessons under which the research took place. This seating plan was designed in a boy-girl paired set up, in collaboration with the class teacher. </w:t>
      </w:r>
      <w:r w:rsidR="00A82866">
        <w:t xml:space="preserve">Paired seating was preferable with an otherwise noisy class (Rogers, 2012). </w:t>
      </w:r>
      <w:r w:rsidR="00F35D1E">
        <w:t>This was done deliberately, to split up friendship groups and to seat pupils next to those who they would not normally partner with</w:t>
      </w:r>
      <w:r w:rsidR="00A82866">
        <w:t>, as Rogers (2007) suggests pupils need to learn to sit with others</w:t>
      </w:r>
      <w:r w:rsidR="00F35D1E">
        <w:t xml:space="preserve">. </w:t>
      </w:r>
      <w:r w:rsidR="00A82866">
        <w:t>There</w:t>
      </w:r>
      <w:r w:rsidR="00F35D1E">
        <w:t xml:space="preserve"> was little issue or complaint over </w:t>
      </w:r>
      <w:r w:rsidR="00A82866">
        <w:t>this seating arrangement</w:t>
      </w:r>
      <w:r w:rsidR="00F35D1E">
        <w:t xml:space="preserve">. </w:t>
      </w:r>
      <w:r w:rsidR="000349AF">
        <w:t>This was reflected in the teaching diary which s</w:t>
      </w:r>
      <w:r w:rsidR="00A82866">
        <w:t>tated</w:t>
      </w:r>
    </w:p>
    <w:p w:rsidR="001B7CE4" w:rsidRDefault="000349AF" w:rsidP="00A82866">
      <w:pPr>
        <w:spacing w:line="480" w:lineRule="auto"/>
        <w:ind w:left="720"/>
        <w:rPr>
          <w:i/>
        </w:rPr>
      </w:pPr>
      <w:r w:rsidRPr="00A82866">
        <w:rPr>
          <w:i/>
        </w:rPr>
        <w:t>“</w:t>
      </w:r>
      <w:proofErr w:type="gramStart"/>
      <w:r w:rsidRPr="00A82866">
        <w:rPr>
          <w:i/>
        </w:rPr>
        <w:t>they</w:t>
      </w:r>
      <w:proofErr w:type="gramEnd"/>
      <w:r w:rsidRPr="00A82866">
        <w:rPr>
          <w:i/>
        </w:rPr>
        <w:t xml:space="preserve"> [pupils] sat where they were told and nobody </w:t>
      </w:r>
      <w:r w:rsidR="00A82866" w:rsidRPr="00A82866">
        <w:rPr>
          <w:i/>
        </w:rPr>
        <w:t>protested</w:t>
      </w:r>
      <w:r w:rsidR="00A82866">
        <w:rPr>
          <w:i/>
        </w:rPr>
        <w:t>… They just got on with it</w:t>
      </w:r>
      <w:r w:rsidRPr="00A82866">
        <w:rPr>
          <w:i/>
        </w:rPr>
        <w:t>” (</w:t>
      </w:r>
      <w:r w:rsidR="00A82866">
        <w:rPr>
          <w:i/>
        </w:rPr>
        <w:t>D</w:t>
      </w:r>
      <w:r w:rsidR="00A82866" w:rsidRPr="00A82866">
        <w:rPr>
          <w:i/>
        </w:rPr>
        <w:t xml:space="preserve">iary </w:t>
      </w:r>
      <w:r w:rsidR="00A82866">
        <w:rPr>
          <w:i/>
        </w:rPr>
        <w:t>E</w:t>
      </w:r>
      <w:r w:rsidR="00A82866" w:rsidRPr="00A82866">
        <w:rPr>
          <w:i/>
        </w:rPr>
        <w:t xml:space="preserve">ntry 26/02/18) </w:t>
      </w:r>
    </w:p>
    <w:p w:rsidR="00A82866" w:rsidRDefault="00A82866" w:rsidP="00F35D1E">
      <w:pPr>
        <w:spacing w:line="480" w:lineRule="auto"/>
      </w:pPr>
      <w:r>
        <w:t>It is suggested that, as seating plans are</w:t>
      </w:r>
      <w:r w:rsidR="00F87A12">
        <w:t xml:space="preserve"> a suggested</w:t>
      </w:r>
      <w:r>
        <w:t xml:space="preserve"> part of School A’s beh</w:t>
      </w:r>
      <w:r w:rsidR="007E7206">
        <w:t>aviour policy</w:t>
      </w:r>
      <w:r w:rsidR="00F67D05">
        <w:t xml:space="preserve"> and were observed being used in practice</w:t>
      </w:r>
      <w:r w:rsidR="007E7206">
        <w:t>, pupils in Class SP</w:t>
      </w:r>
      <w:r>
        <w:t xml:space="preserve"> were used to being seated in such an arrangement, and therefore, </w:t>
      </w:r>
      <w:r w:rsidR="00CD3380">
        <w:t>t</w:t>
      </w:r>
      <w:r>
        <w:t>his clearly corresponds to Haydn (2007)’s assertion that moving pupils works in a school with strong behaviour management systems, where expectations</w:t>
      </w:r>
      <w:r w:rsidR="00F67D05">
        <w:t xml:space="preserve"> are set on a whole-school basis, despite the fact that not every teacher opts to use such arrangements</w:t>
      </w:r>
      <w:r>
        <w:t>. Pupils understood that the responsibility for determining seating arrangement inside the classroom rested with the teacher, and therefore, there were few issues. Going forward, pupils were reminded at the beginning of every lesson that they should sit in the arranged seating plan, and did so</w:t>
      </w:r>
      <w:r w:rsidR="00CD3380">
        <w:t xml:space="preserve"> accordingly</w:t>
      </w:r>
      <w:r>
        <w:t xml:space="preserve">. </w:t>
      </w:r>
    </w:p>
    <w:p w:rsidR="00061341" w:rsidRDefault="00061341" w:rsidP="00F35D1E">
      <w:pPr>
        <w:spacing w:line="480" w:lineRule="auto"/>
      </w:pPr>
      <w:r>
        <w:tab/>
        <w:t xml:space="preserve">At this point in the action-research study, pupils were taught the same sequence of lessons as other classes who were not sat in a seating plan, in order to examine the value of such an arrangement.  This sequence of lessons involved a range of activities, tasks, and pedagogical approaches, in order to offer a broad study of the impact of seating plans on </w:t>
      </w:r>
      <w:proofErr w:type="spellStart"/>
      <w:r w:rsidR="00F87A12">
        <w:t>attainment</w:t>
      </w:r>
      <w:r>
        <w:t>and</w:t>
      </w:r>
      <w:proofErr w:type="spellEnd"/>
      <w:r>
        <w:t xml:space="preserve"> engagement. </w:t>
      </w:r>
      <w:r w:rsidR="00B6033B">
        <w:t>This i</w:t>
      </w:r>
      <w:r w:rsidR="0035724A">
        <w:t>ncluded the use of paired work</w:t>
      </w:r>
      <w:r w:rsidR="00B6033B">
        <w:t>, gamification and independent</w:t>
      </w:r>
      <w:r w:rsidR="004C77B1">
        <w:t xml:space="preserve"> </w:t>
      </w:r>
      <w:r w:rsidR="00B6033B">
        <w:t>research</w:t>
      </w:r>
      <w:r w:rsidR="004C77B1">
        <w:t xml:space="preserve"> in class and at home</w:t>
      </w:r>
      <w:r w:rsidR="00B6033B">
        <w:t xml:space="preserve">. The impact of each of these pedagogical approaches will now be discussed and evaluated in turn. </w:t>
      </w:r>
    </w:p>
    <w:p w:rsidR="00D83A24" w:rsidRDefault="00D83A24" w:rsidP="00F42F5B">
      <w:pPr>
        <w:spacing w:line="480" w:lineRule="auto"/>
        <w:rPr>
          <w:rFonts w:cstheme="minorHAnsi"/>
        </w:rPr>
      </w:pPr>
      <w:r>
        <w:lastRenderedPageBreak/>
        <w:tab/>
        <w:t xml:space="preserve">In some lessons, pupils were encouraged to work in pairs with the person they </w:t>
      </w:r>
      <w:r w:rsidR="00F42F5B">
        <w:t>were sitting next to. In Class SP</w:t>
      </w:r>
      <w:r>
        <w:t xml:space="preserve">, this meant working with somebody chosen by the teacher due to the </w:t>
      </w:r>
      <w:r w:rsidR="00F42F5B">
        <w:t>seating plan, whereas in Class NSP</w:t>
      </w:r>
      <w:r>
        <w:t>, this often meant sitting next to a friend.</w:t>
      </w:r>
      <w:r w:rsidR="00F42F5B">
        <w:t xml:space="preserve"> The use of paired work as a pedagogical strategy stemmed from the work of Vygotsky who formulated </w:t>
      </w:r>
      <w:r w:rsidR="00F42F5B" w:rsidRPr="00FD2DE5">
        <w:rPr>
          <w:rFonts w:cstheme="minorHAnsi"/>
        </w:rPr>
        <w:t>the idea</w:t>
      </w:r>
      <w:r w:rsidR="00F42F5B">
        <w:rPr>
          <w:rFonts w:cstheme="minorHAnsi"/>
        </w:rPr>
        <w:t xml:space="preserve"> of a Zone of Proximal Development [ZPD] (Vygotsky, 1934; 1987), arguing that children’s understanding of a topic often relies upon their interaction with a more knowledgeable other. The use of pairs as opposed to groups corresponds to recommendations by the Department for Education [</w:t>
      </w:r>
      <w:proofErr w:type="spellStart"/>
      <w:r w:rsidR="00F42F5B">
        <w:rPr>
          <w:rFonts w:cstheme="minorHAnsi"/>
        </w:rPr>
        <w:t>DfE</w:t>
      </w:r>
      <w:proofErr w:type="spellEnd"/>
      <w:r w:rsidR="00F42F5B">
        <w:rPr>
          <w:rFonts w:cstheme="minorHAnsi"/>
        </w:rPr>
        <w:t>] (2006), as it has been suggested that paired discussions are more active for all pupils when there is fewer participants (</w:t>
      </w:r>
      <w:proofErr w:type="spellStart"/>
      <w:r w:rsidR="00F42F5B">
        <w:rPr>
          <w:rFonts w:cstheme="minorHAnsi"/>
        </w:rPr>
        <w:t>Kagan</w:t>
      </w:r>
      <w:proofErr w:type="spellEnd"/>
      <w:r w:rsidR="00F42F5B">
        <w:rPr>
          <w:rFonts w:cstheme="minorHAnsi"/>
        </w:rPr>
        <w:t xml:space="preserve">, 1994), as it prevents a dominating leader from emerging. Whilst </w:t>
      </w:r>
      <w:r w:rsidR="00F42F5B">
        <w:t xml:space="preserve">pair work does generally result in </w:t>
      </w:r>
      <w:r w:rsidR="00F42F5B">
        <w:rPr>
          <w:rFonts w:cstheme="minorHAnsi"/>
        </w:rPr>
        <w:t xml:space="preserve">less opportunity to learn from different </w:t>
      </w:r>
      <w:r w:rsidR="00F42F5B" w:rsidRPr="00B66C08">
        <w:rPr>
          <w:rFonts w:cstheme="minorHAnsi"/>
        </w:rPr>
        <w:t>viewpoints</w:t>
      </w:r>
      <w:r w:rsidR="00A65E2F">
        <w:rPr>
          <w:rFonts w:cstheme="minorHAnsi"/>
        </w:rPr>
        <w:t xml:space="preserve"> and less challenge to conventional perspectives </w:t>
      </w:r>
      <w:r w:rsidR="00F42F5B">
        <w:rPr>
          <w:rFonts w:cstheme="minorHAnsi"/>
        </w:rPr>
        <w:t>than larger groups (</w:t>
      </w:r>
      <w:proofErr w:type="spellStart"/>
      <w:r w:rsidR="00F42F5B">
        <w:rPr>
          <w:rFonts w:cstheme="minorHAnsi"/>
        </w:rPr>
        <w:t>DfE</w:t>
      </w:r>
      <w:proofErr w:type="spellEnd"/>
      <w:r w:rsidR="00F42F5B">
        <w:rPr>
          <w:rFonts w:cstheme="minorHAnsi"/>
        </w:rPr>
        <w:t>, 2006), this strategy worked well for the topic of volcanoes, as it was not designed to lead to a controversial debate. The comparison between Class SP and Class NSP was marked during these lessons, and produced some interesting results. When teaching Class SP, the teaching diary notes</w:t>
      </w:r>
    </w:p>
    <w:p w:rsidR="00F42F5B" w:rsidRPr="008C6F38" w:rsidRDefault="00F42F5B" w:rsidP="00F42F5B">
      <w:pPr>
        <w:spacing w:line="480" w:lineRule="auto"/>
        <w:ind w:left="720"/>
        <w:rPr>
          <w:rFonts w:cstheme="minorHAnsi"/>
          <w:i/>
        </w:rPr>
      </w:pPr>
      <w:r w:rsidRPr="008C6F38">
        <w:rPr>
          <w:rFonts w:cstheme="minorHAnsi"/>
          <w:i/>
        </w:rPr>
        <w:t>“Some discussions worked really well,</w:t>
      </w:r>
      <w:r w:rsidR="00A65E2F">
        <w:rPr>
          <w:rFonts w:cstheme="minorHAnsi"/>
          <w:i/>
        </w:rPr>
        <w:t xml:space="preserve"> the pupils helped each other… Only issue was</w:t>
      </w:r>
      <w:r w:rsidRPr="008C6F38">
        <w:rPr>
          <w:rFonts w:cstheme="minorHAnsi"/>
          <w:i/>
        </w:rPr>
        <w:t xml:space="preserve"> with J and C who refused to talk”</w:t>
      </w:r>
      <w:r w:rsidR="008C6F38" w:rsidRPr="008C6F38">
        <w:rPr>
          <w:rFonts w:cstheme="minorHAnsi"/>
          <w:i/>
        </w:rPr>
        <w:t xml:space="preserve"> (Diary Entry, 05</w:t>
      </w:r>
      <w:r w:rsidRPr="008C6F38">
        <w:rPr>
          <w:rFonts w:cstheme="minorHAnsi"/>
          <w:i/>
        </w:rPr>
        <w:t>/03/18)</w:t>
      </w:r>
    </w:p>
    <w:p w:rsidR="00F42F5B" w:rsidRDefault="00F42F5B" w:rsidP="00F42F5B">
      <w:pPr>
        <w:spacing w:line="480" w:lineRule="auto"/>
        <w:ind w:left="720"/>
        <w:rPr>
          <w:rFonts w:cstheme="minorHAnsi"/>
          <w:i/>
        </w:rPr>
      </w:pPr>
      <w:r w:rsidRPr="008C6F38">
        <w:rPr>
          <w:rFonts w:cstheme="minorHAnsi"/>
          <w:i/>
        </w:rPr>
        <w:t>“</w:t>
      </w:r>
      <w:r w:rsidR="008C6F38" w:rsidRPr="008C6F38">
        <w:rPr>
          <w:rFonts w:cstheme="minorHAnsi"/>
          <w:i/>
        </w:rPr>
        <w:t>Noticed some awkwardness</w:t>
      </w:r>
      <w:r w:rsidR="00A65E2F">
        <w:rPr>
          <w:rFonts w:cstheme="minorHAnsi"/>
          <w:i/>
        </w:rPr>
        <w:t xml:space="preserve"> at first</w:t>
      </w:r>
      <w:r w:rsidR="008C6F38" w:rsidRPr="008C6F38">
        <w:rPr>
          <w:rFonts w:cstheme="minorHAnsi"/>
          <w:i/>
        </w:rPr>
        <w:t xml:space="preserve"> between D and A, they didn’t seem to want to talk to each other</w:t>
      </w:r>
      <w:r w:rsidR="00A65E2F">
        <w:rPr>
          <w:rFonts w:cstheme="minorHAnsi"/>
          <w:i/>
        </w:rPr>
        <w:t xml:space="preserve">, but they soon got used to it and found the correct answer </w:t>
      </w:r>
      <w:r w:rsidR="008C6F38" w:rsidRPr="008C6F38">
        <w:rPr>
          <w:rFonts w:cstheme="minorHAnsi"/>
          <w:i/>
        </w:rPr>
        <w:t>” (Diary Entry, 08/03/18)</w:t>
      </w:r>
    </w:p>
    <w:p w:rsidR="008C6F38" w:rsidRDefault="00A65E2F" w:rsidP="00F42F5B">
      <w:pPr>
        <w:spacing w:line="480" w:lineRule="auto"/>
        <w:ind w:left="720"/>
        <w:rPr>
          <w:rFonts w:cstheme="minorHAnsi"/>
          <w:i/>
        </w:rPr>
      </w:pPr>
      <w:r>
        <w:rPr>
          <w:rFonts w:cstheme="minorHAnsi"/>
          <w:i/>
        </w:rPr>
        <w:t>“I and L</w:t>
      </w:r>
      <w:r w:rsidR="008C6F38">
        <w:rPr>
          <w:rFonts w:cstheme="minorHAnsi"/>
          <w:i/>
        </w:rPr>
        <w:t xml:space="preserve"> really helped each other to get on with the work... The whole class had completed the task in under 10 minutes” (14/03/18)</w:t>
      </w:r>
    </w:p>
    <w:p w:rsidR="008C6F38" w:rsidRDefault="008C6F38" w:rsidP="00F42F5B">
      <w:pPr>
        <w:spacing w:line="480" w:lineRule="auto"/>
        <w:ind w:left="720"/>
        <w:rPr>
          <w:rFonts w:cstheme="minorHAnsi"/>
          <w:i/>
        </w:rPr>
      </w:pPr>
    </w:p>
    <w:p w:rsidR="008F6D32" w:rsidRDefault="008F6D32" w:rsidP="00F42F5B">
      <w:pPr>
        <w:spacing w:line="480" w:lineRule="auto"/>
        <w:ind w:left="720"/>
        <w:rPr>
          <w:rFonts w:cstheme="minorHAnsi"/>
          <w:i/>
        </w:rPr>
      </w:pPr>
    </w:p>
    <w:p w:rsidR="008F6D32" w:rsidRDefault="008F6D32" w:rsidP="00F42F5B">
      <w:pPr>
        <w:spacing w:line="480" w:lineRule="auto"/>
        <w:ind w:left="720"/>
        <w:rPr>
          <w:rFonts w:cstheme="minorHAnsi"/>
          <w:i/>
        </w:rPr>
      </w:pPr>
    </w:p>
    <w:p w:rsidR="008C6F38" w:rsidRDefault="008C6F38" w:rsidP="008C6F38">
      <w:pPr>
        <w:spacing w:line="480" w:lineRule="auto"/>
        <w:rPr>
          <w:rFonts w:cstheme="minorHAnsi"/>
        </w:rPr>
      </w:pPr>
      <w:r>
        <w:rPr>
          <w:rFonts w:cstheme="minorHAnsi"/>
        </w:rPr>
        <w:lastRenderedPageBreak/>
        <w:t xml:space="preserve">When teaching the Class NSP, the teaching diary states </w:t>
      </w:r>
    </w:p>
    <w:p w:rsidR="008C6F38" w:rsidRDefault="008C6F38" w:rsidP="008C6F38">
      <w:pPr>
        <w:spacing w:line="480" w:lineRule="auto"/>
        <w:ind w:left="720"/>
        <w:rPr>
          <w:rFonts w:cstheme="minorHAnsi"/>
          <w:i/>
        </w:rPr>
      </w:pPr>
      <w:r w:rsidRPr="008C6F38">
        <w:rPr>
          <w:rFonts w:cstheme="minorHAnsi"/>
          <w:i/>
        </w:rPr>
        <w:t>“R and E worked through the task really quickly, they were well ahead of everybody else</w:t>
      </w:r>
      <w:r>
        <w:rPr>
          <w:rFonts w:cstheme="minorHAnsi"/>
          <w:i/>
        </w:rPr>
        <w:t>… Eve</w:t>
      </w:r>
      <w:r w:rsidR="00A65E2F">
        <w:rPr>
          <w:rFonts w:cstheme="minorHAnsi"/>
          <w:i/>
        </w:rPr>
        <w:t>ry time I walked over to D and P</w:t>
      </w:r>
      <w:r>
        <w:rPr>
          <w:rFonts w:cstheme="minorHAnsi"/>
          <w:i/>
        </w:rPr>
        <w:t xml:space="preserve">, they were talking about something else, the football, the weather, but never the work!” </w:t>
      </w:r>
      <w:r w:rsidRPr="008C6F38">
        <w:rPr>
          <w:rFonts w:cstheme="minorHAnsi"/>
          <w:i/>
        </w:rPr>
        <w:t xml:space="preserve">(Diary Entry, 06/03/18) </w:t>
      </w:r>
    </w:p>
    <w:p w:rsidR="00723350" w:rsidRPr="008C6F38" w:rsidRDefault="00723350" w:rsidP="008C6F38">
      <w:pPr>
        <w:spacing w:line="480" w:lineRule="auto"/>
        <w:ind w:left="720"/>
        <w:rPr>
          <w:i/>
        </w:rPr>
      </w:pPr>
      <w:r>
        <w:rPr>
          <w:rFonts w:cstheme="minorHAnsi"/>
          <w:i/>
        </w:rPr>
        <w:t xml:space="preserve">“Had to work hard to get L involved, didn’t seem to enjoy working with classmates” (Diary Entry, 20/03/18) </w:t>
      </w:r>
    </w:p>
    <w:p w:rsidR="00B6033B" w:rsidRDefault="008C6F38" w:rsidP="00F35D1E">
      <w:pPr>
        <w:spacing w:line="480" w:lineRule="auto"/>
      </w:pPr>
      <w:r>
        <w:t xml:space="preserve">These results are interesting because they highlight a number of important issues. </w:t>
      </w:r>
      <w:r w:rsidR="00723350">
        <w:t xml:space="preserve">Firstly, diary entries from Class SP highlight a potential advantage of using a seating plan, where pupils were able to work in pairs to discuss the topic and help each other. By being removed from potential areas of distraction (Ingram, 2008), pupils could focus on the work and this meant the class completed the task very quickly. This would suggest, then, that small group seating is useful for focused cooperative activities (Rogers, 2005), as it allows pupils to concentrate on their work. Furthermore, observations from the teaching diary of Class NSP showed that when sat with friends, pupils were susceptible to being distracted, which is a major concern in classes without seating plans to separate these areas of possible distraction (Smith and </w:t>
      </w:r>
      <w:proofErr w:type="spellStart"/>
      <w:r w:rsidR="00723350">
        <w:t>Laslett</w:t>
      </w:r>
      <w:proofErr w:type="spellEnd"/>
      <w:r w:rsidR="00723350">
        <w:t xml:space="preserve">, 1993).  </w:t>
      </w:r>
      <w:r w:rsidR="00355DD7">
        <w:t>Additionally</w:t>
      </w:r>
      <w:r w:rsidR="00723350">
        <w:t xml:space="preserve">, in this case, the phenomenon of marginalisation was clear with one pupil, as </w:t>
      </w:r>
      <w:r w:rsidR="00BF586C">
        <w:t>Rogers (2007) found that without a seating plan, cliques can form and ‘non-cools’ can often be left out. Therefore, this would clearly suggest t</w:t>
      </w:r>
      <w:r w:rsidR="00AF6256">
        <w:t>hat not having a seating plan could be</w:t>
      </w:r>
      <w:r w:rsidR="00BF586C">
        <w:t xml:space="preserve"> detrimental when trying to utilise paired discussion as a pedagogical tool in the classroom. </w:t>
      </w:r>
      <w:r w:rsidR="00723350">
        <w:t>However, for some pupils</w:t>
      </w:r>
      <w:r w:rsidR="00BF586C">
        <w:t xml:space="preserve"> in Class NSP</w:t>
      </w:r>
      <w:r w:rsidR="00723350">
        <w:t>, sitting with their friends allowed</w:t>
      </w:r>
      <w:r w:rsidR="00BF586C">
        <w:t xml:space="preserve"> them to work harder and faster</w:t>
      </w:r>
      <w:r w:rsidR="00A65E2F">
        <w:t>, finishing the task efficiently</w:t>
      </w:r>
      <w:r w:rsidR="00BF586C">
        <w:t xml:space="preserve">, where in Class SP, they were </w:t>
      </w:r>
      <w:r w:rsidR="00A65E2F">
        <w:t>initially inhibited</w:t>
      </w:r>
      <w:r w:rsidR="00BF586C">
        <w:t xml:space="preserve"> due to </w:t>
      </w:r>
      <w:r w:rsidR="00A65E2F">
        <w:t xml:space="preserve">testing </w:t>
      </w:r>
      <w:r w:rsidR="00BF586C">
        <w:t xml:space="preserve">personal relationships. This relates to Ingram (2008)’s findings that classrooms are naturally social places, where students need to feel comfortable and like the people they are surrounded with. This suggests that pupils who are sat with friends may work more </w:t>
      </w:r>
      <w:r w:rsidR="00A65E2F">
        <w:t>competently</w:t>
      </w:r>
      <w:r w:rsidR="00BF586C">
        <w:t>, and vice versa. This, therefore, represents a</w:t>
      </w:r>
      <w:r w:rsidR="00A65E2F">
        <w:t xml:space="preserve"> form of</w:t>
      </w:r>
      <w:r w:rsidR="00BF586C">
        <w:t xml:space="preserve"> challenge to the value of seating plans for paired work. </w:t>
      </w:r>
    </w:p>
    <w:p w:rsidR="00AD0903" w:rsidRDefault="0035724A" w:rsidP="00F35D1E">
      <w:pPr>
        <w:spacing w:line="480" w:lineRule="auto"/>
      </w:pPr>
      <w:r>
        <w:lastRenderedPageBreak/>
        <w:tab/>
        <w:t xml:space="preserve"> Another pedagogical approach that was used in the sequence of lessons for the action-research period was gamification.</w:t>
      </w:r>
      <w:r w:rsidR="00DD1B2D">
        <w:t xml:space="preserve"> It has been argued that the</w:t>
      </w:r>
      <w:r>
        <w:t xml:space="preserve"> </w:t>
      </w:r>
      <w:r w:rsidR="00DD1B2D">
        <w:t xml:space="preserve">inclusion of game-like elements in education </w:t>
      </w:r>
      <w:r w:rsidR="004351DF">
        <w:t xml:space="preserve">makes sense because </w:t>
      </w:r>
      <w:r w:rsidR="00DD1B2D">
        <w:t xml:space="preserve">there are some similarities between games and </w:t>
      </w:r>
      <w:r w:rsidR="004351DF">
        <w:t>education</w:t>
      </w:r>
      <w:r w:rsidR="00DD1B2D">
        <w:t>. Users’ actions in games are often aimed at achieving a specific goal in the presence of difficulties. In the classroom, there are learning objectives, which can be reached by performing specific tasks (</w:t>
      </w:r>
      <w:proofErr w:type="spellStart"/>
      <w:r w:rsidR="00DD1B2D">
        <w:t>Kiryakova</w:t>
      </w:r>
      <w:proofErr w:type="spellEnd"/>
      <w:r w:rsidR="00DD1B2D">
        <w:t xml:space="preserve"> </w:t>
      </w:r>
      <w:r w:rsidR="00DD1B2D" w:rsidRPr="00AD7E92">
        <w:rPr>
          <w:i/>
        </w:rPr>
        <w:t>et al.,</w:t>
      </w:r>
      <w:r w:rsidR="00DD1B2D">
        <w:t xml:space="preserve"> 2014).</w:t>
      </w:r>
      <w:r w:rsidR="004351DF">
        <w:t xml:space="preserve"> Therefore, the</w:t>
      </w:r>
      <w:r>
        <w:t xml:space="preserve"> idea </w:t>
      </w:r>
      <w:r w:rsidR="004351DF">
        <w:t xml:space="preserve">of gamification in education </w:t>
      </w:r>
      <w:r>
        <w:t>relates to making a whole or part of a lesson a game – where pupils are able to win rewards for success</w:t>
      </w:r>
      <w:r w:rsidR="00AD7E92">
        <w:t xml:space="preserve"> (</w:t>
      </w:r>
      <w:r w:rsidR="00DD1B2D">
        <w:t>Arnold, 2014</w:t>
      </w:r>
      <w:r w:rsidR="00AD7E92">
        <w:t>)</w:t>
      </w:r>
      <w:r w:rsidR="00DD1B2D">
        <w:t xml:space="preserve"> – such as through the use of low-stake quizzing</w:t>
      </w:r>
      <w:r>
        <w:t xml:space="preserve">. </w:t>
      </w:r>
      <w:r w:rsidR="004351DF">
        <w:t>In the case of this research, t</w:t>
      </w:r>
      <w:r>
        <w:t>his corresponded to School A’s whole school policy of awarding achievement points on SIMS. Classes were told that for this particular lesson, every correct answer would earn them a ‘star’. The team with the most stars at the end of the lesson would earn 5 achievement points on SIMS.</w:t>
      </w:r>
      <w:r w:rsidR="00DD1B2D">
        <w:t xml:space="preserve"> </w:t>
      </w:r>
      <w:r>
        <w:t xml:space="preserve">With Class SP, the teams were the pairs that they </w:t>
      </w:r>
      <w:r w:rsidR="00AD7E92">
        <w:t xml:space="preserve">had been assigned on the seating plan, whereas with Class NSP, the teams were allocated based on where pupils naturally sit, so it was largely based on friendships. </w:t>
      </w:r>
      <w:r w:rsidR="00AD0903">
        <w:t>The results of this style of teaching were mixed. Diary entries showed engagement across both classes</w:t>
      </w:r>
    </w:p>
    <w:p w:rsidR="00AD0903" w:rsidRDefault="00AD0903" w:rsidP="00AD0903">
      <w:pPr>
        <w:spacing w:line="480" w:lineRule="auto"/>
        <w:ind w:left="720"/>
        <w:rPr>
          <w:i/>
        </w:rPr>
      </w:pPr>
      <w:r w:rsidRPr="00AD0903">
        <w:rPr>
          <w:i/>
        </w:rPr>
        <w:t xml:space="preserve">“The competitive element definitely worked, everybody wanted to win” (Diary Entry, 24/04/18) </w:t>
      </w:r>
    </w:p>
    <w:p w:rsidR="00AD0903" w:rsidRDefault="00AD0903" w:rsidP="00AD0903">
      <w:pPr>
        <w:spacing w:line="480" w:lineRule="auto"/>
      </w:pPr>
      <w:r>
        <w:t xml:space="preserve">However, in Class NSP, results were more subdued </w:t>
      </w:r>
    </w:p>
    <w:p w:rsidR="00AD0903" w:rsidRDefault="00AD0903" w:rsidP="00AD0903">
      <w:pPr>
        <w:spacing w:line="480" w:lineRule="auto"/>
        <w:ind w:left="720"/>
        <w:rPr>
          <w:i/>
        </w:rPr>
      </w:pPr>
      <w:r w:rsidRPr="00AD0903">
        <w:rPr>
          <w:i/>
        </w:rPr>
        <w:t xml:space="preserve">“There was definitely a competitive element, but some pupils didn’t seem to mind if they won or not” (Diary Entry, 27/04/18) </w:t>
      </w:r>
    </w:p>
    <w:p w:rsidR="00AD0903" w:rsidRDefault="00AD0903" w:rsidP="00DD1B2D">
      <w:pPr>
        <w:spacing w:line="480" w:lineRule="auto"/>
      </w:pPr>
      <w:r>
        <w:t xml:space="preserve">It has been suggested that students monitor the behaviour of others in order to draw social comparisons about their own behaviour (Hattie, 2012), and this could explain the difference in engagement between the two classes.  Pupils who were in a team with their friends didn’t feel the need to compete to outdo each other, as they were working together, and therefore engagement levels were lower. In comparison, pupils who were working against their friends due to the seating </w:t>
      </w:r>
      <w:r>
        <w:lastRenderedPageBreak/>
        <w:t>plan felt more of a competitive edge and were more interested and excited about getting the answer correct. This suggests, then, that when using gamification as a learning tool, it is helpful to ensure pupils are arranged in a seating plan</w:t>
      </w:r>
      <w:r w:rsidR="0070160E">
        <w:t xml:space="preserve"> away from their friends</w:t>
      </w:r>
      <w:r>
        <w:t>, in order to promote competition (</w:t>
      </w:r>
      <w:proofErr w:type="spellStart"/>
      <w:r w:rsidR="00DD1B2D">
        <w:t>Kiryakova</w:t>
      </w:r>
      <w:proofErr w:type="spellEnd"/>
      <w:r w:rsidR="00DD1B2D">
        <w:t xml:space="preserve"> </w:t>
      </w:r>
      <w:r w:rsidR="00DD1B2D" w:rsidRPr="00AD7E92">
        <w:rPr>
          <w:i/>
        </w:rPr>
        <w:t>et al.,</w:t>
      </w:r>
      <w:r w:rsidR="00DD1B2D">
        <w:t xml:space="preserve"> 2014) </w:t>
      </w:r>
      <w:r>
        <w:t>and thus engagement</w:t>
      </w:r>
      <w:r w:rsidR="00DD1B2D">
        <w:t>, which is necessary for any learning experience (</w:t>
      </w:r>
      <w:r w:rsidR="00685042">
        <w:t>Arnold, 2014</w:t>
      </w:r>
      <w:r w:rsidR="00DD1B2D">
        <w:t>)</w:t>
      </w:r>
      <w:r>
        <w:t xml:space="preserve">. </w:t>
      </w:r>
      <w:r w:rsidR="00DD1B2D">
        <w:t>However, it is important to note that engagement does not automatically correspond to overall attainment as gamification itself is not directly involved with the teaching of knowledge and skills, although in many case</w:t>
      </w:r>
      <w:r w:rsidR="0070160E">
        <w:t>s</w:t>
      </w:r>
      <w:r w:rsidR="00DD1B2D">
        <w:t xml:space="preserve"> the low-stakes quizzes are subject related. Gamification instead is aimed at improving students’ behaviour and motivation, which can then lead to the development of knowledge and skills (</w:t>
      </w:r>
      <w:proofErr w:type="spellStart"/>
      <w:r w:rsidR="00DD1B2D">
        <w:t>Hsin</w:t>
      </w:r>
      <w:proofErr w:type="spellEnd"/>
      <w:r w:rsidR="00DD1B2D">
        <w:t xml:space="preserve">-Yuan Huang and </w:t>
      </w:r>
      <w:proofErr w:type="spellStart"/>
      <w:r w:rsidR="00DD1B2D">
        <w:t>Soman</w:t>
      </w:r>
      <w:proofErr w:type="spellEnd"/>
      <w:r w:rsidR="00DD1B2D">
        <w:t>, 2013). This is an important distinction, and should be taken</w:t>
      </w:r>
      <w:r w:rsidR="0070160E">
        <w:t xml:space="preserve"> into</w:t>
      </w:r>
      <w:r w:rsidR="00DD1B2D">
        <w:t xml:space="preserve"> account when considering the value of seating plans in this context. </w:t>
      </w:r>
    </w:p>
    <w:p w:rsidR="00BE2FD1" w:rsidRDefault="00BE2FD1" w:rsidP="00DD1B2D">
      <w:pPr>
        <w:spacing w:line="480" w:lineRule="auto"/>
      </w:pPr>
      <w:r>
        <w:tab/>
        <w:t xml:space="preserve">The sequence of lessons culminated with the completion of an independent research project, which pupils started in class and completed at home. The project consisted of various tasks, including drawing a map, researching different types of volcanoes, and writing a case study about a famous named example of a volcano which has erupted. The use of an independent research project was recommended due to the view promoted by </w:t>
      </w:r>
      <w:proofErr w:type="spellStart"/>
      <w:r>
        <w:t>Bolhuis</w:t>
      </w:r>
      <w:proofErr w:type="spellEnd"/>
      <w:r>
        <w:t xml:space="preserve"> and </w:t>
      </w:r>
      <w:proofErr w:type="spellStart"/>
      <w:r>
        <w:t>Voeten</w:t>
      </w:r>
      <w:proofErr w:type="spellEnd"/>
      <w:r>
        <w:t xml:space="preserve"> (2001) that school should act as “</w:t>
      </w:r>
      <w:r w:rsidRPr="00BE2FD1">
        <w:t>a house of study</w:t>
      </w:r>
      <w:r>
        <w:t xml:space="preserve">” (p.837) </w:t>
      </w:r>
      <w:r w:rsidRPr="00BE2FD1">
        <w:t>w</w:t>
      </w:r>
      <w:r w:rsidR="001C631D">
        <w:t>here pupil</w:t>
      </w:r>
      <w:r w:rsidRPr="00BE2FD1">
        <w:t>s learn to study more independently in order to be better prepared for higher education, work and</w:t>
      </w:r>
      <w:r w:rsidR="0070160E">
        <w:t xml:space="preserve"> future</w:t>
      </w:r>
      <w:r w:rsidRPr="00BE2FD1">
        <w:t xml:space="preserve"> life</w:t>
      </w:r>
      <w:r w:rsidR="0070160E">
        <w:t xml:space="preserve"> in general</w:t>
      </w:r>
      <w:r w:rsidRPr="00BE2FD1">
        <w:t>.</w:t>
      </w:r>
      <w:r w:rsidR="001C631D">
        <w:t xml:space="preserve"> This view represents a constructivist theory of education, where pupils are able to independently construct their own knowledge of a topic (</w:t>
      </w:r>
      <w:r w:rsidR="001C631D">
        <w:rPr>
          <w:rFonts w:cstheme="minorHAnsi"/>
        </w:rPr>
        <w:t>Burton, 2016), and the teacher is merely a facilitator (Hattie and Yates, 2014)</w:t>
      </w:r>
      <w:r w:rsidR="001C631D">
        <w:t xml:space="preserve"> as opposed to being teacher-led. Therefore, in collaboration with the class teacher, the independent research project was set, before being marked and assessed against old national curriculum levels, in line with school policy. This piece of work produced some interesting results. In Class SP, 10 out of 35 pupils did not hand in the research project, whereas in Class NSP all 35 pupils completed the work. This in itself suggests that Class NSP were more engaged in the independent research process, potentially due to their comfort levels when completing the task, when sat near the</w:t>
      </w:r>
      <w:r w:rsidR="0070160E">
        <w:t>ir</w:t>
      </w:r>
      <w:r w:rsidR="001C631D">
        <w:t xml:space="preserve"> friends (Ingram, 2008), as </w:t>
      </w:r>
      <w:r w:rsidR="001C631D">
        <w:lastRenderedPageBreak/>
        <w:t>they may have felt able to ask questions and help each other. This suggests that friendship can be an important social capital resource (</w:t>
      </w:r>
      <w:proofErr w:type="spellStart"/>
      <w:r w:rsidR="00B07663">
        <w:t>Crosnoe</w:t>
      </w:r>
      <w:proofErr w:type="spellEnd"/>
      <w:r w:rsidR="00B07663">
        <w:t xml:space="preserve"> </w:t>
      </w:r>
      <w:r w:rsidR="00B07663" w:rsidRPr="00B07663">
        <w:rPr>
          <w:i/>
        </w:rPr>
        <w:t>et al.,</w:t>
      </w:r>
      <w:r w:rsidR="00B07663">
        <w:t xml:space="preserve"> 2003</w:t>
      </w:r>
      <w:r w:rsidR="001C631D">
        <w:t xml:space="preserve">) when completing independent work. </w:t>
      </w:r>
      <w:r w:rsidR="00CC2E9D">
        <w:t xml:space="preserve">Of those who did hand in the assessment, </w:t>
      </w:r>
      <w:r w:rsidR="001C631D">
        <w:t xml:space="preserve">Graph 1 shows the </w:t>
      </w:r>
      <w:r w:rsidR="00CC2E9D">
        <w:t xml:space="preserve">percentage </w:t>
      </w:r>
      <w:r w:rsidR="001C631D">
        <w:t xml:space="preserve">of pupils who achieved a level higher, the same, and lower, when comparing the level of this result against their expected grade.  </w:t>
      </w:r>
      <w:r w:rsidR="00CC2E9D">
        <w:t xml:space="preserve">This data shows that more pupils from Class SP achieved higher than expected grades in their assessment, than Class NSP. Class NSP generally showed little change in their assessment grade compared to their expected. This suggests </w:t>
      </w:r>
      <w:r w:rsidR="0070160E">
        <w:t xml:space="preserve">that </w:t>
      </w:r>
      <w:r w:rsidR="00CC2E9D">
        <w:t>the seating plan was generally successful in ensuring the academic achievement of pupils. This could be due to the fact that pupils are able to concentrate when sat away from friends, thereby maximising attentiveness (Rogers, 2007), and the fact that the seating plan clearly distinguishes the classroom as a space for teaching and learning (Rogers, 2005), ensuring pupils are aware of expectations upon entering.</w:t>
      </w:r>
      <w:r w:rsidR="00AF6256">
        <w:t xml:space="preserve"> Indeed, the likelihood is that this is fundamentally linked to prior findings regarding engagement of pupils with the learning material.</w:t>
      </w:r>
      <w:r w:rsidR="00CC2E9D">
        <w:t xml:space="preserve"> It is </w:t>
      </w:r>
      <w:r w:rsidR="00AF6256">
        <w:t>proposed</w:t>
      </w:r>
      <w:r w:rsidR="00CC2E9D">
        <w:t xml:space="preserve">, then, that seating plans </w:t>
      </w:r>
      <w:r w:rsidR="00AF6256">
        <w:t xml:space="preserve">can </w:t>
      </w:r>
      <w:r w:rsidR="00CC2E9D">
        <w:t xml:space="preserve">have an important educational impact on the attainment </w:t>
      </w:r>
      <w:r w:rsidR="00AF6256">
        <w:t xml:space="preserve">and achievement </w:t>
      </w:r>
      <w:r w:rsidR="00CC2E9D">
        <w:t xml:space="preserve">of those pupils who are arranged in such a way.  </w:t>
      </w:r>
    </w:p>
    <w:p w:rsidR="001C631D" w:rsidRPr="00AD0903" w:rsidRDefault="00EA591F" w:rsidP="00DD1B2D">
      <w:pPr>
        <w:spacing w:line="480" w:lineRule="auto"/>
      </w:pPr>
      <w:r>
        <w:rPr>
          <w:noProof/>
          <w:lang w:eastAsia="en-GB"/>
        </w:rPr>
        <w:drawing>
          <wp:anchor distT="0" distB="0" distL="114300" distR="114300" simplePos="0" relativeHeight="251660288" behindDoc="0" locked="0" layoutInCell="1" allowOverlap="1" wp14:anchorId="3159404C" wp14:editId="480473B5">
            <wp:simplePos x="0" y="0"/>
            <wp:positionH relativeFrom="margin">
              <wp:posOffset>0</wp:posOffset>
            </wp:positionH>
            <wp:positionV relativeFrom="margin">
              <wp:posOffset>5417820</wp:posOffset>
            </wp:positionV>
            <wp:extent cx="5362575" cy="32385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anchor>
        </w:drawing>
      </w:r>
    </w:p>
    <w:p w:rsidR="00A82866" w:rsidRDefault="00A82866" w:rsidP="00F35D1E">
      <w:pPr>
        <w:spacing w:line="480" w:lineRule="auto"/>
        <w:rPr>
          <w:rFonts w:asciiTheme="majorHAnsi" w:eastAsiaTheme="majorEastAsia" w:hAnsiTheme="majorHAnsi" w:cstheme="majorBidi"/>
          <w:color w:val="2E74B5" w:themeColor="accent1" w:themeShade="BF"/>
          <w:sz w:val="28"/>
          <w:szCs w:val="28"/>
        </w:rPr>
      </w:pPr>
    </w:p>
    <w:p w:rsidR="00A82866" w:rsidRPr="00FB0496" w:rsidRDefault="00A82866" w:rsidP="00FB0496">
      <w:pPr>
        <w:rPr>
          <w:rFonts w:eastAsiaTheme="majorEastAsia"/>
        </w:rPr>
      </w:pPr>
      <w:r>
        <w:rPr>
          <w:rFonts w:eastAsiaTheme="majorEastAsia"/>
        </w:rPr>
        <w:br w:type="page"/>
      </w:r>
    </w:p>
    <w:p w:rsidR="001B7CE4" w:rsidRDefault="001B7CE4" w:rsidP="001B7CE4">
      <w:pPr>
        <w:pStyle w:val="Heading1"/>
      </w:pPr>
      <w:r>
        <w:lastRenderedPageBreak/>
        <w:t>Conclusions</w:t>
      </w:r>
    </w:p>
    <w:p w:rsidR="00CA66FC" w:rsidRDefault="00FB0496" w:rsidP="00CA66FC">
      <w:pPr>
        <w:spacing w:line="480" w:lineRule="auto"/>
      </w:pPr>
      <w:r>
        <w:t xml:space="preserve">In summary, the results of this research can be categorised into two main themes: engagement and attainment. </w:t>
      </w:r>
      <w:r w:rsidR="00AF6256">
        <w:t>This paralleled with previous research into the impact of seating plans within a classroom environment. E</w:t>
      </w:r>
      <w:r w:rsidR="00CA66FC">
        <w:t>ach</w:t>
      </w:r>
      <w:r w:rsidR="00AF6256">
        <w:t xml:space="preserve"> of these two themes will</w:t>
      </w:r>
      <w:r w:rsidR="00CA66FC">
        <w:t xml:space="preserve"> be discussed in turn, before turning to the future, and suggestions for future practice.</w:t>
      </w:r>
    </w:p>
    <w:p w:rsidR="00273F04" w:rsidRDefault="00CA66FC" w:rsidP="00CA66FC">
      <w:pPr>
        <w:spacing w:line="480" w:lineRule="auto"/>
      </w:pPr>
      <w:r>
        <w:tab/>
        <w:t xml:space="preserve">In terms of engagement, </w:t>
      </w:r>
      <w:r w:rsidR="007E7206">
        <w:t>there were clear differences between Class SP and Class NSP. In Class SP, all pupils were relatively engaged</w:t>
      </w:r>
      <w:r w:rsidR="00355DD7">
        <w:t>, despite a few minor issues</w:t>
      </w:r>
      <w:r w:rsidR="007E7206">
        <w:t>, and this represented an overall improvement in engagement. From a teacher’</w:t>
      </w:r>
      <w:r w:rsidR="00355DD7">
        <w:t>s perspective, pupils generally tended to ask</w:t>
      </w:r>
      <w:r w:rsidR="007E7206">
        <w:t xml:space="preserve"> more questions about the topic, worked quickly through tasks, and </w:t>
      </w:r>
      <w:r w:rsidR="00355DD7">
        <w:t>took part in discussions</w:t>
      </w:r>
      <w:r w:rsidR="00436986">
        <w:t xml:space="preserve"> with one another when directed to do so</w:t>
      </w:r>
      <w:r w:rsidR="00355DD7">
        <w:t xml:space="preserve">. This was most clearly shown through results of the teaching diary that was kept for the duration of the study. This corresponds to previous findings seating plans maximise both attentiveness and co-operation (Rogers, 2007). </w:t>
      </w:r>
      <w:r w:rsidR="00273F04">
        <w:t xml:space="preserve">The use of pairings was also effective, as it kept noise-level to a minimum (Rogers, 2012), reducing potential distractions and allowing pupils to focus on their work (Rogers, 2005). </w:t>
      </w:r>
    </w:p>
    <w:p w:rsidR="00273F04" w:rsidRDefault="00273F04" w:rsidP="00CA66FC">
      <w:pPr>
        <w:spacing w:line="480" w:lineRule="auto"/>
      </w:pPr>
      <w:r>
        <w:tab/>
        <w:t>Further to this, it was clear that pupils who were allowed to sit with their friends in Class NSP were susceptible to being distracted, as they were unable to distinguish between the classroom as a social environment or a space for teaching and learning (Rogers, 2007).  Additionally,</w:t>
      </w:r>
      <w:r w:rsidR="00B07663">
        <w:t xml:space="preserve"> in Class NSP, there was a clear example of marginalisation (Rogers, 2007). </w:t>
      </w:r>
      <w:r>
        <w:t xml:space="preserve">Therefore, this would clearly suggest that not having a seating plan </w:t>
      </w:r>
      <w:r w:rsidR="00B07663">
        <w:t>can inhibit the ability of some pupils to properly engage with the learning that is taking place in the classroom. Whilst</w:t>
      </w:r>
      <w:r>
        <w:t xml:space="preserve"> some pupils in Class NSP</w:t>
      </w:r>
      <w:r w:rsidR="00B07663">
        <w:t xml:space="preserve"> were able to utilise their friendships as a social capital (</w:t>
      </w:r>
      <w:proofErr w:type="spellStart"/>
      <w:r w:rsidR="00B07663">
        <w:t>Crosnoe</w:t>
      </w:r>
      <w:proofErr w:type="spellEnd"/>
      <w:r w:rsidR="00B07663">
        <w:t xml:space="preserve"> </w:t>
      </w:r>
      <w:r w:rsidR="00B07663" w:rsidRPr="00AD30D5">
        <w:rPr>
          <w:i/>
        </w:rPr>
        <w:t>et al.,</w:t>
      </w:r>
      <w:r w:rsidR="00B07663">
        <w:t xml:space="preserve"> 2003), which </w:t>
      </w:r>
      <w:r>
        <w:t>allowed them to work harder and faster</w:t>
      </w:r>
      <w:r w:rsidR="00B07663">
        <w:t>, it was clear that this only applied to a small number. Therefore, it is suggested that seating plans are, by and large, beneficial for improving engagement across classes, and should, therefore, be implemented</w:t>
      </w:r>
      <w:r w:rsidR="00436986">
        <w:t xml:space="preserve"> when possible</w:t>
      </w:r>
      <w:r w:rsidR="00B07663">
        <w:t>.</w:t>
      </w:r>
    </w:p>
    <w:p w:rsidR="00EA591F" w:rsidRDefault="00EA591F" w:rsidP="00EA591F">
      <w:pPr>
        <w:spacing w:line="480" w:lineRule="auto"/>
      </w:pPr>
      <w:r>
        <w:lastRenderedPageBreak/>
        <w:tab/>
        <w:t xml:space="preserve">A further finding of the research study was the impact of seating plans on </w:t>
      </w:r>
      <w:r w:rsidR="00436986">
        <w:t xml:space="preserve">academic </w:t>
      </w:r>
      <w:r>
        <w:t>attainment, in particular on</w:t>
      </w:r>
      <w:r w:rsidR="00436986">
        <w:t xml:space="preserve"> outcome and</w:t>
      </w:r>
      <w:r>
        <w:t xml:space="preserve"> achievement in an end-of-topic assessment. Completion levels of the assessment were higher in Class NSP than Class SP. This suggests that Class NSP were more involved in the independent research process, and this could be due to their comfort levels when completing the task (Ingram, 2008), and therefore, peer support can be an useful resource (</w:t>
      </w:r>
      <w:proofErr w:type="spellStart"/>
      <w:r>
        <w:t>Crosnoe</w:t>
      </w:r>
      <w:proofErr w:type="spellEnd"/>
      <w:r>
        <w:t xml:space="preserve"> </w:t>
      </w:r>
      <w:r w:rsidRPr="00B07663">
        <w:rPr>
          <w:i/>
        </w:rPr>
        <w:t>et al.,</w:t>
      </w:r>
      <w:r>
        <w:t xml:space="preserve"> 2003) when completing independent work.  Of those who completed the assessment, Class NSP generally showed little change in their assessment grade compared to their expected, whereas Class SP generally improved and exceeded their expected grade. This suggests the seating plan was generally successful in ensuring the </w:t>
      </w:r>
      <w:r w:rsidR="00004496">
        <w:t xml:space="preserve">high levels of </w:t>
      </w:r>
      <w:r w:rsidR="00436986">
        <w:t xml:space="preserve">academic </w:t>
      </w:r>
      <w:r w:rsidR="00004496">
        <w:t xml:space="preserve">attainment </w:t>
      </w:r>
      <w:r>
        <w:t xml:space="preserve">of pupils. </w:t>
      </w:r>
      <w:r w:rsidR="00004496">
        <w:t xml:space="preserve">It is suggested that this is linked back to the prior theme of engagement, and that pupils who were engaged in class were able to complete the project at home. </w:t>
      </w:r>
      <w:r>
        <w:t xml:space="preserve">This could be due to the fact that pupils are able to </w:t>
      </w:r>
      <w:r w:rsidR="00004496">
        <w:t>focus during lessons prior to the research project</w:t>
      </w:r>
      <w:r>
        <w:t xml:space="preserve"> when sat away from friends, thereby maximising </w:t>
      </w:r>
      <w:r w:rsidR="00004496">
        <w:t>concentration</w:t>
      </w:r>
      <w:r>
        <w:t xml:space="preserve"> (</w:t>
      </w:r>
      <w:r w:rsidR="00004496">
        <w:t>Rogers, 2007), ensuring a sound background knowledge to the topic of the assessment</w:t>
      </w:r>
      <w:r>
        <w:t>. It is clearly suggested, then, that seating plans have an important educational impact on the attainment of those pupils who are arranged in such a way</w:t>
      </w:r>
      <w:r w:rsidR="00004496">
        <w:t>, if pupils complete the set work</w:t>
      </w:r>
      <w:r>
        <w:t xml:space="preserve">.  </w:t>
      </w:r>
    </w:p>
    <w:p w:rsidR="00004496" w:rsidRDefault="00B07663" w:rsidP="00004496">
      <w:pPr>
        <w:spacing w:line="480" w:lineRule="auto"/>
        <w:ind w:firstLine="720"/>
      </w:pPr>
      <w:r>
        <w:t>Additionally</w:t>
      </w:r>
      <w:r w:rsidR="00273F04">
        <w:t>, i</w:t>
      </w:r>
      <w:r w:rsidR="00355DD7">
        <w:t>t is suggested, that, as the seating plan was put in place in a non-provocative manner, in that it was initiated as a research study that all pupils were aware of, it did not have the punitive connotations that pupils may otherwise be familiar with (Brighouse, 2001). This, therefore, did not have the impact of increasing tension within the classroom, which instituting a seating plan may otherwise do, and therefore, pupils remained engaged and involved in the learning process. Therefore, it is suggested that initiating a seating plan from the beginning of the academic year would act similarly in ensuring pupils can see that such an arrangement is not a disciplinary measure.</w:t>
      </w:r>
      <w:r w:rsidR="00273F04">
        <w:t xml:space="preserve"> Therefore, when implementing seating plans in the future, this will m</w:t>
      </w:r>
      <w:r w:rsidR="00004496">
        <w:t>ay a major contributing factor.</w:t>
      </w:r>
    </w:p>
    <w:p w:rsidR="00004496" w:rsidRDefault="00004496" w:rsidP="00004496">
      <w:pPr>
        <w:spacing w:line="480" w:lineRule="auto"/>
        <w:ind w:firstLine="720"/>
      </w:pPr>
      <w:r>
        <w:lastRenderedPageBreak/>
        <w:t>In conclusion, it is tentatively noted that seating plans can have some clear positive benefits, both in terms of academic achievement and engagement within lessons. Future practice, should, therefore, include the use of such classroom arrangements as both a logistical and learning tool.</w:t>
      </w:r>
    </w:p>
    <w:p w:rsidR="001B7CE4" w:rsidRPr="00004496" w:rsidRDefault="001B7CE4" w:rsidP="00004496">
      <w:pPr>
        <w:spacing w:line="480" w:lineRule="auto"/>
        <w:ind w:firstLine="720"/>
      </w:pPr>
      <w:r>
        <w:br w:type="page"/>
      </w:r>
    </w:p>
    <w:p w:rsidR="001B7CE4" w:rsidRDefault="001B7CE4" w:rsidP="001B7CE4">
      <w:pPr>
        <w:pStyle w:val="Heading1"/>
      </w:pPr>
      <w:r>
        <w:lastRenderedPageBreak/>
        <w:t>Limitations and Future Development</w:t>
      </w:r>
    </w:p>
    <w:p w:rsidR="0039175A" w:rsidRDefault="001C6A3E" w:rsidP="001C6A3E">
      <w:pPr>
        <w:spacing w:line="480" w:lineRule="auto"/>
      </w:pPr>
      <w:r>
        <w:t xml:space="preserve">This study, whilst producing some interesting results, </w:t>
      </w:r>
      <w:r w:rsidR="00EF6A5B">
        <w:t xml:space="preserve">leaves room for future development </w:t>
      </w:r>
      <w:r w:rsidR="00F7278F">
        <w:t xml:space="preserve">and refinement in future studies. </w:t>
      </w:r>
      <w:r w:rsidR="0039175A">
        <w:t xml:space="preserve">These limitations and suggestions range from general points about the research as a whole, to the individual research methodologies. </w:t>
      </w:r>
      <w:r w:rsidR="00F7278F">
        <w:t xml:space="preserve">Firstly, it is suggested that the sample size used in this study could be extended, to test the results further. For example, it could be beneficial to extend the study to more than two classes, perhaps having two seating plan and two non-seating plan. Wilson (2013) argues that in order to be thorough when undertaking such research, it is necessary to reach a point of saturation, i.e. where no new information can be collected within the setting. Therefore, by extending the research to include multiple classes, it would increase the chances of reaching saturation. However, it is important to note that as an individual classroom practitioner, it is </w:t>
      </w:r>
      <w:r w:rsidR="006A7008">
        <w:t>necessary</w:t>
      </w:r>
      <w:r w:rsidR="00F7278F">
        <w:t xml:space="preserve"> to take into account the amount of time involved in replicating this s</w:t>
      </w:r>
      <w:r w:rsidR="006A7008">
        <w:t>tudy on a larger scale, and ther</w:t>
      </w:r>
      <w:r w:rsidR="00F7278F">
        <w:t>efore, this may no longer be practical as an action-research project if the extent becomes too large (</w:t>
      </w:r>
      <w:r w:rsidR="00417C82">
        <w:t xml:space="preserve">Cohen </w:t>
      </w:r>
      <w:r w:rsidR="00417C82" w:rsidRPr="00417C82">
        <w:rPr>
          <w:i/>
        </w:rPr>
        <w:t>et al.,</w:t>
      </w:r>
      <w:r w:rsidR="00417C82">
        <w:t xml:space="preserve"> 2011)</w:t>
      </w:r>
      <w:r w:rsidR="00F7278F">
        <w:t xml:space="preserve">. </w:t>
      </w:r>
      <w:r w:rsidR="007B7931">
        <w:t xml:space="preserve"> Additio</w:t>
      </w:r>
      <w:r w:rsidR="0039175A">
        <w:t xml:space="preserve">nally, it may have been useful </w:t>
      </w:r>
      <w:r w:rsidR="007B7931">
        <w:t>to study the impacts of seating plans across year groups, or even key stages. Whilst this study focused on two Year 8 classes, it would have been potentially interesting to examine whether the same results would be true for older or younger pupils. For example, it has been suggested that 13-15 year olds are particularly influenced by the social environment of a classroom (Ingram, 2008), as they are more self-conscious and sensitive than slightly younger pupils (Ryan, 2001), and therefore, undertaking this study with a Year 10 class</w:t>
      </w:r>
      <w:r w:rsidR="006A7008">
        <w:t>, for example,</w:t>
      </w:r>
      <w:bookmarkStart w:id="0" w:name="_GoBack"/>
      <w:bookmarkEnd w:id="0"/>
      <w:r w:rsidR="007B7931">
        <w:t xml:space="preserve"> may have produced varying results. </w:t>
      </w:r>
    </w:p>
    <w:p w:rsidR="007B7931" w:rsidRDefault="007B7931" w:rsidP="001C6A3E">
      <w:pPr>
        <w:spacing w:line="480" w:lineRule="auto"/>
      </w:pPr>
      <w:r>
        <w:tab/>
      </w:r>
      <w:r w:rsidR="00A05979">
        <w:t>A further potential limitation to this study is that of bias. It was indisputably necessary from an ethical standpoint to make all pupils aware of their involvement in the study, in order for them to opt-out if desired. For example, during the study, all pupils in both Class SP and Class NSP were informed of the process of the research, the research questions, and the methodology. Despite being informed that the outcomes of the research would have no bearings on their overall results, it is undeniab</w:t>
      </w:r>
      <w:r w:rsidR="002757EB">
        <w:t xml:space="preserve">le that the power balance within the teacher-pupil relationship could have altered in the teacher’s direction (Taber, 2007). </w:t>
      </w:r>
      <w:r w:rsidR="00A05979">
        <w:t xml:space="preserve">This meant that pupils were, therefore, susceptible to act </w:t>
      </w:r>
      <w:r w:rsidR="00A05979">
        <w:lastRenderedPageBreak/>
        <w:t xml:space="preserve">differently than they otherwise would have. </w:t>
      </w:r>
      <w:r w:rsidR="002757EB">
        <w:t>In order to combat this, it may be worth examining the issue from an alternative view point, for example undertaking case study style research of another teacher’s class through observations and interviews (</w:t>
      </w:r>
      <w:proofErr w:type="spellStart"/>
      <w:r w:rsidR="002757EB">
        <w:t>Demetriou</w:t>
      </w:r>
      <w:proofErr w:type="spellEnd"/>
      <w:r w:rsidR="002757EB">
        <w:t xml:space="preserve">, 2013). </w:t>
      </w:r>
      <w:r w:rsidR="00F64DE9">
        <w:t>Whilst they would still have to be informed of the research process, t</w:t>
      </w:r>
      <w:r w:rsidR="002757EB">
        <w:t xml:space="preserve">his would reduce the risk of artificial, unreliable results due to </w:t>
      </w:r>
      <w:r w:rsidR="00AA5795">
        <w:t>a</w:t>
      </w:r>
      <w:r w:rsidR="002757EB">
        <w:t xml:space="preserve">ltered behaviour by pupils. </w:t>
      </w:r>
    </w:p>
    <w:p w:rsidR="00F64DE9" w:rsidRDefault="00F64DE9" w:rsidP="001C6A3E">
      <w:pPr>
        <w:spacing w:line="480" w:lineRule="auto"/>
        <w:rPr>
          <w:rFonts w:eastAsiaTheme="minorHAnsi"/>
        </w:rPr>
      </w:pPr>
      <w:r>
        <w:tab/>
        <w:t xml:space="preserve">In addition to these general points of improvement, the individual methodologies could also be refined in order to produce more sophisticated, reliable research results. </w:t>
      </w:r>
      <w:r w:rsidR="008F6D32">
        <w:t>As mentioned in the methodology, teacher diaries can often produce highly personal results (Taber, 2007), which are useful for noting thoughts and feelings immediately following a lesson (</w:t>
      </w:r>
      <w:r w:rsidR="008F6D32" w:rsidRPr="00BF4F15">
        <w:rPr>
          <w:rFonts w:eastAsiaTheme="minorHAnsi"/>
        </w:rPr>
        <w:t>McDonough, 1994</w:t>
      </w:r>
      <w:r w:rsidR="008F6D32">
        <w:rPr>
          <w:rFonts w:eastAsiaTheme="minorHAnsi"/>
        </w:rPr>
        <w:t xml:space="preserve">). However, during the research process, it was sometimes difficult to remove traces of bias as a teacher-researcher. This meant that, often, the teacher diary was not a rigorous source of data, especially as they came from only a single researcher. Therefore, it could be suggested that teacher diaries can be used when more than one researcher is undertaking the project, in order to cross-reference and compare notes. For example, it could have been possible to ask the classroom teacher to make detailed notes alongside the diary, to use as a secondary form of observation. </w:t>
      </w:r>
    </w:p>
    <w:p w:rsidR="008F6D32" w:rsidRDefault="008F6D32" w:rsidP="001C6A3E">
      <w:pPr>
        <w:spacing w:line="480" w:lineRule="auto"/>
        <w:rPr>
          <w:rFonts w:eastAsiaTheme="minorHAnsi"/>
        </w:rPr>
      </w:pPr>
      <w:r>
        <w:rPr>
          <w:rFonts w:eastAsiaTheme="minorHAnsi"/>
        </w:rPr>
        <w:tab/>
        <w:t xml:space="preserve">Furthermore, the use of independent research projects to assess academic achievement could be adjusted in order to improve the study. </w:t>
      </w:r>
      <w:r w:rsidR="00565524">
        <w:rPr>
          <w:rFonts w:eastAsiaTheme="minorHAnsi"/>
        </w:rPr>
        <w:t>As some parts of the project were completed at home, it is difficult to be certain that all of the work was the learners own production (Taber, 2007). For example, some pupils may have had more support from parents or guardians when completing the tasks than others. This means that the received grade may not be an</w:t>
      </w:r>
      <w:r w:rsidR="000727B6">
        <w:rPr>
          <w:rFonts w:eastAsiaTheme="minorHAnsi"/>
        </w:rPr>
        <w:t xml:space="preserve"> entirely</w:t>
      </w:r>
      <w:r w:rsidR="00565524">
        <w:rPr>
          <w:rFonts w:eastAsiaTheme="minorHAnsi"/>
        </w:rPr>
        <w:t xml:space="preserve"> accurate portrayal of the impact of seating plans on academic achievement. Therefore, to improve this area of the study, it could be beneficial for pupils to complete all work that will be informing the research in a controlled classroom environment. </w:t>
      </w:r>
    </w:p>
    <w:p w:rsidR="000727B6" w:rsidRDefault="000727B6" w:rsidP="001C6A3E">
      <w:pPr>
        <w:spacing w:line="480" w:lineRule="auto"/>
      </w:pPr>
      <w:r>
        <w:rPr>
          <w:rFonts w:eastAsiaTheme="minorHAnsi"/>
        </w:rPr>
        <w:tab/>
        <w:t xml:space="preserve">In conclusion, the action research study produced some interesting results, which can inform the future practice of the researcher throughout a teaching career. Undertaking the process </w:t>
      </w:r>
      <w:r>
        <w:rPr>
          <w:rFonts w:eastAsiaTheme="minorHAnsi"/>
        </w:rPr>
        <w:lastRenderedPageBreak/>
        <w:t xml:space="preserve">involved with the study has highlighted the importance of reflection and refining in teaching and learning, especially through different classroom arrangements, including the use of seating plans. The suggested improvements and refinements to the research process can now be put in place, in order to continue this process into the future. </w:t>
      </w:r>
    </w:p>
    <w:p w:rsidR="001B7CE4" w:rsidRDefault="00F7278F" w:rsidP="001C6A3E">
      <w:pPr>
        <w:spacing w:line="480" w:lineRule="auto"/>
        <w:rPr>
          <w:rFonts w:asciiTheme="majorHAnsi" w:eastAsiaTheme="majorEastAsia" w:hAnsiTheme="majorHAnsi" w:cstheme="majorBidi"/>
          <w:color w:val="2E74B5" w:themeColor="accent1" w:themeShade="BF"/>
          <w:sz w:val="28"/>
          <w:szCs w:val="28"/>
        </w:rPr>
      </w:pPr>
      <w:r>
        <w:tab/>
      </w:r>
      <w:r w:rsidR="001B7CE4">
        <w:br w:type="page"/>
      </w:r>
    </w:p>
    <w:p w:rsidR="00685042" w:rsidRPr="00AA41ED" w:rsidRDefault="00685042" w:rsidP="00AA41ED"/>
    <w:sectPr w:rsidR="00685042" w:rsidRPr="00AA41ED" w:rsidSect="005B33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2"/>
  </w:compat>
  <w:rsids>
    <w:rsidRoot w:val="000D0D8D"/>
    <w:rsid w:val="00004496"/>
    <w:rsid w:val="00006232"/>
    <w:rsid w:val="0001117C"/>
    <w:rsid w:val="000349AF"/>
    <w:rsid w:val="00061341"/>
    <w:rsid w:val="000727B6"/>
    <w:rsid w:val="00087BC9"/>
    <w:rsid w:val="000D0D8D"/>
    <w:rsid w:val="000F1DCB"/>
    <w:rsid w:val="001106C0"/>
    <w:rsid w:val="00113186"/>
    <w:rsid w:val="00125FE8"/>
    <w:rsid w:val="001B7CE4"/>
    <w:rsid w:val="001C631D"/>
    <w:rsid w:val="001C6A3E"/>
    <w:rsid w:val="001D2D11"/>
    <w:rsid w:val="00211ECE"/>
    <w:rsid w:val="00224CE4"/>
    <w:rsid w:val="00241833"/>
    <w:rsid w:val="00273F04"/>
    <w:rsid w:val="002757EB"/>
    <w:rsid w:val="00286120"/>
    <w:rsid w:val="002954ED"/>
    <w:rsid w:val="002A3F5C"/>
    <w:rsid w:val="003140BC"/>
    <w:rsid w:val="0034219E"/>
    <w:rsid w:val="003467B6"/>
    <w:rsid w:val="00355DD7"/>
    <w:rsid w:val="0035724A"/>
    <w:rsid w:val="0039175A"/>
    <w:rsid w:val="003964E8"/>
    <w:rsid w:val="003B4CF1"/>
    <w:rsid w:val="003F3703"/>
    <w:rsid w:val="00417C82"/>
    <w:rsid w:val="004351DF"/>
    <w:rsid w:val="00436986"/>
    <w:rsid w:val="00471E85"/>
    <w:rsid w:val="004C77B1"/>
    <w:rsid w:val="00500A76"/>
    <w:rsid w:val="00510E36"/>
    <w:rsid w:val="00524389"/>
    <w:rsid w:val="00530D14"/>
    <w:rsid w:val="0053626A"/>
    <w:rsid w:val="0055215D"/>
    <w:rsid w:val="00565524"/>
    <w:rsid w:val="005B33BD"/>
    <w:rsid w:val="005E0160"/>
    <w:rsid w:val="005E1877"/>
    <w:rsid w:val="0064336D"/>
    <w:rsid w:val="00667677"/>
    <w:rsid w:val="00670206"/>
    <w:rsid w:val="00675FC1"/>
    <w:rsid w:val="00685042"/>
    <w:rsid w:val="006A7008"/>
    <w:rsid w:val="006F49B3"/>
    <w:rsid w:val="0070160E"/>
    <w:rsid w:val="007226F1"/>
    <w:rsid w:val="00723350"/>
    <w:rsid w:val="00725D5C"/>
    <w:rsid w:val="00731914"/>
    <w:rsid w:val="00771C59"/>
    <w:rsid w:val="00791118"/>
    <w:rsid w:val="007B7931"/>
    <w:rsid w:val="007E7206"/>
    <w:rsid w:val="00825CAD"/>
    <w:rsid w:val="008965FB"/>
    <w:rsid w:val="008B5B54"/>
    <w:rsid w:val="008C08A7"/>
    <w:rsid w:val="008C6F38"/>
    <w:rsid w:val="008F6D32"/>
    <w:rsid w:val="00917063"/>
    <w:rsid w:val="009422D1"/>
    <w:rsid w:val="0098439A"/>
    <w:rsid w:val="009D094B"/>
    <w:rsid w:val="00A05979"/>
    <w:rsid w:val="00A331F1"/>
    <w:rsid w:val="00A65E2F"/>
    <w:rsid w:val="00A70D70"/>
    <w:rsid w:val="00A82866"/>
    <w:rsid w:val="00AA41ED"/>
    <w:rsid w:val="00AA5795"/>
    <w:rsid w:val="00AD0903"/>
    <w:rsid w:val="00AD30D5"/>
    <w:rsid w:val="00AD7E92"/>
    <w:rsid w:val="00AF0F3C"/>
    <w:rsid w:val="00AF6256"/>
    <w:rsid w:val="00B07663"/>
    <w:rsid w:val="00B6033B"/>
    <w:rsid w:val="00B65C8F"/>
    <w:rsid w:val="00B82627"/>
    <w:rsid w:val="00BA45F5"/>
    <w:rsid w:val="00BA6E1A"/>
    <w:rsid w:val="00BB5059"/>
    <w:rsid w:val="00BE2FD1"/>
    <w:rsid w:val="00BF4F15"/>
    <w:rsid w:val="00BF586C"/>
    <w:rsid w:val="00C52DB8"/>
    <w:rsid w:val="00CA4180"/>
    <w:rsid w:val="00CA66FC"/>
    <w:rsid w:val="00CC2E9D"/>
    <w:rsid w:val="00CD3380"/>
    <w:rsid w:val="00CD33E3"/>
    <w:rsid w:val="00CF4AA0"/>
    <w:rsid w:val="00D41FEF"/>
    <w:rsid w:val="00D76E66"/>
    <w:rsid w:val="00D83A24"/>
    <w:rsid w:val="00DB7C46"/>
    <w:rsid w:val="00DC7C2F"/>
    <w:rsid w:val="00DD1B2D"/>
    <w:rsid w:val="00DD22B3"/>
    <w:rsid w:val="00DF046E"/>
    <w:rsid w:val="00E62A40"/>
    <w:rsid w:val="00EA591F"/>
    <w:rsid w:val="00EB7D33"/>
    <w:rsid w:val="00EF6A5B"/>
    <w:rsid w:val="00F35D1E"/>
    <w:rsid w:val="00F42F5B"/>
    <w:rsid w:val="00F45E31"/>
    <w:rsid w:val="00F62916"/>
    <w:rsid w:val="00F64DE9"/>
    <w:rsid w:val="00F67D05"/>
    <w:rsid w:val="00F7278F"/>
    <w:rsid w:val="00F7795E"/>
    <w:rsid w:val="00F87A12"/>
    <w:rsid w:val="00F9154F"/>
    <w:rsid w:val="00FB0496"/>
    <w:rsid w:val="00FB7E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D430"/>
  <w15:docId w15:val="{4C290080-A21D-4BF5-9CE2-1CFCEA0A6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0D8D"/>
  </w:style>
  <w:style w:type="paragraph" w:styleId="Heading1">
    <w:name w:val="heading 1"/>
    <w:basedOn w:val="Normal"/>
    <w:next w:val="Normal"/>
    <w:link w:val="Heading1Char"/>
    <w:uiPriority w:val="9"/>
    <w:qFormat/>
    <w:rsid w:val="000D0D8D"/>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semiHidden/>
    <w:unhideWhenUsed/>
    <w:qFormat/>
    <w:rsid w:val="000D0D8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0D0D8D"/>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0D0D8D"/>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0D0D8D"/>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0D0D8D"/>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0D0D8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D0D8D"/>
    <w:pPr>
      <w:keepNext/>
      <w:keepLines/>
      <w:spacing w:before="200" w:after="0"/>
      <w:outlineLvl w:val="7"/>
    </w:pPr>
    <w:rPr>
      <w:rFonts w:asciiTheme="majorHAnsi" w:eastAsiaTheme="majorEastAsia" w:hAnsiTheme="majorHAnsi" w:cstheme="majorBidi"/>
      <w:color w:val="5B9BD5" w:themeColor="accent1"/>
      <w:sz w:val="20"/>
      <w:szCs w:val="20"/>
    </w:rPr>
  </w:style>
  <w:style w:type="paragraph" w:styleId="Heading9">
    <w:name w:val="heading 9"/>
    <w:basedOn w:val="Normal"/>
    <w:next w:val="Normal"/>
    <w:link w:val="Heading9Char"/>
    <w:uiPriority w:val="9"/>
    <w:semiHidden/>
    <w:unhideWhenUsed/>
    <w:qFormat/>
    <w:rsid w:val="000D0D8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0D8D"/>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semiHidden/>
    <w:rsid w:val="000D0D8D"/>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semiHidden/>
    <w:rsid w:val="000D0D8D"/>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0D0D8D"/>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0D0D8D"/>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0D0D8D"/>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0D0D8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D0D8D"/>
    <w:rPr>
      <w:rFonts w:asciiTheme="majorHAnsi" w:eastAsiaTheme="majorEastAsia" w:hAnsiTheme="majorHAnsi" w:cstheme="majorBidi"/>
      <w:color w:val="5B9BD5" w:themeColor="accent1"/>
      <w:sz w:val="20"/>
      <w:szCs w:val="20"/>
    </w:rPr>
  </w:style>
  <w:style w:type="character" w:customStyle="1" w:styleId="Heading9Char">
    <w:name w:val="Heading 9 Char"/>
    <w:basedOn w:val="DefaultParagraphFont"/>
    <w:link w:val="Heading9"/>
    <w:uiPriority w:val="9"/>
    <w:semiHidden/>
    <w:rsid w:val="000D0D8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0D0D8D"/>
    <w:pPr>
      <w:spacing w:line="240" w:lineRule="auto"/>
    </w:pPr>
    <w:rPr>
      <w:b/>
      <w:bCs/>
      <w:color w:val="5B9BD5" w:themeColor="accent1"/>
      <w:sz w:val="18"/>
      <w:szCs w:val="18"/>
    </w:rPr>
  </w:style>
  <w:style w:type="paragraph" w:styleId="Title">
    <w:name w:val="Title"/>
    <w:basedOn w:val="Normal"/>
    <w:next w:val="Normal"/>
    <w:link w:val="TitleChar"/>
    <w:uiPriority w:val="10"/>
    <w:qFormat/>
    <w:rsid w:val="000D0D8D"/>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0D0D8D"/>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0D0D8D"/>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0D0D8D"/>
    <w:rPr>
      <w:rFonts w:asciiTheme="majorHAnsi" w:eastAsiaTheme="majorEastAsia" w:hAnsiTheme="majorHAnsi" w:cstheme="majorBidi"/>
      <w:i/>
      <w:iCs/>
      <w:color w:val="5B9BD5" w:themeColor="accent1"/>
      <w:spacing w:val="15"/>
      <w:sz w:val="24"/>
      <w:szCs w:val="24"/>
    </w:rPr>
  </w:style>
  <w:style w:type="character" w:styleId="Strong">
    <w:name w:val="Strong"/>
    <w:basedOn w:val="DefaultParagraphFont"/>
    <w:uiPriority w:val="22"/>
    <w:qFormat/>
    <w:rsid w:val="000D0D8D"/>
    <w:rPr>
      <w:b/>
      <w:bCs/>
    </w:rPr>
  </w:style>
  <w:style w:type="character" w:styleId="Emphasis">
    <w:name w:val="Emphasis"/>
    <w:basedOn w:val="DefaultParagraphFont"/>
    <w:uiPriority w:val="20"/>
    <w:qFormat/>
    <w:rsid w:val="000D0D8D"/>
    <w:rPr>
      <w:i/>
      <w:iCs/>
    </w:rPr>
  </w:style>
  <w:style w:type="paragraph" w:styleId="NoSpacing">
    <w:name w:val="No Spacing"/>
    <w:uiPriority w:val="1"/>
    <w:qFormat/>
    <w:rsid w:val="000D0D8D"/>
    <w:pPr>
      <w:spacing w:after="0" w:line="240" w:lineRule="auto"/>
    </w:pPr>
  </w:style>
  <w:style w:type="paragraph" w:styleId="Quote">
    <w:name w:val="Quote"/>
    <w:basedOn w:val="Normal"/>
    <w:next w:val="Normal"/>
    <w:link w:val="QuoteChar"/>
    <w:uiPriority w:val="29"/>
    <w:qFormat/>
    <w:rsid w:val="000D0D8D"/>
    <w:rPr>
      <w:i/>
      <w:iCs/>
      <w:color w:val="000000" w:themeColor="text1"/>
    </w:rPr>
  </w:style>
  <w:style w:type="character" w:customStyle="1" w:styleId="QuoteChar">
    <w:name w:val="Quote Char"/>
    <w:basedOn w:val="DefaultParagraphFont"/>
    <w:link w:val="Quote"/>
    <w:uiPriority w:val="29"/>
    <w:rsid w:val="000D0D8D"/>
    <w:rPr>
      <w:i/>
      <w:iCs/>
      <w:color w:val="000000" w:themeColor="text1"/>
    </w:rPr>
  </w:style>
  <w:style w:type="paragraph" w:styleId="IntenseQuote">
    <w:name w:val="Intense Quote"/>
    <w:basedOn w:val="Normal"/>
    <w:next w:val="Normal"/>
    <w:link w:val="IntenseQuoteChar"/>
    <w:uiPriority w:val="30"/>
    <w:qFormat/>
    <w:rsid w:val="000D0D8D"/>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0D0D8D"/>
    <w:rPr>
      <w:b/>
      <w:bCs/>
      <w:i/>
      <w:iCs/>
      <w:color w:val="5B9BD5" w:themeColor="accent1"/>
    </w:rPr>
  </w:style>
  <w:style w:type="character" w:styleId="SubtleEmphasis">
    <w:name w:val="Subtle Emphasis"/>
    <w:basedOn w:val="DefaultParagraphFont"/>
    <w:uiPriority w:val="19"/>
    <w:qFormat/>
    <w:rsid w:val="000D0D8D"/>
    <w:rPr>
      <w:i/>
      <w:iCs/>
      <w:color w:val="808080" w:themeColor="text1" w:themeTint="7F"/>
    </w:rPr>
  </w:style>
  <w:style w:type="character" w:styleId="IntenseEmphasis">
    <w:name w:val="Intense Emphasis"/>
    <w:basedOn w:val="DefaultParagraphFont"/>
    <w:uiPriority w:val="21"/>
    <w:qFormat/>
    <w:rsid w:val="000D0D8D"/>
    <w:rPr>
      <w:b/>
      <w:bCs/>
      <w:i/>
      <w:iCs/>
      <w:color w:val="5B9BD5" w:themeColor="accent1"/>
    </w:rPr>
  </w:style>
  <w:style w:type="character" w:styleId="SubtleReference">
    <w:name w:val="Subtle Reference"/>
    <w:basedOn w:val="DefaultParagraphFont"/>
    <w:uiPriority w:val="31"/>
    <w:qFormat/>
    <w:rsid w:val="000D0D8D"/>
    <w:rPr>
      <w:smallCaps/>
      <w:color w:val="ED7D31" w:themeColor="accent2"/>
      <w:u w:val="single"/>
    </w:rPr>
  </w:style>
  <w:style w:type="character" w:styleId="IntenseReference">
    <w:name w:val="Intense Reference"/>
    <w:basedOn w:val="DefaultParagraphFont"/>
    <w:uiPriority w:val="32"/>
    <w:qFormat/>
    <w:rsid w:val="000D0D8D"/>
    <w:rPr>
      <w:b/>
      <w:bCs/>
      <w:smallCaps/>
      <w:color w:val="ED7D31" w:themeColor="accent2"/>
      <w:spacing w:val="5"/>
      <w:u w:val="single"/>
    </w:rPr>
  </w:style>
  <w:style w:type="character" w:styleId="BookTitle">
    <w:name w:val="Book Title"/>
    <w:basedOn w:val="DefaultParagraphFont"/>
    <w:uiPriority w:val="33"/>
    <w:qFormat/>
    <w:rsid w:val="000D0D8D"/>
    <w:rPr>
      <w:b/>
      <w:bCs/>
      <w:smallCaps/>
      <w:spacing w:val="5"/>
    </w:rPr>
  </w:style>
  <w:style w:type="paragraph" w:styleId="TOCHeading">
    <w:name w:val="TOC Heading"/>
    <w:basedOn w:val="Heading1"/>
    <w:next w:val="Normal"/>
    <w:uiPriority w:val="39"/>
    <w:semiHidden/>
    <w:unhideWhenUsed/>
    <w:qFormat/>
    <w:rsid w:val="000D0D8D"/>
    <w:pPr>
      <w:outlineLvl w:val="9"/>
    </w:pPr>
  </w:style>
  <w:style w:type="character" w:styleId="Hyperlink">
    <w:name w:val="Hyperlink"/>
    <w:basedOn w:val="DefaultParagraphFont"/>
    <w:uiPriority w:val="99"/>
    <w:unhideWhenUsed/>
    <w:rsid w:val="00AD090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Graph 1 -</a:t>
            </a:r>
            <a:r>
              <a:rPr lang="en-GB" baseline="0"/>
              <a:t> Results of Assessment vs Expected Grade</a:t>
            </a:r>
            <a:endParaRPr lang="en-GB"/>
          </a:p>
        </c:rich>
      </c:tx>
      <c:layout>
        <c:manualLayout>
          <c:xMode val="edge"/>
          <c:yMode val="edge"/>
          <c:x val="0.14833333333333337"/>
          <c:y val="3.7037037037037042E-2"/>
        </c:manualLayout>
      </c:layout>
      <c:overlay val="0"/>
      <c:spPr>
        <a:noFill/>
        <a:ln>
          <a:noFill/>
        </a:ln>
        <a:effectLst/>
      </c:spPr>
    </c:title>
    <c:autoTitleDeleted val="0"/>
    <c:plotArea>
      <c:layout/>
      <c:barChart>
        <c:barDir val="col"/>
        <c:grouping val="clustered"/>
        <c:varyColors val="0"/>
        <c:ser>
          <c:idx val="0"/>
          <c:order val="0"/>
          <c:tx>
            <c:strRef>
              <c:f>Sheet1!$C$1</c:f>
              <c:strCache>
                <c:ptCount val="1"/>
                <c:pt idx="0">
                  <c:v>SP</c:v>
                </c:pt>
              </c:strCache>
            </c:strRef>
          </c:tx>
          <c:spPr>
            <a:solidFill>
              <a:schemeClr val="accent6">
                <a:lumMod val="75000"/>
              </a:schemeClr>
            </a:solidFill>
            <a:ln>
              <a:noFill/>
            </a:ln>
            <a:effectLst/>
          </c:spPr>
          <c:invertIfNegative val="0"/>
          <c:cat>
            <c:strRef>
              <c:f>Sheet1!$A$2:$A$4</c:f>
              <c:strCache>
                <c:ptCount val="3"/>
                <c:pt idx="0">
                  <c:v>Higher</c:v>
                </c:pt>
                <c:pt idx="1">
                  <c:v>Same</c:v>
                </c:pt>
                <c:pt idx="2">
                  <c:v>Lower</c:v>
                </c:pt>
              </c:strCache>
            </c:strRef>
          </c:cat>
          <c:val>
            <c:numRef>
              <c:f>Sheet1!$C$2:$C$4</c:f>
              <c:numCache>
                <c:formatCode>General</c:formatCode>
                <c:ptCount val="3"/>
                <c:pt idx="0">
                  <c:v>56.000000000000007</c:v>
                </c:pt>
                <c:pt idx="1">
                  <c:v>32</c:v>
                </c:pt>
                <c:pt idx="2">
                  <c:v>12</c:v>
                </c:pt>
              </c:numCache>
            </c:numRef>
          </c:val>
          <c:extLst>
            <c:ext xmlns:c16="http://schemas.microsoft.com/office/drawing/2014/chart" uri="{C3380CC4-5D6E-409C-BE32-E72D297353CC}">
              <c16:uniqueId val="{00000000-8521-49A5-9914-DC91705BE972}"/>
            </c:ext>
          </c:extLst>
        </c:ser>
        <c:ser>
          <c:idx val="1"/>
          <c:order val="1"/>
          <c:tx>
            <c:strRef>
              <c:f>Sheet1!$E$1</c:f>
              <c:strCache>
                <c:ptCount val="1"/>
                <c:pt idx="0">
                  <c:v>NSP</c:v>
                </c:pt>
              </c:strCache>
            </c:strRef>
          </c:tx>
          <c:spPr>
            <a:solidFill>
              <a:srgbClr val="92D050"/>
            </a:solidFill>
            <a:ln>
              <a:noFill/>
            </a:ln>
            <a:effectLst/>
          </c:spPr>
          <c:invertIfNegative val="0"/>
          <c:cat>
            <c:strRef>
              <c:f>Sheet1!$A$2:$A$4</c:f>
              <c:strCache>
                <c:ptCount val="3"/>
                <c:pt idx="0">
                  <c:v>Higher</c:v>
                </c:pt>
                <c:pt idx="1">
                  <c:v>Same</c:v>
                </c:pt>
                <c:pt idx="2">
                  <c:v>Lower</c:v>
                </c:pt>
              </c:strCache>
            </c:strRef>
          </c:cat>
          <c:val>
            <c:numRef>
              <c:f>Sheet1!$E$2:$E$4</c:f>
              <c:numCache>
                <c:formatCode>0</c:formatCode>
                <c:ptCount val="3"/>
                <c:pt idx="0">
                  <c:v>11.428571428571429</c:v>
                </c:pt>
                <c:pt idx="1">
                  <c:v>80</c:v>
                </c:pt>
                <c:pt idx="2">
                  <c:v>5.7142857142857144</c:v>
                </c:pt>
              </c:numCache>
            </c:numRef>
          </c:val>
          <c:extLst>
            <c:ext xmlns:c16="http://schemas.microsoft.com/office/drawing/2014/chart" uri="{C3380CC4-5D6E-409C-BE32-E72D297353CC}">
              <c16:uniqueId val="{00000001-8521-49A5-9914-DC91705BE972}"/>
            </c:ext>
          </c:extLst>
        </c:ser>
        <c:dLbls>
          <c:showLegendKey val="0"/>
          <c:showVal val="0"/>
          <c:showCatName val="0"/>
          <c:showSerName val="0"/>
          <c:showPercent val="0"/>
          <c:showBubbleSize val="0"/>
        </c:dLbls>
        <c:gapWidth val="219"/>
        <c:overlap val="-27"/>
        <c:axId val="44414080"/>
        <c:axId val="44415616"/>
      </c:barChart>
      <c:catAx>
        <c:axId val="4441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15616"/>
        <c:crosses val="autoZero"/>
        <c:auto val="1"/>
        <c:lblAlgn val="ctr"/>
        <c:lblOffset val="100"/>
        <c:noMultiLvlLbl val="0"/>
      </c:catAx>
      <c:valAx>
        <c:axId val="444156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of Pupils</a:t>
                </a: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1408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987</TotalTime>
  <Pages>26</Pages>
  <Words>6937</Words>
  <Characters>39542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Brock (1700386)</dc:creator>
  <cp:keywords/>
  <dc:description/>
  <cp:lastModifiedBy>Catrin Brock (1700386)</cp:lastModifiedBy>
  <cp:revision>48</cp:revision>
  <dcterms:created xsi:type="dcterms:W3CDTF">2018-04-28T11:55:00Z</dcterms:created>
  <dcterms:modified xsi:type="dcterms:W3CDTF">2018-05-13T12:50:00Z</dcterms:modified>
</cp:coreProperties>
</file>