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A55A1" w:rsidRDefault="007A55A1">
      <w:pPr>
        <w:pStyle w:val="NoSpacing"/>
        <w:spacing w:before="1540" w:after="240"/>
        <w:jc w:val="center"/>
        <w:rPr>
          <w:rFonts w:ascii="Arial" w:eastAsiaTheme="minorHAnsi" w:hAnsi="Arial"/>
          <w:color w:val="5B9BD5" w:themeColor="accent1"/>
          <w:kern w:val="2"/>
          <w:sz w:val="24"/>
          <w:szCs w:val="24"/>
          <w:lang w:val="en-GB"/>
          <w14:ligatures w14:val="standardContextual"/>
        </w:rPr>
      </w:pPr>
      <w:bookmarkStart w:id="0" w:name="_GoBack"/>
      <w:bookmarkEnd w:id="0"/>
    </w:p>
    <w:sdt>
      <w:sdtPr>
        <w:rPr>
          <w:rFonts w:ascii="Arial" w:eastAsiaTheme="minorHAnsi" w:hAnsi="Arial"/>
          <w:color w:val="5B9BD5" w:themeColor="accent1"/>
          <w:kern w:val="2"/>
          <w:sz w:val="24"/>
          <w:szCs w:val="24"/>
          <w:lang w:val="en-GB"/>
          <w14:ligatures w14:val="standardContextual"/>
        </w:rPr>
        <w:id w:val="1263811521"/>
        <w:docPartObj>
          <w:docPartGallery w:val="Cover Pages"/>
          <w:docPartUnique/>
        </w:docPartObj>
      </w:sdtPr>
      <w:sdtEndPr>
        <w:rPr>
          <w:color w:val="auto"/>
        </w:rPr>
      </w:sdtEndPr>
      <w:sdtContent>
        <w:p w:rsidR="002A6320" w:rsidRDefault="002A6320">
          <w:pPr>
            <w:pStyle w:val="NoSpacing"/>
            <w:spacing w:before="1540" w:after="240"/>
            <w:jc w:val="center"/>
            <w:rPr>
              <w:color w:val="5B9BD5" w:themeColor="accent1"/>
            </w:rPr>
          </w:pPr>
          <w:r>
            <w:rPr>
              <w:noProof/>
              <w:color w:val="5B9BD5" w:themeColor="accent1"/>
              <w:lang w:val="en-GB" w:eastAsia="en-GB"/>
            </w:rPr>
            <w:drawing>
              <wp:inline distT="0" distB="0" distL="0" distR="0" wp14:anchorId="17221BB8" wp14:editId="128E19A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b/>
              <w:caps/>
              <w:color w:val="5B9BD5" w:themeColor="accent1"/>
              <w:sz w:val="36"/>
              <w:szCs w:val="72"/>
            </w:rPr>
            <w:alias w:val="Title"/>
            <w:tag w:val=""/>
            <w:id w:val="1735040861"/>
            <w:placeholder>
              <w:docPart w:val="F13844B73D464C6499BD0012CB356D6E"/>
            </w:placeholder>
            <w:dataBinding w:prefixMappings="xmlns:ns0='http://purl.org/dc/elements/1.1/' xmlns:ns1='http://schemas.openxmlformats.org/package/2006/metadata/core-properties' " w:xpath="/ns1:coreProperties[1]/ns0:title[1]" w:storeItemID="{6C3C8BC8-F283-45AE-878A-BAB7291924A1}"/>
            <w:text/>
          </w:sdtPr>
          <w:sdtEndPr/>
          <w:sdtContent>
            <w:p w:rsidR="002A6320" w:rsidRPr="002A6320" w:rsidRDefault="00227529" w:rsidP="002A6320">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b/>
                  <w:caps/>
                  <w:color w:val="5B9BD5" w:themeColor="accent1"/>
                  <w:sz w:val="40"/>
                  <w:szCs w:val="80"/>
                </w:rPr>
              </w:pPr>
              <w:r>
                <w:rPr>
                  <w:rFonts w:ascii="Times New Roman" w:eastAsiaTheme="majorEastAsia" w:hAnsi="Times New Roman" w:cs="Times New Roman"/>
                  <w:b/>
                  <w:caps/>
                  <w:color w:val="5B9BD5" w:themeColor="accent1"/>
                  <w:sz w:val="36"/>
                  <w:szCs w:val="72"/>
                </w:rPr>
                <w:t>STRATEGIC MANAGEMENT REPORT</w:t>
              </w:r>
            </w:p>
          </w:sdtContent>
        </w:sdt>
        <w:p w:rsidR="002A6320" w:rsidRDefault="002A6320">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707B74F5" wp14:editId="4B42D1E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E6DF9" w:rsidRDefault="00AE6DF9">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07B74F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rsidR="00AE6DF9" w:rsidRDefault="00AE6DF9">
                          <w:pPr>
                            <w:pStyle w:val="NoSpacing"/>
                            <w:jc w:val="center"/>
                            <w:rPr>
                              <w:color w:val="5B9BD5" w:themeColor="accent1"/>
                            </w:rPr>
                          </w:pPr>
                        </w:p>
                      </w:txbxContent>
                    </v:textbox>
                    <w10:wrap anchorx="margin" anchory="page"/>
                  </v:shape>
                </w:pict>
              </mc:Fallback>
            </mc:AlternateContent>
          </w:r>
          <w:r>
            <w:rPr>
              <w:noProof/>
              <w:color w:val="5B9BD5" w:themeColor="accent1"/>
              <w:lang w:val="en-GB" w:eastAsia="en-GB"/>
            </w:rPr>
            <w:drawing>
              <wp:inline distT="0" distB="0" distL="0" distR="0" wp14:anchorId="5D7BE209" wp14:editId="749B5FE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2A6320" w:rsidRDefault="002A6320">
          <w:pPr>
            <w:spacing w:line="278" w:lineRule="auto"/>
            <w:jc w:val="left"/>
            <w:rPr>
              <w:rFonts w:eastAsiaTheme="majorEastAsia" w:cstheme="majorBidi"/>
              <w:b/>
              <w:color w:val="1F4E79" w:themeColor="accent1" w:themeShade="80"/>
              <w:sz w:val="36"/>
              <w:szCs w:val="40"/>
            </w:rPr>
          </w:pPr>
          <w:r>
            <w:br w:type="page"/>
          </w:r>
        </w:p>
      </w:sdtContent>
    </w:sdt>
    <w:p w:rsidR="00A279F9" w:rsidRDefault="00A279F9" w:rsidP="00EC7AEE">
      <w:pPr>
        <w:rPr>
          <w:rStyle w:val="Heading1Char"/>
          <w:rFonts w:ascii="Arial" w:hAnsi="Arial"/>
          <w:b w:val="0"/>
        </w:rPr>
      </w:pPr>
      <w:bookmarkStart w:id="1" w:name="_Toc227625663"/>
      <w:r w:rsidRPr="00C07F31">
        <w:rPr>
          <w:noProof/>
          <w:lang w:eastAsia="en-GB"/>
        </w:rPr>
        <w:lastRenderedPageBreak/>
        <w:drawing>
          <wp:inline distT="0" distB="0" distL="0" distR="0" wp14:anchorId="44B9711C" wp14:editId="193526E0">
            <wp:extent cx="2921000" cy="11176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852" t="14667" r="7515" b="7111"/>
                    <a:stretch/>
                  </pic:blipFill>
                  <pic:spPr bwMode="auto">
                    <a:xfrm>
                      <a:off x="0" y="0"/>
                      <a:ext cx="2921408" cy="1117756"/>
                    </a:xfrm>
                    <a:prstGeom prst="rect">
                      <a:avLst/>
                    </a:prstGeom>
                    <a:ln>
                      <a:noFill/>
                    </a:ln>
                    <a:extLst>
                      <a:ext uri="{53640926-AAD7-44D8-BBD7-CCE9431645EC}">
                        <a14:shadowObscured xmlns:a14="http://schemas.microsoft.com/office/drawing/2010/main"/>
                      </a:ext>
                    </a:extLst>
                  </pic:spPr>
                </pic:pic>
              </a:graphicData>
            </a:graphic>
          </wp:inline>
        </w:drawing>
      </w:r>
      <w:bookmarkEnd w:id="1"/>
    </w:p>
    <w:p w:rsidR="00A279F9" w:rsidRPr="00A279F9" w:rsidRDefault="00A279F9" w:rsidP="00A279F9"/>
    <w:p w:rsidR="00922B45" w:rsidRPr="004F1122" w:rsidRDefault="00922B45" w:rsidP="00EC7AEE">
      <w:pPr>
        <w:jc w:val="center"/>
        <w:rPr>
          <w:rFonts w:ascii="Times New Roman" w:hAnsi="Times New Roman"/>
          <w:color w:val="2E74B5" w:themeColor="accent1" w:themeShade="BF"/>
          <w:sz w:val="36"/>
        </w:rPr>
      </w:pPr>
      <w:r w:rsidRPr="004F1122">
        <w:rPr>
          <w:rStyle w:val="Strong"/>
          <w:b w:val="0"/>
          <w:bCs w:val="0"/>
          <w:color w:val="2E74B5" w:themeColor="accent1" w:themeShade="BF"/>
          <w:sz w:val="32"/>
        </w:rPr>
        <w:t>Module Title:</w:t>
      </w:r>
    </w:p>
    <w:p w:rsidR="00922B45" w:rsidRPr="004F1122" w:rsidRDefault="00922B45" w:rsidP="00EC7AEE">
      <w:pPr>
        <w:jc w:val="center"/>
      </w:pPr>
      <w:r w:rsidRPr="004F1122">
        <w:t>Strategic Management (LCMB7003)</w:t>
      </w:r>
    </w:p>
    <w:p w:rsidR="00922B45" w:rsidRPr="004F1122" w:rsidRDefault="00922B45" w:rsidP="00EC7AEE">
      <w:pPr>
        <w:jc w:val="center"/>
        <w:rPr>
          <w:color w:val="2E74B5" w:themeColor="accent1" w:themeShade="BF"/>
          <w:sz w:val="32"/>
        </w:rPr>
      </w:pPr>
      <w:r w:rsidRPr="004F1122">
        <w:rPr>
          <w:rStyle w:val="Strong"/>
          <w:b w:val="0"/>
          <w:bCs w:val="0"/>
          <w:color w:val="2E74B5" w:themeColor="accent1" w:themeShade="BF"/>
          <w:sz w:val="32"/>
        </w:rPr>
        <w:t>Assignment Title:</w:t>
      </w:r>
    </w:p>
    <w:p w:rsidR="00922B45" w:rsidRDefault="00922B45" w:rsidP="00EC7AEE">
      <w:pPr>
        <w:jc w:val="center"/>
      </w:pPr>
      <w:r>
        <w:t>Strategic Management Report</w:t>
      </w:r>
    </w:p>
    <w:p w:rsidR="00922B45" w:rsidRPr="004F1122" w:rsidRDefault="00922B45" w:rsidP="00EC7AEE">
      <w:pPr>
        <w:jc w:val="center"/>
        <w:rPr>
          <w:rStyle w:val="Strong"/>
          <w:b w:val="0"/>
          <w:bCs w:val="0"/>
          <w:color w:val="2E74B5" w:themeColor="accent1" w:themeShade="BF"/>
          <w:sz w:val="32"/>
        </w:rPr>
      </w:pPr>
      <w:r w:rsidRPr="004F1122">
        <w:rPr>
          <w:rStyle w:val="Strong"/>
          <w:b w:val="0"/>
          <w:bCs w:val="0"/>
          <w:color w:val="2E74B5" w:themeColor="accent1" w:themeShade="BF"/>
          <w:sz w:val="32"/>
        </w:rPr>
        <w:t>Student Name:</w:t>
      </w:r>
    </w:p>
    <w:p w:rsidR="00227529" w:rsidRPr="00227529" w:rsidRDefault="00227529" w:rsidP="00EC7AEE">
      <w:pPr>
        <w:jc w:val="center"/>
      </w:pPr>
      <w:r w:rsidRPr="00227529">
        <w:t>Haroon Ahmad</w:t>
      </w:r>
    </w:p>
    <w:p w:rsidR="00922B45" w:rsidRPr="004F1122" w:rsidRDefault="00922B45" w:rsidP="00EC7AEE">
      <w:pPr>
        <w:jc w:val="center"/>
        <w:rPr>
          <w:color w:val="2E74B5" w:themeColor="accent1" w:themeShade="BF"/>
        </w:rPr>
      </w:pPr>
      <w:r w:rsidRPr="004F1122">
        <w:rPr>
          <w:rStyle w:val="Strong"/>
          <w:b w:val="0"/>
          <w:bCs w:val="0"/>
          <w:color w:val="2E74B5" w:themeColor="accent1" w:themeShade="BF"/>
          <w:sz w:val="32"/>
        </w:rPr>
        <w:t>Student ID:</w:t>
      </w:r>
    </w:p>
    <w:p w:rsidR="00922B45" w:rsidRDefault="00227529" w:rsidP="00EC7AEE">
      <w:pPr>
        <w:jc w:val="center"/>
      </w:pPr>
      <w:r w:rsidRPr="00227529">
        <w:t>2437163</w:t>
      </w:r>
    </w:p>
    <w:p w:rsidR="00572120" w:rsidRPr="004F1122" w:rsidRDefault="00922B45" w:rsidP="00EC7AEE">
      <w:pPr>
        <w:jc w:val="center"/>
      </w:pPr>
      <w:r w:rsidRPr="004F1122">
        <w:rPr>
          <w:rStyle w:val="Strong"/>
          <w:b w:val="0"/>
          <w:bCs w:val="0"/>
          <w:color w:val="2E74B5" w:themeColor="accent1" w:themeShade="BF"/>
          <w:sz w:val="32"/>
        </w:rPr>
        <w:t>Module Leader:</w:t>
      </w:r>
    </w:p>
    <w:p w:rsidR="00922B45" w:rsidRPr="00922B45" w:rsidRDefault="00922B45" w:rsidP="00EC7AEE">
      <w:pPr>
        <w:jc w:val="center"/>
      </w:pPr>
      <w:r w:rsidRPr="00922B45">
        <w:t>Amare Desta Zulf Khan</w:t>
      </w:r>
    </w:p>
    <w:p w:rsidR="00922B45" w:rsidRPr="004F1122" w:rsidRDefault="00922B45" w:rsidP="00EC7AEE">
      <w:pPr>
        <w:jc w:val="center"/>
        <w:rPr>
          <w:color w:val="2E74B5" w:themeColor="accent1" w:themeShade="BF"/>
          <w:sz w:val="32"/>
        </w:rPr>
      </w:pPr>
      <w:r w:rsidRPr="004F1122">
        <w:rPr>
          <w:rStyle w:val="Strong"/>
          <w:b w:val="0"/>
          <w:bCs w:val="0"/>
          <w:color w:val="2E74B5" w:themeColor="accent1" w:themeShade="BF"/>
          <w:sz w:val="32"/>
        </w:rPr>
        <w:t>Submission Date:</w:t>
      </w:r>
    </w:p>
    <w:p w:rsidR="00922B45" w:rsidRDefault="00227529" w:rsidP="00EC7AEE">
      <w:pPr>
        <w:jc w:val="center"/>
      </w:pPr>
      <w:r>
        <w:t>1/05/</w:t>
      </w:r>
      <w:r w:rsidRPr="00227529">
        <w:t>2026</w:t>
      </w:r>
    </w:p>
    <w:p w:rsidR="00922B45" w:rsidRPr="004F1122" w:rsidRDefault="00922B45" w:rsidP="00EC7AEE">
      <w:pPr>
        <w:jc w:val="center"/>
        <w:rPr>
          <w:color w:val="2E74B5" w:themeColor="accent1" w:themeShade="BF"/>
          <w:sz w:val="32"/>
        </w:rPr>
      </w:pPr>
      <w:r w:rsidRPr="004F1122">
        <w:rPr>
          <w:rStyle w:val="Strong"/>
          <w:b w:val="0"/>
          <w:bCs w:val="0"/>
          <w:color w:val="2E74B5" w:themeColor="accent1" w:themeShade="BF"/>
          <w:sz w:val="32"/>
        </w:rPr>
        <w:t>Word Count:</w:t>
      </w:r>
    </w:p>
    <w:p w:rsidR="00922B45" w:rsidRDefault="00227529" w:rsidP="00EC7AEE">
      <w:pPr>
        <w:jc w:val="center"/>
      </w:pPr>
      <w:r w:rsidRPr="00227529">
        <w:t>5467</w:t>
      </w:r>
    </w:p>
    <w:p w:rsidR="007F000E" w:rsidRDefault="007F000E">
      <w:pPr>
        <w:spacing w:line="278" w:lineRule="auto"/>
        <w:jc w:val="left"/>
      </w:pPr>
      <w:r>
        <w:br w:type="page"/>
      </w:r>
    </w:p>
    <w:sdt>
      <w:sdtPr>
        <w:rPr>
          <w:rFonts w:ascii="Arial" w:eastAsiaTheme="minorHAnsi" w:hAnsi="Arial" w:cstheme="minorBidi"/>
          <w:color w:val="auto"/>
          <w:kern w:val="2"/>
          <w:sz w:val="22"/>
          <w:szCs w:val="24"/>
          <w:lang w:val="en-GB"/>
          <w14:ligatures w14:val="standardContextual"/>
        </w:rPr>
        <w:id w:val="-1007669423"/>
        <w:docPartObj>
          <w:docPartGallery w:val="Table of Contents"/>
          <w:docPartUnique/>
        </w:docPartObj>
      </w:sdtPr>
      <w:sdtEndPr>
        <w:rPr>
          <w:b/>
          <w:bCs/>
          <w:noProof/>
          <w:sz w:val="24"/>
        </w:rPr>
      </w:sdtEndPr>
      <w:sdtContent>
        <w:p w:rsidR="007F000E" w:rsidRPr="007F000E" w:rsidRDefault="007F000E">
          <w:pPr>
            <w:pStyle w:val="TOCHeading"/>
            <w:rPr>
              <w:rFonts w:ascii="Arial" w:hAnsi="Arial" w:cs="Arial"/>
              <w:b/>
            </w:rPr>
          </w:pPr>
          <w:r w:rsidRPr="007F000E">
            <w:rPr>
              <w:rFonts w:ascii="Arial" w:hAnsi="Arial" w:cs="Arial"/>
              <w:b/>
            </w:rPr>
            <w:t>Table of Contents</w:t>
          </w:r>
        </w:p>
        <w:p w:rsidR="007F000E" w:rsidRDefault="007F000E">
          <w:pPr>
            <w:pStyle w:val="TOC1"/>
            <w:tabs>
              <w:tab w:val="right" w:leader="dot" w:pos="9016"/>
            </w:tabs>
            <w:rPr>
              <w:noProof/>
            </w:rPr>
          </w:pPr>
          <w:r>
            <w:fldChar w:fldCharType="begin"/>
          </w:r>
          <w:r>
            <w:instrText xml:space="preserve"> TOC \o "1-3" \h \z \u </w:instrText>
          </w:r>
          <w:r>
            <w:fldChar w:fldCharType="separate"/>
          </w:r>
          <w:hyperlink w:anchor="_Toc227625663" w:history="1">
            <w:r>
              <w:rPr>
                <w:noProof/>
                <w:webHidden/>
              </w:rPr>
              <w:tab/>
            </w:r>
            <w:r>
              <w:rPr>
                <w:noProof/>
                <w:webHidden/>
              </w:rPr>
              <w:fldChar w:fldCharType="begin"/>
            </w:r>
            <w:r>
              <w:rPr>
                <w:noProof/>
                <w:webHidden/>
              </w:rPr>
              <w:instrText xml:space="preserve"> PAGEREF _Toc227625663 \h </w:instrText>
            </w:r>
            <w:r>
              <w:rPr>
                <w:noProof/>
                <w:webHidden/>
              </w:rPr>
            </w:r>
            <w:r>
              <w:rPr>
                <w:noProof/>
                <w:webHidden/>
              </w:rPr>
              <w:fldChar w:fldCharType="separate"/>
            </w:r>
            <w:r w:rsidR="00EC7AEE">
              <w:rPr>
                <w:noProof/>
                <w:webHidden/>
              </w:rPr>
              <w:t>1</w:t>
            </w:r>
            <w:r>
              <w:rPr>
                <w:noProof/>
                <w:webHidden/>
              </w:rPr>
              <w:fldChar w:fldCharType="end"/>
            </w:r>
          </w:hyperlink>
        </w:p>
        <w:p w:rsidR="007F000E" w:rsidRDefault="00816C5C">
          <w:pPr>
            <w:pStyle w:val="TOC1"/>
            <w:tabs>
              <w:tab w:val="right" w:leader="dot" w:pos="9016"/>
            </w:tabs>
            <w:rPr>
              <w:noProof/>
            </w:rPr>
          </w:pPr>
          <w:hyperlink w:anchor="_Toc227625664" w:history="1">
            <w:r w:rsidR="007F000E" w:rsidRPr="00F6210C">
              <w:rPr>
                <w:rStyle w:val="Hyperlink"/>
                <w:noProof/>
              </w:rPr>
              <w:t>SECTION 1</w:t>
            </w:r>
            <w:r w:rsidR="007F000E">
              <w:rPr>
                <w:noProof/>
                <w:webHidden/>
              </w:rPr>
              <w:tab/>
            </w:r>
            <w:r w:rsidR="007F000E">
              <w:rPr>
                <w:noProof/>
                <w:webHidden/>
              </w:rPr>
              <w:fldChar w:fldCharType="begin"/>
            </w:r>
            <w:r w:rsidR="007F000E">
              <w:rPr>
                <w:noProof/>
                <w:webHidden/>
              </w:rPr>
              <w:instrText xml:space="preserve"> PAGEREF _Toc227625664 \h </w:instrText>
            </w:r>
            <w:r w:rsidR="007F000E">
              <w:rPr>
                <w:noProof/>
                <w:webHidden/>
              </w:rPr>
            </w:r>
            <w:r w:rsidR="007F000E">
              <w:rPr>
                <w:noProof/>
                <w:webHidden/>
              </w:rPr>
              <w:fldChar w:fldCharType="separate"/>
            </w:r>
            <w:r w:rsidR="00EC7AEE">
              <w:rPr>
                <w:noProof/>
                <w:webHidden/>
              </w:rPr>
              <w:t>3</w:t>
            </w:r>
            <w:r w:rsidR="007F000E">
              <w:rPr>
                <w:noProof/>
                <w:webHidden/>
              </w:rPr>
              <w:fldChar w:fldCharType="end"/>
            </w:r>
          </w:hyperlink>
        </w:p>
        <w:p w:rsidR="007F000E" w:rsidRDefault="00816C5C">
          <w:pPr>
            <w:pStyle w:val="TOC1"/>
            <w:tabs>
              <w:tab w:val="right" w:leader="dot" w:pos="9016"/>
            </w:tabs>
            <w:rPr>
              <w:noProof/>
            </w:rPr>
          </w:pPr>
          <w:hyperlink w:anchor="_Toc227625665" w:history="1">
            <w:r w:rsidR="007F000E" w:rsidRPr="00F6210C">
              <w:rPr>
                <w:rStyle w:val="Hyperlink"/>
                <w:noProof/>
              </w:rPr>
              <w:t>1. Introduction</w:t>
            </w:r>
            <w:r w:rsidR="007F000E">
              <w:rPr>
                <w:noProof/>
                <w:webHidden/>
              </w:rPr>
              <w:tab/>
            </w:r>
            <w:r w:rsidR="007F000E">
              <w:rPr>
                <w:noProof/>
                <w:webHidden/>
              </w:rPr>
              <w:fldChar w:fldCharType="begin"/>
            </w:r>
            <w:r w:rsidR="007F000E">
              <w:rPr>
                <w:noProof/>
                <w:webHidden/>
              </w:rPr>
              <w:instrText xml:space="preserve"> PAGEREF _Toc227625665 \h </w:instrText>
            </w:r>
            <w:r w:rsidR="007F000E">
              <w:rPr>
                <w:noProof/>
                <w:webHidden/>
              </w:rPr>
            </w:r>
            <w:r w:rsidR="007F000E">
              <w:rPr>
                <w:noProof/>
                <w:webHidden/>
              </w:rPr>
              <w:fldChar w:fldCharType="separate"/>
            </w:r>
            <w:r w:rsidR="00EC7AEE">
              <w:rPr>
                <w:noProof/>
                <w:webHidden/>
              </w:rPr>
              <w:t>3</w:t>
            </w:r>
            <w:r w:rsidR="007F000E">
              <w:rPr>
                <w:noProof/>
                <w:webHidden/>
              </w:rPr>
              <w:fldChar w:fldCharType="end"/>
            </w:r>
          </w:hyperlink>
        </w:p>
        <w:p w:rsidR="007F000E" w:rsidRDefault="00816C5C">
          <w:pPr>
            <w:pStyle w:val="TOC1"/>
            <w:tabs>
              <w:tab w:val="right" w:leader="dot" w:pos="9016"/>
            </w:tabs>
            <w:rPr>
              <w:noProof/>
            </w:rPr>
          </w:pPr>
          <w:hyperlink w:anchor="_Toc227625666" w:history="1">
            <w:r w:rsidR="007F000E" w:rsidRPr="00F6210C">
              <w:rPr>
                <w:rStyle w:val="Hyperlink"/>
                <w:noProof/>
              </w:rPr>
              <w:t>2. Organisational Context and Overview</w:t>
            </w:r>
            <w:r w:rsidR="007F000E">
              <w:rPr>
                <w:noProof/>
                <w:webHidden/>
              </w:rPr>
              <w:tab/>
            </w:r>
            <w:r w:rsidR="007F000E">
              <w:rPr>
                <w:noProof/>
                <w:webHidden/>
              </w:rPr>
              <w:fldChar w:fldCharType="begin"/>
            </w:r>
            <w:r w:rsidR="007F000E">
              <w:rPr>
                <w:noProof/>
                <w:webHidden/>
              </w:rPr>
              <w:instrText xml:space="preserve"> PAGEREF _Toc227625666 \h </w:instrText>
            </w:r>
            <w:r w:rsidR="007F000E">
              <w:rPr>
                <w:noProof/>
                <w:webHidden/>
              </w:rPr>
            </w:r>
            <w:r w:rsidR="007F000E">
              <w:rPr>
                <w:noProof/>
                <w:webHidden/>
              </w:rPr>
              <w:fldChar w:fldCharType="separate"/>
            </w:r>
            <w:r w:rsidR="00EC7AEE">
              <w:rPr>
                <w:noProof/>
                <w:webHidden/>
              </w:rPr>
              <w:t>3</w:t>
            </w:r>
            <w:r w:rsidR="007F000E">
              <w:rPr>
                <w:noProof/>
                <w:webHidden/>
              </w:rPr>
              <w:fldChar w:fldCharType="end"/>
            </w:r>
          </w:hyperlink>
        </w:p>
        <w:p w:rsidR="007F000E" w:rsidRDefault="00816C5C">
          <w:pPr>
            <w:pStyle w:val="TOC1"/>
            <w:tabs>
              <w:tab w:val="right" w:leader="dot" w:pos="9016"/>
            </w:tabs>
            <w:rPr>
              <w:noProof/>
            </w:rPr>
          </w:pPr>
          <w:hyperlink w:anchor="_Toc227625667" w:history="1">
            <w:r w:rsidR="007F000E" w:rsidRPr="00F6210C">
              <w:rPr>
                <w:rStyle w:val="Hyperlink"/>
                <w:noProof/>
              </w:rPr>
              <w:t>3. External Environment Analysis</w:t>
            </w:r>
            <w:r w:rsidR="007F000E">
              <w:rPr>
                <w:noProof/>
                <w:webHidden/>
              </w:rPr>
              <w:tab/>
            </w:r>
            <w:r w:rsidR="007F000E">
              <w:rPr>
                <w:noProof/>
                <w:webHidden/>
              </w:rPr>
              <w:fldChar w:fldCharType="begin"/>
            </w:r>
            <w:r w:rsidR="007F000E">
              <w:rPr>
                <w:noProof/>
                <w:webHidden/>
              </w:rPr>
              <w:instrText xml:space="preserve"> PAGEREF _Toc227625667 \h </w:instrText>
            </w:r>
            <w:r w:rsidR="007F000E">
              <w:rPr>
                <w:noProof/>
                <w:webHidden/>
              </w:rPr>
            </w:r>
            <w:r w:rsidR="007F000E">
              <w:rPr>
                <w:noProof/>
                <w:webHidden/>
              </w:rPr>
              <w:fldChar w:fldCharType="separate"/>
            </w:r>
            <w:r w:rsidR="00EC7AEE">
              <w:rPr>
                <w:noProof/>
                <w:webHidden/>
              </w:rPr>
              <w:t>6</w:t>
            </w:r>
            <w:r w:rsidR="007F000E">
              <w:rPr>
                <w:noProof/>
                <w:webHidden/>
              </w:rPr>
              <w:fldChar w:fldCharType="end"/>
            </w:r>
          </w:hyperlink>
        </w:p>
        <w:p w:rsidR="007F000E" w:rsidRDefault="00816C5C">
          <w:pPr>
            <w:pStyle w:val="TOC2"/>
            <w:tabs>
              <w:tab w:val="right" w:leader="dot" w:pos="9016"/>
            </w:tabs>
            <w:rPr>
              <w:noProof/>
            </w:rPr>
          </w:pPr>
          <w:hyperlink w:anchor="_Toc227625668" w:history="1">
            <w:r w:rsidR="007F000E" w:rsidRPr="00F6210C">
              <w:rPr>
                <w:rStyle w:val="Hyperlink"/>
                <w:noProof/>
              </w:rPr>
              <w:t>3.1 PESTLE Analysis of Tesla</w:t>
            </w:r>
            <w:r w:rsidR="007F000E">
              <w:rPr>
                <w:noProof/>
                <w:webHidden/>
              </w:rPr>
              <w:tab/>
            </w:r>
            <w:r w:rsidR="007F000E">
              <w:rPr>
                <w:noProof/>
                <w:webHidden/>
              </w:rPr>
              <w:fldChar w:fldCharType="begin"/>
            </w:r>
            <w:r w:rsidR="007F000E">
              <w:rPr>
                <w:noProof/>
                <w:webHidden/>
              </w:rPr>
              <w:instrText xml:space="preserve"> PAGEREF _Toc227625668 \h </w:instrText>
            </w:r>
            <w:r w:rsidR="007F000E">
              <w:rPr>
                <w:noProof/>
                <w:webHidden/>
              </w:rPr>
            </w:r>
            <w:r w:rsidR="007F000E">
              <w:rPr>
                <w:noProof/>
                <w:webHidden/>
              </w:rPr>
              <w:fldChar w:fldCharType="separate"/>
            </w:r>
            <w:r w:rsidR="00EC7AEE">
              <w:rPr>
                <w:noProof/>
                <w:webHidden/>
              </w:rPr>
              <w:t>6</w:t>
            </w:r>
            <w:r w:rsidR="007F000E">
              <w:rPr>
                <w:noProof/>
                <w:webHidden/>
              </w:rPr>
              <w:fldChar w:fldCharType="end"/>
            </w:r>
          </w:hyperlink>
        </w:p>
        <w:p w:rsidR="007F000E" w:rsidRDefault="00816C5C">
          <w:pPr>
            <w:pStyle w:val="TOC2"/>
            <w:tabs>
              <w:tab w:val="right" w:leader="dot" w:pos="9016"/>
            </w:tabs>
            <w:rPr>
              <w:noProof/>
            </w:rPr>
          </w:pPr>
          <w:hyperlink w:anchor="_Toc227625669" w:history="1">
            <w:r w:rsidR="007F000E" w:rsidRPr="00F6210C">
              <w:rPr>
                <w:rStyle w:val="Hyperlink"/>
                <w:noProof/>
              </w:rPr>
              <w:t>3.4 Strategic Challenges</w:t>
            </w:r>
            <w:r w:rsidR="007F000E">
              <w:rPr>
                <w:noProof/>
                <w:webHidden/>
              </w:rPr>
              <w:tab/>
            </w:r>
            <w:r w:rsidR="007F000E">
              <w:rPr>
                <w:noProof/>
                <w:webHidden/>
              </w:rPr>
              <w:fldChar w:fldCharType="begin"/>
            </w:r>
            <w:r w:rsidR="007F000E">
              <w:rPr>
                <w:noProof/>
                <w:webHidden/>
              </w:rPr>
              <w:instrText xml:space="preserve"> PAGEREF _Toc227625669 \h </w:instrText>
            </w:r>
            <w:r w:rsidR="007F000E">
              <w:rPr>
                <w:noProof/>
                <w:webHidden/>
              </w:rPr>
            </w:r>
            <w:r w:rsidR="007F000E">
              <w:rPr>
                <w:noProof/>
                <w:webHidden/>
              </w:rPr>
              <w:fldChar w:fldCharType="separate"/>
            </w:r>
            <w:r w:rsidR="00EC7AEE">
              <w:rPr>
                <w:noProof/>
                <w:webHidden/>
              </w:rPr>
              <w:t>10</w:t>
            </w:r>
            <w:r w:rsidR="007F000E">
              <w:rPr>
                <w:noProof/>
                <w:webHidden/>
              </w:rPr>
              <w:fldChar w:fldCharType="end"/>
            </w:r>
          </w:hyperlink>
        </w:p>
        <w:p w:rsidR="007F000E" w:rsidRDefault="00816C5C">
          <w:pPr>
            <w:pStyle w:val="TOC1"/>
            <w:tabs>
              <w:tab w:val="right" w:leader="dot" w:pos="9016"/>
            </w:tabs>
            <w:rPr>
              <w:noProof/>
            </w:rPr>
          </w:pPr>
          <w:hyperlink w:anchor="_Toc227625670" w:history="1">
            <w:r w:rsidR="007F000E" w:rsidRPr="00F6210C">
              <w:rPr>
                <w:rStyle w:val="Hyperlink"/>
                <w:noProof/>
              </w:rPr>
              <w:t>4. Internal Environment Analysis (VRIO-Based Evaluation)</w:t>
            </w:r>
            <w:r w:rsidR="007F000E">
              <w:rPr>
                <w:noProof/>
                <w:webHidden/>
              </w:rPr>
              <w:tab/>
            </w:r>
            <w:r w:rsidR="007F000E">
              <w:rPr>
                <w:noProof/>
                <w:webHidden/>
              </w:rPr>
              <w:fldChar w:fldCharType="begin"/>
            </w:r>
            <w:r w:rsidR="007F000E">
              <w:rPr>
                <w:noProof/>
                <w:webHidden/>
              </w:rPr>
              <w:instrText xml:space="preserve"> PAGEREF _Toc227625670 \h </w:instrText>
            </w:r>
            <w:r w:rsidR="007F000E">
              <w:rPr>
                <w:noProof/>
                <w:webHidden/>
              </w:rPr>
            </w:r>
            <w:r w:rsidR="007F000E">
              <w:rPr>
                <w:noProof/>
                <w:webHidden/>
              </w:rPr>
              <w:fldChar w:fldCharType="separate"/>
            </w:r>
            <w:r w:rsidR="00EC7AEE">
              <w:rPr>
                <w:noProof/>
                <w:webHidden/>
              </w:rPr>
              <w:t>10</w:t>
            </w:r>
            <w:r w:rsidR="007F000E">
              <w:rPr>
                <w:noProof/>
                <w:webHidden/>
              </w:rPr>
              <w:fldChar w:fldCharType="end"/>
            </w:r>
          </w:hyperlink>
        </w:p>
        <w:p w:rsidR="007F000E" w:rsidRDefault="00816C5C">
          <w:pPr>
            <w:pStyle w:val="TOC2"/>
            <w:tabs>
              <w:tab w:val="right" w:leader="dot" w:pos="9016"/>
            </w:tabs>
            <w:rPr>
              <w:noProof/>
            </w:rPr>
          </w:pPr>
          <w:hyperlink w:anchor="_Toc227625671" w:history="1">
            <w:r w:rsidR="007F000E" w:rsidRPr="00F6210C">
              <w:rPr>
                <w:rStyle w:val="Hyperlink"/>
                <w:noProof/>
              </w:rPr>
              <w:t>4.1 VRIO-Based Evaluation of Key Resources and Capabilities</w:t>
            </w:r>
            <w:r w:rsidR="007F000E">
              <w:rPr>
                <w:noProof/>
                <w:webHidden/>
              </w:rPr>
              <w:tab/>
            </w:r>
            <w:r w:rsidR="007F000E">
              <w:rPr>
                <w:noProof/>
                <w:webHidden/>
              </w:rPr>
              <w:fldChar w:fldCharType="begin"/>
            </w:r>
            <w:r w:rsidR="007F000E">
              <w:rPr>
                <w:noProof/>
                <w:webHidden/>
              </w:rPr>
              <w:instrText xml:space="preserve"> PAGEREF _Toc227625671 \h </w:instrText>
            </w:r>
            <w:r w:rsidR="007F000E">
              <w:rPr>
                <w:noProof/>
                <w:webHidden/>
              </w:rPr>
            </w:r>
            <w:r w:rsidR="007F000E">
              <w:rPr>
                <w:noProof/>
                <w:webHidden/>
              </w:rPr>
              <w:fldChar w:fldCharType="separate"/>
            </w:r>
            <w:r w:rsidR="00EC7AEE">
              <w:rPr>
                <w:noProof/>
                <w:webHidden/>
              </w:rPr>
              <w:t>10</w:t>
            </w:r>
            <w:r w:rsidR="007F000E">
              <w:rPr>
                <w:noProof/>
                <w:webHidden/>
              </w:rPr>
              <w:fldChar w:fldCharType="end"/>
            </w:r>
          </w:hyperlink>
        </w:p>
        <w:p w:rsidR="007F000E" w:rsidRDefault="00816C5C">
          <w:pPr>
            <w:pStyle w:val="TOC2"/>
            <w:tabs>
              <w:tab w:val="right" w:leader="dot" w:pos="9016"/>
            </w:tabs>
            <w:rPr>
              <w:noProof/>
            </w:rPr>
          </w:pPr>
          <w:hyperlink w:anchor="_Toc227625672" w:history="1">
            <w:r w:rsidR="007F000E" w:rsidRPr="00F6210C">
              <w:rPr>
                <w:rStyle w:val="Hyperlink"/>
                <w:noProof/>
              </w:rPr>
              <w:t>4.2 VRIO Summary Table</w:t>
            </w:r>
            <w:r w:rsidR="007F000E">
              <w:rPr>
                <w:noProof/>
                <w:webHidden/>
              </w:rPr>
              <w:tab/>
            </w:r>
            <w:r w:rsidR="007F000E">
              <w:rPr>
                <w:noProof/>
                <w:webHidden/>
              </w:rPr>
              <w:fldChar w:fldCharType="begin"/>
            </w:r>
            <w:r w:rsidR="007F000E">
              <w:rPr>
                <w:noProof/>
                <w:webHidden/>
              </w:rPr>
              <w:instrText xml:space="preserve"> PAGEREF _Toc227625672 \h </w:instrText>
            </w:r>
            <w:r w:rsidR="007F000E">
              <w:rPr>
                <w:noProof/>
                <w:webHidden/>
              </w:rPr>
            </w:r>
            <w:r w:rsidR="007F000E">
              <w:rPr>
                <w:noProof/>
                <w:webHidden/>
              </w:rPr>
              <w:fldChar w:fldCharType="separate"/>
            </w:r>
            <w:r w:rsidR="00EC7AEE">
              <w:rPr>
                <w:noProof/>
                <w:webHidden/>
              </w:rPr>
              <w:t>12</w:t>
            </w:r>
            <w:r w:rsidR="007F000E">
              <w:rPr>
                <w:noProof/>
                <w:webHidden/>
              </w:rPr>
              <w:fldChar w:fldCharType="end"/>
            </w:r>
          </w:hyperlink>
        </w:p>
        <w:p w:rsidR="007F000E" w:rsidRDefault="00816C5C">
          <w:pPr>
            <w:pStyle w:val="TOC2"/>
            <w:tabs>
              <w:tab w:val="right" w:leader="dot" w:pos="9016"/>
            </w:tabs>
            <w:rPr>
              <w:noProof/>
            </w:rPr>
          </w:pPr>
          <w:hyperlink w:anchor="_Toc227625673" w:history="1">
            <w:r w:rsidR="007F000E" w:rsidRPr="00F6210C">
              <w:rPr>
                <w:rStyle w:val="Hyperlink"/>
                <w:noProof/>
              </w:rPr>
              <w:t>4.3 Discussion of Competitive Advantage</w:t>
            </w:r>
            <w:r w:rsidR="007F000E">
              <w:rPr>
                <w:noProof/>
                <w:webHidden/>
              </w:rPr>
              <w:tab/>
            </w:r>
            <w:r w:rsidR="007F000E">
              <w:rPr>
                <w:noProof/>
                <w:webHidden/>
              </w:rPr>
              <w:fldChar w:fldCharType="begin"/>
            </w:r>
            <w:r w:rsidR="007F000E">
              <w:rPr>
                <w:noProof/>
                <w:webHidden/>
              </w:rPr>
              <w:instrText xml:space="preserve"> PAGEREF _Toc227625673 \h </w:instrText>
            </w:r>
            <w:r w:rsidR="007F000E">
              <w:rPr>
                <w:noProof/>
                <w:webHidden/>
              </w:rPr>
            </w:r>
            <w:r w:rsidR="007F000E">
              <w:rPr>
                <w:noProof/>
                <w:webHidden/>
              </w:rPr>
              <w:fldChar w:fldCharType="separate"/>
            </w:r>
            <w:r w:rsidR="00EC7AEE">
              <w:rPr>
                <w:noProof/>
                <w:webHidden/>
              </w:rPr>
              <w:t>13</w:t>
            </w:r>
            <w:r w:rsidR="007F000E">
              <w:rPr>
                <w:noProof/>
                <w:webHidden/>
              </w:rPr>
              <w:fldChar w:fldCharType="end"/>
            </w:r>
          </w:hyperlink>
        </w:p>
        <w:p w:rsidR="007F000E" w:rsidRDefault="00816C5C">
          <w:pPr>
            <w:pStyle w:val="TOC1"/>
            <w:tabs>
              <w:tab w:val="right" w:leader="dot" w:pos="9016"/>
            </w:tabs>
            <w:rPr>
              <w:noProof/>
            </w:rPr>
          </w:pPr>
          <w:hyperlink w:anchor="_Toc227625674" w:history="1">
            <w:r w:rsidR="007F000E" w:rsidRPr="00F6210C">
              <w:rPr>
                <w:rStyle w:val="Hyperlink"/>
                <w:noProof/>
              </w:rPr>
              <w:t>5. CSR and Sustainability Objectives</w:t>
            </w:r>
            <w:r w:rsidR="007F000E">
              <w:rPr>
                <w:noProof/>
                <w:webHidden/>
              </w:rPr>
              <w:tab/>
            </w:r>
            <w:r w:rsidR="007F000E">
              <w:rPr>
                <w:noProof/>
                <w:webHidden/>
              </w:rPr>
              <w:fldChar w:fldCharType="begin"/>
            </w:r>
            <w:r w:rsidR="007F000E">
              <w:rPr>
                <w:noProof/>
                <w:webHidden/>
              </w:rPr>
              <w:instrText xml:space="preserve"> PAGEREF _Toc227625674 \h </w:instrText>
            </w:r>
            <w:r w:rsidR="007F000E">
              <w:rPr>
                <w:noProof/>
                <w:webHidden/>
              </w:rPr>
            </w:r>
            <w:r w:rsidR="007F000E">
              <w:rPr>
                <w:noProof/>
                <w:webHidden/>
              </w:rPr>
              <w:fldChar w:fldCharType="separate"/>
            </w:r>
            <w:r w:rsidR="00EC7AEE">
              <w:rPr>
                <w:noProof/>
                <w:webHidden/>
              </w:rPr>
              <w:t>13</w:t>
            </w:r>
            <w:r w:rsidR="007F000E">
              <w:rPr>
                <w:noProof/>
                <w:webHidden/>
              </w:rPr>
              <w:fldChar w:fldCharType="end"/>
            </w:r>
          </w:hyperlink>
        </w:p>
        <w:p w:rsidR="007F000E" w:rsidRDefault="00816C5C">
          <w:pPr>
            <w:pStyle w:val="TOC1"/>
            <w:tabs>
              <w:tab w:val="right" w:leader="dot" w:pos="9016"/>
            </w:tabs>
            <w:rPr>
              <w:noProof/>
            </w:rPr>
          </w:pPr>
          <w:hyperlink w:anchor="_Toc227625675" w:history="1">
            <w:r w:rsidR="007F000E" w:rsidRPr="00F6210C">
              <w:rPr>
                <w:rStyle w:val="Hyperlink"/>
                <w:noProof/>
              </w:rPr>
              <w:t>6. Comprehensive and Holistic View: Balanced Scorecard</w:t>
            </w:r>
            <w:r w:rsidR="007F000E">
              <w:rPr>
                <w:noProof/>
                <w:webHidden/>
              </w:rPr>
              <w:tab/>
            </w:r>
            <w:r w:rsidR="007F000E">
              <w:rPr>
                <w:noProof/>
                <w:webHidden/>
              </w:rPr>
              <w:fldChar w:fldCharType="begin"/>
            </w:r>
            <w:r w:rsidR="007F000E">
              <w:rPr>
                <w:noProof/>
                <w:webHidden/>
              </w:rPr>
              <w:instrText xml:space="preserve"> PAGEREF _Toc227625675 \h </w:instrText>
            </w:r>
            <w:r w:rsidR="007F000E">
              <w:rPr>
                <w:noProof/>
                <w:webHidden/>
              </w:rPr>
            </w:r>
            <w:r w:rsidR="007F000E">
              <w:rPr>
                <w:noProof/>
                <w:webHidden/>
              </w:rPr>
              <w:fldChar w:fldCharType="separate"/>
            </w:r>
            <w:r w:rsidR="00EC7AEE">
              <w:rPr>
                <w:noProof/>
                <w:webHidden/>
              </w:rPr>
              <w:t>14</w:t>
            </w:r>
            <w:r w:rsidR="007F000E">
              <w:rPr>
                <w:noProof/>
                <w:webHidden/>
              </w:rPr>
              <w:fldChar w:fldCharType="end"/>
            </w:r>
          </w:hyperlink>
        </w:p>
        <w:p w:rsidR="007F000E" w:rsidRDefault="00816C5C">
          <w:pPr>
            <w:pStyle w:val="TOC1"/>
            <w:tabs>
              <w:tab w:val="right" w:leader="dot" w:pos="9016"/>
            </w:tabs>
            <w:rPr>
              <w:noProof/>
            </w:rPr>
          </w:pPr>
          <w:hyperlink w:anchor="_Toc227625676" w:history="1">
            <w:r w:rsidR="007F000E" w:rsidRPr="00F6210C">
              <w:rPr>
                <w:rStyle w:val="Hyperlink"/>
                <w:noProof/>
              </w:rPr>
              <w:t>7. Strategic Choices and Implementation</w:t>
            </w:r>
            <w:r w:rsidR="007F000E">
              <w:rPr>
                <w:noProof/>
                <w:webHidden/>
              </w:rPr>
              <w:tab/>
            </w:r>
            <w:r w:rsidR="007F000E">
              <w:rPr>
                <w:noProof/>
                <w:webHidden/>
              </w:rPr>
              <w:fldChar w:fldCharType="begin"/>
            </w:r>
            <w:r w:rsidR="007F000E">
              <w:rPr>
                <w:noProof/>
                <w:webHidden/>
              </w:rPr>
              <w:instrText xml:space="preserve"> PAGEREF _Toc227625676 \h </w:instrText>
            </w:r>
            <w:r w:rsidR="007F000E">
              <w:rPr>
                <w:noProof/>
                <w:webHidden/>
              </w:rPr>
            </w:r>
            <w:r w:rsidR="007F000E">
              <w:rPr>
                <w:noProof/>
                <w:webHidden/>
              </w:rPr>
              <w:fldChar w:fldCharType="separate"/>
            </w:r>
            <w:r w:rsidR="00EC7AEE">
              <w:rPr>
                <w:noProof/>
                <w:webHidden/>
              </w:rPr>
              <w:t>16</w:t>
            </w:r>
            <w:r w:rsidR="007F000E">
              <w:rPr>
                <w:noProof/>
                <w:webHidden/>
              </w:rPr>
              <w:fldChar w:fldCharType="end"/>
            </w:r>
          </w:hyperlink>
        </w:p>
        <w:p w:rsidR="007F000E" w:rsidRDefault="00816C5C">
          <w:pPr>
            <w:pStyle w:val="TOC1"/>
            <w:tabs>
              <w:tab w:val="right" w:leader="dot" w:pos="9016"/>
            </w:tabs>
            <w:rPr>
              <w:noProof/>
            </w:rPr>
          </w:pPr>
          <w:hyperlink w:anchor="_Toc227625677" w:history="1">
            <w:r w:rsidR="007F000E" w:rsidRPr="00F6210C">
              <w:rPr>
                <w:rStyle w:val="Hyperlink"/>
                <w:noProof/>
              </w:rPr>
              <w:t>8. Strategic Evaluation and Recommendations</w:t>
            </w:r>
            <w:r w:rsidR="007F000E">
              <w:rPr>
                <w:noProof/>
                <w:webHidden/>
              </w:rPr>
              <w:tab/>
            </w:r>
            <w:r w:rsidR="007F000E">
              <w:rPr>
                <w:noProof/>
                <w:webHidden/>
              </w:rPr>
              <w:fldChar w:fldCharType="begin"/>
            </w:r>
            <w:r w:rsidR="007F000E">
              <w:rPr>
                <w:noProof/>
                <w:webHidden/>
              </w:rPr>
              <w:instrText xml:space="preserve"> PAGEREF _Toc227625677 \h </w:instrText>
            </w:r>
            <w:r w:rsidR="007F000E">
              <w:rPr>
                <w:noProof/>
                <w:webHidden/>
              </w:rPr>
            </w:r>
            <w:r w:rsidR="007F000E">
              <w:rPr>
                <w:noProof/>
                <w:webHidden/>
              </w:rPr>
              <w:fldChar w:fldCharType="separate"/>
            </w:r>
            <w:r w:rsidR="00EC7AEE">
              <w:rPr>
                <w:noProof/>
                <w:webHidden/>
              </w:rPr>
              <w:t>18</w:t>
            </w:r>
            <w:r w:rsidR="007F000E">
              <w:rPr>
                <w:noProof/>
                <w:webHidden/>
              </w:rPr>
              <w:fldChar w:fldCharType="end"/>
            </w:r>
          </w:hyperlink>
        </w:p>
        <w:p w:rsidR="007F000E" w:rsidRDefault="00816C5C">
          <w:pPr>
            <w:pStyle w:val="TOC1"/>
            <w:tabs>
              <w:tab w:val="right" w:leader="dot" w:pos="9016"/>
            </w:tabs>
            <w:rPr>
              <w:noProof/>
            </w:rPr>
          </w:pPr>
          <w:hyperlink w:anchor="_Toc227625678" w:history="1">
            <w:r w:rsidR="007F000E" w:rsidRPr="00F6210C">
              <w:rPr>
                <w:rStyle w:val="Hyperlink"/>
                <w:noProof/>
              </w:rPr>
              <w:t>SECTION 2</w:t>
            </w:r>
            <w:r w:rsidR="007F000E">
              <w:rPr>
                <w:noProof/>
                <w:webHidden/>
              </w:rPr>
              <w:tab/>
            </w:r>
            <w:r w:rsidR="007F000E">
              <w:rPr>
                <w:noProof/>
                <w:webHidden/>
              </w:rPr>
              <w:fldChar w:fldCharType="begin"/>
            </w:r>
            <w:r w:rsidR="007F000E">
              <w:rPr>
                <w:noProof/>
                <w:webHidden/>
              </w:rPr>
              <w:instrText xml:space="preserve"> PAGEREF _Toc227625678 \h </w:instrText>
            </w:r>
            <w:r w:rsidR="007F000E">
              <w:rPr>
                <w:noProof/>
                <w:webHidden/>
              </w:rPr>
            </w:r>
            <w:r w:rsidR="007F000E">
              <w:rPr>
                <w:noProof/>
                <w:webHidden/>
              </w:rPr>
              <w:fldChar w:fldCharType="separate"/>
            </w:r>
            <w:r w:rsidR="00EC7AEE">
              <w:rPr>
                <w:noProof/>
                <w:webHidden/>
              </w:rPr>
              <w:t>20</w:t>
            </w:r>
            <w:r w:rsidR="007F000E">
              <w:rPr>
                <w:noProof/>
                <w:webHidden/>
              </w:rPr>
              <w:fldChar w:fldCharType="end"/>
            </w:r>
          </w:hyperlink>
        </w:p>
        <w:p w:rsidR="007F000E" w:rsidRDefault="00816C5C">
          <w:pPr>
            <w:pStyle w:val="TOC1"/>
            <w:tabs>
              <w:tab w:val="right" w:leader="dot" w:pos="9016"/>
            </w:tabs>
            <w:rPr>
              <w:noProof/>
            </w:rPr>
          </w:pPr>
          <w:hyperlink w:anchor="_Toc227625679" w:history="1">
            <w:r w:rsidR="007F000E" w:rsidRPr="00F6210C">
              <w:rPr>
                <w:rStyle w:val="Hyperlink"/>
                <w:noProof/>
              </w:rPr>
              <w:t>9. Reflective Account Using Gibbs Reflective Cycle</w:t>
            </w:r>
            <w:r w:rsidR="007F000E">
              <w:rPr>
                <w:noProof/>
                <w:webHidden/>
              </w:rPr>
              <w:tab/>
            </w:r>
            <w:r w:rsidR="007F000E">
              <w:rPr>
                <w:noProof/>
                <w:webHidden/>
              </w:rPr>
              <w:fldChar w:fldCharType="begin"/>
            </w:r>
            <w:r w:rsidR="007F000E">
              <w:rPr>
                <w:noProof/>
                <w:webHidden/>
              </w:rPr>
              <w:instrText xml:space="preserve"> PAGEREF _Toc227625679 \h </w:instrText>
            </w:r>
            <w:r w:rsidR="007F000E">
              <w:rPr>
                <w:noProof/>
                <w:webHidden/>
              </w:rPr>
            </w:r>
            <w:r w:rsidR="007F000E">
              <w:rPr>
                <w:noProof/>
                <w:webHidden/>
              </w:rPr>
              <w:fldChar w:fldCharType="separate"/>
            </w:r>
            <w:r w:rsidR="00EC7AEE">
              <w:rPr>
                <w:noProof/>
                <w:webHidden/>
              </w:rPr>
              <w:t>20</w:t>
            </w:r>
            <w:r w:rsidR="007F000E">
              <w:rPr>
                <w:noProof/>
                <w:webHidden/>
              </w:rPr>
              <w:fldChar w:fldCharType="end"/>
            </w:r>
          </w:hyperlink>
        </w:p>
        <w:p w:rsidR="007F000E" w:rsidRDefault="00816C5C">
          <w:pPr>
            <w:pStyle w:val="TOC2"/>
            <w:tabs>
              <w:tab w:val="right" w:leader="dot" w:pos="9016"/>
            </w:tabs>
            <w:rPr>
              <w:noProof/>
            </w:rPr>
          </w:pPr>
          <w:hyperlink w:anchor="_Toc227625680" w:history="1">
            <w:r w:rsidR="007F000E" w:rsidRPr="00F6210C">
              <w:rPr>
                <w:rStyle w:val="Hyperlink"/>
                <w:noProof/>
              </w:rPr>
              <w:t>9.1 Description</w:t>
            </w:r>
            <w:r w:rsidR="007F000E">
              <w:rPr>
                <w:noProof/>
                <w:webHidden/>
              </w:rPr>
              <w:tab/>
            </w:r>
            <w:r w:rsidR="007F000E">
              <w:rPr>
                <w:noProof/>
                <w:webHidden/>
              </w:rPr>
              <w:fldChar w:fldCharType="begin"/>
            </w:r>
            <w:r w:rsidR="007F000E">
              <w:rPr>
                <w:noProof/>
                <w:webHidden/>
              </w:rPr>
              <w:instrText xml:space="preserve"> PAGEREF _Toc227625680 \h </w:instrText>
            </w:r>
            <w:r w:rsidR="007F000E">
              <w:rPr>
                <w:noProof/>
                <w:webHidden/>
              </w:rPr>
            </w:r>
            <w:r w:rsidR="007F000E">
              <w:rPr>
                <w:noProof/>
                <w:webHidden/>
              </w:rPr>
              <w:fldChar w:fldCharType="separate"/>
            </w:r>
            <w:r w:rsidR="00EC7AEE">
              <w:rPr>
                <w:noProof/>
                <w:webHidden/>
              </w:rPr>
              <w:t>20</w:t>
            </w:r>
            <w:r w:rsidR="007F000E">
              <w:rPr>
                <w:noProof/>
                <w:webHidden/>
              </w:rPr>
              <w:fldChar w:fldCharType="end"/>
            </w:r>
          </w:hyperlink>
        </w:p>
        <w:p w:rsidR="007F000E" w:rsidRDefault="00816C5C">
          <w:pPr>
            <w:pStyle w:val="TOC2"/>
            <w:tabs>
              <w:tab w:val="right" w:leader="dot" w:pos="9016"/>
            </w:tabs>
            <w:rPr>
              <w:noProof/>
            </w:rPr>
          </w:pPr>
          <w:hyperlink w:anchor="_Toc227625681" w:history="1">
            <w:r w:rsidR="007F000E" w:rsidRPr="00F6210C">
              <w:rPr>
                <w:rStyle w:val="Hyperlink"/>
                <w:noProof/>
              </w:rPr>
              <w:t>9.2 Feelings</w:t>
            </w:r>
            <w:r w:rsidR="007F000E">
              <w:rPr>
                <w:noProof/>
                <w:webHidden/>
              </w:rPr>
              <w:tab/>
            </w:r>
            <w:r w:rsidR="007F000E">
              <w:rPr>
                <w:noProof/>
                <w:webHidden/>
              </w:rPr>
              <w:fldChar w:fldCharType="begin"/>
            </w:r>
            <w:r w:rsidR="007F000E">
              <w:rPr>
                <w:noProof/>
                <w:webHidden/>
              </w:rPr>
              <w:instrText xml:space="preserve"> PAGEREF _Toc227625681 \h </w:instrText>
            </w:r>
            <w:r w:rsidR="007F000E">
              <w:rPr>
                <w:noProof/>
                <w:webHidden/>
              </w:rPr>
            </w:r>
            <w:r w:rsidR="007F000E">
              <w:rPr>
                <w:noProof/>
                <w:webHidden/>
              </w:rPr>
              <w:fldChar w:fldCharType="separate"/>
            </w:r>
            <w:r w:rsidR="00EC7AEE">
              <w:rPr>
                <w:noProof/>
                <w:webHidden/>
              </w:rPr>
              <w:t>21</w:t>
            </w:r>
            <w:r w:rsidR="007F000E">
              <w:rPr>
                <w:noProof/>
                <w:webHidden/>
              </w:rPr>
              <w:fldChar w:fldCharType="end"/>
            </w:r>
          </w:hyperlink>
        </w:p>
        <w:p w:rsidR="007F000E" w:rsidRDefault="00816C5C">
          <w:pPr>
            <w:pStyle w:val="TOC2"/>
            <w:tabs>
              <w:tab w:val="right" w:leader="dot" w:pos="9016"/>
            </w:tabs>
            <w:rPr>
              <w:noProof/>
            </w:rPr>
          </w:pPr>
          <w:hyperlink w:anchor="_Toc227625682" w:history="1">
            <w:r w:rsidR="007F000E" w:rsidRPr="00F6210C">
              <w:rPr>
                <w:rStyle w:val="Hyperlink"/>
                <w:noProof/>
              </w:rPr>
              <w:t>9.3 Evaluation</w:t>
            </w:r>
            <w:r w:rsidR="007F000E">
              <w:rPr>
                <w:noProof/>
                <w:webHidden/>
              </w:rPr>
              <w:tab/>
            </w:r>
            <w:r w:rsidR="007F000E">
              <w:rPr>
                <w:noProof/>
                <w:webHidden/>
              </w:rPr>
              <w:fldChar w:fldCharType="begin"/>
            </w:r>
            <w:r w:rsidR="007F000E">
              <w:rPr>
                <w:noProof/>
                <w:webHidden/>
              </w:rPr>
              <w:instrText xml:space="preserve"> PAGEREF _Toc227625682 \h </w:instrText>
            </w:r>
            <w:r w:rsidR="007F000E">
              <w:rPr>
                <w:noProof/>
                <w:webHidden/>
              </w:rPr>
            </w:r>
            <w:r w:rsidR="007F000E">
              <w:rPr>
                <w:noProof/>
                <w:webHidden/>
              </w:rPr>
              <w:fldChar w:fldCharType="separate"/>
            </w:r>
            <w:r w:rsidR="00EC7AEE">
              <w:rPr>
                <w:noProof/>
                <w:webHidden/>
              </w:rPr>
              <w:t>21</w:t>
            </w:r>
            <w:r w:rsidR="007F000E">
              <w:rPr>
                <w:noProof/>
                <w:webHidden/>
              </w:rPr>
              <w:fldChar w:fldCharType="end"/>
            </w:r>
          </w:hyperlink>
        </w:p>
        <w:p w:rsidR="007F000E" w:rsidRDefault="00816C5C">
          <w:pPr>
            <w:pStyle w:val="TOC2"/>
            <w:tabs>
              <w:tab w:val="right" w:leader="dot" w:pos="9016"/>
            </w:tabs>
            <w:rPr>
              <w:noProof/>
            </w:rPr>
          </w:pPr>
          <w:hyperlink w:anchor="_Toc227625683" w:history="1">
            <w:r w:rsidR="007F000E" w:rsidRPr="00F6210C">
              <w:rPr>
                <w:rStyle w:val="Hyperlink"/>
                <w:noProof/>
              </w:rPr>
              <w:t>9.4 Analysis</w:t>
            </w:r>
            <w:r w:rsidR="007F000E">
              <w:rPr>
                <w:noProof/>
                <w:webHidden/>
              </w:rPr>
              <w:tab/>
            </w:r>
            <w:r w:rsidR="007F000E">
              <w:rPr>
                <w:noProof/>
                <w:webHidden/>
              </w:rPr>
              <w:fldChar w:fldCharType="begin"/>
            </w:r>
            <w:r w:rsidR="007F000E">
              <w:rPr>
                <w:noProof/>
                <w:webHidden/>
              </w:rPr>
              <w:instrText xml:space="preserve"> PAGEREF _Toc227625683 \h </w:instrText>
            </w:r>
            <w:r w:rsidR="007F000E">
              <w:rPr>
                <w:noProof/>
                <w:webHidden/>
              </w:rPr>
            </w:r>
            <w:r w:rsidR="007F000E">
              <w:rPr>
                <w:noProof/>
                <w:webHidden/>
              </w:rPr>
              <w:fldChar w:fldCharType="separate"/>
            </w:r>
            <w:r w:rsidR="00EC7AEE">
              <w:rPr>
                <w:noProof/>
                <w:webHidden/>
              </w:rPr>
              <w:t>21</w:t>
            </w:r>
            <w:r w:rsidR="007F000E">
              <w:rPr>
                <w:noProof/>
                <w:webHidden/>
              </w:rPr>
              <w:fldChar w:fldCharType="end"/>
            </w:r>
          </w:hyperlink>
        </w:p>
        <w:p w:rsidR="007F000E" w:rsidRDefault="00816C5C">
          <w:pPr>
            <w:pStyle w:val="TOC2"/>
            <w:tabs>
              <w:tab w:val="right" w:leader="dot" w:pos="9016"/>
            </w:tabs>
            <w:rPr>
              <w:noProof/>
            </w:rPr>
          </w:pPr>
          <w:hyperlink w:anchor="_Toc227625684" w:history="1">
            <w:r w:rsidR="007F000E" w:rsidRPr="00F6210C">
              <w:rPr>
                <w:rStyle w:val="Hyperlink"/>
                <w:noProof/>
              </w:rPr>
              <w:t>9.5 Conclusion</w:t>
            </w:r>
            <w:r w:rsidR="007F000E">
              <w:rPr>
                <w:noProof/>
                <w:webHidden/>
              </w:rPr>
              <w:tab/>
            </w:r>
            <w:r w:rsidR="007F000E">
              <w:rPr>
                <w:noProof/>
                <w:webHidden/>
              </w:rPr>
              <w:fldChar w:fldCharType="begin"/>
            </w:r>
            <w:r w:rsidR="007F000E">
              <w:rPr>
                <w:noProof/>
                <w:webHidden/>
              </w:rPr>
              <w:instrText xml:space="preserve"> PAGEREF _Toc227625684 \h </w:instrText>
            </w:r>
            <w:r w:rsidR="007F000E">
              <w:rPr>
                <w:noProof/>
                <w:webHidden/>
              </w:rPr>
            </w:r>
            <w:r w:rsidR="007F000E">
              <w:rPr>
                <w:noProof/>
                <w:webHidden/>
              </w:rPr>
              <w:fldChar w:fldCharType="separate"/>
            </w:r>
            <w:r w:rsidR="00EC7AEE">
              <w:rPr>
                <w:noProof/>
                <w:webHidden/>
              </w:rPr>
              <w:t>22</w:t>
            </w:r>
            <w:r w:rsidR="007F000E">
              <w:rPr>
                <w:noProof/>
                <w:webHidden/>
              </w:rPr>
              <w:fldChar w:fldCharType="end"/>
            </w:r>
          </w:hyperlink>
        </w:p>
        <w:p w:rsidR="007F000E" w:rsidRDefault="00816C5C">
          <w:pPr>
            <w:pStyle w:val="TOC2"/>
            <w:tabs>
              <w:tab w:val="right" w:leader="dot" w:pos="9016"/>
            </w:tabs>
            <w:rPr>
              <w:noProof/>
            </w:rPr>
          </w:pPr>
          <w:hyperlink w:anchor="_Toc227625685" w:history="1">
            <w:r w:rsidR="007F000E" w:rsidRPr="00F6210C">
              <w:rPr>
                <w:rStyle w:val="Hyperlink"/>
                <w:noProof/>
              </w:rPr>
              <w:t>9.6 Action Plan</w:t>
            </w:r>
            <w:r w:rsidR="007F000E">
              <w:rPr>
                <w:noProof/>
                <w:webHidden/>
              </w:rPr>
              <w:tab/>
            </w:r>
            <w:r w:rsidR="007F000E">
              <w:rPr>
                <w:noProof/>
                <w:webHidden/>
              </w:rPr>
              <w:fldChar w:fldCharType="begin"/>
            </w:r>
            <w:r w:rsidR="007F000E">
              <w:rPr>
                <w:noProof/>
                <w:webHidden/>
              </w:rPr>
              <w:instrText xml:space="preserve"> PAGEREF _Toc227625685 \h </w:instrText>
            </w:r>
            <w:r w:rsidR="007F000E">
              <w:rPr>
                <w:noProof/>
                <w:webHidden/>
              </w:rPr>
            </w:r>
            <w:r w:rsidR="007F000E">
              <w:rPr>
                <w:noProof/>
                <w:webHidden/>
              </w:rPr>
              <w:fldChar w:fldCharType="separate"/>
            </w:r>
            <w:r w:rsidR="00EC7AEE">
              <w:rPr>
                <w:noProof/>
                <w:webHidden/>
              </w:rPr>
              <w:t>22</w:t>
            </w:r>
            <w:r w:rsidR="007F000E">
              <w:rPr>
                <w:noProof/>
                <w:webHidden/>
              </w:rPr>
              <w:fldChar w:fldCharType="end"/>
            </w:r>
          </w:hyperlink>
        </w:p>
        <w:p w:rsidR="007F000E" w:rsidRDefault="007F000E">
          <w:r>
            <w:rPr>
              <w:b/>
              <w:bCs/>
              <w:noProof/>
            </w:rPr>
            <w:fldChar w:fldCharType="end"/>
          </w:r>
        </w:p>
      </w:sdtContent>
    </w:sdt>
    <w:p w:rsidR="00A279F9" w:rsidRPr="00A279F9" w:rsidRDefault="00922B45" w:rsidP="0004750F">
      <w:r>
        <w:t xml:space="preserve"> </w:t>
      </w:r>
      <w:r w:rsidR="00A279F9">
        <w:br w:type="page"/>
      </w:r>
    </w:p>
    <w:p w:rsidR="00DF2A5F" w:rsidRDefault="00FC3E2C" w:rsidP="00FC3E2C">
      <w:pPr>
        <w:pStyle w:val="Heading1"/>
        <w:jc w:val="center"/>
      </w:pPr>
      <w:bookmarkStart w:id="2" w:name="_Toc227625664"/>
      <w:r w:rsidRPr="00FC3E2C">
        <w:rPr>
          <w:rStyle w:val="Heading1Char"/>
          <w:rFonts w:ascii="Arial" w:hAnsi="Arial"/>
          <w:b/>
        </w:rPr>
        <w:lastRenderedPageBreak/>
        <w:t xml:space="preserve">SECTION </w:t>
      </w:r>
      <w:r w:rsidRPr="00FC3E2C">
        <w:t>1</w:t>
      </w:r>
      <w:bookmarkEnd w:id="2"/>
    </w:p>
    <w:p w:rsidR="0099421E" w:rsidRDefault="0099421E" w:rsidP="0054149A">
      <w:pPr>
        <w:pStyle w:val="Heading1"/>
      </w:pPr>
      <w:bookmarkStart w:id="3" w:name="_Toc227625665"/>
      <w:r>
        <w:t>1. Introduction</w:t>
      </w:r>
      <w:bookmarkEnd w:id="3"/>
    </w:p>
    <w:p w:rsidR="00453F02" w:rsidRPr="00453F02" w:rsidRDefault="00B054DF" w:rsidP="00453F02">
      <w:r w:rsidRPr="00B054DF">
        <w:t>Effective strategic management is essential to compete in a changing global market driven by technological change, sustainability and competition. This report critically assesses Tesla, Inc, and how its internal resources and capabilities combine with external factors to create competitive advantage. It shows that although Tesla's competitive advantage stems from innovation and integration across the value chain, it increasingly relies on implementation, cost and strategy to maintain this advantage in an evolving electric vehicle market.</w:t>
      </w:r>
    </w:p>
    <w:p w:rsidR="00F52B33" w:rsidRDefault="00F52B33" w:rsidP="00572120">
      <w:pPr>
        <w:pStyle w:val="Heading1"/>
      </w:pPr>
      <w:bookmarkStart w:id="4" w:name="_Toc227625666"/>
      <w:r>
        <w:t>2. Organisational Context and Overview</w:t>
      </w:r>
      <w:bookmarkEnd w:id="4"/>
    </w:p>
    <w:p w:rsidR="008B1337" w:rsidRDefault="00A93C8B" w:rsidP="00F52B33">
      <w:r w:rsidRPr="00A93C8B">
        <w:t>Tesla, Inc. is a new company that entered the industry as a niche electric-car maker in 2003 and threatened the decades-old dominance of manufacturers of internal combustion engines. Its initial strategic placement was neither a disruption of the mass-market but high-technological signalling: The Roadster proved that electric vehicles could be desirable and high-performance products and not a product of compliance (Brown et al., 2021). A number of strategic turning points determined the further development of Tesla. The introduction of the Model S shifted the company off of the symbolic innovation to commercial validity, and the creation of Gigafactories changed strategy to focus only on product innovation to scale-based manufacturing advantage</w:t>
      </w:r>
      <w:r w:rsidR="005E2F9A">
        <w:t xml:space="preserve"> </w:t>
      </w:r>
      <w:r w:rsidR="002670CE">
        <w:t>(Yin, 2024)</w:t>
      </w:r>
      <w:r w:rsidRPr="00A93C8B">
        <w:t>. Chinese expansion was particularly high since China is now the largest EV market in the world, selling over 11 million electric cars in the country alone in 2024, which necessitates localisation as opposed to being optional (Graham &amp; Brungard, 2022). Meanwhile, Tesla expanded its strategic focus by integrating software, over-the-air updates and charging infrastructure, slowly transforming into a carmaker into a broader player in the mobility and energy ecosystem.</w:t>
      </w:r>
    </w:p>
    <w:p w:rsidR="00453F02" w:rsidRDefault="00453F02" w:rsidP="00596205">
      <w:pPr>
        <w:jc w:val="center"/>
      </w:pPr>
      <w:r>
        <w:rPr>
          <w:noProof/>
          <w:lang w:eastAsia="en-GB"/>
        </w:rPr>
        <w:lastRenderedPageBreak/>
        <w:drawing>
          <wp:inline distT="0" distB="0" distL="0" distR="0" wp14:anchorId="3D5C69B2" wp14:editId="1D4FA968">
            <wp:extent cx="4428200" cy="2728913"/>
            <wp:effectExtent l="0" t="0" r="0" b="0"/>
            <wp:docPr id="3" name="Picture 3" descr="Tesla Sales, Revenue &amp; Production Statistics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la Sales, Revenue &amp; Production Statistics (202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48734" cy="2741567"/>
                    </a:xfrm>
                    <a:prstGeom prst="rect">
                      <a:avLst/>
                    </a:prstGeom>
                    <a:noFill/>
                    <a:ln>
                      <a:noFill/>
                    </a:ln>
                  </pic:spPr>
                </pic:pic>
              </a:graphicData>
            </a:graphic>
          </wp:inline>
        </w:drawing>
      </w:r>
    </w:p>
    <w:p w:rsidR="00F52B33" w:rsidRDefault="00453F02" w:rsidP="00572120">
      <w:pPr>
        <w:jc w:val="center"/>
      </w:pPr>
      <w:r>
        <w:rPr>
          <w:rStyle w:val="Strong"/>
        </w:rPr>
        <w:t>Figure 1. Tesla total revenue growth, 2022–2024 ($ billions).</w:t>
      </w:r>
      <w:r>
        <w:br/>
      </w:r>
      <w:r>
        <w:rPr>
          <w:rStyle w:val="Strong"/>
        </w:rPr>
        <w:t>Source:</w:t>
      </w:r>
      <w:r>
        <w:t xml:space="preserve"> Tesla Annual Report 2024</w:t>
      </w:r>
    </w:p>
    <w:p w:rsidR="00A93C8B" w:rsidRDefault="00A93C8B" w:rsidP="00F52B33">
      <w:r w:rsidRPr="00A93C8B">
        <w:t>The company mission of Tesla is to speed up the process of the world going green, which is more strategic than the production of cars. This mission facilitates its present portfolio, as the company currently covers vehicles, energy generation and storage, software-driven services and charging networks. In 2024, Tesla earned revenue of 97.69 billion, and installed 31.4 GWh of energy storage products, which means that its strategic identity is not limited to vehicle sales (Guo, 2023). This confirms Tesla as a company whose car models are the anchor product, rather than an automaker per se, but a platform-based clean-energy and technology firm, whose vehicles serve as the anchor product in a broader ecosystem.</w:t>
      </w:r>
    </w:p>
    <w:p w:rsidR="00A93C8B" w:rsidRDefault="00A93C8B" w:rsidP="00F52B33">
      <w:r w:rsidRPr="00A93C8B">
        <w:t>This logic is reflected in its business model. Tesla is an amalgamation of direct-to-consumer distribution and automotive sales plus leasing, regulatory credits, energy generation and storage, services and software-related offerings</w:t>
      </w:r>
      <w:r w:rsidR="005E2F9A">
        <w:t xml:space="preserve"> </w:t>
      </w:r>
      <w:r w:rsidR="002670CE">
        <w:t>(Sun, 2024)</w:t>
      </w:r>
      <w:r w:rsidRPr="00A93C8B">
        <w:t>. This unified architecture enhances customer lock-in and data capture and decreases the reliance on the traditional dealership designs. Nevertheless, this model also introduces complexity to management since differentiation is no longer just based on developing appealing cars, but the synchronization of production, software reliability, access to charge, quality of service and the development of global infrastructure</w:t>
      </w:r>
      <w:r w:rsidR="005E2F9A">
        <w:t xml:space="preserve"> </w:t>
      </w:r>
      <w:r w:rsidR="002670CE">
        <w:t>(Figenbaum et al., 2022)</w:t>
      </w:r>
      <w:r w:rsidRPr="00A93C8B">
        <w:t>.</w:t>
      </w:r>
    </w:p>
    <w:p w:rsidR="008B1337" w:rsidRDefault="008B1337" w:rsidP="00F52B33">
      <w:r w:rsidRPr="008B1337">
        <w:rPr>
          <w:noProof/>
          <w:lang w:eastAsia="en-GB"/>
        </w:rPr>
        <w:lastRenderedPageBreak/>
        <w:drawing>
          <wp:inline distT="0" distB="0" distL="0" distR="0">
            <wp:extent cx="5504395" cy="2799715"/>
            <wp:effectExtent l="0" t="0" r="1270" b="635"/>
            <wp:docPr id="18" name="Picture 18" descr="Tesla Vehicle Production - Mekko Graph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Tesla Vehicle Production - Mekko Graphic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41408" cy="2818541"/>
                    </a:xfrm>
                    <a:prstGeom prst="rect">
                      <a:avLst/>
                    </a:prstGeom>
                    <a:noFill/>
                    <a:ln>
                      <a:noFill/>
                    </a:ln>
                  </pic:spPr>
                </pic:pic>
              </a:graphicData>
            </a:graphic>
          </wp:inline>
        </w:drawing>
      </w:r>
    </w:p>
    <w:p w:rsidR="008B1337" w:rsidRPr="008B1337" w:rsidRDefault="008B1337" w:rsidP="008B1337">
      <w:pPr>
        <w:jc w:val="center"/>
        <w:rPr>
          <w:b/>
        </w:rPr>
      </w:pPr>
      <w:r>
        <w:rPr>
          <w:b/>
        </w:rPr>
        <w:t>Figure 2</w:t>
      </w:r>
      <w:r w:rsidRPr="008B1337">
        <w:rPr>
          <w:b/>
        </w:rPr>
        <w:t>: Tesla vehicle production growth highlighting rapid scaling and dominance of Model 3/Y</w:t>
      </w:r>
    </w:p>
    <w:p w:rsidR="00BD7A8D" w:rsidRDefault="00BD7A8D" w:rsidP="002F2A8A">
      <w:pPr>
        <w:jc w:val="center"/>
      </w:pPr>
      <w:r w:rsidRPr="00BD7A8D">
        <w:t>In the EV sector, Tesla is an innovation leader, but it has been facing increased pressure than previously on its market position. In 2024, Tesla shipped 1,789,226 vehicles, which was the first annual decline in the company in more than a decade, and Reuters noted a 1.1% decline amid fierce competition, price struggles and declining demand (Sathiyan et al., 2022). In the meantime, other players, including BYD, have grown at a fast rate, and traditional companies, including Volkswagen, Ford EV and Hyundai-Kia, are still investing in electrification on a large scale. As a result, Tesla is currently experiencing a strategic dilemma of either being positioned as a high-end brand or a mass-market one, and being a leader in innovation or operational complexity, as well as the sustainability story and the broader governance or implementation scandals</w:t>
      </w:r>
      <w:r w:rsidR="005E2F9A">
        <w:t xml:space="preserve"> </w:t>
      </w:r>
      <w:r w:rsidR="003D560E">
        <w:t>(Kim et al., 2022)</w:t>
      </w:r>
      <w:r w:rsidRPr="00BD7A8D">
        <w:t>. Such tensions render Tesla a case with a lot of strategic depth since it is no longer a question of whether EV disruption can happen, but whether leadership can be maintained amidst mounting competitive and institutional demands (Graham and Brungard, 2021).</w:t>
      </w:r>
    </w:p>
    <w:p w:rsidR="002F2A8A" w:rsidRDefault="002F2A8A" w:rsidP="002F2A8A">
      <w:pPr>
        <w:jc w:val="center"/>
      </w:pPr>
      <w:r>
        <w:rPr>
          <w:noProof/>
          <w:lang w:eastAsia="en-GB"/>
        </w:rPr>
        <w:lastRenderedPageBreak/>
        <w:drawing>
          <wp:inline distT="0" distB="0" distL="0" distR="0">
            <wp:extent cx="4964430" cy="2974769"/>
            <wp:effectExtent l="0" t="0" r="7620" b="0"/>
            <wp:docPr id="4" name="Picture 4" descr="Tesla’s Global Deliveries Rise, Best Q3 Ever, But Not Enough to Fix the Shattered High-Growth Story | Wolf Str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descr="Tesla’s Global Deliveries Rise, Best Q3 Ever, But Not Enough to Fix the Shattered High-Growth Story | Wolf Stree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69280" cy="2977675"/>
                    </a:xfrm>
                    <a:prstGeom prst="rect">
                      <a:avLst/>
                    </a:prstGeom>
                    <a:noFill/>
                    <a:ln>
                      <a:noFill/>
                    </a:ln>
                  </pic:spPr>
                </pic:pic>
              </a:graphicData>
            </a:graphic>
          </wp:inline>
        </w:drawing>
      </w:r>
    </w:p>
    <w:p w:rsidR="00B97014" w:rsidRPr="00B97014" w:rsidRDefault="0004750F" w:rsidP="002F2A8A">
      <w:pPr>
        <w:jc w:val="center"/>
        <w:rPr>
          <w:b/>
        </w:rPr>
      </w:pPr>
      <w:r>
        <w:rPr>
          <w:b/>
        </w:rPr>
        <w:t>Figure 3</w:t>
      </w:r>
      <w:r w:rsidR="00B97014" w:rsidRPr="00B97014">
        <w:rPr>
          <w:b/>
        </w:rPr>
        <w:t>: Tesla production vs deliveries highlighting scale and operational performance.</w:t>
      </w:r>
    </w:p>
    <w:p w:rsidR="002F2A8A" w:rsidRDefault="00B90AD8" w:rsidP="00C42320">
      <w:pPr>
        <w:pStyle w:val="Heading1"/>
        <w:jc w:val="center"/>
      </w:pPr>
      <w:bookmarkStart w:id="5" w:name="_Toc227625667"/>
      <w:r>
        <w:t>3.</w:t>
      </w:r>
      <w:r w:rsidR="002F2A8A">
        <w:t xml:space="preserve"> External Environment Analysis</w:t>
      </w:r>
      <w:bookmarkEnd w:id="5"/>
    </w:p>
    <w:p w:rsidR="00B90AD8" w:rsidRDefault="002F2A8A" w:rsidP="00572120">
      <w:pPr>
        <w:pStyle w:val="Heading2"/>
      </w:pPr>
      <w:bookmarkStart w:id="6" w:name="_Toc227625668"/>
      <w:r>
        <w:t xml:space="preserve">3.1 </w:t>
      </w:r>
      <w:r w:rsidR="00B90AD8">
        <w:t>PESTLE Analysis of Tesla</w:t>
      </w:r>
      <w:bookmarkEnd w:id="6"/>
    </w:p>
    <w:p w:rsidR="00BD7A8D" w:rsidRDefault="00BD7A8D" w:rsidP="00B97014">
      <w:r w:rsidRPr="00BD7A8D">
        <w:t>Tesla is an external environment influenced by the intervention of policy, macroeconomic volatility, technological disruption and increased sustainability expectations. These forces do not have the same impact on the firm. Others build structural growth opportunities and others, heighten the pressure of execution and shorten the competitive advantage</w:t>
      </w:r>
      <w:r w:rsidR="005E2F9A">
        <w:t xml:space="preserve"> </w:t>
      </w:r>
      <w:r w:rsidR="003D560E">
        <w:t>(Doh et al., 2021)</w:t>
      </w:r>
      <w:r w:rsidRPr="00BD7A8D">
        <w:t>. In the case of Tesla, the strategic question is not whether or not the demand of electric mobility is there or not, but whether it can translate favourable macro trends into profitable and sustainable growth. Tesla enjoys the advantages of state backing of decarbonisation politically, yet its results are very much vulnerable to industrial policy and geopolitics (Ioannou et al., 2023).</w:t>
      </w:r>
    </w:p>
    <w:p w:rsidR="00B97014" w:rsidRPr="00B97014" w:rsidRDefault="00BD7A8D" w:rsidP="00B97014">
      <w:r w:rsidRPr="00BD7A8D">
        <w:t xml:space="preserve">Subsidies, tax credits and local-content regulations continue to affect the EV market especially in the United States, Europe and China. By 2024, the world had sold over 17 million EVs, and over 20 percent of all car sales were EVs, indicating that public policy is still driving the rapid adoption of EVs (Fang, 2025). In 2024, China alone sold more than 11 million electric cars, highlighting the strategic importance of Tesla </w:t>
      </w:r>
      <w:r w:rsidRPr="00BD7A8D">
        <w:lastRenderedPageBreak/>
        <w:t>manufacturing in China. Nevertheless, the U.S.-China tensions, the need to localise and uncertainty about tariffs also augment political risk throughout supply chains and international expansion. This sets the embeddedness in politics as both an opportunity and a threat: Tesla can enjoy the benefits of green industrial policy, yet not dictate the terms in w</w:t>
      </w:r>
      <w:r>
        <w:t>hich the benefits are generated</w:t>
      </w:r>
      <w:r w:rsidR="005E2F9A">
        <w:t xml:space="preserve"> </w:t>
      </w:r>
      <w:r w:rsidR="003D560E">
        <w:t>(Xu et al., 2023)</w:t>
      </w:r>
      <w:r w:rsidR="00C42320">
        <w:t>.</w:t>
      </w:r>
    </w:p>
    <w:p w:rsidR="00B97014" w:rsidRDefault="00B97014" w:rsidP="00B97014">
      <w:pPr>
        <w:jc w:val="center"/>
      </w:pPr>
      <w:r w:rsidRPr="00B97014">
        <w:rPr>
          <w:noProof/>
          <w:lang w:eastAsia="en-GB"/>
        </w:rPr>
        <w:drawing>
          <wp:inline distT="0" distB="0" distL="0" distR="0">
            <wp:extent cx="5734050" cy="2647950"/>
            <wp:effectExtent l="0" t="0" r="0" b="0"/>
            <wp:docPr id="5" name="Picture 5" descr="Tesla PESTLE Analysis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esla PESTLE Analysis (2026)"/>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11365"/>
                    <a:stretch/>
                  </pic:blipFill>
                  <pic:spPr bwMode="auto">
                    <a:xfrm>
                      <a:off x="0" y="0"/>
                      <a:ext cx="5750300" cy="2655454"/>
                    </a:xfrm>
                    <a:prstGeom prst="rect">
                      <a:avLst/>
                    </a:prstGeom>
                    <a:noFill/>
                    <a:ln>
                      <a:noFill/>
                    </a:ln>
                    <a:extLst>
                      <a:ext uri="{53640926-AAD7-44D8-BBD7-CCE9431645EC}">
                        <a14:shadowObscured xmlns:a14="http://schemas.microsoft.com/office/drawing/2010/main"/>
                      </a:ext>
                    </a:extLst>
                  </pic:spPr>
                </pic:pic>
              </a:graphicData>
            </a:graphic>
          </wp:inline>
        </w:drawing>
      </w:r>
    </w:p>
    <w:p w:rsidR="00B97014" w:rsidRPr="00B97014" w:rsidRDefault="00B97014" w:rsidP="00B97014">
      <w:pPr>
        <w:jc w:val="center"/>
        <w:rPr>
          <w:lang w:val="en-US"/>
        </w:rPr>
      </w:pPr>
      <w:r>
        <w:rPr>
          <w:b/>
          <w:bCs/>
          <w:lang w:val="en-US"/>
        </w:rPr>
        <w:t>Figure 3</w:t>
      </w:r>
      <w:r w:rsidRPr="00B97014">
        <w:rPr>
          <w:b/>
          <w:bCs/>
          <w:lang w:val="en-US"/>
        </w:rPr>
        <w:t>: PESTLE analysis of Tesla highlighting key external factors influencing its strategic environment.</w:t>
      </w:r>
    </w:p>
    <w:p w:rsidR="00572120" w:rsidRDefault="00D347BC" w:rsidP="00B90AD8">
      <w:r w:rsidRPr="00D347BC">
        <w:t>Tesla has a more challenging affordability situation economically than in the previous EV growth stage. According to the IMF, real GDP growth in 2024 was 2.8 percent in the United States and 5.0 percent in China, indicating further growth in the major markets of Tesla, albeit with a disproportionate demand situation (Campbell et al., 2021). Meanwhile, the Federal Reserve said that the cost of auto-loan borrowing was still high and conditions of consumer financing were tight, which is important since EV adoption is very price-elastic to the affordability of monthly payments.</w:t>
      </w:r>
      <w:r w:rsidR="00B90AD8">
        <w:t xml:space="preserve"> </w:t>
      </w:r>
    </w:p>
    <w:p w:rsidR="00B90AD8" w:rsidRDefault="00D347BC" w:rsidP="00B90AD8">
      <w:r w:rsidRPr="00D347BC">
        <w:t>This pressure is evident in the 2024 annual report published by Tesla itself: the company has experienced a decline in revenue to 97.69 billion, but automotive and services gross margin dropped to 16.9% due to part of the decline in average selling prices</w:t>
      </w:r>
      <w:r w:rsidR="005E2F9A">
        <w:t xml:space="preserve"> </w:t>
      </w:r>
      <w:r w:rsidR="003D560E">
        <w:t>(George, 2025)</w:t>
      </w:r>
      <w:r w:rsidRPr="00D347BC">
        <w:t xml:space="preserve">. It means that Tesla was more and more protecting volume by reducing prices and margins were narrowed.  Another macro factor is investment climate. According to UNCTAD, the global FDI (like-to-like) had dropped by 11% in 2024, which is an indicator of a weaker international investment climate (Petersmann, 2022). A capital intensive firm with lessening production capacity and infrastructure </w:t>
      </w:r>
      <w:r w:rsidRPr="00D347BC">
        <w:lastRenderedPageBreak/>
        <w:t>across borders will need a softer FDI environment to cause strategic concern regarding future location and scale choices. This does not necessarily make Tesla successful, but it adds to the doubts on the issue of the growing industrialization worldwide.</w:t>
      </w:r>
    </w:p>
    <w:p w:rsidR="008907EE" w:rsidRDefault="00D347BC" w:rsidP="00B90AD8">
      <w:r w:rsidRPr="00D347BC">
        <w:t>On the social front, Tesla enjoys good sustainability awareness and high awareness among consumers about the problem of climate change, which has naturalised EV demand</w:t>
      </w:r>
      <w:r w:rsidR="005E2F9A">
        <w:t xml:space="preserve"> </w:t>
      </w:r>
      <w:r w:rsidR="00DF2B01">
        <w:t>(Hemavathi, 2025)</w:t>
      </w:r>
      <w:r w:rsidRPr="00D347BC">
        <w:t>. Social support is no free ride, though. Access to charging, reliability, affordability and resale value remain the items that consumers consider when purchasing a product, and brand reputation has turned into a more controversial issue. The presence of a large and faithful brand community is an intangible asset that Tesla is able to boast of, though social legitimacy is more fragile than ever</w:t>
      </w:r>
      <w:r w:rsidR="005E2F9A">
        <w:t xml:space="preserve"> </w:t>
      </w:r>
      <w:r w:rsidR="00DF2B01">
        <w:t>(Remme et al., 2023)</w:t>
      </w:r>
      <w:r w:rsidRPr="00D347BC">
        <w:t>. This implies that innovation symbolism is no longer a determinant of consumer adoption, but it is becoming more and more a trust, convenience and perceived value. Tesla, technologically, continues to work in one of the most desirable, but competitive field within the industry.</w:t>
      </w:r>
    </w:p>
    <w:p w:rsidR="008907EE" w:rsidRDefault="00D347BC" w:rsidP="00B90AD8">
      <w:r w:rsidRPr="00D347BC">
        <w:t>Its previous strength was the battery performance, integration of software, over-the-air updates, autonomous-driving development and charging infrastructure</w:t>
      </w:r>
      <w:r w:rsidR="005E2F9A">
        <w:t xml:space="preserve"> </w:t>
      </w:r>
      <w:r w:rsidR="00DF2B01">
        <w:t>(Cho et al., 2025)</w:t>
      </w:r>
      <w:r w:rsidRPr="00D347BC">
        <w:t>. But these are no longer unique in theory; the rivals are making huge investments in the same areas. According to the IEA, over 1.3 million public charging points were installed around the globe in 2024, over 30% more than in the previous year, with battery demand totaling approximately 1 TWh in 2024 (Otero-Iglesias et al., 2025). These statistics indicate that the industry is maturing at a very high rate. This means that Tesla is no longer competing based on innovative technology but rather commercialising and realising it quicker, more consistently than its competitors. Tesla is legally experiencing increased questioning regarding autonomous driving, product safety and governance. In October 2024, NHTSA initiated an initial investigation into the FSD system of Tesla due to accidents in low visibility, including one deadly pedestrian accident</w:t>
      </w:r>
      <w:r w:rsidR="005E2F9A">
        <w:t xml:space="preserve"> </w:t>
      </w:r>
      <w:r w:rsidR="005349D0">
        <w:t>(Itani &amp; Bernardinis, 2023)</w:t>
      </w:r>
      <w:r w:rsidRPr="00D347BC">
        <w:t>.</w:t>
      </w:r>
    </w:p>
    <w:p w:rsidR="008907EE" w:rsidRDefault="000F5EEA" w:rsidP="00B90AD8">
      <w:r w:rsidRPr="000F5EEA">
        <w:t xml:space="preserve">Such a move is strategically significant as the narrative of Tesla valuation relies on software and autonomy, but regulation is not predictable, and is highly jurisdiction-sensitive.  Legal exposure and hence the costs of compliance are not the only factors that influence the cost of innovation, but also the timing and reputation and the </w:t>
      </w:r>
      <w:r w:rsidRPr="000F5EEA">
        <w:lastRenderedPageBreak/>
        <w:t>credibility of growth claims in the future</w:t>
      </w:r>
      <w:r w:rsidR="005E2F9A">
        <w:t xml:space="preserve"> </w:t>
      </w:r>
      <w:r w:rsidR="00AE6DF9">
        <w:t>(Schade et al., 2022)</w:t>
      </w:r>
      <w:r w:rsidRPr="000F5EEA">
        <w:t>. Labour and governance factors further pressure the matter since it may undermine the credibility of the sustainability positioning of Tesla. Tesla is also highly compatible with the global carbon transition, which structurally is the mission supportive. Nevertheless, environmental advantage does not just come automatically</w:t>
      </w:r>
      <w:r w:rsidR="005E2F9A">
        <w:t xml:space="preserve"> </w:t>
      </w:r>
      <w:r w:rsidR="00AE6DF9">
        <w:t>(Yang et al., 2023)</w:t>
      </w:r>
      <w:r w:rsidRPr="000F5EEA">
        <w:t>.</w:t>
      </w:r>
      <w:r w:rsidR="00B90AD8">
        <w:t xml:space="preserve"> </w:t>
      </w:r>
    </w:p>
    <w:p w:rsidR="00B90AD8" w:rsidRDefault="000F5EEA" w:rsidP="00B90AD8">
      <w:r w:rsidRPr="000F5EEA">
        <w:t>Mining, sourcing, recycling and life-cycle emissions remain challenges for battery production. So, while sustainability provides demand-side push, it also drives the need for sustainability and circularity. Pressure from the environment is therefore a boon and a challenge for strategy (Shah &amp; Zhang, 2024).</w:t>
      </w:r>
    </w:p>
    <w:p w:rsidR="00B90AD8" w:rsidRPr="008907EE" w:rsidRDefault="008B1337" w:rsidP="00B90AD8">
      <w:pPr>
        <w:rPr>
          <w:b/>
        </w:rPr>
      </w:pPr>
      <w:r>
        <w:rPr>
          <w:b/>
        </w:rPr>
        <w:t xml:space="preserve">Table </w:t>
      </w:r>
      <w:r w:rsidR="00B90AD8" w:rsidRPr="008907EE">
        <w:rPr>
          <w:b/>
        </w:rPr>
        <w:t>1: PESTLE Analysis of Tesla</w:t>
      </w:r>
    </w:p>
    <w:tbl>
      <w:tblPr>
        <w:tblStyle w:val="GridTable4-Accent5"/>
        <w:tblW w:w="0" w:type="auto"/>
        <w:tblLook w:val="04A0" w:firstRow="1" w:lastRow="0" w:firstColumn="1" w:lastColumn="0" w:noHBand="0" w:noVBand="1"/>
      </w:tblPr>
      <w:tblGrid>
        <w:gridCol w:w="3005"/>
        <w:gridCol w:w="3005"/>
        <w:gridCol w:w="3006"/>
      </w:tblGrid>
      <w:tr w:rsidR="00B90AD8" w:rsidRPr="00B90AD8" w:rsidTr="00B90AD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B90AD8" w:rsidRPr="00B90AD8" w:rsidRDefault="00B90AD8" w:rsidP="00E32E8F">
            <w:r w:rsidRPr="00B90AD8">
              <w:t>Factor</w:t>
            </w:r>
          </w:p>
        </w:tc>
        <w:tc>
          <w:tcPr>
            <w:tcW w:w="3005" w:type="dxa"/>
          </w:tcPr>
          <w:p w:rsidR="00B90AD8" w:rsidRPr="00B90AD8" w:rsidRDefault="00B90AD8" w:rsidP="00E32E8F">
            <w:pPr>
              <w:cnfStyle w:val="100000000000" w:firstRow="1" w:lastRow="0" w:firstColumn="0" w:lastColumn="0" w:oddVBand="0" w:evenVBand="0" w:oddHBand="0" w:evenHBand="0" w:firstRowFirstColumn="0" w:firstRowLastColumn="0" w:lastRowFirstColumn="0" w:lastRowLastColumn="0"/>
            </w:pPr>
            <w:r w:rsidRPr="00B90AD8">
              <w:t>Key evidence</w:t>
            </w:r>
          </w:p>
        </w:tc>
        <w:tc>
          <w:tcPr>
            <w:tcW w:w="3006" w:type="dxa"/>
          </w:tcPr>
          <w:p w:rsidR="00B90AD8" w:rsidRPr="00B90AD8" w:rsidRDefault="00B90AD8" w:rsidP="00E32E8F">
            <w:pPr>
              <w:cnfStyle w:val="100000000000" w:firstRow="1" w:lastRow="0" w:firstColumn="0" w:lastColumn="0" w:oddVBand="0" w:evenVBand="0" w:oddHBand="0" w:evenHBand="0" w:firstRowFirstColumn="0" w:firstRowLastColumn="0" w:lastRowFirstColumn="0" w:lastRowLastColumn="0"/>
            </w:pPr>
            <w:r w:rsidRPr="00B90AD8">
              <w:t>Strategic implication</w:t>
            </w:r>
          </w:p>
        </w:tc>
      </w:tr>
      <w:tr w:rsidR="00B90AD8" w:rsidRPr="00B90AD8" w:rsidTr="00B90A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B90AD8" w:rsidRPr="00B90AD8" w:rsidRDefault="00B90AD8" w:rsidP="00E32E8F">
            <w:r w:rsidRPr="00B90AD8">
              <w:t>Political</w:t>
            </w:r>
          </w:p>
        </w:tc>
        <w:tc>
          <w:tcPr>
            <w:tcW w:w="3005" w:type="dxa"/>
          </w:tcPr>
          <w:p w:rsidR="00B90AD8" w:rsidRPr="00B90AD8" w:rsidRDefault="00B90AD8" w:rsidP="00E32E8F">
            <w:pPr>
              <w:cnfStyle w:val="000000100000" w:firstRow="0" w:lastRow="0" w:firstColumn="0" w:lastColumn="0" w:oddVBand="0" w:evenVBand="0" w:oddHBand="1" w:evenHBand="0" w:firstRowFirstColumn="0" w:firstRowLastColumn="0" w:lastRowFirstColumn="0" w:lastRowLastColumn="0"/>
            </w:pPr>
            <w:r w:rsidRPr="00B90AD8">
              <w:t>17m+ global EV sales; China 11m+ EV sales; local-content and subsidy dependence</w:t>
            </w:r>
          </w:p>
        </w:tc>
        <w:tc>
          <w:tcPr>
            <w:tcW w:w="3006" w:type="dxa"/>
          </w:tcPr>
          <w:p w:rsidR="00B90AD8" w:rsidRPr="00B90AD8" w:rsidRDefault="00B90AD8" w:rsidP="00E32E8F">
            <w:pPr>
              <w:cnfStyle w:val="000000100000" w:firstRow="0" w:lastRow="0" w:firstColumn="0" w:lastColumn="0" w:oddVBand="0" w:evenVBand="0" w:oddHBand="1" w:evenHBand="0" w:firstRowFirstColumn="0" w:firstRowLastColumn="0" w:lastRowFirstColumn="0" w:lastRowLastColumn="0"/>
            </w:pPr>
            <w:r w:rsidRPr="00B90AD8">
              <w:t>Growth supported by policy, but expansion exposed to geopolitical and regulatory shifts</w:t>
            </w:r>
          </w:p>
        </w:tc>
      </w:tr>
      <w:tr w:rsidR="00B90AD8" w:rsidRPr="00B90AD8" w:rsidTr="00B90AD8">
        <w:tc>
          <w:tcPr>
            <w:cnfStyle w:val="001000000000" w:firstRow="0" w:lastRow="0" w:firstColumn="1" w:lastColumn="0" w:oddVBand="0" w:evenVBand="0" w:oddHBand="0" w:evenHBand="0" w:firstRowFirstColumn="0" w:firstRowLastColumn="0" w:lastRowFirstColumn="0" w:lastRowLastColumn="0"/>
            <w:tcW w:w="3005" w:type="dxa"/>
          </w:tcPr>
          <w:p w:rsidR="00B90AD8" w:rsidRPr="00B90AD8" w:rsidRDefault="00B90AD8" w:rsidP="00E32E8F">
            <w:r w:rsidRPr="00B90AD8">
              <w:t>Economic</w:t>
            </w:r>
          </w:p>
        </w:tc>
        <w:tc>
          <w:tcPr>
            <w:tcW w:w="3005" w:type="dxa"/>
          </w:tcPr>
          <w:p w:rsidR="00B90AD8" w:rsidRPr="00B90AD8" w:rsidRDefault="00B90AD8" w:rsidP="00E32E8F">
            <w:pPr>
              <w:cnfStyle w:val="000000000000" w:firstRow="0" w:lastRow="0" w:firstColumn="0" w:lastColumn="0" w:oddVBand="0" w:evenVBand="0" w:oddHBand="0" w:evenHBand="0" w:firstRowFirstColumn="0" w:firstRowLastColumn="0" w:lastRowFirstColumn="0" w:lastRowLastColumn="0"/>
            </w:pPr>
            <w:r w:rsidRPr="00B90AD8">
              <w:t>US GDP 2.8%, China GDP 5.0% in 2024; Tesla margin down to 16.9%; elevated auto-loan costs</w:t>
            </w:r>
          </w:p>
        </w:tc>
        <w:tc>
          <w:tcPr>
            <w:tcW w:w="3006" w:type="dxa"/>
          </w:tcPr>
          <w:p w:rsidR="00B90AD8" w:rsidRPr="00B90AD8" w:rsidRDefault="00B90AD8" w:rsidP="00E32E8F">
            <w:pPr>
              <w:cnfStyle w:val="000000000000" w:firstRow="0" w:lastRow="0" w:firstColumn="0" w:lastColumn="0" w:oddVBand="0" w:evenVBand="0" w:oddHBand="0" w:evenHBand="0" w:firstRowFirstColumn="0" w:firstRowLastColumn="0" w:lastRowFirstColumn="0" w:lastRowLastColumn="0"/>
            </w:pPr>
            <w:r w:rsidRPr="00B90AD8">
              <w:t>Demand exists, but affordability and price competition compress profitability</w:t>
            </w:r>
          </w:p>
        </w:tc>
      </w:tr>
      <w:tr w:rsidR="00B90AD8" w:rsidRPr="00B90AD8" w:rsidTr="00B90A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B90AD8" w:rsidRPr="00B90AD8" w:rsidRDefault="00B90AD8" w:rsidP="00E32E8F">
            <w:r w:rsidRPr="00B90AD8">
              <w:t>Social</w:t>
            </w:r>
          </w:p>
        </w:tc>
        <w:tc>
          <w:tcPr>
            <w:tcW w:w="3005" w:type="dxa"/>
          </w:tcPr>
          <w:p w:rsidR="00B90AD8" w:rsidRPr="00B90AD8" w:rsidRDefault="00B90AD8" w:rsidP="00E32E8F">
            <w:pPr>
              <w:cnfStyle w:val="000000100000" w:firstRow="0" w:lastRow="0" w:firstColumn="0" w:lastColumn="0" w:oddVBand="0" w:evenVBand="0" w:oddHBand="1" w:evenHBand="0" w:firstRowFirstColumn="0" w:firstRowLastColumn="0" w:lastRowFirstColumn="0" w:lastRowLastColumn="0"/>
            </w:pPr>
            <w:r w:rsidRPr="00B90AD8">
              <w:t>Rising sustainability consciousness; growing reputation sensitivity</w:t>
            </w:r>
          </w:p>
        </w:tc>
        <w:tc>
          <w:tcPr>
            <w:tcW w:w="3006" w:type="dxa"/>
          </w:tcPr>
          <w:p w:rsidR="00B90AD8" w:rsidRPr="00B90AD8" w:rsidRDefault="00B90AD8" w:rsidP="00E32E8F">
            <w:pPr>
              <w:cnfStyle w:val="000000100000" w:firstRow="0" w:lastRow="0" w:firstColumn="0" w:lastColumn="0" w:oddVBand="0" w:evenVBand="0" w:oddHBand="1" w:evenHBand="0" w:firstRowFirstColumn="0" w:firstRowLastColumn="0" w:lastRowFirstColumn="0" w:lastRowLastColumn="0"/>
            </w:pPr>
            <w:r w:rsidRPr="00B90AD8">
              <w:t>Brand remains strong, but trust and service quality matter more</w:t>
            </w:r>
          </w:p>
        </w:tc>
      </w:tr>
      <w:tr w:rsidR="00B90AD8" w:rsidRPr="00B90AD8" w:rsidTr="00B90AD8">
        <w:tc>
          <w:tcPr>
            <w:cnfStyle w:val="001000000000" w:firstRow="0" w:lastRow="0" w:firstColumn="1" w:lastColumn="0" w:oddVBand="0" w:evenVBand="0" w:oddHBand="0" w:evenHBand="0" w:firstRowFirstColumn="0" w:firstRowLastColumn="0" w:lastRowFirstColumn="0" w:lastRowLastColumn="0"/>
            <w:tcW w:w="3005" w:type="dxa"/>
          </w:tcPr>
          <w:p w:rsidR="00B90AD8" w:rsidRPr="00B90AD8" w:rsidRDefault="00B90AD8" w:rsidP="00E32E8F">
            <w:r w:rsidRPr="00B90AD8">
              <w:t>Technological</w:t>
            </w:r>
          </w:p>
        </w:tc>
        <w:tc>
          <w:tcPr>
            <w:tcW w:w="3005" w:type="dxa"/>
          </w:tcPr>
          <w:p w:rsidR="00B90AD8" w:rsidRPr="00B90AD8" w:rsidRDefault="00B90AD8" w:rsidP="00E32E8F">
            <w:pPr>
              <w:cnfStyle w:val="000000000000" w:firstRow="0" w:lastRow="0" w:firstColumn="0" w:lastColumn="0" w:oddVBand="0" w:evenVBand="0" w:oddHBand="0" w:evenHBand="0" w:firstRowFirstColumn="0" w:firstRowLastColumn="0" w:lastRowFirstColumn="0" w:lastRowLastColumn="0"/>
            </w:pPr>
            <w:r w:rsidRPr="00B90AD8">
              <w:t>1.3m+ chargers added in 2024; rapid battery and software race</w:t>
            </w:r>
          </w:p>
        </w:tc>
        <w:tc>
          <w:tcPr>
            <w:tcW w:w="3006" w:type="dxa"/>
          </w:tcPr>
          <w:p w:rsidR="00B90AD8" w:rsidRPr="00B90AD8" w:rsidRDefault="00B90AD8" w:rsidP="00E32E8F">
            <w:pPr>
              <w:cnfStyle w:val="000000000000" w:firstRow="0" w:lastRow="0" w:firstColumn="0" w:lastColumn="0" w:oddVBand="0" w:evenVBand="0" w:oddHBand="0" w:evenHBand="0" w:firstRowFirstColumn="0" w:firstRowLastColumn="0" w:lastRowFirstColumn="0" w:lastRowLastColumn="0"/>
            </w:pPr>
            <w:r w:rsidRPr="00B90AD8">
              <w:t>Tesla must scale innovation faster than rivals, not just invent first</w:t>
            </w:r>
          </w:p>
        </w:tc>
      </w:tr>
      <w:tr w:rsidR="00B90AD8" w:rsidRPr="00B90AD8" w:rsidTr="00B90A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B90AD8" w:rsidRPr="00B90AD8" w:rsidRDefault="00B90AD8" w:rsidP="00E32E8F">
            <w:r w:rsidRPr="00B90AD8">
              <w:t>Legal</w:t>
            </w:r>
          </w:p>
        </w:tc>
        <w:tc>
          <w:tcPr>
            <w:tcW w:w="3005" w:type="dxa"/>
          </w:tcPr>
          <w:p w:rsidR="00B90AD8" w:rsidRPr="00B90AD8" w:rsidRDefault="00B90AD8" w:rsidP="00E32E8F">
            <w:pPr>
              <w:cnfStyle w:val="000000100000" w:firstRow="0" w:lastRow="0" w:firstColumn="0" w:lastColumn="0" w:oddVBand="0" w:evenVBand="0" w:oddHBand="1" w:evenHBand="0" w:firstRowFirstColumn="0" w:firstRowLastColumn="0" w:lastRowFirstColumn="0" w:lastRowLastColumn="0"/>
            </w:pPr>
            <w:r w:rsidRPr="00B90AD8">
              <w:t>NHTSA FSD investigation in 2024</w:t>
            </w:r>
          </w:p>
        </w:tc>
        <w:tc>
          <w:tcPr>
            <w:tcW w:w="3006" w:type="dxa"/>
          </w:tcPr>
          <w:p w:rsidR="00B90AD8" w:rsidRPr="00B90AD8" w:rsidRDefault="00B90AD8" w:rsidP="00E32E8F">
            <w:pPr>
              <w:cnfStyle w:val="000000100000" w:firstRow="0" w:lastRow="0" w:firstColumn="0" w:lastColumn="0" w:oddVBand="0" w:evenVBand="0" w:oddHBand="1" w:evenHBand="0" w:firstRowFirstColumn="0" w:firstRowLastColumn="0" w:lastRowFirstColumn="0" w:lastRowLastColumn="0"/>
            </w:pPr>
            <w:r w:rsidRPr="00B90AD8">
              <w:t>Regulatory scrutiny threatens autonomy-led differentiation</w:t>
            </w:r>
          </w:p>
        </w:tc>
      </w:tr>
      <w:tr w:rsidR="00B90AD8" w:rsidRPr="00B90AD8" w:rsidTr="00B90AD8">
        <w:tc>
          <w:tcPr>
            <w:cnfStyle w:val="001000000000" w:firstRow="0" w:lastRow="0" w:firstColumn="1" w:lastColumn="0" w:oddVBand="0" w:evenVBand="0" w:oddHBand="0" w:evenHBand="0" w:firstRowFirstColumn="0" w:firstRowLastColumn="0" w:lastRowFirstColumn="0" w:lastRowLastColumn="0"/>
            <w:tcW w:w="3005" w:type="dxa"/>
          </w:tcPr>
          <w:p w:rsidR="00B90AD8" w:rsidRPr="00B90AD8" w:rsidRDefault="00B90AD8" w:rsidP="00E32E8F">
            <w:r w:rsidRPr="00B90AD8">
              <w:t>Environmental</w:t>
            </w:r>
          </w:p>
        </w:tc>
        <w:tc>
          <w:tcPr>
            <w:tcW w:w="3005" w:type="dxa"/>
          </w:tcPr>
          <w:p w:rsidR="00B90AD8" w:rsidRPr="00B90AD8" w:rsidRDefault="00B90AD8" w:rsidP="00E32E8F">
            <w:pPr>
              <w:cnfStyle w:val="000000000000" w:firstRow="0" w:lastRow="0" w:firstColumn="0" w:lastColumn="0" w:oddVBand="0" w:evenVBand="0" w:oddHBand="0" w:evenHBand="0" w:firstRowFirstColumn="0" w:firstRowLastColumn="0" w:lastRowFirstColumn="0" w:lastRowLastColumn="0"/>
            </w:pPr>
            <w:r w:rsidRPr="00B90AD8">
              <w:t>Carbon transition supports EV adoption; mineral sourcing and recycling concerns persist</w:t>
            </w:r>
          </w:p>
        </w:tc>
        <w:tc>
          <w:tcPr>
            <w:tcW w:w="3006" w:type="dxa"/>
          </w:tcPr>
          <w:p w:rsidR="00B90AD8" w:rsidRPr="00B90AD8" w:rsidRDefault="00B90AD8" w:rsidP="00E32E8F">
            <w:pPr>
              <w:cnfStyle w:val="000000000000" w:firstRow="0" w:lastRow="0" w:firstColumn="0" w:lastColumn="0" w:oddVBand="0" w:evenVBand="0" w:oddHBand="0" w:evenHBand="0" w:firstRowFirstColumn="0" w:firstRowLastColumn="0" w:lastRowFirstColumn="0" w:lastRowLastColumn="0"/>
            </w:pPr>
            <w:r w:rsidRPr="00B90AD8">
              <w:t>Sustainability is a growth driver, but also a legitimacy test</w:t>
            </w:r>
          </w:p>
        </w:tc>
      </w:tr>
    </w:tbl>
    <w:p w:rsidR="008907EE" w:rsidRDefault="000F5EEA" w:rsidP="00A07F0A">
      <w:r w:rsidRPr="000F5EEA">
        <w:lastRenderedPageBreak/>
        <w:t>Tesla's external environment remains structurally favourable, but its strategic importance comes in paradox: the same forces that define the growth of the EV market also define the competition, regulation and execution risk in the market, making it more difficult to maintain than build competitive advantage (Li, 2023). The analysis of the industry forces suggests the key to success in the EV industry lies in cost efficiency, technological proficiency and ecosystem integration. Of these, battery cost efficiency is the most critical success factor, as it affects vehicle prices and profitability. With increasing price pressure, companies with the capacity to drive down battery costs through scale economies, innovation and supply chain integration have a greater chance of profitability</w:t>
      </w:r>
      <w:r w:rsidR="005E2F9A">
        <w:t xml:space="preserve"> </w:t>
      </w:r>
      <w:r w:rsidR="00F346AA">
        <w:t>(Parvizi et al., 2025)</w:t>
      </w:r>
      <w:r w:rsidRPr="000F5EEA">
        <w:t>.</w:t>
      </w:r>
      <w:r w:rsidR="00A07F0A">
        <w:t xml:space="preserve"> </w:t>
      </w:r>
      <w:r w:rsidR="008907EE">
        <w:t xml:space="preserve"> </w:t>
      </w:r>
    </w:p>
    <w:p w:rsidR="008907EE" w:rsidRDefault="003E33ED" w:rsidP="00A07F0A">
      <w:r w:rsidRPr="003E33ED">
        <w:t>Tesla has enjoyed the benefits of its Gigafactory approach, but this is in danger of being challenged by competitors with increasing manufacturing capacity. Also associated with cost efficiency is the role of scale in manufacturing, as companies gain the ability to spread costs and leverage economies of scale (Singh, 2023). Tesla’s scale enables a competitive advantage, but it is also vital to maintain operational stability and efficiency. This underscores the need for execution capability as a key factor for success in a maturing industry</w:t>
      </w:r>
      <w:r w:rsidR="005E2F9A">
        <w:t xml:space="preserve"> </w:t>
      </w:r>
      <w:r w:rsidR="00740BE4">
        <w:t>(Meegoda et al., 2024)</w:t>
      </w:r>
      <w:r w:rsidRPr="003E33ED">
        <w:t>. Beyond cost and scale, software capabilities are also a critical factor at the forefront of software-defined vehicles.</w:t>
      </w:r>
      <w:r w:rsidR="00A07F0A">
        <w:t xml:space="preserve"> </w:t>
      </w:r>
    </w:p>
    <w:p w:rsidR="00A07F0A" w:rsidRDefault="003E33ED" w:rsidP="008907EE">
      <w:r w:rsidRPr="003E33ED">
        <w:t>By delivering over-the-air software updates and advanced driving capabilities, Tesla adds value to customers and opens the possibility of recurring revenue streams</w:t>
      </w:r>
      <w:r w:rsidR="005E2F9A">
        <w:t xml:space="preserve"> </w:t>
      </w:r>
      <w:r w:rsidR="00740BE4">
        <w:t>(Pesaran et al., 2023)</w:t>
      </w:r>
      <w:r w:rsidRPr="003E33ED">
        <w:t xml:space="preserve">. But the duration of the advantage is contingent on regulatory and technological factors, both of which are uncertain. Thus, software capability is </w:t>
      </w:r>
      <w:r>
        <w:t xml:space="preserve">both </w:t>
      </w:r>
      <w:r w:rsidRPr="003E33ED">
        <w:t xml:space="preserve">a risk and </w:t>
      </w:r>
      <w:r>
        <w:t xml:space="preserve">an </w:t>
      </w:r>
      <w:r w:rsidRPr="003E33ED">
        <w:t>opportunity</w:t>
      </w:r>
      <w:r>
        <w:t>.</w:t>
      </w:r>
    </w:p>
    <w:p w:rsidR="00A07F0A" w:rsidRDefault="00A07F0A" w:rsidP="008907EE">
      <w:pPr>
        <w:pStyle w:val="Heading2"/>
      </w:pPr>
      <w:bookmarkStart w:id="7" w:name="_Toc227625669"/>
      <w:r>
        <w:t>3.4 Strategic Challenges</w:t>
      </w:r>
      <w:bookmarkEnd w:id="7"/>
    </w:p>
    <w:p w:rsidR="00922064" w:rsidRDefault="00922064" w:rsidP="00A07F0A">
      <w:r w:rsidRPr="00922064">
        <w:t>Tesla is facing a range of complex issues in its external environment that combine to create strategic challenges. Of those, price competition is the most visible, with increased competition requiring Tesla to lower prices to drive sales. This approach aids in sales growth, but also shrinks margins, presenting a dilemma between short-term competitiveness and long-term profitability (Sang, 2024).</w:t>
      </w:r>
    </w:p>
    <w:p w:rsidR="00A07F0A" w:rsidRDefault="00922064" w:rsidP="00A07F0A">
      <w:r w:rsidRPr="00922064">
        <w:t xml:space="preserve">Another major challenge for Tesla is its market concentration, especially in China and the United States. These regions offer significant growth prospects, but also introduce </w:t>
      </w:r>
      <w:r w:rsidRPr="00922064">
        <w:lastRenderedPageBreak/>
        <w:t>geopolitical risks, regulatory risks and economic risks</w:t>
      </w:r>
      <w:r w:rsidR="005E2F9A">
        <w:t xml:space="preserve"> </w:t>
      </w:r>
      <w:r w:rsidR="00740BE4">
        <w:t>(Bonsu, 2020)</w:t>
      </w:r>
      <w:r w:rsidRPr="00922064">
        <w:t>. This positions the firm strategically at greater risk, with any negative developments in one market being more pronounced and significant.</w:t>
      </w:r>
    </w:p>
    <w:p w:rsidR="0039594D" w:rsidRDefault="0039594D" w:rsidP="008907EE">
      <w:pPr>
        <w:pStyle w:val="Heading1"/>
      </w:pPr>
      <w:bookmarkStart w:id="8" w:name="_Toc227625670"/>
      <w:r>
        <w:t>4. Internal Environment Analysis (VRIO-Based Evaluation)</w:t>
      </w:r>
      <w:bookmarkEnd w:id="8"/>
    </w:p>
    <w:p w:rsidR="0039594D" w:rsidRDefault="00922064" w:rsidP="0039594D">
      <w:r w:rsidRPr="00922064">
        <w:t>To understand the internal environment of Tesla, Inc. and whether its resources and abilities lead to competitive advantage, the VRIO framework should be used. Tesla has a number of valuable tangible and intangible resources, but the key question is whether these resources are valuable, rare, costly to imitate and if they are well organised to be strategically productive</w:t>
      </w:r>
      <w:r w:rsidR="00F35BAC">
        <w:t xml:space="preserve"> </w:t>
      </w:r>
      <w:r w:rsidR="00A82C1E">
        <w:t>(Hasan, 2025)</w:t>
      </w:r>
      <w:r w:rsidRPr="00922064">
        <w:t>. In an increasingly competitive electric vehicle (EV) market, competitive advantage is no longer based on having, but on doing.</w:t>
      </w:r>
    </w:p>
    <w:p w:rsidR="0039594D" w:rsidRDefault="0039594D" w:rsidP="008907EE">
      <w:pPr>
        <w:pStyle w:val="Heading2"/>
      </w:pPr>
      <w:bookmarkStart w:id="9" w:name="_Toc227625671"/>
      <w:r>
        <w:t>4.1 VRIO-Based Evaluation of Key Resources and Capabilities</w:t>
      </w:r>
      <w:bookmarkEnd w:id="9"/>
    </w:p>
    <w:p w:rsidR="0039594D" w:rsidRDefault="00922064" w:rsidP="0039594D">
      <w:r w:rsidRPr="00922064">
        <w:t>Brand equity is a key resource for Tesla, allowing it to differentiate as an innovative, sustainable and technologically advanced company. It is relatively scarce relative to the traditional automakers and a source of market demand. But it is only moderately difficult to copy, as branding can be developed over time, and it is becoming a diminishing asset as reputation becomes volatile (Han, 2021). While Tesla is structured to make the most of its brand, through direct sales and market positioning, the VRIO analysis indicates that brand offers a strong but precarious advantage.</w:t>
      </w:r>
    </w:p>
    <w:p w:rsidR="0039594D" w:rsidRDefault="00837C46" w:rsidP="0039594D">
      <w:r w:rsidRPr="00837C46">
        <w:t>By contrast, Tesla has a greater source of sustainable competitive advantage in its software and data capability. The company's capability to include over-the-air updates, artificial intelligence and real-time data in its vehicles leads to ongoing product innovation and increased customer experience</w:t>
      </w:r>
      <w:r w:rsidR="00F35BAC">
        <w:t xml:space="preserve"> </w:t>
      </w:r>
      <w:r w:rsidR="00B649DB">
        <w:t>(Ekawati &amp; Yudoko, 2024)</w:t>
      </w:r>
      <w:r w:rsidRPr="00837C46">
        <w:t>. This resource is valuable, relatively unique and hard to replicate because of the volumes of data needed to be captured and the integration of technologies. Importantly, Tesla is well-organised to leverage this resource (its vertically integrated business model) making software capability one of the few areas that meets all VRIO criteria and therefore represents a source of sustained competitive advantage (Wells &amp; Skeete, 2022).</w:t>
      </w:r>
    </w:p>
    <w:p w:rsidR="008B1337" w:rsidRDefault="008B1337" w:rsidP="008B1337">
      <w:r w:rsidRPr="008B1337">
        <w:rPr>
          <w:noProof/>
          <w:lang w:eastAsia="en-GB"/>
        </w:rPr>
        <w:lastRenderedPageBreak/>
        <w:drawing>
          <wp:inline distT="0" distB="0" distL="0" distR="0">
            <wp:extent cx="5731156" cy="2795588"/>
            <wp:effectExtent l="0" t="0" r="3175" b="5080"/>
            <wp:docPr id="11" name="Picture 11" descr="Understanding Core Competencies for Business | by Oleh Dubetcky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Understanding Core Competencies for Business | by Oleh Dubetcky | Mediu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44665" cy="2802178"/>
                    </a:xfrm>
                    <a:prstGeom prst="rect">
                      <a:avLst/>
                    </a:prstGeom>
                    <a:noFill/>
                    <a:ln>
                      <a:noFill/>
                    </a:ln>
                  </pic:spPr>
                </pic:pic>
              </a:graphicData>
            </a:graphic>
          </wp:inline>
        </w:drawing>
      </w:r>
    </w:p>
    <w:p w:rsidR="008B1337" w:rsidRDefault="008B1337" w:rsidP="008B1337">
      <w:pPr>
        <w:jc w:val="center"/>
      </w:pPr>
      <w:r>
        <w:rPr>
          <w:b/>
        </w:rPr>
        <w:t>Figure 4</w:t>
      </w:r>
      <w:r w:rsidRPr="008B1337">
        <w:rPr>
          <w:b/>
        </w:rPr>
        <w:t>: VRIO framework for evaluating Tesla’s strategic resources and capabilities</w:t>
      </w:r>
      <w:r w:rsidRPr="008B1337">
        <w:t>.</w:t>
      </w:r>
    </w:p>
    <w:p w:rsidR="008907EE" w:rsidRDefault="00E90073" w:rsidP="0039594D">
      <w:r w:rsidRPr="00E90073">
        <w:t>Similarly, Tesla's battery competency is valuable, as it impacts costs and performance. But it is only relatively rare and somewhat imitable - competitors are investing heavily in battery technology and partnerships. Tesla has economies of scale and experience, but the VRIO analysis suggests that Tesla's battery expertise offers a short-term advantage, but does not create a long-term barrier</w:t>
      </w:r>
      <w:r w:rsidR="00F35BAC">
        <w:t xml:space="preserve"> </w:t>
      </w:r>
      <w:r w:rsidR="001813E3">
        <w:t>(Zhang, 2024)</w:t>
      </w:r>
      <w:r w:rsidRPr="00E90073">
        <w:t>. Likewise, Tesla's battery charging infrastructure has previously been rare and valuable, alleviating range anxiety and enhancing customer lock-in. Tesla is in good shape to capitalise on this advantage, with more than 80,000 Superchargers around the world (Naor et al., 2021).</w:t>
      </w:r>
    </w:p>
    <w:p w:rsidR="000C3F70" w:rsidRDefault="000C3F70" w:rsidP="0039594D">
      <w:r w:rsidRPr="000C3F70">
        <w:t>But, with the growth of public charging and Tesla's acceptance of competitors on its network, its rarity is diminishing. This suggests the charging network is moving from a sustained to a diminishing advantage. Tesla's scale is clearly valuable, as it allows cost-effective and global production</w:t>
      </w:r>
      <w:r w:rsidR="00F35BAC">
        <w:t xml:space="preserve"> </w:t>
      </w:r>
      <w:r w:rsidR="00E70DBA">
        <w:t>(Silva et al., 2023)</w:t>
      </w:r>
      <w:r w:rsidRPr="000C3F70">
        <w:t>. But it is not rare in the long run as competitors, especially in China, are rapidly scaling up manufacturing. Moreover, scale is not something that is hard to mimic; it takes money. So, scale in manufacturing is a competitive equality or at best a short-lived competitive advantage, if well implemented</w:t>
      </w:r>
      <w:r w:rsidR="00F35BAC">
        <w:t xml:space="preserve"> </w:t>
      </w:r>
      <w:r w:rsidR="00E70DBA">
        <w:t>(Putra &amp; Hermawan, 2023)</w:t>
      </w:r>
      <w:r w:rsidRPr="000C3F70">
        <w:t>.</w:t>
      </w:r>
    </w:p>
    <w:p w:rsidR="0039594D" w:rsidRDefault="000C3F70" w:rsidP="0039594D">
      <w:r w:rsidRPr="000C3F70">
        <w:t xml:space="preserve">Tesla's integration skill improves coordination between its manufacturing, software, sales and infrastructure. This is valuable, relatively rare and not impossible to replicate. More significantly, it adds complexity and risk. Tesla is set up to operate this </w:t>
      </w:r>
      <w:r w:rsidRPr="000C3F70">
        <w:lastRenderedPageBreak/>
        <w:t>model, but it requires discipline. Therefore, vertical integration is a conditional asset - strength and risk are two sides of the coin (Yousuf et al., 2024).</w:t>
      </w:r>
    </w:p>
    <w:p w:rsidR="0039594D" w:rsidRDefault="0039594D" w:rsidP="008907EE">
      <w:pPr>
        <w:pStyle w:val="Heading2"/>
      </w:pPr>
      <w:bookmarkStart w:id="10" w:name="_Toc227625672"/>
      <w:r>
        <w:t>4.2 VRIO Summary Table</w:t>
      </w:r>
      <w:bookmarkEnd w:id="10"/>
    </w:p>
    <w:p w:rsidR="008B1337" w:rsidRDefault="000C3F70" w:rsidP="0039594D">
      <w:r w:rsidRPr="000C3F70">
        <w:t>The VRIO analysis shows that Tesla achieves competitive advantage not from the individual resources themselves, but from their integration. Although some resources, such as scale of manufacturing and battery technology, are becoming more easily replicable, Tesla's ecosystem integration and software capability are harder to imitate and, therefore, more sustainable</w:t>
      </w:r>
      <w:r w:rsidR="00F35BAC">
        <w:t xml:space="preserve"> </w:t>
      </w:r>
      <w:r w:rsidR="00E70DBA">
        <w:t>(Rana, 2025)</w:t>
      </w:r>
      <w:r w:rsidRPr="000C3F70">
        <w:t>.</w:t>
      </w:r>
    </w:p>
    <w:p w:rsidR="0078516A" w:rsidRPr="0078516A" w:rsidRDefault="008B1337" w:rsidP="0039594D">
      <w:pPr>
        <w:rPr>
          <w:b/>
        </w:rPr>
      </w:pPr>
      <w:r>
        <w:rPr>
          <w:b/>
        </w:rPr>
        <w:t>Table 2</w:t>
      </w:r>
      <w:r w:rsidR="00A0653A" w:rsidRPr="00A0653A">
        <w:rPr>
          <w:b/>
        </w:rPr>
        <w:t>: VRIO Analysis of Tesla</w:t>
      </w:r>
    </w:p>
    <w:tbl>
      <w:tblPr>
        <w:tblStyle w:val="GridTable4-Accent5"/>
        <w:tblW w:w="0" w:type="auto"/>
        <w:tblLook w:val="04A0" w:firstRow="1" w:lastRow="0" w:firstColumn="1" w:lastColumn="0" w:noHBand="0" w:noVBand="1"/>
      </w:tblPr>
      <w:tblGrid>
        <w:gridCol w:w="1870"/>
        <w:gridCol w:w="1264"/>
        <w:gridCol w:w="1367"/>
        <w:gridCol w:w="1498"/>
        <w:gridCol w:w="1427"/>
        <w:gridCol w:w="1590"/>
      </w:tblGrid>
      <w:tr w:rsidR="008907EE" w:rsidRPr="008907EE" w:rsidTr="008907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rsidR="008907EE" w:rsidRPr="008907EE" w:rsidRDefault="008907EE" w:rsidP="00E32E8F">
            <w:r w:rsidRPr="008907EE">
              <w:t>Resource / Capability</w:t>
            </w:r>
          </w:p>
        </w:tc>
        <w:tc>
          <w:tcPr>
            <w:tcW w:w="1502" w:type="dxa"/>
          </w:tcPr>
          <w:p w:rsidR="008907EE" w:rsidRPr="008907EE" w:rsidRDefault="008907EE" w:rsidP="00E32E8F">
            <w:pPr>
              <w:cnfStyle w:val="100000000000" w:firstRow="1" w:lastRow="0" w:firstColumn="0" w:lastColumn="0" w:oddVBand="0" w:evenVBand="0" w:oddHBand="0" w:evenHBand="0" w:firstRowFirstColumn="0" w:firstRowLastColumn="0" w:lastRowFirstColumn="0" w:lastRowLastColumn="0"/>
            </w:pPr>
            <w:r w:rsidRPr="008907EE">
              <w:t>Valuable</w:t>
            </w:r>
          </w:p>
        </w:tc>
        <w:tc>
          <w:tcPr>
            <w:tcW w:w="1503" w:type="dxa"/>
          </w:tcPr>
          <w:p w:rsidR="008907EE" w:rsidRPr="008907EE" w:rsidRDefault="008907EE" w:rsidP="00E32E8F">
            <w:pPr>
              <w:cnfStyle w:val="100000000000" w:firstRow="1" w:lastRow="0" w:firstColumn="0" w:lastColumn="0" w:oddVBand="0" w:evenVBand="0" w:oddHBand="0" w:evenHBand="0" w:firstRowFirstColumn="0" w:firstRowLastColumn="0" w:lastRowFirstColumn="0" w:lastRowLastColumn="0"/>
            </w:pPr>
            <w:r w:rsidRPr="008907EE">
              <w:t>Rare</w:t>
            </w:r>
          </w:p>
        </w:tc>
        <w:tc>
          <w:tcPr>
            <w:tcW w:w="1503" w:type="dxa"/>
          </w:tcPr>
          <w:p w:rsidR="008907EE" w:rsidRPr="008907EE" w:rsidRDefault="008907EE" w:rsidP="00E32E8F">
            <w:pPr>
              <w:cnfStyle w:val="100000000000" w:firstRow="1" w:lastRow="0" w:firstColumn="0" w:lastColumn="0" w:oddVBand="0" w:evenVBand="0" w:oddHBand="0" w:evenHBand="0" w:firstRowFirstColumn="0" w:firstRowLastColumn="0" w:lastRowFirstColumn="0" w:lastRowLastColumn="0"/>
            </w:pPr>
            <w:r w:rsidRPr="008907EE">
              <w:t>Imitable</w:t>
            </w:r>
          </w:p>
        </w:tc>
        <w:tc>
          <w:tcPr>
            <w:tcW w:w="1503" w:type="dxa"/>
          </w:tcPr>
          <w:p w:rsidR="008907EE" w:rsidRPr="008907EE" w:rsidRDefault="008907EE" w:rsidP="00E32E8F">
            <w:pPr>
              <w:cnfStyle w:val="100000000000" w:firstRow="1" w:lastRow="0" w:firstColumn="0" w:lastColumn="0" w:oddVBand="0" w:evenVBand="0" w:oddHBand="0" w:evenHBand="0" w:firstRowFirstColumn="0" w:firstRowLastColumn="0" w:lastRowFirstColumn="0" w:lastRowLastColumn="0"/>
            </w:pPr>
            <w:r w:rsidRPr="008907EE">
              <w:t>Organised</w:t>
            </w:r>
          </w:p>
        </w:tc>
        <w:tc>
          <w:tcPr>
            <w:tcW w:w="1503" w:type="dxa"/>
          </w:tcPr>
          <w:p w:rsidR="008907EE" w:rsidRPr="008907EE" w:rsidRDefault="008907EE" w:rsidP="00E32E8F">
            <w:pPr>
              <w:cnfStyle w:val="100000000000" w:firstRow="1" w:lastRow="0" w:firstColumn="0" w:lastColumn="0" w:oddVBand="0" w:evenVBand="0" w:oddHBand="0" w:evenHBand="0" w:firstRowFirstColumn="0" w:firstRowLastColumn="0" w:lastRowFirstColumn="0" w:lastRowLastColumn="0"/>
            </w:pPr>
            <w:r w:rsidRPr="008907EE">
              <w:t>Competitive Advantage</w:t>
            </w:r>
          </w:p>
        </w:tc>
      </w:tr>
      <w:tr w:rsidR="008907EE" w:rsidRPr="008907EE" w:rsidTr="008907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rsidR="008907EE" w:rsidRPr="008907EE" w:rsidRDefault="008907EE" w:rsidP="00E32E8F">
            <w:r w:rsidRPr="008907EE">
              <w:t>Brand equity</w:t>
            </w:r>
          </w:p>
        </w:tc>
        <w:tc>
          <w:tcPr>
            <w:tcW w:w="1502" w:type="dxa"/>
          </w:tcPr>
          <w:p w:rsidR="008907EE" w:rsidRPr="008907EE" w:rsidRDefault="008907EE" w:rsidP="00E32E8F">
            <w:pPr>
              <w:cnfStyle w:val="000000100000" w:firstRow="0" w:lastRow="0" w:firstColumn="0" w:lastColumn="0" w:oddVBand="0" w:evenVBand="0" w:oddHBand="1" w:evenHBand="0" w:firstRowFirstColumn="0" w:firstRowLastColumn="0" w:lastRowFirstColumn="0" w:lastRowLastColumn="0"/>
            </w:pPr>
            <w:r w:rsidRPr="008907EE">
              <w:t>Yes</w:t>
            </w:r>
          </w:p>
        </w:tc>
        <w:tc>
          <w:tcPr>
            <w:tcW w:w="1503" w:type="dxa"/>
          </w:tcPr>
          <w:p w:rsidR="008907EE" w:rsidRPr="008907EE" w:rsidRDefault="008907EE" w:rsidP="00E32E8F">
            <w:pPr>
              <w:cnfStyle w:val="000000100000" w:firstRow="0" w:lastRow="0" w:firstColumn="0" w:lastColumn="0" w:oddVBand="0" w:evenVBand="0" w:oddHBand="1" w:evenHBand="0" w:firstRowFirstColumn="0" w:firstRowLastColumn="0" w:lastRowFirstColumn="0" w:lastRowLastColumn="0"/>
            </w:pPr>
            <w:r w:rsidRPr="008907EE">
              <w:t>Yes (declining)</w:t>
            </w:r>
          </w:p>
        </w:tc>
        <w:tc>
          <w:tcPr>
            <w:tcW w:w="1503" w:type="dxa"/>
          </w:tcPr>
          <w:p w:rsidR="008907EE" w:rsidRPr="008907EE" w:rsidRDefault="008907EE" w:rsidP="00E32E8F">
            <w:pPr>
              <w:cnfStyle w:val="000000100000" w:firstRow="0" w:lastRow="0" w:firstColumn="0" w:lastColumn="0" w:oddVBand="0" w:evenVBand="0" w:oddHBand="1" w:evenHBand="0" w:firstRowFirstColumn="0" w:firstRowLastColumn="0" w:lastRowFirstColumn="0" w:lastRowLastColumn="0"/>
            </w:pPr>
            <w:r w:rsidRPr="008907EE">
              <w:t>Moderate</w:t>
            </w:r>
          </w:p>
        </w:tc>
        <w:tc>
          <w:tcPr>
            <w:tcW w:w="1503" w:type="dxa"/>
          </w:tcPr>
          <w:p w:rsidR="008907EE" w:rsidRPr="008907EE" w:rsidRDefault="008907EE" w:rsidP="00E32E8F">
            <w:pPr>
              <w:cnfStyle w:val="000000100000" w:firstRow="0" w:lastRow="0" w:firstColumn="0" w:lastColumn="0" w:oddVBand="0" w:evenVBand="0" w:oddHBand="1" w:evenHBand="0" w:firstRowFirstColumn="0" w:firstRowLastColumn="0" w:lastRowFirstColumn="0" w:lastRowLastColumn="0"/>
            </w:pPr>
            <w:r w:rsidRPr="008907EE">
              <w:t>Yes</w:t>
            </w:r>
          </w:p>
        </w:tc>
        <w:tc>
          <w:tcPr>
            <w:tcW w:w="1503" w:type="dxa"/>
          </w:tcPr>
          <w:p w:rsidR="008907EE" w:rsidRPr="008907EE" w:rsidRDefault="008907EE" w:rsidP="00E32E8F">
            <w:pPr>
              <w:cnfStyle w:val="000000100000" w:firstRow="0" w:lastRow="0" w:firstColumn="0" w:lastColumn="0" w:oddVBand="0" w:evenVBand="0" w:oddHBand="1" w:evenHBand="0" w:firstRowFirstColumn="0" w:firstRowLastColumn="0" w:lastRowFirstColumn="0" w:lastRowLastColumn="0"/>
            </w:pPr>
            <w:r w:rsidRPr="008907EE">
              <w:t>Strong but vulnerable</w:t>
            </w:r>
          </w:p>
        </w:tc>
      </w:tr>
      <w:tr w:rsidR="008907EE" w:rsidRPr="008907EE" w:rsidTr="008907EE">
        <w:tc>
          <w:tcPr>
            <w:cnfStyle w:val="001000000000" w:firstRow="0" w:lastRow="0" w:firstColumn="1" w:lastColumn="0" w:oddVBand="0" w:evenVBand="0" w:oddHBand="0" w:evenHBand="0" w:firstRowFirstColumn="0" w:firstRowLastColumn="0" w:lastRowFirstColumn="0" w:lastRowLastColumn="0"/>
            <w:tcW w:w="1502" w:type="dxa"/>
          </w:tcPr>
          <w:p w:rsidR="008907EE" w:rsidRPr="008907EE" w:rsidRDefault="008907EE" w:rsidP="00E32E8F">
            <w:r w:rsidRPr="008907EE">
              <w:t>Software capability</w:t>
            </w:r>
          </w:p>
        </w:tc>
        <w:tc>
          <w:tcPr>
            <w:tcW w:w="1502" w:type="dxa"/>
          </w:tcPr>
          <w:p w:rsidR="008907EE" w:rsidRPr="008907EE" w:rsidRDefault="008907EE" w:rsidP="00E32E8F">
            <w:pPr>
              <w:cnfStyle w:val="000000000000" w:firstRow="0" w:lastRow="0" w:firstColumn="0" w:lastColumn="0" w:oddVBand="0" w:evenVBand="0" w:oddHBand="0" w:evenHBand="0" w:firstRowFirstColumn="0" w:firstRowLastColumn="0" w:lastRowFirstColumn="0" w:lastRowLastColumn="0"/>
            </w:pPr>
            <w:r w:rsidRPr="008907EE">
              <w:t>Yes</w:t>
            </w:r>
          </w:p>
        </w:tc>
        <w:tc>
          <w:tcPr>
            <w:tcW w:w="1503" w:type="dxa"/>
          </w:tcPr>
          <w:p w:rsidR="008907EE" w:rsidRPr="008907EE" w:rsidRDefault="008907EE" w:rsidP="00E32E8F">
            <w:pPr>
              <w:cnfStyle w:val="000000000000" w:firstRow="0" w:lastRow="0" w:firstColumn="0" w:lastColumn="0" w:oddVBand="0" w:evenVBand="0" w:oddHBand="0" w:evenHBand="0" w:firstRowFirstColumn="0" w:firstRowLastColumn="0" w:lastRowFirstColumn="0" w:lastRowLastColumn="0"/>
            </w:pPr>
            <w:r w:rsidRPr="008907EE">
              <w:t>Yes</w:t>
            </w:r>
          </w:p>
        </w:tc>
        <w:tc>
          <w:tcPr>
            <w:tcW w:w="1503" w:type="dxa"/>
          </w:tcPr>
          <w:p w:rsidR="008907EE" w:rsidRPr="008907EE" w:rsidRDefault="008907EE" w:rsidP="00E32E8F">
            <w:pPr>
              <w:cnfStyle w:val="000000000000" w:firstRow="0" w:lastRow="0" w:firstColumn="0" w:lastColumn="0" w:oddVBand="0" w:evenVBand="0" w:oddHBand="0" w:evenHBand="0" w:firstRowFirstColumn="0" w:firstRowLastColumn="0" w:lastRowFirstColumn="0" w:lastRowLastColumn="0"/>
            </w:pPr>
            <w:r w:rsidRPr="008907EE">
              <w:t>Difficult</w:t>
            </w:r>
          </w:p>
        </w:tc>
        <w:tc>
          <w:tcPr>
            <w:tcW w:w="1503" w:type="dxa"/>
          </w:tcPr>
          <w:p w:rsidR="008907EE" w:rsidRPr="008907EE" w:rsidRDefault="008907EE" w:rsidP="00E32E8F">
            <w:pPr>
              <w:cnfStyle w:val="000000000000" w:firstRow="0" w:lastRow="0" w:firstColumn="0" w:lastColumn="0" w:oddVBand="0" w:evenVBand="0" w:oddHBand="0" w:evenHBand="0" w:firstRowFirstColumn="0" w:firstRowLastColumn="0" w:lastRowFirstColumn="0" w:lastRowLastColumn="0"/>
            </w:pPr>
            <w:r w:rsidRPr="008907EE">
              <w:t>Yes</w:t>
            </w:r>
          </w:p>
        </w:tc>
        <w:tc>
          <w:tcPr>
            <w:tcW w:w="1503" w:type="dxa"/>
          </w:tcPr>
          <w:p w:rsidR="008907EE" w:rsidRPr="008907EE" w:rsidRDefault="008907EE" w:rsidP="00E32E8F">
            <w:pPr>
              <w:cnfStyle w:val="000000000000" w:firstRow="0" w:lastRow="0" w:firstColumn="0" w:lastColumn="0" w:oddVBand="0" w:evenVBand="0" w:oddHBand="0" w:evenHBand="0" w:firstRowFirstColumn="0" w:firstRowLastColumn="0" w:lastRowFirstColumn="0" w:lastRowLastColumn="0"/>
            </w:pPr>
            <w:r w:rsidRPr="008907EE">
              <w:t>Sustained advantage</w:t>
            </w:r>
          </w:p>
        </w:tc>
      </w:tr>
      <w:tr w:rsidR="008907EE" w:rsidRPr="008907EE" w:rsidTr="008907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rsidR="008907EE" w:rsidRPr="008907EE" w:rsidRDefault="008907EE" w:rsidP="00E32E8F">
            <w:r w:rsidRPr="008907EE">
              <w:t>Battery expertise</w:t>
            </w:r>
          </w:p>
        </w:tc>
        <w:tc>
          <w:tcPr>
            <w:tcW w:w="1502" w:type="dxa"/>
          </w:tcPr>
          <w:p w:rsidR="008907EE" w:rsidRPr="008907EE" w:rsidRDefault="008907EE" w:rsidP="00E32E8F">
            <w:pPr>
              <w:cnfStyle w:val="000000100000" w:firstRow="0" w:lastRow="0" w:firstColumn="0" w:lastColumn="0" w:oddVBand="0" w:evenVBand="0" w:oddHBand="1" w:evenHBand="0" w:firstRowFirstColumn="0" w:firstRowLastColumn="0" w:lastRowFirstColumn="0" w:lastRowLastColumn="0"/>
            </w:pPr>
            <w:r w:rsidRPr="008907EE">
              <w:t>Yes</w:t>
            </w:r>
          </w:p>
        </w:tc>
        <w:tc>
          <w:tcPr>
            <w:tcW w:w="1503" w:type="dxa"/>
          </w:tcPr>
          <w:p w:rsidR="008907EE" w:rsidRPr="008907EE" w:rsidRDefault="008907EE" w:rsidP="00E32E8F">
            <w:pPr>
              <w:cnfStyle w:val="000000100000" w:firstRow="0" w:lastRow="0" w:firstColumn="0" w:lastColumn="0" w:oddVBand="0" w:evenVBand="0" w:oddHBand="1" w:evenHBand="0" w:firstRowFirstColumn="0" w:firstRowLastColumn="0" w:lastRowFirstColumn="0" w:lastRowLastColumn="0"/>
            </w:pPr>
            <w:r w:rsidRPr="008907EE">
              <w:t>Moderate</w:t>
            </w:r>
          </w:p>
        </w:tc>
        <w:tc>
          <w:tcPr>
            <w:tcW w:w="1503" w:type="dxa"/>
          </w:tcPr>
          <w:p w:rsidR="008907EE" w:rsidRPr="008907EE" w:rsidRDefault="008907EE" w:rsidP="00E32E8F">
            <w:pPr>
              <w:cnfStyle w:val="000000100000" w:firstRow="0" w:lastRow="0" w:firstColumn="0" w:lastColumn="0" w:oddVBand="0" w:evenVBand="0" w:oddHBand="1" w:evenHBand="0" w:firstRowFirstColumn="0" w:firstRowLastColumn="0" w:lastRowFirstColumn="0" w:lastRowLastColumn="0"/>
            </w:pPr>
            <w:r w:rsidRPr="008907EE">
              <w:t>Moderate</w:t>
            </w:r>
          </w:p>
        </w:tc>
        <w:tc>
          <w:tcPr>
            <w:tcW w:w="1503" w:type="dxa"/>
          </w:tcPr>
          <w:p w:rsidR="008907EE" w:rsidRPr="008907EE" w:rsidRDefault="008907EE" w:rsidP="00E32E8F">
            <w:pPr>
              <w:cnfStyle w:val="000000100000" w:firstRow="0" w:lastRow="0" w:firstColumn="0" w:lastColumn="0" w:oddVBand="0" w:evenVBand="0" w:oddHBand="1" w:evenHBand="0" w:firstRowFirstColumn="0" w:firstRowLastColumn="0" w:lastRowFirstColumn="0" w:lastRowLastColumn="0"/>
            </w:pPr>
            <w:r w:rsidRPr="008907EE">
              <w:t>Yes</w:t>
            </w:r>
          </w:p>
        </w:tc>
        <w:tc>
          <w:tcPr>
            <w:tcW w:w="1503" w:type="dxa"/>
          </w:tcPr>
          <w:p w:rsidR="008907EE" w:rsidRPr="008907EE" w:rsidRDefault="008907EE" w:rsidP="00E32E8F">
            <w:pPr>
              <w:cnfStyle w:val="000000100000" w:firstRow="0" w:lastRow="0" w:firstColumn="0" w:lastColumn="0" w:oddVBand="0" w:evenVBand="0" w:oddHBand="1" w:evenHBand="0" w:firstRowFirstColumn="0" w:firstRowLastColumn="0" w:lastRowFirstColumn="0" w:lastRowLastColumn="0"/>
            </w:pPr>
            <w:r w:rsidRPr="008907EE">
              <w:t>Temporary advantage</w:t>
            </w:r>
          </w:p>
        </w:tc>
      </w:tr>
      <w:tr w:rsidR="008907EE" w:rsidRPr="008907EE" w:rsidTr="008907EE">
        <w:tc>
          <w:tcPr>
            <w:cnfStyle w:val="001000000000" w:firstRow="0" w:lastRow="0" w:firstColumn="1" w:lastColumn="0" w:oddVBand="0" w:evenVBand="0" w:oddHBand="0" w:evenHBand="0" w:firstRowFirstColumn="0" w:firstRowLastColumn="0" w:lastRowFirstColumn="0" w:lastRowLastColumn="0"/>
            <w:tcW w:w="1502" w:type="dxa"/>
          </w:tcPr>
          <w:p w:rsidR="008907EE" w:rsidRPr="008907EE" w:rsidRDefault="008907EE" w:rsidP="00E32E8F">
            <w:r w:rsidRPr="008907EE">
              <w:t>Charging network</w:t>
            </w:r>
          </w:p>
        </w:tc>
        <w:tc>
          <w:tcPr>
            <w:tcW w:w="1502" w:type="dxa"/>
          </w:tcPr>
          <w:p w:rsidR="008907EE" w:rsidRPr="008907EE" w:rsidRDefault="008907EE" w:rsidP="00E32E8F">
            <w:pPr>
              <w:cnfStyle w:val="000000000000" w:firstRow="0" w:lastRow="0" w:firstColumn="0" w:lastColumn="0" w:oddVBand="0" w:evenVBand="0" w:oddHBand="0" w:evenHBand="0" w:firstRowFirstColumn="0" w:firstRowLastColumn="0" w:lastRowFirstColumn="0" w:lastRowLastColumn="0"/>
            </w:pPr>
            <w:r w:rsidRPr="008907EE">
              <w:t>Yes</w:t>
            </w:r>
          </w:p>
        </w:tc>
        <w:tc>
          <w:tcPr>
            <w:tcW w:w="1503" w:type="dxa"/>
          </w:tcPr>
          <w:p w:rsidR="008907EE" w:rsidRPr="008907EE" w:rsidRDefault="008907EE" w:rsidP="00E32E8F">
            <w:pPr>
              <w:cnfStyle w:val="000000000000" w:firstRow="0" w:lastRow="0" w:firstColumn="0" w:lastColumn="0" w:oddVBand="0" w:evenVBand="0" w:oddHBand="0" w:evenHBand="0" w:firstRowFirstColumn="0" w:firstRowLastColumn="0" w:lastRowFirstColumn="0" w:lastRowLastColumn="0"/>
            </w:pPr>
            <w:r w:rsidRPr="008907EE">
              <w:t>Yes (declining)</w:t>
            </w:r>
          </w:p>
        </w:tc>
        <w:tc>
          <w:tcPr>
            <w:tcW w:w="1503" w:type="dxa"/>
          </w:tcPr>
          <w:p w:rsidR="008907EE" w:rsidRPr="008907EE" w:rsidRDefault="008907EE" w:rsidP="00E32E8F">
            <w:pPr>
              <w:cnfStyle w:val="000000000000" w:firstRow="0" w:lastRow="0" w:firstColumn="0" w:lastColumn="0" w:oddVBand="0" w:evenVBand="0" w:oddHBand="0" w:evenHBand="0" w:firstRowFirstColumn="0" w:firstRowLastColumn="0" w:lastRowFirstColumn="0" w:lastRowLastColumn="0"/>
            </w:pPr>
            <w:r w:rsidRPr="008907EE">
              <w:t>Increasingly</w:t>
            </w:r>
          </w:p>
        </w:tc>
        <w:tc>
          <w:tcPr>
            <w:tcW w:w="1503" w:type="dxa"/>
          </w:tcPr>
          <w:p w:rsidR="008907EE" w:rsidRPr="008907EE" w:rsidRDefault="008907EE" w:rsidP="00E32E8F">
            <w:pPr>
              <w:cnfStyle w:val="000000000000" w:firstRow="0" w:lastRow="0" w:firstColumn="0" w:lastColumn="0" w:oddVBand="0" w:evenVBand="0" w:oddHBand="0" w:evenHBand="0" w:firstRowFirstColumn="0" w:firstRowLastColumn="0" w:lastRowFirstColumn="0" w:lastRowLastColumn="0"/>
            </w:pPr>
            <w:r w:rsidRPr="008907EE">
              <w:t>Yes</w:t>
            </w:r>
          </w:p>
        </w:tc>
        <w:tc>
          <w:tcPr>
            <w:tcW w:w="1503" w:type="dxa"/>
          </w:tcPr>
          <w:p w:rsidR="008907EE" w:rsidRPr="008907EE" w:rsidRDefault="008907EE" w:rsidP="00E32E8F">
            <w:pPr>
              <w:cnfStyle w:val="000000000000" w:firstRow="0" w:lastRow="0" w:firstColumn="0" w:lastColumn="0" w:oddVBand="0" w:evenVBand="0" w:oddHBand="0" w:evenHBand="0" w:firstRowFirstColumn="0" w:firstRowLastColumn="0" w:lastRowFirstColumn="0" w:lastRowLastColumn="0"/>
            </w:pPr>
            <w:r w:rsidRPr="008907EE">
              <w:t>Eroding advantage</w:t>
            </w:r>
          </w:p>
        </w:tc>
      </w:tr>
      <w:tr w:rsidR="008907EE" w:rsidRPr="008907EE" w:rsidTr="008907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rsidR="008907EE" w:rsidRPr="008907EE" w:rsidRDefault="008907EE" w:rsidP="00E32E8F">
            <w:r w:rsidRPr="008907EE">
              <w:t>Manufacturing scale</w:t>
            </w:r>
          </w:p>
        </w:tc>
        <w:tc>
          <w:tcPr>
            <w:tcW w:w="1502" w:type="dxa"/>
          </w:tcPr>
          <w:p w:rsidR="008907EE" w:rsidRPr="008907EE" w:rsidRDefault="008907EE" w:rsidP="00E32E8F">
            <w:pPr>
              <w:cnfStyle w:val="000000100000" w:firstRow="0" w:lastRow="0" w:firstColumn="0" w:lastColumn="0" w:oddVBand="0" w:evenVBand="0" w:oddHBand="1" w:evenHBand="0" w:firstRowFirstColumn="0" w:firstRowLastColumn="0" w:lastRowFirstColumn="0" w:lastRowLastColumn="0"/>
            </w:pPr>
            <w:r w:rsidRPr="008907EE">
              <w:t>Yes</w:t>
            </w:r>
          </w:p>
        </w:tc>
        <w:tc>
          <w:tcPr>
            <w:tcW w:w="1503" w:type="dxa"/>
          </w:tcPr>
          <w:p w:rsidR="008907EE" w:rsidRPr="008907EE" w:rsidRDefault="008907EE" w:rsidP="00E32E8F">
            <w:pPr>
              <w:cnfStyle w:val="000000100000" w:firstRow="0" w:lastRow="0" w:firstColumn="0" w:lastColumn="0" w:oddVBand="0" w:evenVBand="0" w:oddHBand="1" w:evenHBand="0" w:firstRowFirstColumn="0" w:firstRowLastColumn="0" w:lastRowFirstColumn="0" w:lastRowLastColumn="0"/>
            </w:pPr>
            <w:r w:rsidRPr="008907EE">
              <w:t>No</w:t>
            </w:r>
          </w:p>
        </w:tc>
        <w:tc>
          <w:tcPr>
            <w:tcW w:w="1503" w:type="dxa"/>
          </w:tcPr>
          <w:p w:rsidR="008907EE" w:rsidRPr="008907EE" w:rsidRDefault="008907EE" w:rsidP="00E32E8F">
            <w:pPr>
              <w:cnfStyle w:val="000000100000" w:firstRow="0" w:lastRow="0" w:firstColumn="0" w:lastColumn="0" w:oddVBand="0" w:evenVBand="0" w:oddHBand="1" w:evenHBand="0" w:firstRowFirstColumn="0" w:firstRowLastColumn="0" w:lastRowFirstColumn="0" w:lastRowLastColumn="0"/>
            </w:pPr>
            <w:r w:rsidRPr="008907EE">
              <w:t>Moderate</w:t>
            </w:r>
          </w:p>
        </w:tc>
        <w:tc>
          <w:tcPr>
            <w:tcW w:w="1503" w:type="dxa"/>
          </w:tcPr>
          <w:p w:rsidR="008907EE" w:rsidRPr="008907EE" w:rsidRDefault="008907EE" w:rsidP="00E32E8F">
            <w:pPr>
              <w:cnfStyle w:val="000000100000" w:firstRow="0" w:lastRow="0" w:firstColumn="0" w:lastColumn="0" w:oddVBand="0" w:evenVBand="0" w:oddHBand="1" w:evenHBand="0" w:firstRowFirstColumn="0" w:firstRowLastColumn="0" w:lastRowFirstColumn="0" w:lastRowLastColumn="0"/>
            </w:pPr>
            <w:r w:rsidRPr="008907EE">
              <w:t>Yes</w:t>
            </w:r>
          </w:p>
        </w:tc>
        <w:tc>
          <w:tcPr>
            <w:tcW w:w="1503" w:type="dxa"/>
          </w:tcPr>
          <w:p w:rsidR="008907EE" w:rsidRPr="008907EE" w:rsidRDefault="008907EE" w:rsidP="00E32E8F">
            <w:pPr>
              <w:cnfStyle w:val="000000100000" w:firstRow="0" w:lastRow="0" w:firstColumn="0" w:lastColumn="0" w:oddVBand="0" w:evenVBand="0" w:oddHBand="1" w:evenHBand="0" w:firstRowFirstColumn="0" w:firstRowLastColumn="0" w:lastRowFirstColumn="0" w:lastRowLastColumn="0"/>
            </w:pPr>
            <w:r w:rsidRPr="008907EE">
              <w:t>Competitive parity</w:t>
            </w:r>
          </w:p>
        </w:tc>
      </w:tr>
      <w:tr w:rsidR="008907EE" w:rsidRPr="008907EE" w:rsidTr="008907EE">
        <w:tc>
          <w:tcPr>
            <w:cnfStyle w:val="001000000000" w:firstRow="0" w:lastRow="0" w:firstColumn="1" w:lastColumn="0" w:oddVBand="0" w:evenVBand="0" w:oddHBand="0" w:evenHBand="0" w:firstRowFirstColumn="0" w:firstRowLastColumn="0" w:lastRowFirstColumn="0" w:lastRowLastColumn="0"/>
            <w:tcW w:w="1502" w:type="dxa"/>
          </w:tcPr>
          <w:p w:rsidR="008907EE" w:rsidRPr="008907EE" w:rsidRDefault="008907EE" w:rsidP="00E32E8F">
            <w:r w:rsidRPr="008907EE">
              <w:t>Vertical integration</w:t>
            </w:r>
          </w:p>
        </w:tc>
        <w:tc>
          <w:tcPr>
            <w:tcW w:w="1502" w:type="dxa"/>
          </w:tcPr>
          <w:p w:rsidR="008907EE" w:rsidRPr="008907EE" w:rsidRDefault="008907EE" w:rsidP="00E32E8F">
            <w:pPr>
              <w:cnfStyle w:val="000000000000" w:firstRow="0" w:lastRow="0" w:firstColumn="0" w:lastColumn="0" w:oddVBand="0" w:evenVBand="0" w:oddHBand="0" w:evenHBand="0" w:firstRowFirstColumn="0" w:firstRowLastColumn="0" w:lastRowFirstColumn="0" w:lastRowLastColumn="0"/>
            </w:pPr>
            <w:r w:rsidRPr="008907EE">
              <w:t>Yes</w:t>
            </w:r>
          </w:p>
        </w:tc>
        <w:tc>
          <w:tcPr>
            <w:tcW w:w="1503" w:type="dxa"/>
          </w:tcPr>
          <w:p w:rsidR="008907EE" w:rsidRPr="008907EE" w:rsidRDefault="008907EE" w:rsidP="00E32E8F">
            <w:pPr>
              <w:cnfStyle w:val="000000000000" w:firstRow="0" w:lastRow="0" w:firstColumn="0" w:lastColumn="0" w:oddVBand="0" w:evenVBand="0" w:oddHBand="0" w:evenHBand="0" w:firstRowFirstColumn="0" w:firstRowLastColumn="0" w:lastRowFirstColumn="0" w:lastRowLastColumn="0"/>
            </w:pPr>
            <w:r w:rsidRPr="008907EE">
              <w:t>Moderate</w:t>
            </w:r>
          </w:p>
        </w:tc>
        <w:tc>
          <w:tcPr>
            <w:tcW w:w="1503" w:type="dxa"/>
          </w:tcPr>
          <w:p w:rsidR="008907EE" w:rsidRPr="008907EE" w:rsidRDefault="008907EE" w:rsidP="00E32E8F">
            <w:pPr>
              <w:cnfStyle w:val="000000000000" w:firstRow="0" w:lastRow="0" w:firstColumn="0" w:lastColumn="0" w:oddVBand="0" w:evenVBand="0" w:oddHBand="0" w:evenHBand="0" w:firstRowFirstColumn="0" w:firstRowLastColumn="0" w:lastRowFirstColumn="0" w:lastRowLastColumn="0"/>
            </w:pPr>
            <w:r w:rsidRPr="008907EE">
              <w:t>Moderate</w:t>
            </w:r>
          </w:p>
        </w:tc>
        <w:tc>
          <w:tcPr>
            <w:tcW w:w="1503" w:type="dxa"/>
          </w:tcPr>
          <w:p w:rsidR="008907EE" w:rsidRPr="008907EE" w:rsidRDefault="008907EE" w:rsidP="00E32E8F">
            <w:pPr>
              <w:cnfStyle w:val="000000000000" w:firstRow="0" w:lastRow="0" w:firstColumn="0" w:lastColumn="0" w:oddVBand="0" w:evenVBand="0" w:oddHBand="0" w:evenHBand="0" w:firstRowFirstColumn="0" w:firstRowLastColumn="0" w:lastRowFirstColumn="0" w:lastRowLastColumn="0"/>
            </w:pPr>
            <w:r w:rsidRPr="008907EE">
              <w:t>Yes</w:t>
            </w:r>
          </w:p>
        </w:tc>
        <w:tc>
          <w:tcPr>
            <w:tcW w:w="1503" w:type="dxa"/>
          </w:tcPr>
          <w:p w:rsidR="008907EE" w:rsidRPr="008907EE" w:rsidRDefault="008907EE" w:rsidP="00E32E8F">
            <w:pPr>
              <w:cnfStyle w:val="000000000000" w:firstRow="0" w:lastRow="0" w:firstColumn="0" w:lastColumn="0" w:oddVBand="0" w:evenVBand="0" w:oddHBand="0" w:evenHBand="0" w:firstRowFirstColumn="0" w:firstRowLastColumn="0" w:lastRowFirstColumn="0" w:lastRowLastColumn="0"/>
            </w:pPr>
            <w:r w:rsidRPr="008907EE">
              <w:t>Conditional advantage</w:t>
            </w:r>
          </w:p>
        </w:tc>
      </w:tr>
      <w:tr w:rsidR="008907EE" w:rsidRPr="008907EE" w:rsidTr="008907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rsidR="008907EE" w:rsidRPr="008907EE" w:rsidRDefault="008907EE" w:rsidP="00E32E8F">
            <w:r w:rsidRPr="008907EE">
              <w:t>Ecosystem integration</w:t>
            </w:r>
          </w:p>
        </w:tc>
        <w:tc>
          <w:tcPr>
            <w:tcW w:w="1502" w:type="dxa"/>
          </w:tcPr>
          <w:p w:rsidR="008907EE" w:rsidRPr="008907EE" w:rsidRDefault="008907EE" w:rsidP="00E32E8F">
            <w:pPr>
              <w:cnfStyle w:val="000000100000" w:firstRow="0" w:lastRow="0" w:firstColumn="0" w:lastColumn="0" w:oddVBand="0" w:evenVBand="0" w:oddHBand="1" w:evenHBand="0" w:firstRowFirstColumn="0" w:firstRowLastColumn="0" w:lastRowFirstColumn="0" w:lastRowLastColumn="0"/>
            </w:pPr>
            <w:r w:rsidRPr="008907EE">
              <w:t>Yes</w:t>
            </w:r>
          </w:p>
        </w:tc>
        <w:tc>
          <w:tcPr>
            <w:tcW w:w="1503" w:type="dxa"/>
          </w:tcPr>
          <w:p w:rsidR="008907EE" w:rsidRPr="008907EE" w:rsidRDefault="008907EE" w:rsidP="00E32E8F">
            <w:pPr>
              <w:cnfStyle w:val="000000100000" w:firstRow="0" w:lastRow="0" w:firstColumn="0" w:lastColumn="0" w:oddVBand="0" w:evenVBand="0" w:oddHBand="1" w:evenHBand="0" w:firstRowFirstColumn="0" w:firstRowLastColumn="0" w:lastRowFirstColumn="0" w:lastRowLastColumn="0"/>
            </w:pPr>
            <w:r w:rsidRPr="008907EE">
              <w:t>Yes</w:t>
            </w:r>
          </w:p>
        </w:tc>
        <w:tc>
          <w:tcPr>
            <w:tcW w:w="1503" w:type="dxa"/>
          </w:tcPr>
          <w:p w:rsidR="008907EE" w:rsidRPr="008907EE" w:rsidRDefault="008907EE" w:rsidP="00E32E8F">
            <w:pPr>
              <w:cnfStyle w:val="000000100000" w:firstRow="0" w:lastRow="0" w:firstColumn="0" w:lastColumn="0" w:oddVBand="0" w:evenVBand="0" w:oddHBand="1" w:evenHBand="0" w:firstRowFirstColumn="0" w:firstRowLastColumn="0" w:lastRowFirstColumn="0" w:lastRowLastColumn="0"/>
            </w:pPr>
            <w:r w:rsidRPr="008907EE">
              <w:t>Difficult</w:t>
            </w:r>
          </w:p>
        </w:tc>
        <w:tc>
          <w:tcPr>
            <w:tcW w:w="1503" w:type="dxa"/>
          </w:tcPr>
          <w:p w:rsidR="008907EE" w:rsidRPr="008907EE" w:rsidRDefault="008907EE" w:rsidP="00E32E8F">
            <w:pPr>
              <w:cnfStyle w:val="000000100000" w:firstRow="0" w:lastRow="0" w:firstColumn="0" w:lastColumn="0" w:oddVBand="0" w:evenVBand="0" w:oddHBand="1" w:evenHBand="0" w:firstRowFirstColumn="0" w:firstRowLastColumn="0" w:lastRowFirstColumn="0" w:lastRowLastColumn="0"/>
            </w:pPr>
            <w:r w:rsidRPr="008907EE">
              <w:t>Yes</w:t>
            </w:r>
          </w:p>
        </w:tc>
        <w:tc>
          <w:tcPr>
            <w:tcW w:w="1503" w:type="dxa"/>
          </w:tcPr>
          <w:p w:rsidR="008907EE" w:rsidRPr="008907EE" w:rsidRDefault="008907EE" w:rsidP="00E32E8F">
            <w:pPr>
              <w:cnfStyle w:val="000000100000" w:firstRow="0" w:lastRow="0" w:firstColumn="0" w:lastColumn="0" w:oddVBand="0" w:evenVBand="0" w:oddHBand="1" w:evenHBand="0" w:firstRowFirstColumn="0" w:firstRowLastColumn="0" w:lastRowFirstColumn="0" w:lastRowLastColumn="0"/>
            </w:pPr>
            <w:r w:rsidRPr="008907EE">
              <w:t>Strong sustained advantage</w:t>
            </w:r>
          </w:p>
        </w:tc>
      </w:tr>
    </w:tbl>
    <w:p w:rsidR="008907EE" w:rsidRDefault="008907EE" w:rsidP="0039594D"/>
    <w:p w:rsidR="0039594D" w:rsidRDefault="00AA4E06" w:rsidP="008907EE">
      <w:pPr>
        <w:pStyle w:val="Heading2"/>
      </w:pPr>
      <w:bookmarkStart w:id="11" w:name="_Toc227625673"/>
      <w:r>
        <w:t xml:space="preserve">4.3 </w:t>
      </w:r>
      <w:r w:rsidR="0039594D">
        <w:t>Discussion of Competitive Advantage</w:t>
      </w:r>
      <w:bookmarkEnd w:id="11"/>
    </w:p>
    <w:p w:rsidR="008907EE" w:rsidRDefault="00003D7B" w:rsidP="0039594D">
      <w:r w:rsidRPr="00003D7B">
        <w:t>The advantage of Tesla, however, is not guaranteed to be sustained. The decreasing scarcity of major resources and the growing competition and convergence of technologies imply that the advantage of Tesla is dynamic, but not fixed</w:t>
      </w:r>
      <w:r w:rsidR="00F35BAC">
        <w:t xml:space="preserve"> </w:t>
      </w:r>
      <w:r w:rsidR="00E70DBA">
        <w:t xml:space="preserve">(Blecker, </w:t>
      </w:r>
      <w:r w:rsidR="00E70DBA">
        <w:lastRenderedPageBreak/>
        <w:t>2025)</w:t>
      </w:r>
      <w:r w:rsidRPr="00003D7B">
        <w:t>. Besides, a number of its strengths are execution-based. In the case of vertical integration, an organisation has a stronger grip but the organisational structure is more complex, whereas speedy innovation fosters differentiation but at the cost of quality and consistency</w:t>
      </w:r>
      <w:r w:rsidR="00F35BAC">
        <w:t xml:space="preserve"> </w:t>
      </w:r>
      <w:r w:rsidR="00F27087">
        <w:t>(Omol, 2023)</w:t>
      </w:r>
      <w:r w:rsidRPr="00003D7B">
        <w:t>. More importantly, the internal strengths of Tesla can only be an advantage in competition when it is p</w:t>
      </w:r>
      <w:r>
        <w:t>roperly coordinated and applied</w:t>
      </w:r>
      <w:r w:rsidR="0039594D">
        <w:t xml:space="preserve">. </w:t>
      </w:r>
    </w:p>
    <w:p w:rsidR="00A07F0A" w:rsidRDefault="00003D7B" w:rsidP="00A07F0A">
      <w:r w:rsidRPr="00003D7B">
        <w:t>The biggest threat to the firm is not the lack of resources, but the fact that by copying the firm, they are diminishing the strategic value of their resources and facing operational difficulties</w:t>
      </w:r>
      <w:r w:rsidR="00F35BAC">
        <w:t xml:space="preserve"> </w:t>
      </w:r>
      <w:r w:rsidR="00F27087">
        <w:t>(Acharjya et al., 2025)</w:t>
      </w:r>
      <w:r w:rsidRPr="00003D7B">
        <w:t>. Tesla needs to become more dependent on the ability to follow strategy and consistency in integration as its rivals narrow the gap in terms of technology and scale. So, the competitive strength of Tesla can be considered as powerful yet conditional, as its ecosystem and software infrastructure, yet more and more reliant on disciplined execution and constant innovation (Midler and Alochet, 2023).</w:t>
      </w:r>
    </w:p>
    <w:p w:rsidR="0078516A" w:rsidRDefault="0078516A" w:rsidP="0078516A">
      <w:pPr>
        <w:jc w:val="center"/>
      </w:pPr>
      <w:r w:rsidRPr="0078516A">
        <w:rPr>
          <w:noProof/>
          <w:lang w:eastAsia="en-GB"/>
        </w:rPr>
        <w:drawing>
          <wp:inline distT="0" distB="0" distL="0" distR="0">
            <wp:extent cx="5731086" cy="2838450"/>
            <wp:effectExtent l="0" t="0" r="3175" b="0"/>
            <wp:docPr id="9" name="Picture 9" descr="PPT - Internal Analysis: Distinctive Competencies, Competitive Advantage, and Profitability PowerPoint Presentation - ID:7559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PPT - Internal Analysis: Distinctive Competencies, Competitive Advantage, and Profitability PowerPoint Presentation - ID:75595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44128" cy="2844910"/>
                    </a:xfrm>
                    <a:prstGeom prst="rect">
                      <a:avLst/>
                    </a:prstGeom>
                    <a:noFill/>
                    <a:ln>
                      <a:noFill/>
                    </a:ln>
                  </pic:spPr>
                </pic:pic>
              </a:graphicData>
            </a:graphic>
          </wp:inline>
        </w:drawing>
      </w:r>
    </w:p>
    <w:p w:rsidR="0078516A" w:rsidRPr="0078516A" w:rsidRDefault="0078516A" w:rsidP="0078516A">
      <w:pPr>
        <w:jc w:val="center"/>
        <w:rPr>
          <w:b/>
        </w:rPr>
      </w:pPr>
      <w:r>
        <w:rPr>
          <w:b/>
        </w:rPr>
        <w:t>Figure 4</w:t>
      </w:r>
      <w:r w:rsidRPr="0078516A">
        <w:rPr>
          <w:b/>
        </w:rPr>
        <w:t>: Transformation of Tesla’s resources into sustained competitive advantage through capabilities and competencies.</w:t>
      </w:r>
    </w:p>
    <w:p w:rsidR="00C73502" w:rsidRDefault="00C73502" w:rsidP="00C73502">
      <w:pPr>
        <w:pStyle w:val="Heading1"/>
      </w:pPr>
      <w:bookmarkStart w:id="12" w:name="_Toc227625674"/>
      <w:r>
        <w:t>5. CSR and Sustainability Objectives</w:t>
      </w:r>
      <w:bookmarkEnd w:id="12"/>
    </w:p>
    <w:p w:rsidR="00384BEC" w:rsidRDefault="00003D7B" w:rsidP="00384BEC">
      <w:r w:rsidRPr="00003D7B">
        <w:t>The CSR and sustainability approach of Tesla is fundamentally integrated into its mission statement to help the world switch to sustainable energy as a driver of decarbonisation, which makes the company not only an automaker but a driver of the decarbonisation process</w:t>
      </w:r>
      <w:r w:rsidR="00D6424E">
        <w:t xml:space="preserve"> </w:t>
      </w:r>
      <w:r w:rsidR="00A13304">
        <w:t>Cooke (2021)</w:t>
      </w:r>
      <w:r w:rsidRPr="00003D7B">
        <w:t xml:space="preserve">. This can be seen in the fact that it plans to </w:t>
      </w:r>
      <w:r w:rsidRPr="00003D7B">
        <w:lastRenderedPageBreak/>
        <w:t>focus on zero-emission cars, increase renewable energy solutions, and roll out 31.4 Gwh of energy storage in 2024, which will help maintain grid stability and integrate clean energy (Soyombo et al., 2024). By doing this, Tesla builds a powerful emissions-reduction story and enhances its status as a sustainable-mobility leader. But in the case of Tesla, the sustainability is not environmental only, it overlaps with the responsibilities of the supply chain, especially with the sourcing of lithium, cobalt and nickel, where ethical and environmental factors continue to be of concern</w:t>
      </w:r>
      <w:r w:rsidR="00D6424E">
        <w:t xml:space="preserve"> </w:t>
      </w:r>
      <w:r w:rsidR="00A13304">
        <w:t>(Jetin, 2020)</w:t>
      </w:r>
      <w:r w:rsidRPr="00003D7B">
        <w:t>.</w:t>
      </w:r>
    </w:p>
    <w:p w:rsidR="00384BEC" w:rsidRDefault="00003D7B" w:rsidP="00384BEC">
      <w:r w:rsidRPr="00003D7B">
        <w:t>Strategically, sustainability is evident in its motivations of growth, legitimacy and differentiation. The environmental positioning of Tesla has helped it grow and enjoy high brand perception, which is closely related to the economic growth by selling EVs, environmental good by cutting down emissions, and social good by technological innovation as per the Triple Bottom Line principles</w:t>
      </w:r>
      <w:r w:rsidR="00D6424E">
        <w:t xml:space="preserve"> </w:t>
      </w:r>
      <w:r w:rsidR="00A13304">
        <w:t>(Ogrean &amp; Herciu, 2022)</w:t>
      </w:r>
      <w:r w:rsidRPr="00003D7B">
        <w:t>. However, it is controversial to what degree CSR is fully incorporated and not reputational (Zhang, 2024). Although the business model of Tesla is rooted in sustainability, the issues of governance, labour criticisms and product safety complicate the social and ethical positioning of the company.</w:t>
      </w:r>
    </w:p>
    <w:p w:rsidR="00C73502" w:rsidRDefault="007E593E" w:rsidP="00384BEC">
      <w:r w:rsidRPr="007E593E">
        <w:t>Importantly, the CSR policy of Tesla demonstrates the ambition-accountability conflict. It has a good environmental mission and is commercially aligned but the quality of governance and social responsibility is poor as compared to its environmental stories. Its sustainability is further put into question by lifecycle emissions, battery recycling, and supply chain transparency</w:t>
      </w:r>
      <w:r w:rsidR="00D6424E">
        <w:t xml:space="preserve"> </w:t>
      </w:r>
      <w:r w:rsidR="00A13304">
        <w:t>(White-Nockleby, 2022)</w:t>
      </w:r>
      <w:r w:rsidRPr="007E593E">
        <w:t>. Thus, the CSR of Tesla could be seen as partially missing but well-strategically aligned with one in which environmental leadership is present, but the overall consistency of its ESG is still imbalanced, casting doubt on the sustainability of its competitive advantage based on sustainability-driven approach (Zhou, 2024).</w:t>
      </w:r>
    </w:p>
    <w:p w:rsidR="002633E8" w:rsidRDefault="002633E8" w:rsidP="008907EE">
      <w:pPr>
        <w:pStyle w:val="Heading1"/>
      </w:pPr>
      <w:bookmarkStart w:id="13" w:name="_Toc227625675"/>
      <w:r>
        <w:t>6. Comprehensive and Holistic View: Balanced Scorecard</w:t>
      </w:r>
      <w:bookmarkEnd w:id="13"/>
    </w:p>
    <w:p w:rsidR="008907EE" w:rsidRDefault="000845C9" w:rsidP="002633E8">
      <w:r w:rsidRPr="000845C9">
        <w:t xml:space="preserve">Balanced Scorecard offers an organized system to assess the Tesla strategy and its translation into performance operating on the financial, customer, internal and learning levels. Although Tesla has shown a good growth and innovativeness ability, a critical evaluation shows that there is an imbalance in strategic focus and emphasis where </w:t>
      </w:r>
      <w:r w:rsidRPr="000845C9">
        <w:lastRenderedPageBreak/>
        <w:t>financial growth and speed of innovation tends to take over at the cost of consistency of customer experience and process stability</w:t>
      </w:r>
      <w:r w:rsidR="00F27087">
        <w:t xml:space="preserve"> </w:t>
      </w:r>
      <w:r w:rsidR="00A13304">
        <w:t>(Murdock et al., 2021)</w:t>
      </w:r>
      <w:r w:rsidRPr="000845C9">
        <w:t>. Financially, the main goal of Tesla is to safeguard margins, continuing to grow in a more competitive EV market. In 2024, Tesla made 97.69 billion dollars in revenue, yet the decreasing automotive gross margins (16.9%), indicate the effects of drastic pric</w:t>
      </w:r>
      <w:r w:rsidR="00A13304">
        <w:t>e cuts (Nygaard, 2022).</w:t>
      </w:r>
      <w:r w:rsidR="002633E8">
        <w:t xml:space="preserve"> </w:t>
      </w:r>
    </w:p>
    <w:p w:rsidR="000845C9" w:rsidRDefault="000845C9" w:rsidP="002633E8">
      <w:r w:rsidRPr="000845C9">
        <w:t>This implies change of premium pricing to volume-based growth. One of the strategic priorities is thus to grow recurrent software revenues (e.g. Full Self-Driving subscriptions) and ROIC</w:t>
      </w:r>
      <w:r w:rsidR="00F27087">
        <w:t xml:space="preserve"> </w:t>
      </w:r>
      <w:r w:rsidR="00A13304">
        <w:t>(Katona et al., 2021)</w:t>
      </w:r>
      <w:r w:rsidRPr="000845C9">
        <w:t>. Nevertheless, financial performance can be limited by the ongoing price competition unless cost efficiency and service-based sources of income. According to the customer viewpoint, Tesla should focus on enhancing loyalty, service quality and trust to be successful in the long term. Although Tesla enjoys a high brand recognition, product quality, delays in service delivery and safety concerns have contributed to customer’s dissatisfaction</w:t>
      </w:r>
      <w:r w:rsidR="00F27087">
        <w:t xml:space="preserve"> </w:t>
      </w:r>
      <w:r w:rsidR="00836D00">
        <w:t>(Burton, 2024)</w:t>
      </w:r>
      <w:r w:rsidRPr="000845C9">
        <w:t>.</w:t>
      </w:r>
    </w:p>
    <w:p w:rsidR="002633E8" w:rsidRDefault="00BD1005" w:rsidP="002633E8">
      <w:r w:rsidRPr="00BD1005">
        <w:t>This implies that the Tesla strategic focus has traditionally focused on innovation as compared to after-sales experience. Enhancing service infrastructure, decreasing the waiting duration and increasing reliability are thus important in maintaining demand in a more competitive environment</w:t>
      </w:r>
      <w:r w:rsidR="00F27087">
        <w:t xml:space="preserve"> </w:t>
      </w:r>
      <w:r w:rsidR="00A24CE2">
        <w:t>(Collis et al., 2023)</w:t>
      </w:r>
      <w:r w:rsidRPr="00BD1005">
        <w:t>. The internal business process view brings to focus the strengths and weaknesses of Tesla in terms of operations. The company has already reached impressive scales of manufacturing, with the production of more than 1.77 million vehicles in 2024, but fast growth has also led to bottlenecks in the production process and quality failures (Katona et al., 2021). Enhancing the resilience of the supply chain, enhancing quality management and stabilising the production processes are critical in ensuring efficiency and minimisation of the operational risk. In the absence of this, scale can turn into a liability and not an asset.</w:t>
      </w:r>
    </w:p>
    <w:p w:rsidR="0084602B" w:rsidRDefault="0084602B" w:rsidP="0084602B">
      <w:r w:rsidRPr="0084602B">
        <w:t>Lastly, learning and growth perspective concentrates on the long-term ability of Tesla to be innovative. Rapid innovation and experimentation with technology is a strong aspect of the company, especially in the case of AI, software and battery development</w:t>
      </w:r>
      <w:r w:rsidR="00F27087">
        <w:t xml:space="preserve"> </w:t>
      </w:r>
      <w:r w:rsidR="000B4398">
        <w:t>(Li, 2024)</w:t>
      </w:r>
      <w:r w:rsidRPr="0084602B">
        <w:t xml:space="preserve">. Nevertheless, to maintain this benefit, more organisational learning, development of leadership and retaining talents is necessary. Centralised leadership </w:t>
      </w:r>
      <w:r w:rsidRPr="0084602B">
        <w:lastRenderedPageBreak/>
        <w:t>and innovation cycles that are high pressure might constrain organisational resilience in the long run.</w:t>
      </w:r>
    </w:p>
    <w:p w:rsidR="002633E8" w:rsidRPr="008907EE" w:rsidRDefault="008B1337" w:rsidP="002633E8">
      <w:pPr>
        <w:rPr>
          <w:b/>
        </w:rPr>
      </w:pPr>
      <w:r>
        <w:rPr>
          <w:b/>
        </w:rPr>
        <w:t>Table 3</w:t>
      </w:r>
      <w:r w:rsidR="002633E8" w:rsidRPr="008907EE">
        <w:rPr>
          <w:b/>
        </w:rPr>
        <w:t>: Tesla Balanced Scorecard</w:t>
      </w:r>
    </w:p>
    <w:tbl>
      <w:tblPr>
        <w:tblStyle w:val="GridTable4-Accent5"/>
        <w:tblW w:w="0" w:type="auto"/>
        <w:tblLook w:val="04A0" w:firstRow="1" w:lastRow="0" w:firstColumn="1" w:lastColumn="0" w:noHBand="0" w:noVBand="1"/>
      </w:tblPr>
      <w:tblGrid>
        <w:gridCol w:w="1803"/>
        <w:gridCol w:w="1803"/>
        <w:gridCol w:w="1803"/>
        <w:gridCol w:w="1803"/>
        <w:gridCol w:w="1804"/>
      </w:tblGrid>
      <w:tr w:rsidR="008907EE" w:rsidRPr="008907EE" w:rsidTr="008907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rsidR="008907EE" w:rsidRPr="008907EE" w:rsidRDefault="008907EE" w:rsidP="00E32E8F">
            <w:r w:rsidRPr="008907EE">
              <w:t>Perspective</w:t>
            </w:r>
          </w:p>
        </w:tc>
        <w:tc>
          <w:tcPr>
            <w:tcW w:w="1803" w:type="dxa"/>
          </w:tcPr>
          <w:p w:rsidR="008907EE" w:rsidRPr="008907EE" w:rsidRDefault="008907EE" w:rsidP="00E32E8F">
            <w:pPr>
              <w:cnfStyle w:val="100000000000" w:firstRow="1" w:lastRow="0" w:firstColumn="0" w:lastColumn="0" w:oddVBand="0" w:evenVBand="0" w:oddHBand="0" w:evenHBand="0" w:firstRowFirstColumn="0" w:firstRowLastColumn="0" w:lastRowFirstColumn="0" w:lastRowLastColumn="0"/>
            </w:pPr>
            <w:r w:rsidRPr="008907EE">
              <w:t>Objective</w:t>
            </w:r>
          </w:p>
        </w:tc>
        <w:tc>
          <w:tcPr>
            <w:tcW w:w="1803" w:type="dxa"/>
          </w:tcPr>
          <w:p w:rsidR="008907EE" w:rsidRPr="008907EE" w:rsidRDefault="008907EE" w:rsidP="00E32E8F">
            <w:pPr>
              <w:cnfStyle w:val="100000000000" w:firstRow="1" w:lastRow="0" w:firstColumn="0" w:lastColumn="0" w:oddVBand="0" w:evenVBand="0" w:oddHBand="0" w:evenHBand="0" w:firstRowFirstColumn="0" w:firstRowLastColumn="0" w:lastRowFirstColumn="0" w:lastRowLastColumn="0"/>
            </w:pPr>
            <w:r w:rsidRPr="008907EE">
              <w:t>KPI</w:t>
            </w:r>
          </w:p>
        </w:tc>
        <w:tc>
          <w:tcPr>
            <w:tcW w:w="1803" w:type="dxa"/>
          </w:tcPr>
          <w:p w:rsidR="008907EE" w:rsidRPr="008907EE" w:rsidRDefault="008907EE" w:rsidP="00E32E8F">
            <w:pPr>
              <w:cnfStyle w:val="100000000000" w:firstRow="1" w:lastRow="0" w:firstColumn="0" w:lastColumn="0" w:oddVBand="0" w:evenVBand="0" w:oddHBand="0" w:evenHBand="0" w:firstRowFirstColumn="0" w:firstRowLastColumn="0" w:lastRowFirstColumn="0" w:lastRowLastColumn="0"/>
            </w:pPr>
            <w:r w:rsidRPr="008907EE">
              <w:t>Target</w:t>
            </w:r>
          </w:p>
        </w:tc>
        <w:tc>
          <w:tcPr>
            <w:tcW w:w="1804" w:type="dxa"/>
          </w:tcPr>
          <w:p w:rsidR="008907EE" w:rsidRPr="008907EE" w:rsidRDefault="008907EE" w:rsidP="00E32E8F">
            <w:pPr>
              <w:cnfStyle w:val="100000000000" w:firstRow="1" w:lastRow="0" w:firstColumn="0" w:lastColumn="0" w:oddVBand="0" w:evenVBand="0" w:oddHBand="0" w:evenHBand="0" w:firstRowFirstColumn="0" w:firstRowLastColumn="0" w:lastRowFirstColumn="0" w:lastRowLastColumn="0"/>
            </w:pPr>
            <w:r w:rsidRPr="008907EE">
              <w:t>Initiative</w:t>
            </w:r>
          </w:p>
        </w:tc>
      </w:tr>
      <w:tr w:rsidR="008907EE" w:rsidRPr="008907EE" w:rsidTr="008907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rsidR="008907EE" w:rsidRPr="008907EE" w:rsidRDefault="008907EE" w:rsidP="00E32E8F">
            <w:r w:rsidRPr="008907EE">
              <w:t>Financial</w:t>
            </w:r>
          </w:p>
        </w:tc>
        <w:tc>
          <w:tcPr>
            <w:tcW w:w="1803" w:type="dxa"/>
          </w:tcPr>
          <w:p w:rsidR="008907EE" w:rsidRPr="008907EE" w:rsidRDefault="008907EE" w:rsidP="00E32E8F">
            <w:pPr>
              <w:cnfStyle w:val="000000100000" w:firstRow="0" w:lastRow="0" w:firstColumn="0" w:lastColumn="0" w:oddVBand="0" w:evenVBand="0" w:oddHBand="1" w:evenHBand="0" w:firstRowFirstColumn="0" w:firstRowLastColumn="0" w:lastRowFirstColumn="0" w:lastRowLastColumn="0"/>
            </w:pPr>
            <w:r w:rsidRPr="008907EE">
              <w:t>Protect margins; increase recurring revenue; improve ROIC</w:t>
            </w:r>
          </w:p>
        </w:tc>
        <w:tc>
          <w:tcPr>
            <w:tcW w:w="1803" w:type="dxa"/>
          </w:tcPr>
          <w:p w:rsidR="008907EE" w:rsidRPr="008907EE" w:rsidRDefault="008907EE" w:rsidP="00E32E8F">
            <w:pPr>
              <w:cnfStyle w:val="000000100000" w:firstRow="0" w:lastRow="0" w:firstColumn="0" w:lastColumn="0" w:oddVBand="0" w:evenVBand="0" w:oddHBand="1" w:evenHBand="0" w:firstRowFirstColumn="0" w:firstRowLastColumn="0" w:lastRowFirstColumn="0" w:lastRowLastColumn="0"/>
            </w:pPr>
            <w:r w:rsidRPr="008907EE">
              <w:t>Gross margin; % software revenue; ROIC</w:t>
            </w:r>
          </w:p>
        </w:tc>
        <w:tc>
          <w:tcPr>
            <w:tcW w:w="1803" w:type="dxa"/>
          </w:tcPr>
          <w:p w:rsidR="008907EE" w:rsidRPr="008907EE" w:rsidRDefault="008907EE" w:rsidP="00E32E8F">
            <w:pPr>
              <w:cnfStyle w:val="000000100000" w:firstRow="0" w:lastRow="0" w:firstColumn="0" w:lastColumn="0" w:oddVBand="0" w:evenVBand="0" w:oddHBand="1" w:evenHBand="0" w:firstRowFirstColumn="0" w:firstRowLastColumn="0" w:lastRowFirstColumn="0" w:lastRowLastColumn="0"/>
            </w:pPr>
            <w:r w:rsidRPr="008907EE">
              <w:t>Margin &gt;18%; software revenue growth &gt;20%</w:t>
            </w:r>
          </w:p>
        </w:tc>
        <w:tc>
          <w:tcPr>
            <w:tcW w:w="1804" w:type="dxa"/>
          </w:tcPr>
          <w:p w:rsidR="008907EE" w:rsidRPr="008907EE" w:rsidRDefault="008907EE" w:rsidP="00E32E8F">
            <w:pPr>
              <w:cnfStyle w:val="000000100000" w:firstRow="0" w:lastRow="0" w:firstColumn="0" w:lastColumn="0" w:oddVBand="0" w:evenVBand="0" w:oddHBand="1" w:evenHBand="0" w:firstRowFirstColumn="0" w:firstRowLastColumn="0" w:lastRowFirstColumn="0" w:lastRowLastColumn="0"/>
            </w:pPr>
            <w:r w:rsidRPr="008907EE">
              <w:t>Cost optimisation, expand FSD subscriptions, pricing strategy refinement</w:t>
            </w:r>
          </w:p>
        </w:tc>
      </w:tr>
      <w:tr w:rsidR="008907EE" w:rsidRPr="008907EE" w:rsidTr="008907EE">
        <w:tc>
          <w:tcPr>
            <w:cnfStyle w:val="001000000000" w:firstRow="0" w:lastRow="0" w:firstColumn="1" w:lastColumn="0" w:oddVBand="0" w:evenVBand="0" w:oddHBand="0" w:evenHBand="0" w:firstRowFirstColumn="0" w:firstRowLastColumn="0" w:lastRowFirstColumn="0" w:lastRowLastColumn="0"/>
            <w:tcW w:w="1803" w:type="dxa"/>
          </w:tcPr>
          <w:p w:rsidR="008907EE" w:rsidRPr="008907EE" w:rsidRDefault="008907EE" w:rsidP="00E32E8F">
            <w:r w:rsidRPr="008907EE">
              <w:t>Customer</w:t>
            </w:r>
          </w:p>
        </w:tc>
        <w:tc>
          <w:tcPr>
            <w:tcW w:w="1803" w:type="dxa"/>
          </w:tcPr>
          <w:p w:rsidR="008907EE" w:rsidRPr="008907EE" w:rsidRDefault="008907EE" w:rsidP="00E32E8F">
            <w:pPr>
              <w:cnfStyle w:val="000000000000" w:firstRow="0" w:lastRow="0" w:firstColumn="0" w:lastColumn="0" w:oddVBand="0" w:evenVBand="0" w:oddHBand="0" w:evenHBand="0" w:firstRowFirstColumn="0" w:firstRowLastColumn="0" w:lastRowFirstColumn="0" w:lastRowLastColumn="0"/>
            </w:pPr>
            <w:r w:rsidRPr="008907EE">
              <w:t>Improve loyalty; strengthen trust; enhance service</w:t>
            </w:r>
          </w:p>
        </w:tc>
        <w:tc>
          <w:tcPr>
            <w:tcW w:w="1803" w:type="dxa"/>
          </w:tcPr>
          <w:p w:rsidR="008907EE" w:rsidRPr="008907EE" w:rsidRDefault="008907EE" w:rsidP="00E32E8F">
            <w:pPr>
              <w:cnfStyle w:val="000000000000" w:firstRow="0" w:lastRow="0" w:firstColumn="0" w:lastColumn="0" w:oddVBand="0" w:evenVBand="0" w:oddHBand="0" w:evenHBand="0" w:firstRowFirstColumn="0" w:firstRowLastColumn="0" w:lastRowFirstColumn="0" w:lastRowLastColumn="0"/>
            </w:pPr>
            <w:r w:rsidRPr="008907EE">
              <w:t>Customer satisfaction score; service time; defect rates</w:t>
            </w:r>
          </w:p>
        </w:tc>
        <w:tc>
          <w:tcPr>
            <w:tcW w:w="1803" w:type="dxa"/>
          </w:tcPr>
          <w:p w:rsidR="008907EE" w:rsidRPr="008907EE" w:rsidRDefault="008907EE" w:rsidP="00E32E8F">
            <w:pPr>
              <w:cnfStyle w:val="000000000000" w:firstRow="0" w:lastRow="0" w:firstColumn="0" w:lastColumn="0" w:oddVBand="0" w:evenVBand="0" w:oddHBand="0" w:evenHBand="0" w:firstRowFirstColumn="0" w:firstRowLastColumn="0" w:lastRowFirstColumn="0" w:lastRowLastColumn="0"/>
            </w:pPr>
            <w:r w:rsidRPr="008907EE">
              <w:t>Satisfaction &gt;90%; reduce service delays by 20%</w:t>
            </w:r>
          </w:p>
        </w:tc>
        <w:tc>
          <w:tcPr>
            <w:tcW w:w="1804" w:type="dxa"/>
          </w:tcPr>
          <w:p w:rsidR="008907EE" w:rsidRPr="008907EE" w:rsidRDefault="008907EE" w:rsidP="00E32E8F">
            <w:pPr>
              <w:cnfStyle w:val="000000000000" w:firstRow="0" w:lastRow="0" w:firstColumn="0" w:lastColumn="0" w:oddVBand="0" w:evenVBand="0" w:oddHBand="0" w:evenHBand="0" w:firstRowFirstColumn="0" w:firstRowLastColumn="0" w:lastRowFirstColumn="0" w:lastRowLastColumn="0"/>
            </w:pPr>
            <w:r w:rsidRPr="008907EE">
              <w:t>Expand service centres, improve quality control, customer support systems</w:t>
            </w:r>
          </w:p>
        </w:tc>
      </w:tr>
      <w:tr w:rsidR="008907EE" w:rsidRPr="008907EE" w:rsidTr="008907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rsidR="008907EE" w:rsidRPr="008907EE" w:rsidRDefault="008907EE" w:rsidP="00E32E8F">
            <w:r w:rsidRPr="008907EE">
              <w:t>Internal Processes</w:t>
            </w:r>
          </w:p>
        </w:tc>
        <w:tc>
          <w:tcPr>
            <w:tcW w:w="1803" w:type="dxa"/>
          </w:tcPr>
          <w:p w:rsidR="008907EE" w:rsidRPr="008907EE" w:rsidRDefault="008907EE" w:rsidP="00E32E8F">
            <w:pPr>
              <w:cnfStyle w:val="000000100000" w:firstRow="0" w:lastRow="0" w:firstColumn="0" w:lastColumn="0" w:oddVBand="0" w:evenVBand="0" w:oddHBand="1" w:evenHBand="0" w:firstRowFirstColumn="0" w:firstRowLastColumn="0" w:lastRowFirstColumn="0" w:lastRowLastColumn="0"/>
            </w:pPr>
            <w:r w:rsidRPr="008907EE">
              <w:t>Reduce bottlenecks; improve supply chain; ensure quality</w:t>
            </w:r>
          </w:p>
        </w:tc>
        <w:tc>
          <w:tcPr>
            <w:tcW w:w="1803" w:type="dxa"/>
          </w:tcPr>
          <w:p w:rsidR="008907EE" w:rsidRPr="008907EE" w:rsidRDefault="008907EE" w:rsidP="00E32E8F">
            <w:pPr>
              <w:cnfStyle w:val="000000100000" w:firstRow="0" w:lastRow="0" w:firstColumn="0" w:lastColumn="0" w:oddVBand="0" w:evenVBand="0" w:oddHBand="1" w:evenHBand="0" w:firstRowFirstColumn="0" w:firstRowLastColumn="0" w:lastRowFirstColumn="0" w:lastRowLastColumn="0"/>
            </w:pPr>
            <w:r w:rsidRPr="008907EE">
              <w:t>Production efficiency; defect rates; supply lead time</w:t>
            </w:r>
          </w:p>
        </w:tc>
        <w:tc>
          <w:tcPr>
            <w:tcW w:w="1803" w:type="dxa"/>
          </w:tcPr>
          <w:p w:rsidR="008907EE" w:rsidRPr="008907EE" w:rsidRDefault="008907EE" w:rsidP="00E32E8F">
            <w:pPr>
              <w:cnfStyle w:val="000000100000" w:firstRow="0" w:lastRow="0" w:firstColumn="0" w:lastColumn="0" w:oddVBand="0" w:evenVBand="0" w:oddHBand="1" w:evenHBand="0" w:firstRowFirstColumn="0" w:firstRowLastColumn="0" w:lastRowFirstColumn="0" w:lastRowLastColumn="0"/>
            </w:pPr>
            <w:r w:rsidRPr="008907EE">
              <w:t>Reduce defects by 15%; improve efficiency by 10%</w:t>
            </w:r>
          </w:p>
        </w:tc>
        <w:tc>
          <w:tcPr>
            <w:tcW w:w="1804" w:type="dxa"/>
          </w:tcPr>
          <w:p w:rsidR="008907EE" w:rsidRPr="008907EE" w:rsidRDefault="008907EE" w:rsidP="00E32E8F">
            <w:pPr>
              <w:cnfStyle w:val="000000100000" w:firstRow="0" w:lastRow="0" w:firstColumn="0" w:lastColumn="0" w:oddVBand="0" w:evenVBand="0" w:oddHBand="1" w:evenHBand="0" w:firstRowFirstColumn="0" w:firstRowLastColumn="0" w:lastRowFirstColumn="0" w:lastRowLastColumn="0"/>
            </w:pPr>
            <w:r w:rsidRPr="008907EE">
              <w:t>Automation, supplier diversification, lean manufacturing</w:t>
            </w:r>
          </w:p>
        </w:tc>
      </w:tr>
      <w:tr w:rsidR="008907EE" w:rsidRPr="008907EE" w:rsidTr="008907EE">
        <w:tc>
          <w:tcPr>
            <w:cnfStyle w:val="001000000000" w:firstRow="0" w:lastRow="0" w:firstColumn="1" w:lastColumn="0" w:oddVBand="0" w:evenVBand="0" w:oddHBand="0" w:evenHBand="0" w:firstRowFirstColumn="0" w:firstRowLastColumn="0" w:lastRowFirstColumn="0" w:lastRowLastColumn="0"/>
            <w:tcW w:w="1803" w:type="dxa"/>
          </w:tcPr>
          <w:p w:rsidR="008907EE" w:rsidRPr="008907EE" w:rsidRDefault="008907EE" w:rsidP="00E32E8F">
            <w:r w:rsidRPr="008907EE">
              <w:t>Learning &amp; Growth</w:t>
            </w:r>
          </w:p>
        </w:tc>
        <w:tc>
          <w:tcPr>
            <w:tcW w:w="1803" w:type="dxa"/>
          </w:tcPr>
          <w:p w:rsidR="008907EE" w:rsidRPr="008907EE" w:rsidRDefault="008907EE" w:rsidP="00E32E8F">
            <w:pPr>
              <w:cnfStyle w:val="000000000000" w:firstRow="0" w:lastRow="0" w:firstColumn="0" w:lastColumn="0" w:oddVBand="0" w:evenVBand="0" w:oddHBand="0" w:evenHBand="0" w:firstRowFirstColumn="0" w:firstRowLastColumn="0" w:lastRowFirstColumn="0" w:lastRowLastColumn="0"/>
            </w:pPr>
            <w:r w:rsidRPr="008907EE">
              <w:t>Strengthen innovation; develop talent; improve leadership depth</w:t>
            </w:r>
          </w:p>
        </w:tc>
        <w:tc>
          <w:tcPr>
            <w:tcW w:w="1803" w:type="dxa"/>
          </w:tcPr>
          <w:p w:rsidR="008907EE" w:rsidRPr="008907EE" w:rsidRDefault="008907EE" w:rsidP="00E32E8F">
            <w:pPr>
              <w:cnfStyle w:val="000000000000" w:firstRow="0" w:lastRow="0" w:firstColumn="0" w:lastColumn="0" w:oddVBand="0" w:evenVBand="0" w:oddHBand="0" w:evenHBand="0" w:firstRowFirstColumn="0" w:firstRowLastColumn="0" w:lastRowFirstColumn="0" w:lastRowLastColumn="0"/>
            </w:pPr>
            <w:r w:rsidRPr="008907EE">
              <w:t>R&amp;D intensity; employee retention; innovation output</w:t>
            </w:r>
          </w:p>
        </w:tc>
        <w:tc>
          <w:tcPr>
            <w:tcW w:w="1803" w:type="dxa"/>
          </w:tcPr>
          <w:p w:rsidR="008907EE" w:rsidRPr="008907EE" w:rsidRDefault="008907EE" w:rsidP="00E32E8F">
            <w:pPr>
              <w:cnfStyle w:val="000000000000" w:firstRow="0" w:lastRow="0" w:firstColumn="0" w:lastColumn="0" w:oddVBand="0" w:evenVBand="0" w:oddHBand="0" w:evenHBand="0" w:firstRowFirstColumn="0" w:firstRowLastColumn="0" w:lastRowFirstColumn="0" w:lastRowLastColumn="0"/>
            </w:pPr>
            <w:r w:rsidRPr="008907EE">
              <w:t>Increase R&amp;D impact; reduce turnover</w:t>
            </w:r>
          </w:p>
        </w:tc>
        <w:tc>
          <w:tcPr>
            <w:tcW w:w="1804" w:type="dxa"/>
          </w:tcPr>
          <w:p w:rsidR="008907EE" w:rsidRPr="008907EE" w:rsidRDefault="008907EE" w:rsidP="00E32E8F">
            <w:pPr>
              <w:cnfStyle w:val="000000000000" w:firstRow="0" w:lastRow="0" w:firstColumn="0" w:lastColumn="0" w:oddVBand="0" w:evenVBand="0" w:oddHBand="0" w:evenHBand="0" w:firstRowFirstColumn="0" w:firstRowLastColumn="0" w:lastRowFirstColumn="0" w:lastRowLastColumn="0"/>
            </w:pPr>
            <w:r w:rsidRPr="008907EE">
              <w:t>AI investment, leadership development, knowledge systems</w:t>
            </w:r>
          </w:p>
        </w:tc>
      </w:tr>
    </w:tbl>
    <w:p w:rsidR="008907EE" w:rsidRDefault="008907EE" w:rsidP="002633E8"/>
    <w:p w:rsidR="0084602B" w:rsidRDefault="0084602B" w:rsidP="002633E8">
      <w:r w:rsidRPr="0084602B">
        <w:lastRenderedPageBreak/>
        <w:t>A critical analysis of the Balanced Scorecard of Tesla indicates a strategy imbalance. The company seems to have excessive focus on financial growth and speed of innovation, with the leverage of market expansion and technological dominance, and underinvesting relatively in the quality of customer service and operational stability</w:t>
      </w:r>
      <w:r w:rsidR="00A13304">
        <w:t xml:space="preserve"> </w:t>
      </w:r>
      <w:r w:rsidR="00430DC4">
        <w:t>(Naor, 2023)</w:t>
      </w:r>
      <w:r w:rsidRPr="0084602B">
        <w:t>. This disparity is reflected in decreasing margins, service problems and quality issues even with robust revenue growth. Furthermore, competitive advantage of Tesla is becoming more and more reliant on its capability to combine all four perspectives instead of being strong in one or two</w:t>
      </w:r>
      <w:r w:rsidR="00A13304">
        <w:t xml:space="preserve"> </w:t>
      </w:r>
      <w:r w:rsidRPr="0084602B">
        <w:t>. Without trusting customers, financial success cannot be achieved and without operational discipline, it cannot be innovative and all this may jeopardize long-term sustainability.</w:t>
      </w:r>
    </w:p>
    <w:p w:rsidR="002633E8" w:rsidRDefault="0084602B" w:rsidP="002633E8">
      <w:r w:rsidRPr="0084602B">
        <w:t>Thus, Tesla needs to re-align its strategic priorities by reinforcing inner processes and customer experience to facilitate its model, which is based on innovation. To sum up, the Balanced Scorecard proves that Tesla has good strategic abilities but needs more coordination of performance dimensions</w:t>
      </w:r>
      <w:r w:rsidR="00A13304">
        <w:t xml:space="preserve"> </w:t>
      </w:r>
      <w:r w:rsidRPr="0084602B">
        <w:t>. Sustainable competitive advantage will not only be based on innovation and growth but also on the capability of the firm to provide sustainable quality, customer satisfaction and organisational resilience (Pereira et al., 2023).</w:t>
      </w:r>
    </w:p>
    <w:p w:rsidR="00393B78" w:rsidRDefault="00393B78" w:rsidP="00227529">
      <w:pPr>
        <w:pStyle w:val="Heading1"/>
      </w:pPr>
      <w:bookmarkStart w:id="14" w:name="_Toc227625676"/>
      <w:r>
        <w:t>7. Strategic Choices and Implementation</w:t>
      </w:r>
      <w:bookmarkEnd w:id="14"/>
      <w:r>
        <w:t xml:space="preserve"> </w:t>
      </w:r>
    </w:p>
    <w:p w:rsidR="00393B78" w:rsidRDefault="00ED1E19" w:rsidP="00393B78">
      <w:r w:rsidRPr="00ED1E19">
        <w:t>The strategic positioning of Tesla is the shift in the pure differentiation strategy to a hybrid one, complex in nature and formed by the competitive pressure and market maturity. In the beginning, the strength of differentiation based on technological innovation, brand identity and ecosystem integration was a strength of Tesla</w:t>
      </w:r>
      <w:r w:rsidR="00A13304">
        <w:t xml:space="preserve"> </w:t>
      </w:r>
      <w:r w:rsidR="00BD5D4C">
        <w:t>(Campbell et al., 2021)</w:t>
      </w:r>
      <w:r w:rsidRPr="00ED1E19">
        <w:t>. New pricing policies however show a change. The aggressive price cuts that the company implemented in 2024, which led to a drop in the automotive gross margins to about 16.9 indicate that Tesla is competing on cost in addition to differentiation</w:t>
      </w:r>
      <w:r w:rsidR="00A13304">
        <w:t xml:space="preserve"> </w:t>
      </w:r>
      <w:r w:rsidR="00BD5D4C">
        <w:t>(Stoian, 2021)</w:t>
      </w:r>
      <w:r w:rsidRPr="00ED1E19">
        <w:t>. This brings up an important strategic issue: Tesla is not just a differentiated firm anymore, it is a hybrid competitor that is a combination of differentiation and scale cost efficiency. Although this will enable Tesla to maintain market share, it will also jeopardize its high-end positioning, especially as rivals close the technology gap.</w:t>
      </w:r>
    </w:p>
    <w:p w:rsidR="00393B78" w:rsidRDefault="00ED1E19" w:rsidP="00393B78">
      <w:r w:rsidRPr="00ED1E19">
        <w:lastRenderedPageBreak/>
        <w:t>At the corporate scale, the Tesla strategy reflects a definite trend of related diversification. The move towards energy storage and solar solutions and software-driven services is an intentional effort to develop an integrated ecosystem and not growth in other areas. In particular, the implementation of 31.4 Gwh of energy storage in 2024 underscores the growing significance of non-automotive sources of revenue (Vaio et al., 2024). Likewise, the emphasis of Tesla on software monetisation, such as Full Self-Driving functions, is an indicator of the transition to platform-based value creation. Tesla has been further able to strengthen its strategy of global scaling through geographic expansion, especially in China</w:t>
      </w:r>
      <w:r w:rsidR="00A13304">
        <w:t xml:space="preserve"> </w:t>
      </w:r>
      <w:r w:rsidR="00BD5D4C" w:rsidRPr="00ED1E19">
        <w:t>(Yang, 2023)</w:t>
      </w:r>
      <w:r w:rsidRPr="00ED1E19">
        <w:t>. Nonetheless, this growth also comes with geopolitics and regulatory risks, implying that expansion should be met with a right balance with strategic prudence.</w:t>
      </w:r>
    </w:p>
    <w:p w:rsidR="008B1337" w:rsidRDefault="008B1337" w:rsidP="008B1337">
      <w:pPr>
        <w:jc w:val="center"/>
      </w:pPr>
      <w:r w:rsidRPr="008B1337">
        <w:rPr>
          <w:noProof/>
          <w:lang w:eastAsia="en-GB"/>
        </w:rPr>
        <w:drawing>
          <wp:inline distT="0" distB="0" distL="0" distR="0">
            <wp:extent cx="5730281" cy="3496665"/>
            <wp:effectExtent l="0" t="0" r="3810" b="8890"/>
            <wp:docPr id="13" name="Picture 13" descr="Electric Vehicle | Meticulous Market Research Pvt. Lt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Electric Vehicle | Meticulous Market Research Pvt. Lt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50143" cy="3508785"/>
                    </a:xfrm>
                    <a:prstGeom prst="rect">
                      <a:avLst/>
                    </a:prstGeom>
                    <a:noFill/>
                    <a:ln>
                      <a:noFill/>
                    </a:ln>
                  </pic:spPr>
                </pic:pic>
              </a:graphicData>
            </a:graphic>
          </wp:inline>
        </w:drawing>
      </w:r>
    </w:p>
    <w:p w:rsidR="008B1337" w:rsidRPr="008B1337" w:rsidRDefault="008B1337" w:rsidP="008B1337">
      <w:pPr>
        <w:jc w:val="center"/>
        <w:rPr>
          <w:b/>
        </w:rPr>
      </w:pPr>
      <w:r>
        <w:rPr>
          <w:b/>
        </w:rPr>
        <w:t>Figure 5</w:t>
      </w:r>
      <w:r w:rsidRPr="008B1337">
        <w:rPr>
          <w:b/>
        </w:rPr>
        <w:t>: Tesla’s integrated ecosystem linking vehicles, software, charging infrastructure and energy systems.</w:t>
      </w:r>
    </w:p>
    <w:p w:rsidR="0038746A" w:rsidRDefault="00C42C92" w:rsidP="00393B78">
      <w:r w:rsidRPr="00C42C92">
        <w:t>In terms of strategic choice, the most suitable strategy to be used by Tesla is focused differentiation, which is backed by selective cost effectiveness on the business level and diversification of the same, on the corporate level</w:t>
      </w:r>
      <w:r w:rsidR="00A13304">
        <w:t xml:space="preserve"> </w:t>
      </w:r>
      <w:r w:rsidR="00BD5D4C">
        <w:t>(Wang et al., 2024)</w:t>
      </w:r>
      <w:r w:rsidRPr="00C42C92">
        <w:t xml:space="preserve">. This will enable Tesla to maintain its technological and brand-based competitiveness and enhance affordability and scale. The success of this strategy however, relies on the ability to implement. The attitude of Tesla towards change management is both robust </w:t>
      </w:r>
      <w:r w:rsidRPr="00C42C92">
        <w:lastRenderedPageBreak/>
        <w:t>and weak. The company has shown tremendous flexibility in the scaling of production and introduction of new technologies with more than 1.77 million vehicles being produced in 2024</w:t>
      </w:r>
      <w:r w:rsidR="00A13304">
        <w:t xml:space="preserve"> </w:t>
      </w:r>
      <w:r w:rsidR="00BD5D4C">
        <w:t>(Qiu et al., 2022)</w:t>
      </w:r>
      <w:r w:rsidRPr="00C42C92">
        <w:t>. But the speedy growth has caused operational stress, such as variation in quality and service difficulties.</w:t>
      </w:r>
      <w:r w:rsidR="00393B78">
        <w:t xml:space="preserve"> </w:t>
      </w:r>
    </w:p>
    <w:p w:rsidR="00393B78" w:rsidRDefault="00393B78" w:rsidP="00393B78">
      <w:r>
        <w:t>Tesla’s highly centralised leadership model supports fast decision-making but creates dependency risks, while its aggressive growth targets increase execution pressure. These factors suggest that Tesla’s primary strategic challenge is not designing strategy, but implementing it consistently across complex global operations</w:t>
      </w:r>
      <w:r w:rsidR="008B5A0A">
        <w:t xml:space="preserve"> (Dourado et al., 2021)</w:t>
      </w:r>
      <w:r>
        <w:t>.</w:t>
      </w:r>
      <w:r w:rsidR="0038746A">
        <w:t xml:space="preserve"> </w:t>
      </w:r>
      <w:r>
        <w:t>Ultimately, Tesla’s success will depend on whether it can align its strategic ambition with operational discipline. Without improvements in quality control, service infrastructure and organisational resilience, the benefits of its hybrid strategy may be undermined by implementation weaknesses. This highlights that in a mature EV market, execution capability is becoming as important as strategic vision.</w:t>
      </w:r>
    </w:p>
    <w:p w:rsidR="00393B78" w:rsidRDefault="00393B78" w:rsidP="0038746A">
      <w:pPr>
        <w:pStyle w:val="Heading1"/>
      </w:pPr>
      <w:bookmarkStart w:id="15" w:name="_Toc227625677"/>
      <w:r>
        <w:t>8. Strategic</w:t>
      </w:r>
      <w:r w:rsidR="0038746A">
        <w:t xml:space="preserve"> Evaluation and Recommendations</w:t>
      </w:r>
      <w:bookmarkEnd w:id="15"/>
    </w:p>
    <w:p w:rsidR="008B1337" w:rsidRDefault="00393B78" w:rsidP="00393B78">
      <w:r>
        <w:t>A critical evaluation of Tesla’s strategy reveals a company with strong competitive positioning but increasing exposure to structural pressures. Using a SWOT framework, Tesla’s strengths lie in its brand equity, integrated charging network, software capability and manufacturing scale, all of which contribute to its ecosystem-based advantage</w:t>
      </w:r>
      <w:r w:rsidR="00A52C03">
        <w:t xml:space="preserve"> (Serpa et al., 2020)</w:t>
      </w:r>
      <w:r>
        <w:t>. However, its weaknesses include quality concerns, reliance on brand perception and growing implementation strain associated with rapid expansion. These weaknesses are particularly important because they directly affect customer satisfaction and operational consistency.</w:t>
      </w:r>
    </w:p>
    <w:p w:rsidR="005F3B7F" w:rsidRDefault="005F3B7F" w:rsidP="00393B78">
      <w:r w:rsidRPr="005F3B7F">
        <w:t>The highly centralised leadership style of Tesla facilitates prompt decision-making but raises the risk of dependency, whereas its ambitious growth ambitions raise the pressure on executions. These aspects indicate that Tesla is not designing strategy, but executing it through complicated global activities, as the main strategic challenge. In the end, Tesla will be successful in the extent to which it can balance its strategic aspiration with operational discipline</w:t>
      </w:r>
      <w:r w:rsidR="00A13304">
        <w:t xml:space="preserve"> </w:t>
      </w:r>
      <w:r w:rsidR="008B5A0A">
        <w:t>(Ning, 2024)</w:t>
      </w:r>
      <w:r w:rsidRPr="005F3B7F">
        <w:t xml:space="preserve">. Unless its control of quality is improved, the infrastructure of its service and organisational resilience, the advantages of its hybrid strategy can be compromised by the flaws in implementation. </w:t>
      </w:r>
      <w:r w:rsidRPr="005F3B7F">
        <w:lastRenderedPageBreak/>
        <w:t>This underscores the fact that in a developed EV market, the ability to execute is turning out to be as significant as the strategic vision</w:t>
      </w:r>
      <w:r w:rsidR="00BD5D4C">
        <w:t xml:space="preserve"> </w:t>
      </w:r>
      <w:r w:rsidR="008B5A0A">
        <w:t>(Gao, 2023)</w:t>
      </w:r>
      <w:r w:rsidRPr="005F3B7F">
        <w:t>.</w:t>
      </w:r>
    </w:p>
    <w:p w:rsidR="005F3B7F" w:rsidRDefault="005F3B7F" w:rsidP="005F3B7F">
      <w:r w:rsidRPr="005F3B7F">
        <w:t>The Ansoff Matrix also demonstrates the strategic direction of Tesla. The company is still seeking to achieve penetration in the market by reducing prices, developing products by adding software and autonomy features and developing markets by expanding geographically. Its energy storage entry is related diversification, which is strategically consistent</w:t>
      </w:r>
      <w:r w:rsidR="00A13304">
        <w:t xml:space="preserve"> </w:t>
      </w:r>
      <w:r w:rsidR="008B5A0A">
        <w:t>(Midler &amp; Alochet, 2023)</w:t>
      </w:r>
      <w:r w:rsidRPr="005F3B7F">
        <w:t>. Nevertheless, these strategies cannot work without quality execution and a strategy alone cannot work.</w:t>
      </w:r>
    </w:p>
    <w:p w:rsidR="005F3B7F" w:rsidRDefault="005F3B7F" w:rsidP="005F3B7F">
      <w:r w:rsidRPr="005F3B7F">
        <w:t>In terms of BCG, the Tesla vehicle segment is a cash-generating core business, whereas the energy storage might be regarded as a high-growth star segment (Puyt et al., 2024). Software and services can be a future growth driver but will have to rely on regulatory acceptance and reliability of the technology. This implies that Tesla portfolio is well balanced, but not risk-free. On the basis of this analysis, a number of strategic suggestions are made</w:t>
      </w:r>
      <w:r w:rsidR="00A13304">
        <w:t xml:space="preserve"> </w:t>
      </w:r>
      <w:r w:rsidR="008B5A0A">
        <w:t>(Zhao, 2024)</w:t>
      </w:r>
      <w:r w:rsidRPr="005F3B7F">
        <w:t>.</w:t>
      </w:r>
    </w:p>
    <w:p w:rsidR="0038746A" w:rsidRDefault="005F3B7F" w:rsidP="005F3B7F">
      <w:r w:rsidRPr="005F3B7F">
        <w:t>First, Tesla ought to enhance service delivery and reliability of operations since customer experience is emerging as a major competitive differentiator. This involves service infrastructure and quality control systems investment.</w:t>
      </w:r>
      <w:r w:rsidR="00393B78">
        <w:t xml:space="preserve"> </w:t>
      </w:r>
    </w:p>
    <w:p w:rsidR="0038746A" w:rsidRDefault="005F3B7F" w:rsidP="00393B78">
      <w:r w:rsidRPr="005F3B7F">
        <w:t>Second, Tesla needs to protect its differentiation by software and ecosystem innovation, so that its technological edge will not be diluted as it is imitated more and more.</w:t>
      </w:r>
      <w:r w:rsidR="00393B78">
        <w:t xml:space="preserve"> </w:t>
      </w:r>
    </w:p>
    <w:p w:rsidR="0038746A" w:rsidRDefault="00DF58FC" w:rsidP="00393B78">
      <w:r w:rsidRPr="00DF58FC">
        <w:t>Third, the company ought to diversify more related energy and digital services as they are more profitable and can grow overtime.</w:t>
      </w:r>
    </w:p>
    <w:p w:rsidR="0038746A" w:rsidRDefault="00DF58FC" w:rsidP="00393B78">
      <w:r w:rsidRPr="00DF58FC">
        <w:t>Fourth, Tesla has to stop relying on reputational by enhancing governance, transparency and organisational discipline, which will establish greater stakeholder trust</w:t>
      </w:r>
      <w:r w:rsidR="00A13304">
        <w:t xml:space="preserve"> </w:t>
      </w:r>
      <w:r w:rsidR="008B5A0A">
        <w:t>(Zhang et al., 2024)</w:t>
      </w:r>
      <w:r w:rsidRPr="00DF58FC">
        <w:t>.</w:t>
      </w:r>
      <w:r w:rsidR="00393B78">
        <w:t xml:space="preserve"> </w:t>
      </w:r>
    </w:p>
    <w:p w:rsidR="00A279F9" w:rsidRDefault="00DF58FC" w:rsidP="00DF58FC">
      <w:r w:rsidRPr="00DF58FC">
        <w:t>Lastly, Tesla must embrace more discerning approach on market expansion since they should focus on sustainable expansion rather than volume-driven expansion. All these suggestions are both theoretical and practical. To illustrate, the competitive strategy framework by Porter justifies the necessity to ensure differentiation, whereas the Resource-Based View emphasizes the necessity to safeguard distinctive competencies</w:t>
      </w:r>
      <w:r w:rsidR="00A13304">
        <w:t xml:space="preserve"> </w:t>
      </w:r>
      <w:r w:rsidR="008B5A0A">
        <w:t>(Alharbi, 2024)</w:t>
      </w:r>
      <w:r w:rsidRPr="00DF58FC">
        <w:t xml:space="preserve">. Failure to implement these recommendations means </w:t>
      </w:r>
      <w:r w:rsidRPr="00DF58FC">
        <w:lastRenderedPageBreak/>
        <w:t>that Tesla is bound to lose its strategic uniqueness and be more susceptible in a very competitive business. Hence, maintaining competitive advantage will not be solely reliant on innovation, but the capacity of the firm to design strategy and implement in a disciplined and consistent way (Ruchkin, 2023).</w:t>
      </w:r>
      <w:r w:rsidR="00A279F9">
        <w:br w:type="page"/>
      </w:r>
    </w:p>
    <w:p w:rsidR="00A279F9" w:rsidRDefault="00A279F9" w:rsidP="00CA2A68">
      <w:pPr>
        <w:pStyle w:val="Heading1"/>
        <w:jc w:val="center"/>
      </w:pPr>
      <w:bookmarkStart w:id="16" w:name="_Toc227625678"/>
      <w:r>
        <w:lastRenderedPageBreak/>
        <w:t>SECTION 2</w:t>
      </w:r>
      <w:bookmarkEnd w:id="16"/>
    </w:p>
    <w:p w:rsidR="00A279F9" w:rsidRDefault="00A279F9" w:rsidP="00CA2A68">
      <w:pPr>
        <w:pStyle w:val="Heading1"/>
      </w:pPr>
      <w:bookmarkStart w:id="17" w:name="_Toc227625679"/>
      <w:r>
        <w:t>9. Reflective Account Using Gibbs Reflective Cycle</w:t>
      </w:r>
      <w:bookmarkEnd w:id="17"/>
    </w:p>
    <w:p w:rsidR="00AE46CC" w:rsidRDefault="00DF58FC" w:rsidP="00AE46CC">
      <w:r w:rsidRPr="00DF58FC">
        <w:t>This part critically reflects on the strategic management analysis that was carried out in this report and the Gibbs Reflective Cycle is used as a framework. It assesses the learning process, the challenges that have been faced and development of analytical and strategic thinking skills during the period of the study. The reflection dwells upon the ways theoretical models were implemented in practice, and the experience contributed to the development of academic knowledge and professional skills related to strategic decision-making (Spataru, 2024).</w:t>
      </w:r>
    </w:p>
    <w:p w:rsidR="00AE46CC" w:rsidRDefault="00AE46CC" w:rsidP="00AE46CC"/>
    <w:p w:rsidR="008B1337" w:rsidRDefault="00BE4E52" w:rsidP="008B1337">
      <w:pPr>
        <w:jc w:val="center"/>
      </w:pPr>
      <w:r>
        <w:rPr>
          <w:noProof/>
          <w:lang w:eastAsia="en-GB"/>
        </w:rPr>
        <w:drawing>
          <wp:inline distT="0" distB="0" distL="0" distR="0">
            <wp:extent cx="5013413" cy="3606394"/>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age.png"/>
                    <pic:cNvPicPr/>
                  </pic:nvPicPr>
                  <pic:blipFill rotWithShape="1">
                    <a:blip r:embed="rId18" cstate="print">
                      <a:extLst>
                        <a:ext uri="{28A0092B-C50C-407E-A947-70E740481C1C}">
                          <a14:useLocalDpi xmlns:a14="http://schemas.microsoft.com/office/drawing/2010/main" val="0"/>
                        </a:ext>
                      </a:extLst>
                    </a:blip>
                    <a:srcRect t="21289"/>
                    <a:stretch/>
                  </pic:blipFill>
                  <pic:spPr bwMode="auto">
                    <a:xfrm>
                      <a:off x="0" y="0"/>
                      <a:ext cx="5047319" cy="3630785"/>
                    </a:xfrm>
                    <a:prstGeom prst="rect">
                      <a:avLst/>
                    </a:prstGeom>
                    <a:ln>
                      <a:noFill/>
                    </a:ln>
                    <a:extLst>
                      <a:ext uri="{53640926-AAD7-44D8-BBD7-CCE9431645EC}">
                        <a14:shadowObscured xmlns:a14="http://schemas.microsoft.com/office/drawing/2010/main"/>
                      </a:ext>
                    </a:extLst>
                  </pic:spPr>
                </pic:pic>
              </a:graphicData>
            </a:graphic>
          </wp:inline>
        </w:drawing>
      </w:r>
    </w:p>
    <w:p w:rsidR="00BE4E52" w:rsidRPr="00BE4E52" w:rsidRDefault="00BE4E52" w:rsidP="008B1337">
      <w:pPr>
        <w:jc w:val="center"/>
        <w:rPr>
          <w:b/>
        </w:rPr>
      </w:pPr>
      <w:r>
        <w:rPr>
          <w:b/>
        </w:rPr>
        <w:t>Figure 6</w:t>
      </w:r>
      <w:r w:rsidRPr="00BE4E52">
        <w:rPr>
          <w:b/>
        </w:rPr>
        <w:t>: Gibbs’ Reflective Cycle illustrating the structured stages of reflection from description to action plan.</w:t>
      </w:r>
    </w:p>
    <w:p w:rsidR="00A279F9" w:rsidRPr="0038746A" w:rsidRDefault="00A279F9" w:rsidP="0038746A">
      <w:pPr>
        <w:pStyle w:val="Heading2"/>
      </w:pPr>
      <w:bookmarkStart w:id="18" w:name="_Toc227625680"/>
      <w:r w:rsidRPr="0038746A">
        <w:t>9.1 Description</w:t>
      </w:r>
      <w:bookmarkEnd w:id="18"/>
    </w:p>
    <w:p w:rsidR="00A279F9" w:rsidRDefault="00DF58FC" w:rsidP="00A279F9">
      <w:r w:rsidRPr="00DF58FC">
        <w:t xml:space="preserve">This strategic management report was written on critically analysing Tesla, Inc. in the global electric vehicle industry. In the study, various strategic models such as PESTLE analysis, Porters Five Forces, VRIO, Balanced Scorecard, SWOT, Ansoff Matrix and </w:t>
      </w:r>
      <w:r w:rsidRPr="00DF58FC">
        <w:lastRenderedPageBreak/>
        <w:t>BCG Matrix, were used to assess both internal and external environments. Tesla was chosen because of its relevance as a strategic disruptive firm as it is at the frontline of technology, sustainability and global competition (Gan &amp; Yao, 2025). The organisation presented a complicated situation in which the innovation, the quick development and the environmental position are in contact with the regulatory factors, the organizational difficulties and the growing competition. This rendered it especially appropriate in showing the synthesis of theory and practice that is needed at postgraduate level.</w:t>
      </w:r>
    </w:p>
    <w:p w:rsidR="00A279F9" w:rsidRDefault="00A279F9" w:rsidP="0038746A">
      <w:pPr>
        <w:pStyle w:val="Heading2"/>
      </w:pPr>
      <w:bookmarkStart w:id="19" w:name="_Toc227625681"/>
      <w:r>
        <w:t>9.2 Feelings</w:t>
      </w:r>
      <w:bookmarkEnd w:id="19"/>
    </w:p>
    <w:p w:rsidR="00A279F9" w:rsidRDefault="00DF58FC" w:rsidP="00A279F9">
      <w:r w:rsidRPr="00DF58FC">
        <w:t>The first phase was characterized by an optimism to use well-known strategic frameworks. Nonetheless, as the study continued, there was a question of how to shift to critical analysis other than descriptive analysis. The problem of the balance between academic theory and real-life company data was one of the primary issues. Although Tesla offers much publicly available data, the critical interpretation of the information with the help of superficial judgments was not possible without more profound analytical efforts (Harris and Brooker, 2025). Difficulty in aligning divergent views was also experienced, including the presence of a robust innovation story in Tesla, and its business and reputation problems. This brought the consciousness that strategic analysis does not take the form of identifying strengths only, but challenging their sustainability and shortcomings</w:t>
      </w:r>
      <w:r w:rsidR="008B5A0A">
        <w:t xml:space="preserve"> (Dai et al., 2022)</w:t>
      </w:r>
      <w:r w:rsidRPr="00DF58FC">
        <w:t>.</w:t>
      </w:r>
    </w:p>
    <w:p w:rsidR="00A279F9" w:rsidRDefault="00A279F9" w:rsidP="0038746A">
      <w:pPr>
        <w:pStyle w:val="Heading2"/>
      </w:pPr>
      <w:bookmarkStart w:id="20" w:name="_Toc227625682"/>
      <w:r>
        <w:t>9.3 Evaluation</w:t>
      </w:r>
      <w:bookmarkEnd w:id="20"/>
    </w:p>
    <w:p w:rsidR="00A279F9" w:rsidRDefault="003F331F" w:rsidP="00A279F9">
      <w:r w:rsidRPr="003F331F">
        <w:t>Some facets of the analysis were successful. The combination of various frameworks allowed a holistic perspective of the strategic position of Tesla, especially in the connection of the external forces like competition and regulation with the internal forces like the software development and the scale of manufacturing. Real-world data was used to enhance the validity of the analysis and evidence-based conclusions. Nevertheless, there were still some difficulties. The discussion of a dynamic and fast-moving company, such as Tesla, demonstrated how the traditional frameworks turn out to be not as useful as strategic conditions fluctuate quicker than analytical models can reflect (Anwar and Prawiraatmadja, 2024). Also, there were instances when frameworks were about to be applied in a mechanical way instead of critically especially during initial drafts. This stressed the value of interpretation over description.</w:t>
      </w:r>
    </w:p>
    <w:p w:rsidR="00A279F9" w:rsidRDefault="00A279F9" w:rsidP="0038746A">
      <w:pPr>
        <w:pStyle w:val="Heading2"/>
      </w:pPr>
      <w:bookmarkStart w:id="21" w:name="_Toc227625683"/>
      <w:r>
        <w:lastRenderedPageBreak/>
        <w:t>9.4 Analysis</w:t>
      </w:r>
      <w:bookmarkEnd w:id="21"/>
      <w:r>
        <w:t xml:space="preserve"> </w:t>
      </w:r>
    </w:p>
    <w:p w:rsidR="0038746A" w:rsidRDefault="003F331F" w:rsidP="00A279F9">
      <w:r w:rsidRPr="003F331F">
        <w:t>The greatest lesson out of this exercise was that strategy is intertwined. At first, the external and internal analysis were considered distinct entities, but it turned out that they are very interdependent. As an illustration, the pricing strategy used by Tesla is not possible to comprehend without taking into account the competitive rivalry (external) and cost structure (internal)</w:t>
      </w:r>
      <w:r w:rsidR="008B5A0A">
        <w:t xml:space="preserve"> (Liu et al., 2024)</w:t>
      </w:r>
      <w:r w:rsidRPr="003F331F">
        <w:t>. This shows that strategic analysis involves synthesis and not segmentation. The other important lesson was that having valuable resources alone is not a sure way of remaining competitive. Using the VRIO analysis, it was evident that numerous of Tesla capabilities, including battery technology and scale of manufacturing are becoming imitable Ochuba et al. (2024).</w:t>
      </w:r>
      <w:r w:rsidR="00A279F9">
        <w:t xml:space="preserve"> </w:t>
      </w:r>
    </w:p>
    <w:p w:rsidR="003F331F" w:rsidRDefault="003F331F" w:rsidP="003F331F">
      <w:r w:rsidRPr="003F331F">
        <w:t>This questions the belief that innovation in the early years ensures dominance in the long-run. Rather, the sustainability of benefit lies on a permanent adaptation and implementation. Above all, the reflection also brought to the fore the fact that strategy implementation is in many cases more important than strategy formulation. The case of Tesla shows that although strategic vision is very strong, operational implementation, especially in quality control and customer service can hamper the effectiveness of strategic vision in the company (Qader et al., 2025). This supports the notion that competitive advantage is not just developed by strategy choice but also by the capacity to execute such choices in a disciplined fashion.</w:t>
      </w:r>
    </w:p>
    <w:p w:rsidR="00A279F9" w:rsidRDefault="003F331F" w:rsidP="003F331F">
      <w:r w:rsidRPr="003F331F">
        <w:t>Lastly, the analysis created a more in-depth insight on the tension between innovation and operational stability. The high rate of innovation at Tesla provides the company with a competitive edge but poses risk as well. This two-sidedness is a manifestation of a greater strategic dilemma of high-growth firms, balancing ambition and organisational discipline (Leeraphong et al., 2025).</w:t>
      </w:r>
    </w:p>
    <w:p w:rsidR="00CA2A68" w:rsidRDefault="00CA2A68" w:rsidP="0038746A">
      <w:pPr>
        <w:pStyle w:val="Heading2"/>
      </w:pPr>
      <w:bookmarkStart w:id="22" w:name="_Toc227625684"/>
      <w:r>
        <w:t>9.5 Conclusion</w:t>
      </w:r>
      <w:bookmarkEnd w:id="22"/>
    </w:p>
    <w:p w:rsidR="00CA2A68" w:rsidRDefault="00BF011E" w:rsidP="00CA2A68">
      <w:r w:rsidRPr="00BF011E">
        <w:t xml:space="preserve">Overall, the specified assignment contributed to advancing both academically and professionally. Academically, it gave strength to the implementation of strategic management theories in a holistic and critical manner. It confirmed the necessity to go beyond the descriptive analysis and participate in evidence-based analysis and synthesis. It also gained an insight in organised thinking, problem solving abilities as well as strategic decision making abilities that are essential in complex organisational circumstances, professionally. The need to question assumptions was also highlighted </w:t>
      </w:r>
      <w:r w:rsidRPr="00BF011E">
        <w:lastRenderedPageBreak/>
        <w:t>in the exercise particularly when organisations appear to be so successful. Among the lessons of the provided analysis is the realization that good performance can be accompanied with strategic vulnerability.</w:t>
      </w:r>
    </w:p>
    <w:p w:rsidR="00CA2A68" w:rsidRDefault="00CA2A68" w:rsidP="0038746A">
      <w:pPr>
        <w:pStyle w:val="Heading2"/>
      </w:pPr>
      <w:bookmarkStart w:id="23" w:name="_Toc227625685"/>
      <w:r>
        <w:t>9.6 Action Plan</w:t>
      </w:r>
      <w:bookmarkEnd w:id="23"/>
    </w:p>
    <w:p w:rsidR="00CA2A68" w:rsidRDefault="00BF011E" w:rsidP="00CA2A68">
      <w:r w:rsidRPr="00BF011E">
        <w:t>In order to conduct a strategic analysis in future, several things can be improved. Firstly, more attention to the incorporation of academic literature containing real-life data will be paid to ensure that analysis can be both theoretically-founded and pragmatic. Second, the focus on considering the feasibility of implementation will be increased rather than an opinion that strategic recommendations can be implemented with ease</w:t>
      </w:r>
      <w:r w:rsidR="008B5A0A">
        <w:t xml:space="preserve"> </w:t>
      </w:r>
      <w:r w:rsidR="00836D00">
        <w:t>(Reynolds et al., 2024)</w:t>
      </w:r>
      <w:r w:rsidRPr="00BF011E">
        <w:t>. This entails being more detailed in terms of organisational structure and culture, and resource constraints. Third, the level of analysis will be enhanced by concentrating on synthesis as opposed to adopting various frameworks to ensure that each model will contribute value to the general argument (Verhal, 2023). Finally, the capacity to think critically (particularly regarding the analysis of conflicting evidence and balanced judgement) will be pursued continuously.</w:t>
      </w:r>
    </w:p>
    <w:p w:rsidR="00B91F86" w:rsidRDefault="002A7790" w:rsidP="00081882">
      <w:pPr>
        <w:pStyle w:val="Heading2"/>
      </w:pPr>
      <w:r>
        <w:t>References</w:t>
      </w:r>
    </w:p>
    <w:p w:rsidR="00BB07D4" w:rsidRPr="00F27087" w:rsidRDefault="00BB07D4" w:rsidP="00BB07D4">
      <w:pPr>
        <w:ind w:hanging="720"/>
        <w:rPr>
          <w:lang w:val="en-US"/>
        </w:rPr>
      </w:pPr>
      <w:r w:rsidRPr="00F27087">
        <w:rPr>
          <w:lang w:val="en-US"/>
        </w:rPr>
        <w:t xml:space="preserve">Acharjya, B., Das, S., Belal, H.M. and Foropon, C. (2025) </w:t>
      </w:r>
      <w:r w:rsidRPr="00F27087">
        <w:rPr>
          <w:i/>
          <w:iCs/>
          <w:lang w:val="en-US"/>
        </w:rPr>
        <w:t>Digital agility and business resilience: Exploration through rough set theory</w:t>
      </w:r>
      <w:r w:rsidRPr="00F27087">
        <w:rPr>
          <w:lang w:val="en-US"/>
        </w:rPr>
        <w:t xml:space="preserve">. Available at: </w:t>
      </w:r>
      <w:hyperlink r:id="rId19" w:tgtFrame="_new" w:history="1">
        <w:r w:rsidRPr="00F27087">
          <w:rPr>
            <w:rStyle w:val="Hyperlink"/>
            <w:lang w:val="en-US"/>
          </w:rPr>
          <w:t>https://doi.org/10.21203/rs.3.rs-7086056/v1</w:t>
        </w:r>
      </w:hyperlink>
      <w:r w:rsidRPr="00F27087">
        <w:rPr>
          <w:lang w:val="en-US"/>
        </w:rPr>
        <w:t xml:space="preserve"> (Accessed: 1 May 2026).</w:t>
      </w:r>
    </w:p>
    <w:p w:rsidR="00BB07D4" w:rsidRPr="008B5A0A" w:rsidRDefault="00BB07D4" w:rsidP="00BB07D4">
      <w:pPr>
        <w:ind w:hanging="720"/>
        <w:rPr>
          <w:lang w:val="en-US"/>
        </w:rPr>
      </w:pPr>
      <w:r w:rsidRPr="008B5A0A">
        <w:rPr>
          <w:lang w:val="en-US"/>
        </w:rPr>
        <w:t xml:space="preserve">Alharbi, I.B. (2024) ‘Strategic management: A comprehensive review paper’, </w:t>
      </w:r>
      <w:r w:rsidRPr="008B5A0A">
        <w:rPr>
          <w:i/>
          <w:iCs/>
          <w:lang w:val="en-US"/>
        </w:rPr>
        <w:t>International Journal of Professional Business Review</w:t>
      </w:r>
      <w:r w:rsidRPr="008B5A0A">
        <w:rPr>
          <w:lang w:val="en-US"/>
        </w:rPr>
        <w:t xml:space="preserve">, 9(3), p. e04373. Available at: </w:t>
      </w:r>
      <w:hyperlink r:id="rId20" w:tgtFrame="_new" w:history="1">
        <w:r w:rsidRPr="008B5A0A">
          <w:rPr>
            <w:rStyle w:val="Hyperlink"/>
            <w:lang w:val="en-US"/>
          </w:rPr>
          <w:t>https://doi.org/10.26668/businessreview/2024.v9i3.4373</w:t>
        </w:r>
      </w:hyperlink>
      <w:r w:rsidRPr="008B5A0A">
        <w:rPr>
          <w:lang w:val="en-US"/>
        </w:rPr>
        <w:t>.</w:t>
      </w:r>
    </w:p>
    <w:p w:rsidR="00BB07D4" w:rsidRPr="00A52C03" w:rsidRDefault="00BB07D4" w:rsidP="00BB07D4">
      <w:pPr>
        <w:ind w:hanging="720"/>
        <w:rPr>
          <w:lang w:val="en-US"/>
        </w:rPr>
      </w:pPr>
      <w:r w:rsidRPr="00A52C03">
        <w:rPr>
          <w:lang w:val="en-US"/>
        </w:rPr>
        <w:t xml:space="preserve">Anwar, M. and Prawiraatmadja, W. (2024) ‘Proposed business strategy for implementation of green port at Merak Ferry Port to achieve sustainability’, </w:t>
      </w:r>
      <w:r w:rsidRPr="00A52C03">
        <w:rPr>
          <w:i/>
          <w:iCs/>
          <w:lang w:val="en-US"/>
        </w:rPr>
        <w:t>International Journal of Current Science Research and Review</w:t>
      </w:r>
      <w:r w:rsidRPr="00A52C03">
        <w:rPr>
          <w:lang w:val="en-US"/>
        </w:rPr>
        <w:t xml:space="preserve">, 7(7). </w:t>
      </w:r>
      <w:hyperlink r:id="rId21" w:tgtFrame="_new" w:history="1">
        <w:r w:rsidRPr="00A52C03">
          <w:rPr>
            <w:rStyle w:val="Hyperlink"/>
            <w:lang w:val="en-US"/>
          </w:rPr>
          <w:t>https://doi.org/10.47191/ijcsrr/v7-i7-75</w:t>
        </w:r>
      </w:hyperlink>
    </w:p>
    <w:p w:rsidR="00BB07D4" w:rsidRPr="00F27087" w:rsidRDefault="00BB07D4" w:rsidP="00BB07D4">
      <w:pPr>
        <w:ind w:hanging="720"/>
        <w:rPr>
          <w:lang w:val="en-US"/>
        </w:rPr>
      </w:pPr>
      <w:r w:rsidRPr="00F27087">
        <w:rPr>
          <w:lang w:val="en-US"/>
        </w:rPr>
        <w:t xml:space="preserve">Blecker, R.A. (2025) ‘The USMCA review and the Mexican economy: Between renegotiation and limbo’, </w:t>
      </w:r>
      <w:r w:rsidRPr="00F27087">
        <w:rPr>
          <w:i/>
          <w:iCs/>
          <w:lang w:val="en-US"/>
        </w:rPr>
        <w:t>Latin American Policy</w:t>
      </w:r>
      <w:r w:rsidRPr="00F27087">
        <w:rPr>
          <w:lang w:val="en-US"/>
        </w:rPr>
        <w:t xml:space="preserve">, 16(4). Available at: </w:t>
      </w:r>
      <w:hyperlink r:id="rId22" w:tgtFrame="_new" w:history="1">
        <w:r w:rsidRPr="00F27087">
          <w:rPr>
            <w:rStyle w:val="Hyperlink"/>
            <w:lang w:val="en-US"/>
          </w:rPr>
          <w:t>https://doi.org/10.1111/lamp.70036</w:t>
        </w:r>
      </w:hyperlink>
      <w:r w:rsidRPr="00F27087">
        <w:rPr>
          <w:lang w:val="en-US"/>
        </w:rPr>
        <w:t>.</w:t>
      </w:r>
    </w:p>
    <w:p w:rsidR="00BB07D4" w:rsidRPr="009F6314" w:rsidRDefault="00BB07D4" w:rsidP="00BB07D4">
      <w:pPr>
        <w:ind w:hanging="720"/>
        <w:rPr>
          <w:lang w:val="en-US"/>
        </w:rPr>
      </w:pPr>
      <w:r w:rsidRPr="009F6314">
        <w:rPr>
          <w:lang w:val="en-US"/>
        </w:rPr>
        <w:lastRenderedPageBreak/>
        <w:t xml:space="preserve">Bonsu, N. (2020) ‘Towards a circular and low-carbon economy: Insights from the transitioning to electric vehicles and net zero economy’, </w:t>
      </w:r>
      <w:r w:rsidRPr="009F6314">
        <w:rPr>
          <w:i/>
          <w:iCs/>
          <w:lang w:val="en-US"/>
        </w:rPr>
        <w:t>Journal of Cleaner Production</w:t>
      </w:r>
      <w:r w:rsidRPr="009F6314">
        <w:rPr>
          <w:lang w:val="en-US"/>
        </w:rPr>
        <w:t xml:space="preserve">, 256, p. 120659. Available at: </w:t>
      </w:r>
      <w:hyperlink r:id="rId23" w:tgtFrame="_new" w:history="1">
        <w:r w:rsidRPr="009F6314">
          <w:rPr>
            <w:rStyle w:val="Hyperlink"/>
            <w:lang w:val="en-US"/>
          </w:rPr>
          <w:t>https://doi.org/10.1016/j.jclepro.2020.120659</w:t>
        </w:r>
      </w:hyperlink>
      <w:r w:rsidRPr="009F6314">
        <w:rPr>
          <w:lang w:val="en-US"/>
        </w:rPr>
        <w:t>.</w:t>
      </w:r>
    </w:p>
    <w:p w:rsidR="00BB07D4" w:rsidRDefault="00BB07D4" w:rsidP="00BB07D4">
      <w:pPr>
        <w:ind w:hanging="720"/>
        <w:rPr>
          <w:rStyle w:val="Hyperlink"/>
          <w:lang w:val="en-US"/>
        </w:rPr>
      </w:pPr>
      <w:r w:rsidRPr="002A7790">
        <w:rPr>
          <w:lang w:val="en-US"/>
        </w:rPr>
        <w:t xml:space="preserve">Brown, A., Lommele, S., Schayowitz, A. and Klotz, E. (2021) </w:t>
      </w:r>
      <w:r w:rsidRPr="002A7790">
        <w:rPr>
          <w:i/>
          <w:iCs/>
          <w:lang w:val="en-US"/>
        </w:rPr>
        <w:t>Electric vehicle charging infrastructure trends from the Alternative Fueling Station Locator (Q4 2020)</w:t>
      </w:r>
      <w:r w:rsidRPr="002A7790">
        <w:rPr>
          <w:lang w:val="en-US"/>
        </w:rPr>
        <w:t xml:space="preserve">. Available at: </w:t>
      </w:r>
      <w:hyperlink r:id="rId24" w:tgtFrame="_new" w:history="1">
        <w:r w:rsidRPr="002A7790">
          <w:rPr>
            <w:rStyle w:val="Hyperlink"/>
            <w:lang w:val="en-US"/>
          </w:rPr>
          <w:t>https://doi.org/10.2172/1798711</w:t>
        </w:r>
      </w:hyperlink>
    </w:p>
    <w:p w:rsidR="003750B3" w:rsidRDefault="003750B3" w:rsidP="00BB07D4">
      <w:pPr>
        <w:ind w:hanging="720"/>
      </w:pPr>
      <w:r>
        <w:t xml:space="preserve">Burton, S.L. (2024) ‘Securing tomorrow: Synergizing change management and cybersecurity in the digital era’, </w:t>
      </w:r>
      <w:r>
        <w:rPr>
          <w:rStyle w:val="Emphasis"/>
        </w:rPr>
        <w:t>Holistica – Journal of Business and Public Administration</w:t>
      </w:r>
      <w:r>
        <w:t xml:space="preserve">, 15(1), pp. 1–20. Available at: </w:t>
      </w:r>
      <w:hyperlink r:id="rId25" w:tgtFrame="_new" w:history="1">
        <w:r>
          <w:rPr>
            <w:rStyle w:val="Hyperlink"/>
          </w:rPr>
          <w:t>https://doi.org/10.2478/hjbpa-2024-0001</w:t>
        </w:r>
      </w:hyperlink>
      <w:r>
        <w:t>.</w:t>
      </w:r>
    </w:p>
    <w:p w:rsidR="00BB07D4" w:rsidRDefault="00BB07D4" w:rsidP="00BB07D4">
      <w:pPr>
        <w:ind w:hanging="720"/>
      </w:pPr>
      <w:r>
        <w:t xml:space="preserve">Campbell, L., Häfner, M., Lu, X., Noussan, M., Raimondi, P. and Zhu, E. (2021) ‘Securing decarbonized road transport: A comparison of how EV deployment has become a critical dimension of battery security strategies for China, the EU, and the US’, </w:t>
      </w:r>
      <w:r>
        <w:rPr>
          <w:rStyle w:val="Emphasis"/>
        </w:rPr>
        <w:t>SSRN Electronic Journal</w:t>
      </w:r>
      <w:r>
        <w:t xml:space="preserve">. </w:t>
      </w:r>
      <w:hyperlink r:id="rId26" w:tgtFrame="_new" w:history="1">
        <w:r>
          <w:rPr>
            <w:rStyle w:val="Hyperlink"/>
          </w:rPr>
          <w:t>https://doi.org/10.2139/ssrn.4017429</w:t>
        </w:r>
      </w:hyperlink>
    </w:p>
    <w:p w:rsidR="00BB07D4" w:rsidRPr="00BD5D4C" w:rsidRDefault="00BB07D4" w:rsidP="00BB07D4">
      <w:pPr>
        <w:ind w:hanging="720"/>
        <w:rPr>
          <w:lang w:val="en-US"/>
        </w:rPr>
      </w:pPr>
      <w:r w:rsidRPr="00BD5D4C">
        <w:rPr>
          <w:lang w:val="en-US"/>
        </w:rPr>
        <w:t xml:space="preserve">Campbell, L., Häfner, M., Lu, X., Noussan, M., Raimondi, P.P. and Zhu, E. (2021) ‘Securing decarbonized road transport – A comparison of how EV deployment has become a critical dimension of battery security strategies for China, the EU, and the US’, </w:t>
      </w:r>
      <w:r w:rsidRPr="00BD5D4C">
        <w:rPr>
          <w:i/>
          <w:iCs/>
          <w:lang w:val="en-US"/>
        </w:rPr>
        <w:t>SSRN Electronic Journal</w:t>
      </w:r>
      <w:r w:rsidRPr="00BD5D4C">
        <w:rPr>
          <w:lang w:val="en-US"/>
        </w:rPr>
        <w:t xml:space="preserve">. Available at: </w:t>
      </w:r>
      <w:hyperlink r:id="rId27" w:tgtFrame="_new" w:history="1">
        <w:r w:rsidRPr="00BD5D4C">
          <w:rPr>
            <w:rStyle w:val="Hyperlink"/>
            <w:lang w:val="en-US"/>
          </w:rPr>
          <w:t>https://doi.org/10.2139/ssrn.4017429</w:t>
        </w:r>
      </w:hyperlink>
      <w:r w:rsidRPr="00BD5D4C">
        <w:rPr>
          <w:lang w:val="en-US"/>
        </w:rPr>
        <w:t>.</w:t>
      </w:r>
    </w:p>
    <w:p w:rsidR="00BB07D4" w:rsidRPr="009F6314" w:rsidRDefault="00BB07D4" w:rsidP="00BB07D4">
      <w:pPr>
        <w:ind w:hanging="720"/>
        <w:rPr>
          <w:lang w:val="en-US"/>
        </w:rPr>
      </w:pPr>
      <w:r w:rsidRPr="009F6314">
        <w:rPr>
          <w:lang w:val="en-US"/>
        </w:rPr>
        <w:t xml:space="preserve">Cho, M.-J., Bae, K.-J., Byun, J. and Shin, J. (2025) ‘Expanding the identification of key resource combinations for mid- to long-term growth in electric vehicle market entry’, </w:t>
      </w:r>
      <w:r w:rsidRPr="009F6314">
        <w:rPr>
          <w:i/>
          <w:iCs/>
          <w:lang w:val="en-US"/>
        </w:rPr>
        <w:t>PLoS One</w:t>
      </w:r>
      <w:r w:rsidRPr="009F6314">
        <w:rPr>
          <w:lang w:val="en-US"/>
        </w:rPr>
        <w:t xml:space="preserve">, 20(8), p. e0328563. Available at: </w:t>
      </w:r>
      <w:hyperlink r:id="rId28" w:tgtFrame="_new" w:history="1">
        <w:r w:rsidRPr="009F6314">
          <w:rPr>
            <w:rStyle w:val="Hyperlink"/>
            <w:lang w:val="en-US"/>
          </w:rPr>
          <w:t>https://doi.org/10.1371/journal.pone.0328563</w:t>
        </w:r>
      </w:hyperlink>
      <w:r w:rsidRPr="009F6314">
        <w:rPr>
          <w:lang w:val="en-US"/>
        </w:rPr>
        <w:t>.</w:t>
      </w:r>
    </w:p>
    <w:p w:rsidR="00BB07D4" w:rsidRPr="00A02E2E" w:rsidRDefault="00BB07D4" w:rsidP="00BB07D4">
      <w:pPr>
        <w:ind w:hanging="720"/>
        <w:rPr>
          <w:lang w:val="en-US"/>
        </w:rPr>
      </w:pPr>
      <w:r w:rsidRPr="00A02E2E">
        <w:rPr>
          <w:lang w:val="en-US"/>
        </w:rPr>
        <w:t xml:space="preserve">Collis, G.E., Dai, Q., Loh, J., Lipson, A.L., Gaines, L., Zhao, Y. and Spangenberger, J.S. (2023) ‘Closing the loop on LIB waste: A comparison of the current challenges and opportunities for the U.S. and Australia towards a sustainable energy future’, </w:t>
      </w:r>
      <w:r w:rsidRPr="00A02E2E">
        <w:rPr>
          <w:i/>
          <w:iCs/>
          <w:lang w:val="en-US"/>
        </w:rPr>
        <w:t>Recycling</w:t>
      </w:r>
      <w:r w:rsidRPr="00A02E2E">
        <w:rPr>
          <w:lang w:val="en-US"/>
        </w:rPr>
        <w:t xml:space="preserve">, 8(5), p. 78. Available at: </w:t>
      </w:r>
      <w:hyperlink r:id="rId29" w:tgtFrame="_new" w:history="1">
        <w:r w:rsidRPr="00A02E2E">
          <w:rPr>
            <w:rStyle w:val="Hyperlink"/>
            <w:lang w:val="en-US"/>
          </w:rPr>
          <w:t>https://doi.org/10.3390/recycling8050078</w:t>
        </w:r>
      </w:hyperlink>
      <w:r w:rsidRPr="00A02E2E">
        <w:rPr>
          <w:lang w:val="en-US"/>
        </w:rPr>
        <w:t>.</w:t>
      </w:r>
    </w:p>
    <w:p w:rsidR="00BB07D4" w:rsidRPr="00A02E2E" w:rsidRDefault="00BB07D4" w:rsidP="00BB07D4">
      <w:pPr>
        <w:ind w:hanging="720"/>
        <w:rPr>
          <w:lang w:val="en-US"/>
        </w:rPr>
      </w:pPr>
      <w:r w:rsidRPr="00A02E2E">
        <w:rPr>
          <w:lang w:val="en-US"/>
        </w:rPr>
        <w:t xml:space="preserve">Cooke, P. (2021) ‘The lithium wars: From Kokkola to the Congo for the 500 mile battery’, </w:t>
      </w:r>
      <w:r w:rsidRPr="00A02E2E">
        <w:rPr>
          <w:i/>
          <w:iCs/>
          <w:lang w:val="en-US"/>
        </w:rPr>
        <w:t>Sustainability</w:t>
      </w:r>
      <w:r w:rsidRPr="00A02E2E">
        <w:rPr>
          <w:lang w:val="en-US"/>
        </w:rPr>
        <w:t xml:space="preserve">, 13(8), p. 4215. Available at: </w:t>
      </w:r>
      <w:hyperlink r:id="rId30" w:tgtFrame="_new" w:history="1">
        <w:r w:rsidRPr="00A02E2E">
          <w:rPr>
            <w:rStyle w:val="Hyperlink"/>
            <w:lang w:val="en-US"/>
          </w:rPr>
          <w:t>https://doi.org/10.3390/su13084215</w:t>
        </w:r>
      </w:hyperlink>
      <w:r w:rsidRPr="00A02E2E">
        <w:rPr>
          <w:lang w:val="en-US"/>
        </w:rPr>
        <w:t>.</w:t>
      </w:r>
    </w:p>
    <w:p w:rsidR="00BB07D4" w:rsidRPr="008B5A0A" w:rsidRDefault="00BB07D4" w:rsidP="00BB07D4">
      <w:pPr>
        <w:ind w:hanging="720"/>
        <w:rPr>
          <w:lang w:val="en-US"/>
        </w:rPr>
      </w:pPr>
      <w:r w:rsidRPr="008B5A0A">
        <w:rPr>
          <w:lang w:val="en-US"/>
        </w:rPr>
        <w:t xml:space="preserve">Dai, Y., Jiao, N. and Wu, Y. (2022) ‘Improving GM and Tesla’s declining sales in China based on SWOT analysis’, in </w:t>
      </w:r>
      <w:r w:rsidRPr="008B5A0A">
        <w:rPr>
          <w:i/>
          <w:iCs/>
          <w:lang w:val="en-US"/>
        </w:rPr>
        <w:t>Proceedings/Edited Volume</w:t>
      </w:r>
      <w:r w:rsidRPr="008B5A0A">
        <w:rPr>
          <w:lang w:val="en-US"/>
        </w:rPr>
        <w:t xml:space="preserve">, pp. 219–227. Available at: </w:t>
      </w:r>
      <w:hyperlink r:id="rId31" w:tgtFrame="_new" w:history="1">
        <w:r w:rsidRPr="008B5A0A">
          <w:rPr>
            <w:rStyle w:val="Hyperlink"/>
            <w:lang w:val="en-US"/>
          </w:rPr>
          <w:t>https://doi.org/10.2991/978-94-6463-054-1_25</w:t>
        </w:r>
      </w:hyperlink>
      <w:r w:rsidRPr="008B5A0A">
        <w:rPr>
          <w:lang w:val="en-US"/>
        </w:rPr>
        <w:t>.</w:t>
      </w:r>
    </w:p>
    <w:p w:rsidR="00BB07D4" w:rsidRPr="00C00153" w:rsidRDefault="00BB07D4" w:rsidP="00BB07D4">
      <w:pPr>
        <w:ind w:hanging="720"/>
        <w:rPr>
          <w:lang w:val="en-US"/>
        </w:rPr>
      </w:pPr>
      <w:r w:rsidRPr="00C00153">
        <w:rPr>
          <w:lang w:val="en-US"/>
        </w:rPr>
        <w:lastRenderedPageBreak/>
        <w:t xml:space="preserve">Doh, J.P., Budhwar, P. and Wood, G. (2021) ‘Long-term energy transitions and international business: Concepts, theory, methods, and a research agenda’, </w:t>
      </w:r>
      <w:r w:rsidRPr="00C00153">
        <w:rPr>
          <w:i/>
          <w:iCs/>
          <w:lang w:val="en-US"/>
        </w:rPr>
        <w:t>Journal of International Business Studies</w:t>
      </w:r>
      <w:r w:rsidRPr="00C00153">
        <w:rPr>
          <w:lang w:val="en-US"/>
        </w:rPr>
        <w:t xml:space="preserve">, 52(5), pp. 951–970. Available at: </w:t>
      </w:r>
      <w:hyperlink r:id="rId32" w:tgtFrame="_new" w:history="1">
        <w:r w:rsidRPr="00C00153">
          <w:rPr>
            <w:rStyle w:val="Hyperlink"/>
            <w:lang w:val="en-US"/>
          </w:rPr>
          <w:t>https://doi.org/10.1057/s41267-021-00405-6</w:t>
        </w:r>
      </w:hyperlink>
      <w:r w:rsidRPr="00C00153">
        <w:rPr>
          <w:lang w:val="en-US"/>
        </w:rPr>
        <w:t>.</w:t>
      </w:r>
    </w:p>
    <w:p w:rsidR="00BB07D4" w:rsidRPr="008B5A0A" w:rsidRDefault="00BB07D4" w:rsidP="00BB07D4">
      <w:pPr>
        <w:ind w:hanging="720"/>
        <w:rPr>
          <w:lang w:val="en-US"/>
        </w:rPr>
      </w:pPr>
      <w:r w:rsidRPr="008B5A0A">
        <w:rPr>
          <w:lang w:val="en-US"/>
        </w:rPr>
        <w:t xml:space="preserve">Dourado, J.D. de A., Jones, C.M., Afonso, H.C.A. da G. and Botelho, L. de M.M. (2021) </w:t>
      </w:r>
      <w:r w:rsidRPr="008B5A0A">
        <w:rPr>
          <w:i/>
          <w:iCs/>
          <w:lang w:val="en-US"/>
        </w:rPr>
        <w:t>Assessment of future autonomous vehicle market leadership in the US</w:t>
      </w:r>
      <w:r w:rsidRPr="008B5A0A">
        <w:rPr>
          <w:lang w:val="en-US"/>
        </w:rPr>
        <w:t xml:space="preserve">. Available at: </w:t>
      </w:r>
      <w:hyperlink r:id="rId33" w:tgtFrame="_new" w:history="1">
        <w:r w:rsidRPr="008B5A0A">
          <w:rPr>
            <w:rStyle w:val="Hyperlink"/>
            <w:lang w:val="en-US"/>
          </w:rPr>
          <w:t>https://doi.org/10.20944/preprints202101.0423.v1</w:t>
        </w:r>
      </w:hyperlink>
      <w:r w:rsidRPr="008B5A0A">
        <w:rPr>
          <w:lang w:val="en-US"/>
        </w:rPr>
        <w:t>.</w:t>
      </w:r>
    </w:p>
    <w:p w:rsidR="00BB07D4" w:rsidRPr="00E70DBA" w:rsidRDefault="00BB07D4" w:rsidP="00BB07D4">
      <w:pPr>
        <w:ind w:hanging="720"/>
        <w:rPr>
          <w:lang w:val="en-US"/>
        </w:rPr>
      </w:pPr>
      <w:r w:rsidRPr="00E70DBA">
        <w:rPr>
          <w:lang w:val="en-US"/>
        </w:rPr>
        <w:t xml:space="preserve">Ekawati, D. and Yudoko, G. (2024) ‘Strategy formulation to support automation and digitalization initiative: A case study of an aerospace component manufacturer in Indonesia’, </w:t>
      </w:r>
      <w:r w:rsidRPr="00E70DBA">
        <w:rPr>
          <w:i/>
          <w:iCs/>
          <w:lang w:val="en-US"/>
        </w:rPr>
        <w:t>Journal of Multidisciplinary Academic Business Studies</w:t>
      </w:r>
      <w:r w:rsidRPr="00E70DBA">
        <w:rPr>
          <w:lang w:val="en-US"/>
        </w:rPr>
        <w:t xml:space="preserve">, 1(3), pp. 367–382. Available at: </w:t>
      </w:r>
      <w:hyperlink r:id="rId34" w:tgtFrame="_new" w:history="1">
        <w:r w:rsidRPr="00E70DBA">
          <w:rPr>
            <w:rStyle w:val="Hyperlink"/>
            <w:lang w:val="en-US"/>
          </w:rPr>
          <w:t>https://doi.org/10.35912/jomabs.v1i3.2101</w:t>
        </w:r>
      </w:hyperlink>
      <w:r w:rsidRPr="00E70DBA">
        <w:rPr>
          <w:lang w:val="en-US"/>
        </w:rPr>
        <w:t>.</w:t>
      </w:r>
    </w:p>
    <w:p w:rsidR="00BB07D4" w:rsidRDefault="00BB07D4" w:rsidP="00BB07D4">
      <w:pPr>
        <w:ind w:hanging="720"/>
      </w:pPr>
      <w:r>
        <w:t xml:space="preserve">Fang, M. (2025) ‘Multi-purpose green industrial policy and the WTO: An unavoidable clash?’, </w:t>
      </w:r>
      <w:r>
        <w:rPr>
          <w:rStyle w:val="Emphasis"/>
        </w:rPr>
        <w:t>World Trade Review</w:t>
      </w:r>
      <w:r>
        <w:t xml:space="preserve">, 24(2), pp. 153–171. </w:t>
      </w:r>
      <w:hyperlink r:id="rId35" w:tgtFrame="_new" w:history="1">
        <w:r>
          <w:rPr>
            <w:rStyle w:val="Hyperlink"/>
          </w:rPr>
          <w:t>https://doi.org/10.1017/s1474745624000168</w:t>
        </w:r>
      </w:hyperlink>
    </w:p>
    <w:p w:rsidR="00BB07D4" w:rsidRPr="00C00153" w:rsidRDefault="00BB07D4" w:rsidP="00BB07D4">
      <w:pPr>
        <w:ind w:hanging="720"/>
        <w:rPr>
          <w:lang w:val="en-US"/>
        </w:rPr>
      </w:pPr>
      <w:r w:rsidRPr="00C00153">
        <w:rPr>
          <w:lang w:val="en-US"/>
        </w:rPr>
        <w:t xml:space="preserve">Figenbaum, E., Wangsness, P.B., Amundsen, A.H. and Milch, V. (2022) ‘Empirical analysis of the user needs and the business models in the Norwegian charging infrastructure ecosystem’, </w:t>
      </w:r>
      <w:r w:rsidRPr="00C00153">
        <w:rPr>
          <w:i/>
          <w:iCs/>
          <w:lang w:val="en-US"/>
        </w:rPr>
        <w:t>World Electric Vehicle Journal</w:t>
      </w:r>
      <w:r w:rsidRPr="00C00153">
        <w:rPr>
          <w:lang w:val="en-US"/>
        </w:rPr>
        <w:t xml:space="preserve">, 13(10), p. 185. Available at: </w:t>
      </w:r>
      <w:hyperlink r:id="rId36" w:tgtFrame="_new" w:history="1">
        <w:r w:rsidRPr="00C00153">
          <w:rPr>
            <w:rStyle w:val="Hyperlink"/>
            <w:lang w:val="en-US"/>
          </w:rPr>
          <w:t>https://doi.org/10.3390/wevj13100185</w:t>
        </w:r>
      </w:hyperlink>
      <w:r w:rsidRPr="00C00153">
        <w:rPr>
          <w:lang w:val="en-US"/>
        </w:rPr>
        <w:t>.</w:t>
      </w:r>
    </w:p>
    <w:p w:rsidR="00BB07D4" w:rsidRPr="00A52C03" w:rsidRDefault="00BB07D4" w:rsidP="00BB07D4">
      <w:pPr>
        <w:ind w:hanging="720"/>
        <w:rPr>
          <w:lang w:val="en-US"/>
        </w:rPr>
      </w:pPr>
      <w:r w:rsidRPr="00A52C03">
        <w:rPr>
          <w:lang w:val="en-US"/>
        </w:rPr>
        <w:t xml:space="preserve">Gan, L. and Yao, Y. (2025) ‘A corpus-based critical discourse analysis of identity construction in CSR reports of China and USA new energy vehicle companies: A case of BYD and Tesla’. </w:t>
      </w:r>
      <w:hyperlink r:id="rId37" w:tgtFrame="_new" w:history="1">
        <w:r w:rsidRPr="00A52C03">
          <w:rPr>
            <w:rStyle w:val="Hyperlink"/>
            <w:lang w:val="en-US"/>
          </w:rPr>
          <w:t>https://doi.org/10.21203/rs.3.rs-7347669/v1</w:t>
        </w:r>
      </w:hyperlink>
    </w:p>
    <w:p w:rsidR="00BB07D4" w:rsidRPr="008B5A0A" w:rsidRDefault="00BB07D4" w:rsidP="00BB07D4">
      <w:pPr>
        <w:ind w:hanging="720"/>
        <w:rPr>
          <w:lang w:val="en-US"/>
        </w:rPr>
      </w:pPr>
      <w:r w:rsidRPr="008B5A0A">
        <w:rPr>
          <w:lang w:val="en-US"/>
        </w:rPr>
        <w:t xml:space="preserve">Gao, Y. (2023) ‘A study of Tesla’s international marketing strategy based on the STEPPS model’, </w:t>
      </w:r>
      <w:r w:rsidRPr="008B5A0A">
        <w:rPr>
          <w:i/>
          <w:iCs/>
          <w:lang w:val="en-US"/>
        </w:rPr>
        <w:t>Highlights in Business Economics and Management</w:t>
      </w:r>
      <w:r w:rsidRPr="008B5A0A">
        <w:rPr>
          <w:lang w:val="en-US"/>
        </w:rPr>
        <w:t xml:space="preserve">, 23, pp. 971–979. Available at: </w:t>
      </w:r>
      <w:hyperlink r:id="rId38" w:tgtFrame="_new" w:history="1">
        <w:r w:rsidRPr="008B5A0A">
          <w:rPr>
            <w:rStyle w:val="Hyperlink"/>
            <w:lang w:val="en-US"/>
          </w:rPr>
          <w:t>https://doi.org/10.54097/es6rry79</w:t>
        </w:r>
      </w:hyperlink>
      <w:r w:rsidRPr="008B5A0A">
        <w:rPr>
          <w:lang w:val="en-US"/>
        </w:rPr>
        <w:t>.</w:t>
      </w:r>
    </w:p>
    <w:p w:rsidR="00BB07D4" w:rsidRPr="00C00153" w:rsidRDefault="00BB07D4" w:rsidP="00BB07D4">
      <w:pPr>
        <w:ind w:hanging="720"/>
        <w:rPr>
          <w:lang w:val="en-US"/>
        </w:rPr>
      </w:pPr>
      <w:r w:rsidRPr="00C00153">
        <w:rPr>
          <w:lang w:val="en-US"/>
        </w:rPr>
        <w:t xml:space="preserve">George, E.M. (2025) ‘Business model innovation in a post-pandemic world: How companies are redefining value creation’, </w:t>
      </w:r>
      <w:r w:rsidRPr="00C00153">
        <w:rPr>
          <w:i/>
          <w:iCs/>
          <w:lang w:val="en-US"/>
        </w:rPr>
        <w:t>International Journal for Multidisciplinary Research</w:t>
      </w:r>
      <w:r w:rsidRPr="00C00153">
        <w:rPr>
          <w:lang w:val="en-US"/>
        </w:rPr>
        <w:t xml:space="preserve">, 7(1). Available at: </w:t>
      </w:r>
      <w:hyperlink r:id="rId39" w:tgtFrame="_new" w:history="1">
        <w:r w:rsidRPr="00C00153">
          <w:rPr>
            <w:rStyle w:val="Hyperlink"/>
            <w:lang w:val="en-US"/>
          </w:rPr>
          <w:t>https://doi.org/10.36948/ijfmr.2025.v07i01.36703</w:t>
        </w:r>
      </w:hyperlink>
      <w:r w:rsidRPr="00C00153">
        <w:rPr>
          <w:lang w:val="en-US"/>
        </w:rPr>
        <w:t>.</w:t>
      </w:r>
    </w:p>
    <w:p w:rsidR="00BB07D4" w:rsidRPr="002A7790" w:rsidRDefault="00BB07D4" w:rsidP="00BB07D4">
      <w:pPr>
        <w:ind w:hanging="720"/>
        <w:rPr>
          <w:lang w:val="en-US"/>
        </w:rPr>
      </w:pPr>
      <w:r w:rsidRPr="002A7790">
        <w:rPr>
          <w:lang w:val="en-US"/>
        </w:rPr>
        <w:t xml:space="preserve">Graham, J. and Brungard, E. (2021) ‘Consumer adoption of plug-in electric vehicles in selected countries’, </w:t>
      </w:r>
      <w:r w:rsidRPr="002A7790">
        <w:rPr>
          <w:i/>
          <w:iCs/>
          <w:lang w:val="en-US"/>
        </w:rPr>
        <w:t>Future Transportation</w:t>
      </w:r>
      <w:r w:rsidRPr="002A7790">
        <w:rPr>
          <w:lang w:val="en-US"/>
        </w:rPr>
        <w:t xml:space="preserve">, 1(2), pp. 303–325. </w:t>
      </w:r>
      <w:hyperlink r:id="rId40" w:tgtFrame="_new" w:history="1">
        <w:r w:rsidRPr="002A7790">
          <w:rPr>
            <w:rStyle w:val="Hyperlink"/>
            <w:lang w:val="en-US"/>
          </w:rPr>
          <w:t>https://doi.org/10.3390/futuretransp1020018</w:t>
        </w:r>
      </w:hyperlink>
    </w:p>
    <w:p w:rsidR="00BB07D4" w:rsidRPr="002A7790" w:rsidRDefault="00BB07D4" w:rsidP="00BB07D4">
      <w:pPr>
        <w:ind w:hanging="720"/>
        <w:rPr>
          <w:lang w:val="en-US"/>
        </w:rPr>
      </w:pPr>
      <w:r w:rsidRPr="002A7790">
        <w:rPr>
          <w:lang w:val="en-US"/>
        </w:rPr>
        <w:lastRenderedPageBreak/>
        <w:t xml:space="preserve">Graham, J. and Brungard, E. (2022) ‘Affordable electric vehicles: Their role in meeting the U.S. contribution to the Paris climate goals’, </w:t>
      </w:r>
      <w:r w:rsidRPr="002A7790">
        <w:rPr>
          <w:i/>
          <w:iCs/>
          <w:lang w:val="en-US"/>
        </w:rPr>
        <w:t>Frontiers in Environmental Science</w:t>
      </w:r>
      <w:r w:rsidRPr="002A7790">
        <w:rPr>
          <w:lang w:val="en-US"/>
        </w:rPr>
        <w:t xml:space="preserve">, 10. </w:t>
      </w:r>
      <w:hyperlink r:id="rId41" w:tgtFrame="_new" w:history="1">
        <w:r w:rsidRPr="002A7790">
          <w:rPr>
            <w:rStyle w:val="Hyperlink"/>
            <w:lang w:val="en-US"/>
          </w:rPr>
          <w:t>https://doi.org/10.3389/fenvs.2022.962942</w:t>
        </w:r>
      </w:hyperlink>
    </w:p>
    <w:p w:rsidR="00BB07D4" w:rsidRPr="002A7790" w:rsidRDefault="00BB07D4" w:rsidP="00BB07D4">
      <w:pPr>
        <w:ind w:hanging="720"/>
        <w:rPr>
          <w:lang w:val="en-US"/>
        </w:rPr>
      </w:pPr>
      <w:r w:rsidRPr="002A7790">
        <w:rPr>
          <w:lang w:val="en-US"/>
        </w:rPr>
        <w:t xml:space="preserve">Guo, H. (2023) ‘Case study analysis of low-carbon economy’, </w:t>
      </w:r>
      <w:r w:rsidRPr="002A7790">
        <w:rPr>
          <w:i/>
          <w:iCs/>
          <w:lang w:val="en-US"/>
        </w:rPr>
        <w:t>Advances in Economics, Management and Political Sciences</w:t>
      </w:r>
      <w:r w:rsidRPr="002A7790">
        <w:rPr>
          <w:lang w:val="en-US"/>
        </w:rPr>
        <w:t xml:space="preserve">, 63(1), pp. 249–255. </w:t>
      </w:r>
      <w:hyperlink r:id="rId42" w:tgtFrame="_new" w:history="1">
        <w:r w:rsidRPr="002A7790">
          <w:rPr>
            <w:rStyle w:val="Hyperlink"/>
            <w:lang w:val="en-US"/>
          </w:rPr>
          <w:t>https://doi.org/10.54254/2754-1169/63/20231431</w:t>
        </w:r>
      </w:hyperlink>
    </w:p>
    <w:p w:rsidR="00BB07D4" w:rsidRPr="007367C2" w:rsidRDefault="00BB07D4" w:rsidP="00BB07D4">
      <w:pPr>
        <w:ind w:hanging="720"/>
        <w:rPr>
          <w:lang w:val="en-US"/>
        </w:rPr>
      </w:pPr>
      <w:r w:rsidRPr="007367C2">
        <w:rPr>
          <w:lang w:val="en-US"/>
        </w:rPr>
        <w:t xml:space="preserve">Han, J. (2021) ‘How does Tesla Motors achieve competitive advantage in the global automobile industry?’, </w:t>
      </w:r>
      <w:r w:rsidRPr="007367C2">
        <w:rPr>
          <w:i/>
          <w:iCs/>
          <w:lang w:val="en-US"/>
        </w:rPr>
        <w:t>Journal of Next-Generation Convergence Information Services Technology</w:t>
      </w:r>
      <w:r w:rsidRPr="007367C2">
        <w:rPr>
          <w:lang w:val="en-US"/>
        </w:rPr>
        <w:t xml:space="preserve">, 10(5), pp. 573–582. </w:t>
      </w:r>
      <w:hyperlink r:id="rId43" w:tgtFrame="_new" w:history="1">
        <w:r w:rsidRPr="007367C2">
          <w:rPr>
            <w:rStyle w:val="Hyperlink"/>
            <w:lang w:val="en-US"/>
          </w:rPr>
          <w:t>https://doi.org/10.29056/jncist.2021.10.09</w:t>
        </w:r>
      </w:hyperlink>
    </w:p>
    <w:p w:rsidR="00BB07D4" w:rsidRPr="00A52C03" w:rsidRDefault="00BB07D4" w:rsidP="00BB07D4">
      <w:pPr>
        <w:ind w:hanging="720"/>
        <w:rPr>
          <w:lang w:val="en-US"/>
        </w:rPr>
      </w:pPr>
      <w:r w:rsidRPr="00A52C03">
        <w:rPr>
          <w:lang w:val="en-US"/>
        </w:rPr>
        <w:t xml:space="preserve">Harris, B. and Brooker, J. (2025) ‘Environmental scanning: A look to the future’, </w:t>
      </w:r>
      <w:r w:rsidRPr="00A52C03">
        <w:rPr>
          <w:i/>
          <w:iCs/>
          <w:lang w:val="en-US"/>
        </w:rPr>
        <w:t>New Directions for Evaluation</w:t>
      </w:r>
      <w:r w:rsidRPr="00A52C03">
        <w:rPr>
          <w:lang w:val="en-US"/>
        </w:rPr>
        <w:t xml:space="preserve">, 2025(185–186), pp. 33–41. </w:t>
      </w:r>
      <w:hyperlink r:id="rId44" w:tgtFrame="_new" w:history="1">
        <w:r w:rsidRPr="00A52C03">
          <w:rPr>
            <w:rStyle w:val="Hyperlink"/>
            <w:lang w:val="en-US"/>
          </w:rPr>
          <w:t>https://doi.org/10.1002/ev.20633</w:t>
        </w:r>
      </w:hyperlink>
    </w:p>
    <w:p w:rsidR="00BB07D4" w:rsidRPr="009F6314" w:rsidRDefault="00BB07D4" w:rsidP="00BB07D4">
      <w:pPr>
        <w:ind w:hanging="720"/>
        <w:rPr>
          <w:lang w:val="en-US"/>
        </w:rPr>
      </w:pPr>
      <w:r w:rsidRPr="009F6314">
        <w:rPr>
          <w:lang w:val="en-US"/>
        </w:rPr>
        <w:t xml:space="preserve">Hasan, A. (2025) ‘Sustainable management of end-of-life batteries of electric and hybrid vehicles in Palestine’, </w:t>
      </w:r>
      <w:r w:rsidRPr="009F6314">
        <w:rPr>
          <w:i/>
          <w:iCs/>
          <w:lang w:val="en-US"/>
        </w:rPr>
        <w:t>Energy Storage</w:t>
      </w:r>
      <w:r w:rsidRPr="009F6314">
        <w:rPr>
          <w:lang w:val="en-US"/>
        </w:rPr>
        <w:t xml:space="preserve">, 7(5). Available at: </w:t>
      </w:r>
      <w:hyperlink r:id="rId45" w:tgtFrame="_new" w:history="1">
        <w:r w:rsidRPr="009F6314">
          <w:rPr>
            <w:rStyle w:val="Hyperlink"/>
            <w:lang w:val="en-US"/>
          </w:rPr>
          <w:t>https://doi.org/10.1002/est2.70243</w:t>
        </w:r>
      </w:hyperlink>
      <w:r w:rsidRPr="009F6314">
        <w:rPr>
          <w:lang w:val="en-US"/>
        </w:rPr>
        <w:t>.</w:t>
      </w:r>
    </w:p>
    <w:p w:rsidR="00BB07D4" w:rsidRPr="009F6314" w:rsidRDefault="00BB07D4" w:rsidP="00BB07D4">
      <w:pPr>
        <w:ind w:hanging="720"/>
        <w:rPr>
          <w:lang w:val="en-US"/>
        </w:rPr>
      </w:pPr>
      <w:r w:rsidRPr="009F6314">
        <w:rPr>
          <w:lang w:val="en-US"/>
        </w:rPr>
        <w:t xml:space="preserve">Hemavathi, S. (2025) ‘India’s lithium-ion battery landscape: Strategic opportunities, market dynamics, and innovation pathways’, </w:t>
      </w:r>
      <w:r w:rsidRPr="009F6314">
        <w:rPr>
          <w:i/>
          <w:iCs/>
          <w:lang w:val="en-US"/>
        </w:rPr>
        <w:t>Energy Storage</w:t>
      </w:r>
      <w:r w:rsidRPr="009F6314">
        <w:rPr>
          <w:lang w:val="en-US"/>
        </w:rPr>
        <w:t xml:space="preserve">, 7(6). Available at: </w:t>
      </w:r>
      <w:hyperlink r:id="rId46" w:tgtFrame="_new" w:history="1">
        <w:r w:rsidRPr="009F6314">
          <w:rPr>
            <w:rStyle w:val="Hyperlink"/>
            <w:lang w:val="en-US"/>
          </w:rPr>
          <w:t>https://doi.org/10.1002/est2.70244</w:t>
        </w:r>
      </w:hyperlink>
      <w:r w:rsidRPr="009F6314">
        <w:rPr>
          <w:lang w:val="en-US"/>
        </w:rPr>
        <w:t>.</w:t>
      </w:r>
    </w:p>
    <w:p w:rsidR="00BB07D4" w:rsidRDefault="00BB07D4" w:rsidP="00BB07D4">
      <w:pPr>
        <w:ind w:hanging="720"/>
      </w:pPr>
      <w:r>
        <w:t xml:space="preserve">Ioannou, D., Pérez, J., Geeroms, H., Vansteenkiste, I., Weber, P., Almeida, A. and Tylko-Tylczynska, K. (2023) </w:t>
      </w:r>
      <w:r>
        <w:rPr>
          <w:rStyle w:val="Emphasis"/>
        </w:rPr>
        <w:t>The EU's open strategic autonomy from a central banking perspective: Challenges to the monetary policy landscape from a changing geopolitical environment</w:t>
      </w:r>
      <w:r>
        <w:t xml:space="preserve">, </w:t>
      </w:r>
      <w:r>
        <w:rPr>
          <w:rStyle w:val="Emphasis"/>
        </w:rPr>
        <w:t>SSRN Electronic Journal</w:t>
      </w:r>
      <w:r>
        <w:t xml:space="preserve">. </w:t>
      </w:r>
      <w:hyperlink r:id="rId47" w:tgtFrame="_new" w:history="1">
        <w:r>
          <w:rPr>
            <w:rStyle w:val="Hyperlink"/>
          </w:rPr>
          <w:t>https://doi.org/10.2139/ssrn.4402478</w:t>
        </w:r>
      </w:hyperlink>
    </w:p>
    <w:p w:rsidR="00BB07D4" w:rsidRPr="009F6314" w:rsidRDefault="00BB07D4" w:rsidP="00BB07D4">
      <w:pPr>
        <w:ind w:hanging="720"/>
        <w:rPr>
          <w:lang w:val="en-US"/>
        </w:rPr>
      </w:pPr>
      <w:r w:rsidRPr="009F6314">
        <w:rPr>
          <w:lang w:val="en-US"/>
        </w:rPr>
        <w:t xml:space="preserve">Itani, K. and Bernardinis, A.D. (2023) ‘Review on new-generation battery technologies: Trends and future directions’, </w:t>
      </w:r>
      <w:r w:rsidRPr="009F6314">
        <w:rPr>
          <w:i/>
          <w:iCs/>
          <w:lang w:val="en-US"/>
        </w:rPr>
        <w:t>Energies</w:t>
      </w:r>
      <w:r w:rsidRPr="009F6314">
        <w:rPr>
          <w:lang w:val="en-US"/>
        </w:rPr>
        <w:t xml:space="preserve">, 16(22), p. 7530. Available at: </w:t>
      </w:r>
      <w:hyperlink r:id="rId48" w:tgtFrame="_new" w:history="1">
        <w:r w:rsidRPr="009F6314">
          <w:rPr>
            <w:rStyle w:val="Hyperlink"/>
            <w:lang w:val="en-US"/>
          </w:rPr>
          <w:t>https://doi.org/10.3390/en16227530</w:t>
        </w:r>
      </w:hyperlink>
      <w:r w:rsidRPr="009F6314">
        <w:rPr>
          <w:lang w:val="en-US"/>
        </w:rPr>
        <w:t>.</w:t>
      </w:r>
    </w:p>
    <w:p w:rsidR="00BB07D4" w:rsidRPr="00A02E2E" w:rsidRDefault="00BB07D4" w:rsidP="00BB07D4">
      <w:pPr>
        <w:ind w:hanging="720"/>
        <w:rPr>
          <w:lang w:val="en-US"/>
        </w:rPr>
      </w:pPr>
      <w:r w:rsidRPr="00A02E2E">
        <w:rPr>
          <w:lang w:val="en-US"/>
        </w:rPr>
        <w:t xml:space="preserve">Jetin, B. (2020) ‘Who will control the electric vehicle market’, </w:t>
      </w:r>
      <w:r w:rsidRPr="00A02E2E">
        <w:rPr>
          <w:i/>
          <w:iCs/>
          <w:lang w:val="en-US"/>
        </w:rPr>
        <w:t>International Journal of Automotive Technology and Management</w:t>
      </w:r>
      <w:r w:rsidRPr="00A02E2E">
        <w:rPr>
          <w:lang w:val="en-US"/>
        </w:rPr>
        <w:t xml:space="preserve">, 20(2), p. 156. Available at: </w:t>
      </w:r>
      <w:hyperlink r:id="rId49" w:tgtFrame="_new" w:history="1">
        <w:r w:rsidRPr="00A02E2E">
          <w:rPr>
            <w:rStyle w:val="Hyperlink"/>
            <w:lang w:val="en-US"/>
          </w:rPr>
          <w:t>https://doi.org/10.1504/ijatm.2020.10030506</w:t>
        </w:r>
      </w:hyperlink>
      <w:r w:rsidRPr="00A02E2E">
        <w:rPr>
          <w:lang w:val="en-US"/>
        </w:rPr>
        <w:t>.</w:t>
      </w:r>
    </w:p>
    <w:p w:rsidR="00BB07D4" w:rsidRDefault="00BB07D4" w:rsidP="00BB07D4">
      <w:pPr>
        <w:ind w:hanging="720"/>
      </w:pPr>
      <w:r>
        <w:t xml:space="preserve">Katona, S., Paulikas, D. and Stone, G. (2021) ‘Ethical opportunities in deep-sea collection of polymetallic nodules from the Clarion-Clipperton Zone’, </w:t>
      </w:r>
      <w:r>
        <w:rPr>
          <w:rStyle w:val="Emphasis"/>
        </w:rPr>
        <w:t>Integrated Environmental Assessment and Management</w:t>
      </w:r>
      <w:r>
        <w:t xml:space="preserve">, 18(3), pp. 634–654. </w:t>
      </w:r>
      <w:hyperlink r:id="rId50" w:tgtFrame="_new" w:history="1">
        <w:r>
          <w:rPr>
            <w:rStyle w:val="Hyperlink"/>
          </w:rPr>
          <w:t>https://doi.org/10.1002/ieam.4554</w:t>
        </w:r>
      </w:hyperlink>
    </w:p>
    <w:p w:rsidR="00BB07D4" w:rsidRPr="00A02E2E" w:rsidRDefault="00BB07D4" w:rsidP="00BB07D4">
      <w:pPr>
        <w:ind w:hanging="720"/>
        <w:rPr>
          <w:lang w:val="en-US"/>
        </w:rPr>
      </w:pPr>
      <w:r w:rsidRPr="00A02E2E">
        <w:rPr>
          <w:lang w:val="en-US"/>
        </w:rPr>
        <w:lastRenderedPageBreak/>
        <w:t xml:space="preserve">Katona, S.K., Paulikas, D. and Stone, G.S. (2021) ‘Ethical opportunities in deep-sea collection of polymetallic nodules from the Clarion-Clipperton Zone’, </w:t>
      </w:r>
      <w:r w:rsidRPr="00A02E2E">
        <w:rPr>
          <w:i/>
          <w:iCs/>
          <w:lang w:val="en-US"/>
        </w:rPr>
        <w:t>Integrated Environmental Assessment and Management</w:t>
      </w:r>
      <w:r w:rsidRPr="00A02E2E">
        <w:rPr>
          <w:lang w:val="en-US"/>
        </w:rPr>
        <w:t xml:space="preserve">, 18(3), pp. 634–654. Available at: </w:t>
      </w:r>
      <w:hyperlink r:id="rId51" w:tgtFrame="_new" w:history="1">
        <w:r w:rsidRPr="00A02E2E">
          <w:rPr>
            <w:rStyle w:val="Hyperlink"/>
            <w:lang w:val="en-US"/>
          </w:rPr>
          <w:t>https://doi.org/10.1002/ieam.4554</w:t>
        </w:r>
      </w:hyperlink>
      <w:r w:rsidRPr="00A02E2E">
        <w:rPr>
          <w:lang w:val="en-US"/>
        </w:rPr>
        <w:t>.</w:t>
      </w:r>
    </w:p>
    <w:p w:rsidR="00BB07D4" w:rsidRPr="00C00153" w:rsidRDefault="00BB07D4" w:rsidP="00BB07D4">
      <w:pPr>
        <w:ind w:hanging="720"/>
        <w:rPr>
          <w:lang w:val="en-US"/>
        </w:rPr>
      </w:pPr>
      <w:r w:rsidRPr="00C00153">
        <w:rPr>
          <w:lang w:val="en-US"/>
        </w:rPr>
        <w:t xml:space="preserve">Kim, J.-H., Paek, B. and Lee, H. (2022) ‘Exploring innovation ecosystem of incumbents in the face of technological discontinuities: Automobile firms’, </w:t>
      </w:r>
      <w:r w:rsidRPr="00C00153">
        <w:rPr>
          <w:i/>
          <w:iCs/>
          <w:lang w:val="en-US"/>
        </w:rPr>
        <w:t>Sustainability</w:t>
      </w:r>
      <w:r w:rsidRPr="00C00153">
        <w:rPr>
          <w:lang w:val="en-US"/>
        </w:rPr>
        <w:t xml:space="preserve">, 14(3), p. 1606. Available at: </w:t>
      </w:r>
      <w:hyperlink r:id="rId52" w:tgtFrame="_new" w:history="1">
        <w:r w:rsidRPr="00C00153">
          <w:rPr>
            <w:rStyle w:val="Hyperlink"/>
            <w:lang w:val="en-US"/>
          </w:rPr>
          <w:t>https://doi.org/10.3390/su14031606</w:t>
        </w:r>
      </w:hyperlink>
      <w:r w:rsidRPr="00C00153">
        <w:rPr>
          <w:lang w:val="en-US"/>
        </w:rPr>
        <w:t>.</w:t>
      </w:r>
    </w:p>
    <w:p w:rsidR="00BB07D4" w:rsidRDefault="00BB07D4" w:rsidP="00BB07D4">
      <w:pPr>
        <w:ind w:hanging="720"/>
      </w:pPr>
      <w:r>
        <w:t xml:space="preserve">Leeraphong, A., Chuairuang, S. and Sukrat, S. (2025) ‘Advancing sustainability through digital transformation: Empirical evidence from Southeast Asian listed companies’, </w:t>
      </w:r>
      <w:r>
        <w:rPr>
          <w:rStyle w:val="Emphasis"/>
        </w:rPr>
        <w:t>Business Strategy &amp; Development</w:t>
      </w:r>
      <w:r>
        <w:t xml:space="preserve">, 8(4). </w:t>
      </w:r>
      <w:hyperlink r:id="rId53" w:tgtFrame="_new" w:history="1">
        <w:r>
          <w:rPr>
            <w:rStyle w:val="Hyperlink"/>
          </w:rPr>
          <w:t>https://doi.org/10.1002/bsd2.70223</w:t>
        </w:r>
      </w:hyperlink>
    </w:p>
    <w:p w:rsidR="00BB07D4" w:rsidRPr="009F6314" w:rsidRDefault="00BB07D4" w:rsidP="00BB07D4">
      <w:pPr>
        <w:ind w:hanging="720"/>
        <w:rPr>
          <w:lang w:val="en-US"/>
        </w:rPr>
      </w:pPr>
      <w:r w:rsidRPr="009F6314">
        <w:rPr>
          <w:lang w:val="en-US"/>
        </w:rPr>
        <w:t xml:space="preserve">Li, H. (2023) ‘Based on the strategic research and analysis of Tesla’, </w:t>
      </w:r>
      <w:r w:rsidRPr="009F6314">
        <w:rPr>
          <w:i/>
          <w:iCs/>
          <w:lang w:val="en-US"/>
        </w:rPr>
        <w:t>Highlights in Business Economics and Management</w:t>
      </w:r>
      <w:r w:rsidRPr="009F6314">
        <w:rPr>
          <w:lang w:val="en-US"/>
        </w:rPr>
        <w:t xml:space="preserve">, 23, pp. 1138–1146. Available at: </w:t>
      </w:r>
      <w:hyperlink r:id="rId54" w:tgtFrame="_new" w:history="1">
        <w:r w:rsidRPr="009F6314">
          <w:rPr>
            <w:rStyle w:val="Hyperlink"/>
            <w:lang w:val="en-US"/>
          </w:rPr>
          <w:t>https://doi.org/10.54097/t0qbn123</w:t>
        </w:r>
      </w:hyperlink>
      <w:r w:rsidRPr="009F6314">
        <w:rPr>
          <w:lang w:val="en-US"/>
        </w:rPr>
        <w:t>.</w:t>
      </w:r>
    </w:p>
    <w:p w:rsidR="00BB07D4" w:rsidRPr="00A02E2E" w:rsidRDefault="00BB07D4" w:rsidP="00BB07D4">
      <w:pPr>
        <w:ind w:hanging="720"/>
        <w:rPr>
          <w:lang w:val="en-US"/>
        </w:rPr>
      </w:pPr>
      <w:r w:rsidRPr="00A02E2E">
        <w:rPr>
          <w:lang w:val="en-US"/>
        </w:rPr>
        <w:t xml:space="preserve">Li, M. (2024) ‘The negative impact of ESG on the Australian minerals supply chain’, </w:t>
      </w:r>
      <w:r w:rsidRPr="00A02E2E">
        <w:rPr>
          <w:i/>
          <w:iCs/>
          <w:lang w:val="en-US"/>
        </w:rPr>
        <w:t>Advances in Economics Management and Political Sciences</w:t>
      </w:r>
      <w:r w:rsidRPr="00A02E2E">
        <w:rPr>
          <w:lang w:val="en-US"/>
        </w:rPr>
        <w:t xml:space="preserve">, 72(1), pp. 265–272. Available at: </w:t>
      </w:r>
      <w:hyperlink r:id="rId55" w:tgtFrame="_new" w:history="1">
        <w:r w:rsidRPr="00A02E2E">
          <w:rPr>
            <w:rStyle w:val="Hyperlink"/>
            <w:lang w:val="en-US"/>
          </w:rPr>
          <w:t>https://doi.org/10.54254/2754-1169/72/20240702</w:t>
        </w:r>
      </w:hyperlink>
      <w:r w:rsidRPr="00A02E2E">
        <w:rPr>
          <w:lang w:val="en-US"/>
        </w:rPr>
        <w:t>.</w:t>
      </w:r>
    </w:p>
    <w:p w:rsidR="00BB07D4" w:rsidRPr="007367C2" w:rsidRDefault="00BB07D4" w:rsidP="00BB07D4">
      <w:pPr>
        <w:ind w:hanging="720"/>
        <w:rPr>
          <w:lang w:val="en-US"/>
        </w:rPr>
      </w:pPr>
      <w:r w:rsidRPr="007367C2">
        <w:rPr>
          <w:lang w:val="en-US"/>
        </w:rPr>
        <w:t xml:space="preserve">Li, S. (2023) ‘Ford Motor Company reorganization and case study analysis’, </w:t>
      </w:r>
      <w:r w:rsidRPr="007367C2">
        <w:rPr>
          <w:i/>
          <w:iCs/>
          <w:lang w:val="en-US"/>
        </w:rPr>
        <w:t>Advances in Economics, Management and Political Sciences</w:t>
      </w:r>
      <w:r w:rsidRPr="007367C2">
        <w:rPr>
          <w:lang w:val="en-US"/>
        </w:rPr>
        <w:t xml:space="preserve">, 61(1), pp. 120–126. </w:t>
      </w:r>
      <w:hyperlink r:id="rId56" w:tgtFrame="_new" w:history="1">
        <w:r w:rsidRPr="007367C2">
          <w:rPr>
            <w:rStyle w:val="Hyperlink"/>
            <w:lang w:val="en-US"/>
          </w:rPr>
          <w:t>https://doi.org/10.54254/2754-1169/61/20231122</w:t>
        </w:r>
      </w:hyperlink>
    </w:p>
    <w:p w:rsidR="00BB07D4" w:rsidRPr="008B5A0A" w:rsidRDefault="00BB07D4" w:rsidP="00BB07D4">
      <w:pPr>
        <w:ind w:hanging="720"/>
        <w:rPr>
          <w:lang w:val="en-US"/>
        </w:rPr>
      </w:pPr>
      <w:r w:rsidRPr="008B5A0A">
        <w:rPr>
          <w:lang w:val="en-US"/>
        </w:rPr>
        <w:t xml:space="preserve">Liu, Y., Shi, J., Yang, X., Song, C. and Zhou, W. (2024) </w:t>
      </w:r>
      <w:r w:rsidRPr="008B5A0A">
        <w:rPr>
          <w:i/>
          <w:iCs/>
          <w:lang w:val="en-US"/>
        </w:rPr>
        <w:t>Based on index comprehensive evaluation method—Impact of “de-risk” measures in the US automotive sector on China’s industrial safety and relative suggestions</w:t>
      </w:r>
      <w:r w:rsidRPr="008B5A0A">
        <w:rPr>
          <w:lang w:val="en-US"/>
        </w:rPr>
        <w:t xml:space="preserve">. Available at: </w:t>
      </w:r>
      <w:hyperlink r:id="rId57" w:tgtFrame="_new" w:history="1">
        <w:r w:rsidRPr="008B5A0A">
          <w:rPr>
            <w:rStyle w:val="Hyperlink"/>
            <w:lang w:val="en-US"/>
          </w:rPr>
          <w:t>https://doi.org/10.4108/eai.8-12-2023.2344725</w:t>
        </w:r>
      </w:hyperlink>
      <w:r w:rsidRPr="008B5A0A">
        <w:rPr>
          <w:lang w:val="en-US"/>
        </w:rPr>
        <w:t>.</w:t>
      </w:r>
    </w:p>
    <w:p w:rsidR="00BB07D4" w:rsidRPr="009F6314" w:rsidRDefault="00BB07D4" w:rsidP="00BB07D4">
      <w:pPr>
        <w:ind w:hanging="720"/>
        <w:rPr>
          <w:lang w:val="en-US"/>
        </w:rPr>
      </w:pPr>
      <w:r w:rsidRPr="009F6314">
        <w:rPr>
          <w:lang w:val="en-US"/>
        </w:rPr>
        <w:t xml:space="preserve">Meegoda, J.N., Charbel, G. and Watts, D. (2024) ‘Second life of used lithium-ion batteries from electric vehicles in the USA’, </w:t>
      </w:r>
      <w:r w:rsidRPr="009F6314">
        <w:rPr>
          <w:i/>
          <w:iCs/>
          <w:lang w:val="en-US"/>
        </w:rPr>
        <w:t>Environments</w:t>
      </w:r>
      <w:r w:rsidRPr="009F6314">
        <w:rPr>
          <w:lang w:val="en-US"/>
        </w:rPr>
        <w:t xml:space="preserve">, 11(5), p. 97. Available at: </w:t>
      </w:r>
      <w:hyperlink r:id="rId58" w:tgtFrame="_new" w:history="1">
        <w:r w:rsidRPr="009F6314">
          <w:rPr>
            <w:rStyle w:val="Hyperlink"/>
            <w:lang w:val="en-US"/>
          </w:rPr>
          <w:t>https://doi.org/10.3390/environments11050097</w:t>
        </w:r>
      </w:hyperlink>
      <w:r w:rsidRPr="009F6314">
        <w:rPr>
          <w:lang w:val="en-US"/>
        </w:rPr>
        <w:t>.</w:t>
      </w:r>
    </w:p>
    <w:p w:rsidR="00BB07D4" w:rsidRPr="00531B4F" w:rsidRDefault="00BB07D4" w:rsidP="00BB07D4">
      <w:pPr>
        <w:ind w:hanging="720"/>
        <w:rPr>
          <w:lang w:val="en-US"/>
        </w:rPr>
      </w:pPr>
      <w:r w:rsidRPr="00531B4F">
        <w:rPr>
          <w:lang w:val="en-US"/>
        </w:rPr>
        <w:t xml:space="preserve">Midler, C. and Alochet, M. (2023) ‘When regulations shape the future of an industry: the case of the high-voltage battery’, </w:t>
      </w:r>
      <w:r w:rsidRPr="00531B4F">
        <w:rPr>
          <w:i/>
          <w:iCs/>
          <w:lang w:val="en-US"/>
        </w:rPr>
        <w:t>International Journal of Automotive Technology and Management</w:t>
      </w:r>
      <w:r w:rsidRPr="00531B4F">
        <w:rPr>
          <w:lang w:val="en-US"/>
        </w:rPr>
        <w:t xml:space="preserve">, 23(4), pp. 343–382. </w:t>
      </w:r>
      <w:hyperlink r:id="rId59" w:tgtFrame="_new" w:history="1">
        <w:r w:rsidRPr="00531B4F">
          <w:rPr>
            <w:rStyle w:val="Hyperlink"/>
            <w:lang w:val="en-US"/>
          </w:rPr>
          <w:t>https://doi.org/10.1504/ijatm.2023.136572</w:t>
        </w:r>
      </w:hyperlink>
    </w:p>
    <w:p w:rsidR="00BB07D4" w:rsidRPr="008B5A0A" w:rsidRDefault="00BB07D4" w:rsidP="00BB07D4">
      <w:pPr>
        <w:ind w:hanging="720"/>
        <w:rPr>
          <w:lang w:val="en-US"/>
        </w:rPr>
      </w:pPr>
      <w:r w:rsidRPr="008B5A0A">
        <w:rPr>
          <w:lang w:val="en-US"/>
        </w:rPr>
        <w:lastRenderedPageBreak/>
        <w:t xml:space="preserve">Midler, C. and Alochet, M. (2023a) ‘When regulations shape the future of an industry: The case of the high-voltage battery’, </w:t>
      </w:r>
      <w:r w:rsidRPr="008B5A0A">
        <w:rPr>
          <w:i/>
          <w:iCs/>
          <w:lang w:val="en-US"/>
        </w:rPr>
        <w:t>International Journal of Automotive Technology and Management</w:t>
      </w:r>
      <w:r w:rsidRPr="008B5A0A">
        <w:rPr>
          <w:lang w:val="en-US"/>
        </w:rPr>
        <w:t xml:space="preserve">, 23(4). Available at: </w:t>
      </w:r>
      <w:hyperlink r:id="rId60" w:tgtFrame="_new" w:history="1">
        <w:r w:rsidRPr="008B5A0A">
          <w:rPr>
            <w:rStyle w:val="Hyperlink"/>
            <w:lang w:val="en-US"/>
          </w:rPr>
          <w:t>https://doi.org/10.1504/ijatm.2023.10060522</w:t>
        </w:r>
      </w:hyperlink>
      <w:r w:rsidRPr="008B5A0A">
        <w:rPr>
          <w:lang w:val="en-US"/>
        </w:rPr>
        <w:t>.</w:t>
      </w:r>
    </w:p>
    <w:p w:rsidR="00BB07D4" w:rsidRPr="00A02E2E" w:rsidRDefault="00BB07D4" w:rsidP="00BB07D4">
      <w:pPr>
        <w:ind w:hanging="720"/>
        <w:rPr>
          <w:lang w:val="en-US"/>
        </w:rPr>
      </w:pPr>
      <w:r w:rsidRPr="00A02E2E">
        <w:rPr>
          <w:lang w:val="en-US"/>
        </w:rPr>
        <w:t xml:space="preserve">Murdock, B., Toghill, K.E. and Tapia-Ruiz, N. (2021) ‘A perspective on the sustainability of cathode materials used in lithium-ion batteries’, </w:t>
      </w:r>
      <w:r w:rsidRPr="00A02E2E">
        <w:rPr>
          <w:i/>
          <w:iCs/>
          <w:lang w:val="en-US"/>
        </w:rPr>
        <w:t>Advanced Energy Materials</w:t>
      </w:r>
      <w:r w:rsidRPr="00A02E2E">
        <w:rPr>
          <w:lang w:val="en-US"/>
        </w:rPr>
        <w:t xml:space="preserve">, 11(39). Available at: </w:t>
      </w:r>
      <w:hyperlink r:id="rId61" w:tgtFrame="_new" w:history="1">
        <w:r w:rsidRPr="00A02E2E">
          <w:rPr>
            <w:rStyle w:val="Hyperlink"/>
            <w:lang w:val="en-US"/>
          </w:rPr>
          <w:t>https://doi.org/10.1002/aenm.202102028</w:t>
        </w:r>
      </w:hyperlink>
      <w:r w:rsidRPr="00A02E2E">
        <w:rPr>
          <w:lang w:val="en-US"/>
        </w:rPr>
        <w:t>.</w:t>
      </w:r>
    </w:p>
    <w:p w:rsidR="00BB07D4" w:rsidRPr="00A02E2E" w:rsidRDefault="00BB07D4" w:rsidP="00BB07D4">
      <w:pPr>
        <w:ind w:hanging="720"/>
        <w:rPr>
          <w:lang w:val="en-US"/>
        </w:rPr>
      </w:pPr>
      <w:r w:rsidRPr="00A02E2E">
        <w:rPr>
          <w:lang w:val="en-US"/>
        </w:rPr>
        <w:t xml:space="preserve">Naor, M. (2023) </w:t>
      </w:r>
      <w:r w:rsidRPr="00A02E2E">
        <w:rPr>
          <w:i/>
          <w:iCs/>
          <w:lang w:val="en-US"/>
        </w:rPr>
        <w:t>Tesla’s circular economy strategy to recycle, reduce, reuse, repurpose and recover batteries</w:t>
      </w:r>
      <w:r w:rsidRPr="00A02E2E">
        <w:rPr>
          <w:lang w:val="en-US"/>
        </w:rPr>
        <w:t xml:space="preserve">. Available at: </w:t>
      </w:r>
      <w:hyperlink r:id="rId62" w:tgtFrame="_new" w:history="1">
        <w:r w:rsidRPr="00A02E2E">
          <w:rPr>
            <w:rStyle w:val="Hyperlink"/>
            <w:lang w:val="en-US"/>
          </w:rPr>
          <w:t>https://doi.org/10.5772/intechopen.107256</w:t>
        </w:r>
      </w:hyperlink>
      <w:r w:rsidRPr="00A02E2E">
        <w:rPr>
          <w:lang w:val="en-US"/>
        </w:rPr>
        <w:t>.</w:t>
      </w:r>
    </w:p>
    <w:p w:rsidR="00BB07D4" w:rsidRPr="00531B4F" w:rsidRDefault="00BB07D4" w:rsidP="00BB07D4">
      <w:pPr>
        <w:ind w:hanging="720"/>
        <w:rPr>
          <w:lang w:val="en-US"/>
        </w:rPr>
      </w:pPr>
      <w:r w:rsidRPr="00531B4F">
        <w:rPr>
          <w:lang w:val="en-US"/>
        </w:rPr>
        <w:t xml:space="preserve">Naor, M., Coman, A. and Wiznizer, A. (2021) ‘Vertically integrated supply chain of batteries, electric vehicles, and charging infrastructure: A review of three milestone projects from theory of constraints perspective’, </w:t>
      </w:r>
      <w:r w:rsidRPr="00531B4F">
        <w:rPr>
          <w:i/>
          <w:iCs/>
          <w:lang w:val="en-US"/>
        </w:rPr>
        <w:t>Sustainability</w:t>
      </w:r>
      <w:r w:rsidRPr="00531B4F">
        <w:rPr>
          <w:lang w:val="en-US"/>
        </w:rPr>
        <w:t xml:space="preserve">, 13(7), p. 3632. </w:t>
      </w:r>
      <w:hyperlink r:id="rId63" w:tgtFrame="_new" w:history="1">
        <w:r w:rsidRPr="00531B4F">
          <w:rPr>
            <w:rStyle w:val="Hyperlink"/>
            <w:lang w:val="en-US"/>
          </w:rPr>
          <w:t>https://doi.org/10.3390/su13073632</w:t>
        </w:r>
      </w:hyperlink>
    </w:p>
    <w:p w:rsidR="00BB07D4" w:rsidRPr="008B5A0A" w:rsidRDefault="00BB07D4" w:rsidP="00BB07D4">
      <w:pPr>
        <w:ind w:hanging="720"/>
        <w:rPr>
          <w:lang w:val="en-US"/>
        </w:rPr>
      </w:pPr>
      <w:r w:rsidRPr="008B5A0A">
        <w:rPr>
          <w:lang w:val="en-US"/>
        </w:rPr>
        <w:t xml:space="preserve">Ning, Z. (2024) ‘Research on the investment value of BYD based on SWOT, financial, and valuation methods’, </w:t>
      </w:r>
      <w:r w:rsidRPr="008B5A0A">
        <w:rPr>
          <w:i/>
          <w:iCs/>
          <w:lang w:val="en-US"/>
        </w:rPr>
        <w:t>Advances in Economics Management and Political Sciences</w:t>
      </w:r>
      <w:r w:rsidRPr="008B5A0A">
        <w:rPr>
          <w:lang w:val="en-US"/>
        </w:rPr>
        <w:t xml:space="preserve">, 112(1), pp. 176–183. Available at: </w:t>
      </w:r>
      <w:hyperlink r:id="rId64" w:tgtFrame="_new" w:history="1">
        <w:r w:rsidRPr="008B5A0A">
          <w:rPr>
            <w:rStyle w:val="Hyperlink"/>
            <w:lang w:val="en-US"/>
          </w:rPr>
          <w:t>https://doi.org/10.54254/2754-1169/112/20242477</w:t>
        </w:r>
      </w:hyperlink>
      <w:r w:rsidRPr="008B5A0A">
        <w:rPr>
          <w:lang w:val="en-US"/>
        </w:rPr>
        <w:t>.</w:t>
      </w:r>
    </w:p>
    <w:p w:rsidR="00BB07D4" w:rsidRPr="00A02E2E" w:rsidRDefault="00BB07D4" w:rsidP="00BB07D4">
      <w:pPr>
        <w:ind w:hanging="720"/>
        <w:rPr>
          <w:lang w:val="en-US"/>
        </w:rPr>
      </w:pPr>
      <w:r w:rsidRPr="00A02E2E">
        <w:rPr>
          <w:lang w:val="en-US"/>
        </w:rPr>
        <w:t xml:space="preserve">Nygaard, A. (2022) ‘The geopolitical risk and strategic uncertainty of green growth after the Ukraine invasion: How the circular economy can decrease the market power of and resource dependency on critical minerals’, </w:t>
      </w:r>
      <w:r w:rsidRPr="00A02E2E">
        <w:rPr>
          <w:i/>
          <w:iCs/>
          <w:lang w:val="en-US"/>
        </w:rPr>
        <w:t>Circular Economy and Sustainability</w:t>
      </w:r>
      <w:r w:rsidRPr="00A02E2E">
        <w:rPr>
          <w:lang w:val="en-US"/>
        </w:rPr>
        <w:t xml:space="preserve">, 3(2), pp. 1099–1126. Available at: </w:t>
      </w:r>
      <w:hyperlink r:id="rId65" w:tgtFrame="_new" w:history="1">
        <w:r w:rsidRPr="00A02E2E">
          <w:rPr>
            <w:rStyle w:val="Hyperlink"/>
            <w:lang w:val="en-US"/>
          </w:rPr>
          <w:t>https://doi.org/10.1007/s43615-022-00181-x</w:t>
        </w:r>
      </w:hyperlink>
      <w:r w:rsidRPr="00A02E2E">
        <w:rPr>
          <w:lang w:val="en-US"/>
        </w:rPr>
        <w:t>.</w:t>
      </w:r>
    </w:p>
    <w:p w:rsidR="00BB07D4" w:rsidRDefault="00BB07D4" w:rsidP="00BB07D4">
      <w:pPr>
        <w:ind w:hanging="720"/>
      </w:pPr>
      <w:r>
        <w:t xml:space="preserve">Ochuba, N., Usman, F., Amoo, O., Okafor, E. and Akinrinola, O. (2024) ‘Innovations in business models through strategic analytics and management: Conceptual exploration for sustainable growth’, </w:t>
      </w:r>
      <w:r>
        <w:rPr>
          <w:rStyle w:val="Emphasis"/>
        </w:rPr>
        <w:t>International Journal of Management &amp; Entrepreneurship Research</w:t>
      </w:r>
      <w:r>
        <w:t xml:space="preserve">, 6(3), pp. 554–566. </w:t>
      </w:r>
      <w:hyperlink r:id="rId66" w:tgtFrame="_new" w:history="1">
        <w:r>
          <w:rPr>
            <w:rStyle w:val="Hyperlink"/>
          </w:rPr>
          <w:t>https://doi.org/10.51594/ijmer.v6i3.844</w:t>
        </w:r>
      </w:hyperlink>
    </w:p>
    <w:p w:rsidR="00BB07D4" w:rsidRPr="003339EA" w:rsidRDefault="00BB07D4" w:rsidP="00BB07D4">
      <w:pPr>
        <w:ind w:hanging="720"/>
        <w:rPr>
          <w:lang w:val="en-US"/>
        </w:rPr>
      </w:pPr>
      <w:r w:rsidRPr="003339EA">
        <w:rPr>
          <w:lang w:val="en-US"/>
        </w:rPr>
        <w:t xml:space="preserve">Ogrean, C. and Herciu, M. (2022) ‘Sustainability performance and reporting – A strategic issue for electric car automakers’, </w:t>
      </w:r>
      <w:r w:rsidRPr="003339EA">
        <w:rPr>
          <w:i/>
          <w:iCs/>
          <w:lang w:val="en-US"/>
        </w:rPr>
        <w:t>Studies in Business and Economics</w:t>
      </w:r>
      <w:r w:rsidRPr="003339EA">
        <w:rPr>
          <w:lang w:val="en-US"/>
        </w:rPr>
        <w:t xml:space="preserve">, 17(3), pp. 288–305. </w:t>
      </w:r>
      <w:hyperlink r:id="rId67" w:tgtFrame="_new" w:history="1">
        <w:r w:rsidRPr="003339EA">
          <w:rPr>
            <w:rStyle w:val="Hyperlink"/>
            <w:lang w:val="en-US"/>
          </w:rPr>
          <w:t>https://doi.org/10.2478/sbe-2022-0061</w:t>
        </w:r>
      </w:hyperlink>
    </w:p>
    <w:p w:rsidR="00BB07D4" w:rsidRPr="00F27087" w:rsidRDefault="00BB07D4" w:rsidP="00BB07D4">
      <w:pPr>
        <w:ind w:hanging="720"/>
        <w:rPr>
          <w:lang w:val="en-US"/>
        </w:rPr>
      </w:pPr>
      <w:r w:rsidRPr="00F27087">
        <w:rPr>
          <w:lang w:val="en-US"/>
        </w:rPr>
        <w:t xml:space="preserve">Omol, E. (2023) ‘Organizational digital transformation: From evolution to future trends’, </w:t>
      </w:r>
      <w:r w:rsidRPr="00F27087">
        <w:rPr>
          <w:i/>
          <w:iCs/>
          <w:lang w:val="en-US"/>
        </w:rPr>
        <w:t>Digital Transformation and Society</w:t>
      </w:r>
      <w:r w:rsidRPr="00F27087">
        <w:rPr>
          <w:lang w:val="en-US"/>
        </w:rPr>
        <w:t xml:space="preserve">, 3(3), pp. 240–256. Available at: </w:t>
      </w:r>
      <w:hyperlink r:id="rId68" w:tgtFrame="_new" w:history="1">
        <w:r w:rsidRPr="00F27087">
          <w:rPr>
            <w:rStyle w:val="Hyperlink"/>
            <w:lang w:val="en-US"/>
          </w:rPr>
          <w:t>https://doi.org/10.1108/dts-08-2023-0061</w:t>
        </w:r>
      </w:hyperlink>
      <w:r w:rsidRPr="00F27087">
        <w:rPr>
          <w:lang w:val="en-US"/>
        </w:rPr>
        <w:t>.</w:t>
      </w:r>
    </w:p>
    <w:p w:rsidR="00BB07D4" w:rsidRDefault="00BB07D4" w:rsidP="00BB07D4">
      <w:pPr>
        <w:ind w:hanging="720"/>
      </w:pPr>
      <w:r>
        <w:lastRenderedPageBreak/>
        <w:t xml:space="preserve">Otero-Iglesias, M., Steinberg, F. and González-Agote, A. (2025) </w:t>
      </w:r>
      <w:r>
        <w:rPr>
          <w:rStyle w:val="Emphasis"/>
        </w:rPr>
        <w:t>China’s dual circulation strategy and its impact on European industry: The case of the electric vehicle</w:t>
      </w:r>
      <w:r>
        <w:t xml:space="preserve">. </w:t>
      </w:r>
      <w:hyperlink r:id="rId69" w:tgtFrame="_new" w:history="1">
        <w:r>
          <w:rPr>
            <w:rStyle w:val="Hyperlink"/>
          </w:rPr>
          <w:t>https://doi.org/10.21203/rs.3.rs-6973843/v1</w:t>
        </w:r>
      </w:hyperlink>
    </w:p>
    <w:p w:rsidR="00BB07D4" w:rsidRPr="009F6314" w:rsidRDefault="00BB07D4" w:rsidP="00BB07D4">
      <w:pPr>
        <w:ind w:hanging="720"/>
        <w:rPr>
          <w:lang w:val="en-US"/>
        </w:rPr>
      </w:pPr>
      <w:r w:rsidRPr="009F6314">
        <w:rPr>
          <w:lang w:val="en-US"/>
        </w:rPr>
        <w:t xml:space="preserve">Parvizi, P., Jalilian, M., Amidi, A.M., Zangeneh, M.R. and Riba, J. (2025) ‘From present innovations to future potential: The promising journey of lithium-ion batteries’, </w:t>
      </w:r>
      <w:r w:rsidRPr="009F6314">
        <w:rPr>
          <w:i/>
          <w:iCs/>
          <w:lang w:val="en-US"/>
        </w:rPr>
        <w:t>Micromachines</w:t>
      </w:r>
      <w:r w:rsidRPr="009F6314">
        <w:rPr>
          <w:lang w:val="en-US"/>
        </w:rPr>
        <w:t xml:space="preserve">, 16(2), p. 194. Available at: </w:t>
      </w:r>
      <w:hyperlink r:id="rId70" w:tgtFrame="_new" w:history="1">
        <w:r w:rsidRPr="009F6314">
          <w:rPr>
            <w:rStyle w:val="Hyperlink"/>
            <w:lang w:val="en-US"/>
          </w:rPr>
          <w:t>https://doi.org/10.3390/mi16020194</w:t>
        </w:r>
      </w:hyperlink>
      <w:r w:rsidRPr="009F6314">
        <w:rPr>
          <w:lang w:val="en-US"/>
        </w:rPr>
        <w:t>.</w:t>
      </w:r>
    </w:p>
    <w:p w:rsidR="00BB07D4" w:rsidRPr="00A02E2E" w:rsidRDefault="00BB07D4" w:rsidP="00BB07D4">
      <w:pPr>
        <w:ind w:hanging="720"/>
        <w:rPr>
          <w:lang w:val="en-US"/>
        </w:rPr>
      </w:pPr>
      <w:r w:rsidRPr="00A02E2E">
        <w:rPr>
          <w:lang w:val="en-US"/>
        </w:rPr>
        <w:t xml:space="preserve">Pereira, V., Temouri, Y., Wood, G., Bamel, U. and Budhwar, P. (2023) ‘How do grand challenges determine, drive and influence the innovation efforts of for-profit firms? A multidimensional analysis’, </w:t>
      </w:r>
      <w:r w:rsidRPr="00A02E2E">
        <w:rPr>
          <w:i/>
          <w:iCs/>
          <w:lang w:val="en-US"/>
        </w:rPr>
        <w:t>Journal of Product Innovation Management</w:t>
      </w:r>
      <w:r w:rsidRPr="00A02E2E">
        <w:rPr>
          <w:lang w:val="en-US"/>
        </w:rPr>
        <w:t xml:space="preserve">, 41(2), pp. 184–210. Available at: </w:t>
      </w:r>
      <w:hyperlink r:id="rId71" w:tgtFrame="_new" w:history="1">
        <w:r w:rsidRPr="00A02E2E">
          <w:rPr>
            <w:rStyle w:val="Hyperlink"/>
            <w:lang w:val="en-US"/>
          </w:rPr>
          <w:t>https://doi.org/10.1111/jpim.12677</w:t>
        </w:r>
      </w:hyperlink>
      <w:r w:rsidRPr="00A02E2E">
        <w:rPr>
          <w:lang w:val="en-US"/>
        </w:rPr>
        <w:t>.</w:t>
      </w:r>
    </w:p>
    <w:p w:rsidR="00BB07D4" w:rsidRPr="003339EA" w:rsidRDefault="00BB07D4" w:rsidP="00BB07D4">
      <w:pPr>
        <w:ind w:hanging="720"/>
        <w:rPr>
          <w:lang w:val="en-US"/>
        </w:rPr>
      </w:pPr>
      <w:r w:rsidRPr="003339EA">
        <w:rPr>
          <w:lang w:val="en-US"/>
        </w:rPr>
        <w:t xml:space="preserve">Pereira, V., Temouri, Y., Wood, G., Bamel, U. and Budhwar, P. (2023) ‘How do grand challenges determine, drive and influence the innovation efforts of for-profit firms? A multidimensional analysis’, </w:t>
      </w:r>
      <w:r w:rsidRPr="003339EA">
        <w:rPr>
          <w:i/>
          <w:iCs/>
          <w:lang w:val="en-US"/>
        </w:rPr>
        <w:t>Journal of Product Innovation Management</w:t>
      </w:r>
      <w:r w:rsidRPr="003339EA">
        <w:rPr>
          <w:lang w:val="en-US"/>
        </w:rPr>
        <w:t xml:space="preserve">, 41(2), pp. 184–210. </w:t>
      </w:r>
      <w:hyperlink r:id="rId72" w:tgtFrame="_new" w:history="1">
        <w:r w:rsidRPr="003339EA">
          <w:rPr>
            <w:rStyle w:val="Hyperlink"/>
            <w:lang w:val="en-US"/>
          </w:rPr>
          <w:t>https://doi.org/10.1111/jpim.12677</w:t>
        </w:r>
      </w:hyperlink>
    </w:p>
    <w:p w:rsidR="00BB07D4" w:rsidRPr="009F6314" w:rsidRDefault="00BB07D4" w:rsidP="00BB07D4">
      <w:pPr>
        <w:ind w:hanging="720"/>
        <w:rPr>
          <w:lang w:val="en-US"/>
        </w:rPr>
      </w:pPr>
      <w:r w:rsidRPr="009F6314">
        <w:rPr>
          <w:lang w:val="en-US"/>
        </w:rPr>
        <w:t xml:space="preserve">Pesaran, A., Roman, L. and Kincaide, J. (2023) </w:t>
      </w:r>
      <w:r w:rsidRPr="009F6314">
        <w:rPr>
          <w:i/>
          <w:iCs/>
          <w:lang w:val="en-US"/>
        </w:rPr>
        <w:t>Electric vehicle lithium-ion battery life cycle management</w:t>
      </w:r>
      <w:r w:rsidRPr="009F6314">
        <w:rPr>
          <w:lang w:val="en-US"/>
        </w:rPr>
        <w:t xml:space="preserve">. Available at: </w:t>
      </w:r>
      <w:hyperlink r:id="rId73" w:tgtFrame="_new" w:history="1">
        <w:r w:rsidRPr="009F6314">
          <w:rPr>
            <w:rStyle w:val="Hyperlink"/>
            <w:lang w:val="en-US"/>
          </w:rPr>
          <w:t>https://doi.org/10.2172/1924236</w:t>
        </w:r>
      </w:hyperlink>
      <w:r w:rsidRPr="009F6314">
        <w:rPr>
          <w:lang w:val="en-US"/>
        </w:rPr>
        <w:t>.</w:t>
      </w:r>
    </w:p>
    <w:p w:rsidR="00BB07D4" w:rsidRPr="008370BF" w:rsidRDefault="00BB07D4" w:rsidP="00BB07D4">
      <w:pPr>
        <w:ind w:hanging="720"/>
        <w:rPr>
          <w:lang w:val="en-US"/>
        </w:rPr>
      </w:pPr>
      <w:r w:rsidRPr="008370BF">
        <w:rPr>
          <w:lang w:val="en-US"/>
        </w:rPr>
        <w:t xml:space="preserve">Petersmann, E. (2022) </w:t>
      </w:r>
      <w:r w:rsidRPr="008370BF">
        <w:rPr>
          <w:i/>
          <w:iCs/>
          <w:lang w:val="en-US"/>
        </w:rPr>
        <w:t>China and the future of international economic law: European perspectives on the way forward</w:t>
      </w:r>
      <w:r w:rsidRPr="008370BF">
        <w:rPr>
          <w:lang w:val="en-US"/>
        </w:rPr>
        <w:t xml:space="preserve">, </w:t>
      </w:r>
      <w:r w:rsidRPr="008370BF">
        <w:rPr>
          <w:i/>
          <w:iCs/>
          <w:lang w:val="en-US"/>
        </w:rPr>
        <w:t>SSRN Electronic Journal</w:t>
      </w:r>
      <w:r w:rsidRPr="008370BF">
        <w:rPr>
          <w:lang w:val="en-US"/>
        </w:rPr>
        <w:t xml:space="preserve">. </w:t>
      </w:r>
      <w:hyperlink r:id="rId74" w:tgtFrame="_new" w:history="1">
        <w:r w:rsidRPr="008370BF">
          <w:rPr>
            <w:rStyle w:val="Hyperlink"/>
            <w:lang w:val="en-US"/>
          </w:rPr>
          <w:t>https://doi.org/10.2139/ssrn.4307733</w:t>
        </w:r>
      </w:hyperlink>
    </w:p>
    <w:p w:rsidR="00BB07D4" w:rsidRPr="00E70DBA" w:rsidRDefault="00BB07D4" w:rsidP="00BB07D4">
      <w:pPr>
        <w:ind w:hanging="720"/>
        <w:rPr>
          <w:lang w:val="en-US"/>
        </w:rPr>
      </w:pPr>
      <w:r w:rsidRPr="00E70DBA">
        <w:rPr>
          <w:lang w:val="en-US"/>
        </w:rPr>
        <w:t xml:space="preserve">Putra, F. and Hermawan, P. (2023) ‘Navigating the development of battery electric vehicle business ecosystem in Indonesia: Business strategy and scenario planning for PLN ICON PLUS’, </w:t>
      </w:r>
      <w:r w:rsidRPr="00E70DBA">
        <w:rPr>
          <w:i/>
          <w:iCs/>
          <w:lang w:val="en-US"/>
        </w:rPr>
        <w:t>International Journal of Current Science Research and Review</w:t>
      </w:r>
      <w:r w:rsidRPr="00E70DBA">
        <w:rPr>
          <w:lang w:val="en-US"/>
        </w:rPr>
        <w:t xml:space="preserve">, 6(7). Available at: </w:t>
      </w:r>
      <w:hyperlink r:id="rId75" w:tgtFrame="_new" w:history="1">
        <w:r w:rsidRPr="00E70DBA">
          <w:rPr>
            <w:rStyle w:val="Hyperlink"/>
            <w:lang w:val="en-US"/>
          </w:rPr>
          <w:t>https://doi.org/10.47191/ijcsrr/v6-i7-58</w:t>
        </w:r>
      </w:hyperlink>
      <w:r w:rsidRPr="00E70DBA">
        <w:rPr>
          <w:lang w:val="en-US"/>
        </w:rPr>
        <w:t>.</w:t>
      </w:r>
    </w:p>
    <w:p w:rsidR="00BB07D4" w:rsidRPr="00A52C03" w:rsidRDefault="00BB07D4" w:rsidP="00BB07D4">
      <w:pPr>
        <w:ind w:hanging="720"/>
        <w:rPr>
          <w:lang w:val="en-US"/>
        </w:rPr>
      </w:pPr>
      <w:r w:rsidRPr="00A52C03">
        <w:rPr>
          <w:lang w:val="en-US"/>
        </w:rPr>
        <w:t xml:space="preserve">Puyt, R., Antoniou, P. and Caputo, A. (2024) ‘The Ansoff archive: Revisiting Ansoff’s legacy and the holistic approach to strategic management’, </w:t>
      </w:r>
      <w:r w:rsidRPr="00A52C03">
        <w:rPr>
          <w:i/>
          <w:iCs/>
          <w:lang w:val="en-US"/>
        </w:rPr>
        <w:t>Strategic Change</w:t>
      </w:r>
      <w:r w:rsidRPr="00A52C03">
        <w:rPr>
          <w:lang w:val="en-US"/>
        </w:rPr>
        <w:t xml:space="preserve">, 33(6), pp. 513–518. </w:t>
      </w:r>
      <w:hyperlink r:id="rId76" w:tgtFrame="_new" w:history="1">
        <w:r w:rsidRPr="00A52C03">
          <w:rPr>
            <w:rStyle w:val="Hyperlink"/>
            <w:lang w:val="en-US"/>
          </w:rPr>
          <w:t>https://doi.org/10.1002/jsc.2600</w:t>
        </w:r>
      </w:hyperlink>
    </w:p>
    <w:p w:rsidR="00BB07D4" w:rsidRPr="00B91F86" w:rsidRDefault="00BB07D4" w:rsidP="00BB07D4">
      <w:pPr>
        <w:ind w:hanging="720"/>
        <w:rPr>
          <w:lang w:val="en-US"/>
        </w:rPr>
      </w:pPr>
      <w:r w:rsidRPr="00B91F86">
        <w:rPr>
          <w:lang w:val="en-US"/>
        </w:rPr>
        <w:t xml:space="preserve">Qader, G., Rehman, J., Shamsi, M. and Abro, S. (2025) ‘Examining the impact of dynamic capabilities and Industry 4.0 technologies in pharmaceutical manufacturing firms: A sustainable supply chain performance framework’, </w:t>
      </w:r>
      <w:r w:rsidRPr="00B91F86">
        <w:rPr>
          <w:i/>
          <w:iCs/>
          <w:lang w:val="en-US"/>
        </w:rPr>
        <w:t>Business Strategy &amp; Development</w:t>
      </w:r>
      <w:r w:rsidRPr="00B91F86">
        <w:rPr>
          <w:lang w:val="en-US"/>
        </w:rPr>
        <w:t xml:space="preserve">, 8(3). </w:t>
      </w:r>
      <w:hyperlink r:id="rId77" w:tgtFrame="_new" w:history="1">
        <w:r w:rsidRPr="00B91F86">
          <w:rPr>
            <w:rStyle w:val="Hyperlink"/>
            <w:lang w:val="en-US"/>
          </w:rPr>
          <w:t>https://doi.org/10.1002/bsd2.70205</w:t>
        </w:r>
      </w:hyperlink>
    </w:p>
    <w:p w:rsidR="00BB07D4" w:rsidRPr="008B5A0A" w:rsidRDefault="00BB07D4" w:rsidP="00BB07D4">
      <w:pPr>
        <w:ind w:hanging="720"/>
        <w:rPr>
          <w:lang w:val="en-US"/>
        </w:rPr>
      </w:pPr>
      <w:r w:rsidRPr="008B5A0A">
        <w:rPr>
          <w:lang w:val="en-US"/>
        </w:rPr>
        <w:lastRenderedPageBreak/>
        <w:t xml:space="preserve">Qiu, Y., Zhang, K. and Zong, Y. (2022) ‘The market analysis for BYD’, in </w:t>
      </w:r>
      <w:r w:rsidRPr="008B5A0A">
        <w:rPr>
          <w:i/>
          <w:iCs/>
          <w:lang w:val="en-US"/>
        </w:rPr>
        <w:t>Proceedings/Edited Volume</w:t>
      </w:r>
      <w:r w:rsidRPr="008B5A0A">
        <w:rPr>
          <w:lang w:val="en-US"/>
        </w:rPr>
        <w:t xml:space="preserve">, pp. 246–256. Available at: </w:t>
      </w:r>
      <w:hyperlink r:id="rId78" w:tgtFrame="_new" w:history="1">
        <w:r w:rsidRPr="008B5A0A">
          <w:rPr>
            <w:rStyle w:val="Hyperlink"/>
            <w:lang w:val="en-US"/>
          </w:rPr>
          <w:t>https://doi.org/10.2991/978-94-6463-054-1_28</w:t>
        </w:r>
      </w:hyperlink>
      <w:r w:rsidRPr="008B5A0A">
        <w:rPr>
          <w:lang w:val="en-US"/>
        </w:rPr>
        <w:t>.</w:t>
      </w:r>
    </w:p>
    <w:p w:rsidR="00BB07D4" w:rsidRPr="00F27087" w:rsidRDefault="00BB07D4" w:rsidP="00BB07D4">
      <w:pPr>
        <w:ind w:hanging="720"/>
        <w:rPr>
          <w:lang w:val="en-US"/>
        </w:rPr>
      </w:pPr>
      <w:r w:rsidRPr="00F27087">
        <w:rPr>
          <w:lang w:val="en-US"/>
        </w:rPr>
        <w:t xml:space="preserve">Rana, S. (2025) ‘Artificial intelligence and future of business management research: Key questions and opportunities’, </w:t>
      </w:r>
      <w:r w:rsidRPr="00F27087">
        <w:rPr>
          <w:i/>
          <w:iCs/>
          <w:lang w:val="en-US"/>
        </w:rPr>
        <w:t>FIIB Business Review</w:t>
      </w:r>
      <w:r w:rsidRPr="00F27087">
        <w:rPr>
          <w:lang w:val="en-US"/>
        </w:rPr>
        <w:t xml:space="preserve">, 14(5), pp. 547–552. Available at: </w:t>
      </w:r>
      <w:hyperlink r:id="rId79" w:tgtFrame="_new" w:history="1">
        <w:r w:rsidRPr="00F27087">
          <w:rPr>
            <w:rStyle w:val="Hyperlink"/>
            <w:lang w:val="en-US"/>
          </w:rPr>
          <w:t>https://doi.org/10.1177/23197145251379928</w:t>
        </w:r>
      </w:hyperlink>
      <w:r w:rsidRPr="00F27087">
        <w:rPr>
          <w:lang w:val="en-US"/>
        </w:rPr>
        <w:t>.</w:t>
      </w:r>
    </w:p>
    <w:p w:rsidR="00BB07D4" w:rsidRDefault="00BB07D4" w:rsidP="00BB07D4">
      <w:pPr>
        <w:ind w:hanging="720"/>
        <w:rPr>
          <w:lang w:val="en-US"/>
        </w:rPr>
      </w:pPr>
      <w:r w:rsidRPr="009F6314">
        <w:rPr>
          <w:lang w:val="en-US"/>
        </w:rPr>
        <w:t xml:space="preserve">Remme, D., Sareen, S., Haarstad, H. and Rommetveit, K. (2023) ‘Electric vehicle paradise? Exploring the value chains of green extractivism’, in </w:t>
      </w:r>
      <w:r w:rsidRPr="009F6314">
        <w:rPr>
          <w:i/>
          <w:iCs/>
          <w:lang w:val="en-US"/>
        </w:rPr>
        <w:t>[Book/Edited Volume]</w:t>
      </w:r>
      <w:r w:rsidRPr="009F6314">
        <w:rPr>
          <w:lang w:val="en-US"/>
        </w:rPr>
        <w:t xml:space="preserve">, pp. 323–348. Available at: </w:t>
      </w:r>
      <w:hyperlink r:id="rId80" w:tgtFrame="_new" w:history="1">
        <w:r w:rsidRPr="009F6314">
          <w:rPr>
            <w:rStyle w:val="Hyperlink"/>
            <w:lang w:val="en-US"/>
          </w:rPr>
          <w:t>https://doi.org/10.1163/9789004686182_013</w:t>
        </w:r>
      </w:hyperlink>
      <w:r w:rsidRPr="009F6314">
        <w:rPr>
          <w:lang w:val="en-US"/>
        </w:rPr>
        <w:t>.</w:t>
      </w:r>
    </w:p>
    <w:p w:rsidR="003750B3" w:rsidRPr="009F6314" w:rsidRDefault="003750B3" w:rsidP="00BB07D4">
      <w:pPr>
        <w:ind w:hanging="720"/>
        <w:rPr>
          <w:lang w:val="en-US"/>
        </w:rPr>
      </w:pPr>
      <w:r w:rsidRPr="003750B3">
        <w:t xml:space="preserve">Reynolds, C.W., Hsu, P.J. and Telem, D.A. (2024) ‘Implementation science in humanitarian assistance: Applying a novel approach for humanitarian care optimization’, </w:t>
      </w:r>
      <w:r w:rsidRPr="003750B3">
        <w:rPr>
          <w:i/>
          <w:iCs/>
        </w:rPr>
        <w:t>Implementation Science</w:t>
      </w:r>
      <w:r w:rsidRPr="003750B3">
        <w:t xml:space="preserve">, 19(1). Available at: </w:t>
      </w:r>
      <w:hyperlink r:id="rId81" w:tgtFrame="_new" w:history="1">
        <w:r w:rsidRPr="003750B3">
          <w:rPr>
            <w:rStyle w:val="Hyperlink"/>
          </w:rPr>
          <w:t>https://doi.org/10.1186/s13012-024-01367-7</w:t>
        </w:r>
      </w:hyperlink>
      <w:r w:rsidRPr="003750B3">
        <w:t>.</w:t>
      </w:r>
    </w:p>
    <w:p w:rsidR="00BB07D4" w:rsidRPr="00A52C03" w:rsidRDefault="00BB07D4" w:rsidP="00BB07D4">
      <w:pPr>
        <w:ind w:hanging="720"/>
        <w:rPr>
          <w:lang w:val="en-US"/>
        </w:rPr>
      </w:pPr>
      <w:r w:rsidRPr="00A52C03">
        <w:rPr>
          <w:lang w:val="en-US"/>
        </w:rPr>
        <w:t xml:space="preserve">Ruchkin, A. (2023) ‘Model for the development of design solutions in the framework of strategic planning for the development of rural areas’, </w:t>
      </w:r>
      <w:r w:rsidRPr="00A52C03">
        <w:rPr>
          <w:i/>
          <w:iCs/>
          <w:lang w:val="en-US"/>
        </w:rPr>
        <w:t>E3S Web of Conferences</w:t>
      </w:r>
      <w:r w:rsidRPr="00A52C03">
        <w:rPr>
          <w:lang w:val="en-US"/>
        </w:rPr>
        <w:t xml:space="preserve">, 449, 09008. </w:t>
      </w:r>
      <w:hyperlink r:id="rId82" w:tgtFrame="_new" w:history="1">
        <w:r w:rsidRPr="00A52C03">
          <w:rPr>
            <w:rStyle w:val="Hyperlink"/>
            <w:lang w:val="en-US"/>
          </w:rPr>
          <w:t>https://doi.org/10.1051/e3sconf/202344909008</w:t>
        </w:r>
      </w:hyperlink>
    </w:p>
    <w:p w:rsidR="00BB07D4" w:rsidRPr="007367C2" w:rsidRDefault="00BB07D4" w:rsidP="00BB07D4">
      <w:pPr>
        <w:ind w:hanging="720"/>
        <w:rPr>
          <w:lang w:val="en-US"/>
        </w:rPr>
      </w:pPr>
      <w:r w:rsidRPr="007367C2">
        <w:rPr>
          <w:lang w:val="en-US"/>
        </w:rPr>
        <w:t xml:space="preserve">Sang, Z. (2024) ‘Analysis of the rationale for the entry of Chinese new energy vehicle companies into Europe: Evidence from three Chinese companies’, </w:t>
      </w:r>
      <w:r w:rsidRPr="007367C2">
        <w:rPr>
          <w:i/>
          <w:iCs/>
          <w:lang w:val="en-US"/>
        </w:rPr>
        <w:t>Journal of Innovation and Development</w:t>
      </w:r>
      <w:r w:rsidRPr="007367C2">
        <w:rPr>
          <w:lang w:val="en-US"/>
        </w:rPr>
        <w:t xml:space="preserve">, 7(1), pp. 72–83. </w:t>
      </w:r>
      <w:hyperlink r:id="rId83" w:tgtFrame="_new" w:history="1">
        <w:r w:rsidRPr="007367C2">
          <w:rPr>
            <w:rStyle w:val="Hyperlink"/>
            <w:lang w:val="en-US"/>
          </w:rPr>
          <w:t>https://doi.org/10.54097/3zy8zv26</w:t>
        </w:r>
      </w:hyperlink>
    </w:p>
    <w:p w:rsidR="00BB07D4" w:rsidRDefault="00BB07D4" w:rsidP="00BB07D4">
      <w:pPr>
        <w:ind w:hanging="720"/>
      </w:pPr>
      <w:r w:rsidRPr="002A7790">
        <w:rPr>
          <w:lang w:val="en-US"/>
        </w:rPr>
        <w:t xml:space="preserve">Sathiyan, S., Pratap, C., Stonier, A., Peter, G., Sherine, A., Praghash, K. and Ganji, V. (2022) ‘Comprehensive assessment of electric vehicle development, deployment, and policy initiatives to reduce GHG emissions: Opportunities and challenges’, </w:t>
      </w:r>
      <w:r w:rsidRPr="002A7790">
        <w:rPr>
          <w:i/>
          <w:iCs/>
          <w:lang w:val="en-US"/>
        </w:rPr>
        <w:t>IEEE Access</w:t>
      </w:r>
      <w:r w:rsidRPr="002A7790">
        <w:rPr>
          <w:lang w:val="en-US"/>
        </w:rPr>
        <w:t xml:space="preserve">, 10, pp. 53614–53639. </w:t>
      </w:r>
      <w:hyperlink r:id="rId84" w:tgtFrame="_new" w:history="1">
        <w:r w:rsidRPr="002A7790">
          <w:rPr>
            <w:rStyle w:val="Hyperlink"/>
            <w:lang w:val="en-US"/>
          </w:rPr>
          <w:t>https://doi.org/10.1109/access.2022.3175585</w:t>
        </w:r>
      </w:hyperlink>
    </w:p>
    <w:p w:rsidR="00BB07D4" w:rsidRPr="009F6314" w:rsidRDefault="00BB07D4" w:rsidP="00BB07D4">
      <w:pPr>
        <w:ind w:hanging="720"/>
        <w:rPr>
          <w:lang w:val="en-US"/>
        </w:rPr>
      </w:pPr>
      <w:r w:rsidRPr="009F6314">
        <w:rPr>
          <w:lang w:val="en-US"/>
        </w:rPr>
        <w:t xml:space="preserve">Schade, W., Haug, I. and Berthold, D.P. (2022) ‘The future of the automotive sector: Emerging battery value chains in Europe’, </w:t>
      </w:r>
      <w:r w:rsidRPr="009F6314">
        <w:rPr>
          <w:i/>
          <w:iCs/>
          <w:lang w:val="en-US"/>
        </w:rPr>
        <w:t>SSRN Electronic Journal</w:t>
      </w:r>
      <w:r w:rsidRPr="009F6314">
        <w:rPr>
          <w:lang w:val="en-US"/>
        </w:rPr>
        <w:t xml:space="preserve">. Available at: </w:t>
      </w:r>
      <w:hyperlink r:id="rId85" w:tgtFrame="_new" w:history="1">
        <w:r w:rsidRPr="009F6314">
          <w:rPr>
            <w:rStyle w:val="Hyperlink"/>
            <w:lang w:val="en-US"/>
          </w:rPr>
          <w:t>https://doi.org/10.2139/ssrn.4220540</w:t>
        </w:r>
      </w:hyperlink>
      <w:r w:rsidRPr="009F6314">
        <w:rPr>
          <w:lang w:val="en-US"/>
        </w:rPr>
        <w:t>.</w:t>
      </w:r>
    </w:p>
    <w:p w:rsidR="00BB07D4" w:rsidRPr="00A52C03" w:rsidRDefault="00BB07D4" w:rsidP="00BB07D4">
      <w:pPr>
        <w:ind w:hanging="720"/>
        <w:rPr>
          <w:lang w:val="en-US"/>
        </w:rPr>
      </w:pPr>
      <w:r w:rsidRPr="00A52C03">
        <w:rPr>
          <w:lang w:val="en-US"/>
        </w:rPr>
        <w:t xml:space="preserve">Serpa, S., Ferreira, C. and Sá, M. (2020) ‘The potential of organisations’ SWOT diagnostic assessment’, </w:t>
      </w:r>
      <w:r w:rsidRPr="00A52C03">
        <w:rPr>
          <w:i/>
          <w:iCs/>
          <w:lang w:val="en-US"/>
        </w:rPr>
        <w:t>Academic Journal of Interdisciplinary Studies</w:t>
      </w:r>
      <w:r w:rsidRPr="00A52C03">
        <w:rPr>
          <w:lang w:val="en-US"/>
        </w:rPr>
        <w:t xml:space="preserve">, 9(4), p. 93. </w:t>
      </w:r>
      <w:hyperlink r:id="rId86" w:tgtFrame="_new" w:history="1">
        <w:r w:rsidRPr="00A52C03">
          <w:rPr>
            <w:rStyle w:val="Hyperlink"/>
            <w:lang w:val="en-US"/>
          </w:rPr>
          <w:t>https://doi.org/10.36941/ajis-2020-0065</w:t>
        </w:r>
      </w:hyperlink>
    </w:p>
    <w:p w:rsidR="00BB07D4" w:rsidRPr="008370BF" w:rsidRDefault="00BB07D4" w:rsidP="00BB07D4">
      <w:pPr>
        <w:ind w:hanging="720"/>
        <w:rPr>
          <w:lang w:val="en-US"/>
        </w:rPr>
      </w:pPr>
      <w:r w:rsidRPr="008370BF">
        <w:rPr>
          <w:lang w:val="en-US"/>
        </w:rPr>
        <w:lastRenderedPageBreak/>
        <w:t xml:space="preserve">Shah, S. and Zhang, L. (2024) ‘An investigative study on the development strategies for electric vehicle enterprises’, </w:t>
      </w:r>
      <w:r w:rsidRPr="008370BF">
        <w:rPr>
          <w:i/>
          <w:iCs/>
          <w:lang w:val="en-US"/>
        </w:rPr>
        <w:t>Engineering World</w:t>
      </w:r>
      <w:r w:rsidRPr="008370BF">
        <w:rPr>
          <w:lang w:val="en-US"/>
        </w:rPr>
        <w:t xml:space="preserve">, 6, pp. 44–60. </w:t>
      </w:r>
      <w:hyperlink r:id="rId87" w:tgtFrame="_new" w:history="1">
        <w:r w:rsidRPr="008370BF">
          <w:rPr>
            <w:rStyle w:val="Hyperlink"/>
            <w:lang w:val="en-US"/>
          </w:rPr>
          <w:t>https://doi.org/10.37394/232025.2024.6.7</w:t>
        </w:r>
      </w:hyperlink>
    </w:p>
    <w:p w:rsidR="00BB07D4" w:rsidRPr="00E70DBA" w:rsidRDefault="00BB07D4" w:rsidP="00BB07D4">
      <w:pPr>
        <w:ind w:hanging="720"/>
        <w:rPr>
          <w:lang w:val="en-US"/>
        </w:rPr>
      </w:pPr>
      <w:r w:rsidRPr="00E70DBA">
        <w:rPr>
          <w:lang w:val="en-US"/>
        </w:rPr>
        <w:t xml:space="preserve">Silva, J.P.N., Oliveira, C.C., Pedrosa, G. and Grützmann, A. (2023) ‘The effects of technological leapfrogging in transportation technologies in BRICS and G7 countries’, </w:t>
      </w:r>
      <w:r w:rsidRPr="00E70DBA">
        <w:rPr>
          <w:i/>
          <w:iCs/>
          <w:lang w:val="en-US"/>
        </w:rPr>
        <w:t>The Bottom Line: Managing Library Finances</w:t>
      </w:r>
      <w:r w:rsidRPr="00E70DBA">
        <w:rPr>
          <w:lang w:val="en-US"/>
        </w:rPr>
        <w:t xml:space="preserve">, 36(1), pp. 52–76. Available at: </w:t>
      </w:r>
      <w:hyperlink r:id="rId88" w:tgtFrame="_new" w:history="1">
        <w:r w:rsidRPr="00E70DBA">
          <w:rPr>
            <w:rStyle w:val="Hyperlink"/>
            <w:lang w:val="en-US"/>
          </w:rPr>
          <w:t>https://doi.org/10.1108/bl-04-2022-0070</w:t>
        </w:r>
      </w:hyperlink>
      <w:r w:rsidRPr="00E70DBA">
        <w:rPr>
          <w:lang w:val="en-US"/>
        </w:rPr>
        <w:t>.</w:t>
      </w:r>
    </w:p>
    <w:p w:rsidR="00BB07D4" w:rsidRPr="002A7790" w:rsidRDefault="00BB07D4" w:rsidP="00BB07D4">
      <w:pPr>
        <w:ind w:hanging="720"/>
        <w:rPr>
          <w:lang w:val="en-US"/>
        </w:rPr>
      </w:pPr>
      <w:r w:rsidRPr="007367C2">
        <w:rPr>
          <w:lang w:val="en-US"/>
        </w:rPr>
        <w:t xml:space="preserve">Singh, J. (2023) ‘Kia India: Foray into electric passenger vehicle market’, </w:t>
      </w:r>
      <w:r w:rsidRPr="007367C2">
        <w:rPr>
          <w:i/>
          <w:iCs/>
          <w:lang w:val="en-US"/>
        </w:rPr>
        <w:t>Emerging Economies Cases Journal</w:t>
      </w:r>
      <w:r w:rsidRPr="007367C2">
        <w:rPr>
          <w:lang w:val="en-US"/>
        </w:rPr>
        <w:t xml:space="preserve">, 6(1), pp. 35–47. </w:t>
      </w:r>
      <w:hyperlink r:id="rId89" w:tgtFrame="_new" w:history="1">
        <w:r w:rsidRPr="007367C2">
          <w:rPr>
            <w:rStyle w:val="Hyperlink"/>
            <w:lang w:val="en-US"/>
          </w:rPr>
          <w:t>https://doi.org/10.1177/25166042231202300</w:t>
        </w:r>
      </w:hyperlink>
    </w:p>
    <w:p w:rsidR="00BB07D4" w:rsidRPr="003339EA" w:rsidRDefault="00BB07D4" w:rsidP="00BB07D4">
      <w:pPr>
        <w:ind w:hanging="720"/>
        <w:rPr>
          <w:lang w:val="en-US"/>
        </w:rPr>
      </w:pPr>
      <w:r w:rsidRPr="003339EA">
        <w:rPr>
          <w:lang w:val="en-US"/>
        </w:rPr>
        <w:t xml:space="preserve">Soyombo, O., Odunaiya, O., Okoli, C., Usiagu, G. and Ekemezie, I. (2024) ‘Sustainability reporting in corporations: A comparative review of practices in the USA and Europe’, </w:t>
      </w:r>
      <w:r w:rsidRPr="003339EA">
        <w:rPr>
          <w:i/>
          <w:iCs/>
          <w:lang w:val="en-US"/>
        </w:rPr>
        <w:t>GSC Advanced Research and Reviews</w:t>
      </w:r>
      <w:r w:rsidRPr="003339EA">
        <w:rPr>
          <w:lang w:val="en-US"/>
        </w:rPr>
        <w:t xml:space="preserve">, 18(2), pp. 204–214. </w:t>
      </w:r>
      <w:hyperlink r:id="rId90" w:tgtFrame="_new" w:history="1">
        <w:r w:rsidRPr="003339EA">
          <w:rPr>
            <w:rStyle w:val="Hyperlink"/>
            <w:lang w:val="en-US"/>
          </w:rPr>
          <w:t>https://doi.org/10.30574/gscarr.2024.18.2.061</w:t>
        </w:r>
      </w:hyperlink>
    </w:p>
    <w:p w:rsidR="00BB07D4" w:rsidRPr="00A52C03" w:rsidRDefault="00BB07D4" w:rsidP="00BB07D4">
      <w:pPr>
        <w:ind w:hanging="720"/>
        <w:rPr>
          <w:lang w:val="en-US"/>
        </w:rPr>
      </w:pPr>
      <w:r w:rsidRPr="00A52C03">
        <w:rPr>
          <w:lang w:val="en-US"/>
        </w:rPr>
        <w:t xml:space="preserve">Spataru, C. (2024) ‘Measuring, reporting and facilitating a sustainable future in business’, pp. 19–38. </w:t>
      </w:r>
      <w:hyperlink r:id="rId91" w:tgtFrame="_new" w:history="1">
        <w:r w:rsidRPr="00A52C03">
          <w:rPr>
            <w:rStyle w:val="Hyperlink"/>
            <w:lang w:val="en-US"/>
          </w:rPr>
          <w:t>https://doi.org/10.4337/9781035307494.00008</w:t>
        </w:r>
      </w:hyperlink>
    </w:p>
    <w:p w:rsidR="00BB07D4" w:rsidRPr="00BD5D4C" w:rsidRDefault="00BB07D4" w:rsidP="00BB07D4">
      <w:pPr>
        <w:ind w:hanging="720"/>
        <w:rPr>
          <w:lang w:val="en-US"/>
        </w:rPr>
      </w:pPr>
      <w:r w:rsidRPr="00BD5D4C">
        <w:rPr>
          <w:lang w:val="en-US"/>
        </w:rPr>
        <w:t xml:space="preserve">Stoian, M. (2021) ‘Renewable energy and adaptation to climate change’, </w:t>
      </w:r>
      <w:r w:rsidRPr="00BD5D4C">
        <w:rPr>
          <w:i/>
          <w:iCs/>
          <w:lang w:val="en-US"/>
        </w:rPr>
        <w:t>Western Balkan Journal of Agricultural Economics and Rural Development</w:t>
      </w:r>
      <w:r w:rsidRPr="00BD5D4C">
        <w:rPr>
          <w:lang w:val="en-US"/>
        </w:rPr>
        <w:t xml:space="preserve">, 3(2), pp. 111–121. Available at: </w:t>
      </w:r>
      <w:hyperlink r:id="rId92" w:tgtFrame="_new" w:history="1">
        <w:r w:rsidRPr="00BD5D4C">
          <w:rPr>
            <w:rStyle w:val="Hyperlink"/>
            <w:lang w:val="en-US"/>
          </w:rPr>
          <w:t>https://doi.org/10.5937/wbjae2102111s</w:t>
        </w:r>
      </w:hyperlink>
      <w:r w:rsidRPr="00BD5D4C">
        <w:rPr>
          <w:lang w:val="en-US"/>
        </w:rPr>
        <w:t>.</w:t>
      </w:r>
    </w:p>
    <w:p w:rsidR="00BB07D4" w:rsidRPr="00C00153" w:rsidRDefault="00BB07D4" w:rsidP="00BB07D4">
      <w:pPr>
        <w:ind w:hanging="720"/>
        <w:rPr>
          <w:lang w:val="en-US"/>
        </w:rPr>
      </w:pPr>
      <w:r w:rsidRPr="00C00153">
        <w:rPr>
          <w:lang w:val="en-US"/>
        </w:rPr>
        <w:t xml:space="preserve">Sun, Z. (2024) ‘Tesla’s electric future: A comprehensive marketing strategy analysis and implementation plan’, </w:t>
      </w:r>
      <w:r w:rsidRPr="00C00153">
        <w:rPr>
          <w:i/>
          <w:iCs/>
          <w:lang w:val="en-US"/>
        </w:rPr>
        <w:t>FE</w:t>
      </w:r>
      <w:r w:rsidRPr="00C00153">
        <w:rPr>
          <w:lang w:val="en-US"/>
        </w:rPr>
        <w:t xml:space="preserve">, 1(9). Available at: </w:t>
      </w:r>
      <w:hyperlink r:id="rId93" w:tgtFrame="_new" w:history="1">
        <w:r w:rsidRPr="00C00153">
          <w:rPr>
            <w:rStyle w:val="Hyperlink"/>
            <w:lang w:val="en-US"/>
          </w:rPr>
          <w:t>https://doi.org/10.61173/3nnc0k35</w:t>
        </w:r>
      </w:hyperlink>
      <w:r w:rsidRPr="00C00153">
        <w:rPr>
          <w:lang w:val="en-US"/>
        </w:rPr>
        <w:t>.</w:t>
      </w:r>
    </w:p>
    <w:p w:rsidR="00BB07D4" w:rsidRPr="003339EA" w:rsidRDefault="00BB07D4" w:rsidP="00BB07D4">
      <w:pPr>
        <w:ind w:hanging="720"/>
        <w:rPr>
          <w:lang w:val="en-US"/>
        </w:rPr>
      </w:pPr>
      <w:r w:rsidRPr="003339EA">
        <w:rPr>
          <w:lang w:val="en-US"/>
        </w:rPr>
        <w:t xml:space="preserve">Vaio, A., Zaffar, A., Chhabra, M. and Balsalobre-Lorente, D. (2024) ‘Carbon accounting and integrated reporting for net-zero business models towards sustainable development: A systematic literature review’, </w:t>
      </w:r>
      <w:r w:rsidRPr="003339EA">
        <w:rPr>
          <w:i/>
          <w:iCs/>
          <w:lang w:val="en-US"/>
        </w:rPr>
        <w:t>Business Strategy and the Environment</w:t>
      </w:r>
      <w:r w:rsidRPr="003339EA">
        <w:rPr>
          <w:lang w:val="en-US"/>
        </w:rPr>
        <w:t xml:space="preserve">, 33(7), pp. 7216–7240. </w:t>
      </w:r>
      <w:hyperlink r:id="rId94" w:tgtFrame="_new" w:history="1">
        <w:r w:rsidRPr="003339EA">
          <w:rPr>
            <w:rStyle w:val="Hyperlink"/>
            <w:lang w:val="en-US"/>
          </w:rPr>
          <w:t>https://doi.org/10.1002/bse.3863</w:t>
        </w:r>
      </w:hyperlink>
    </w:p>
    <w:p w:rsidR="00BB07D4" w:rsidRPr="00B91F86" w:rsidRDefault="00BB07D4" w:rsidP="00BB07D4">
      <w:pPr>
        <w:ind w:hanging="720"/>
        <w:rPr>
          <w:lang w:val="en-US"/>
        </w:rPr>
      </w:pPr>
      <w:r w:rsidRPr="00B91F86">
        <w:rPr>
          <w:lang w:val="en-US"/>
        </w:rPr>
        <w:t xml:space="preserve">Verhal, K. (2023) ‘Digital economy as a driver of business development’, pp. 390–394. </w:t>
      </w:r>
      <w:hyperlink r:id="rId95" w:tgtFrame="_new" w:history="1">
        <w:r w:rsidRPr="00B91F86">
          <w:rPr>
            <w:rStyle w:val="Hyperlink"/>
            <w:lang w:val="en-US"/>
          </w:rPr>
          <w:t>https://doi.org/10.53486/icspm2022.61</w:t>
        </w:r>
      </w:hyperlink>
    </w:p>
    <w:p w:rsidR="00BB07D4" w:rsidRPr="008B5A0A" w:rsidRDefault="00BB07D4" w:rsidP="00BB07D4">
      <w:pPr>
        <w:ind w:hanging="720"/>
        <w:rPr>
          <w:lang w:val="en-US"/>
        </w:rPr>
      </w:pPr>
      <w:r w:rsidRPr="008B5A0A">
        <w:rPr>
          <w:lang w:val="en-US"/>
        </w:rPr>
        <w:t xml:space="preserve">Wang, J., Wang, X., Zhang, J., Lu, W. and Zhu, L. (2024) ‘Research on the adaptability of Tesla’s operational organization and management in China’, </w:t>
      </w:r>
      <w:r w:rsidRPr="008B5A0A">
        <w:rPr>
          <w:i/>
          <w:iCs/>
          <w:lang w:val="en-US"/>
        </w:rPr>
        <w:t xml:space="preserve">Advances in Economics </w:t>
      </w:r>
      <w:r w:rsidRPr="008B5A0A">
        <w:rPr>
          <w:i/>
          <w:iCs/>
          <w:lang w:val="en-US"/>
        </w:rPr>
        <w:lastRenderedPageBreak/>
        <w:t>Management and Political Sciences</w:t>
      </w:r>
      <w:r w:rsidRPr="008B5A0A">
        <w:rPr>
          <w:lang w:val="en-US"/>
        </w:rPr>
        <w:t xml:space="preserve">, 82(1), pp. 238–245. Available at: </w:t>
      </w:r>
      <w:hyperlink r:id="rId96" w:tgtFrame="_new" w:history="1">
        <w:r w:rsidRPr="008B5A0A">
          <w:rPr>
            <w:rStyle w:val="Hyperlink"/>
            <w:lang w:val="en-US"/>
          </w:rPr>
          <w:t>https://doi.org/10.54254/2754-1169/82/20231072</w:t>
        </w:r>
      </w:hyperlink>
      <w:r w:rsidRPr="008B5A0A">
        <w:rPr>
          <w:lang w:val="en-US"/>
        </w:rPr>
        <w:t>.</w:t>
      </w:r>
    </w:p>
    <w:p w:rsidR="00BB07D4" w:rsidRPr="00531B4F" w:rsidRDefault="00BB07D4" w:rsidP="00BB07D4">
      <w:pPr>
        <w:ind w:hanging="720"/>
        <w:rPr>
          <w:lang w:val="en-US"/>
        </w:rPr>
      </w:pPr>
      <w:r w:rsidRPr="00531B4F">
        <w:rPr>
          <w:lang w:val="en-US"/>
        </w:rPr>
        <w:t xml:space="preserve">Wells, P. and Skeete, J. (2022) ‘Producing the electric car’, pp. 53–69. </w:t>
      </w:r>
      <w:hyperlink r:id="rId97" w:tgtFrame="_new" w:history="1">
        <w:r w:rsidRPr="00531B4F">
          <w:rPr>
            <w:rStyle w:val="Hyperlink"/>
            <w:lang w:val="en-US"/>
          </w:rPr>
          <w:t>https://doi.org/10.1108/s2044-994120220000015006</w:t>
        </w:r>
      </w:hyperlink>
    </w:p>
    <w:p w:rsidR="00BB07D4" w:rsidRPr="00A02E2E" w:rsidRDefault="00BB07D4" w:rsidP="00BB07D4">
      <w:pPr>
        <w:ind w:hanging="720"/>
        <w:rPr>
          <w:lang w:val="en-US"/>
        </w:rPr>
      </w:pPr>
      <w:r w:rsidRPr="00A02E2E">
        <w:rPr>
          <w:lang w:val="en-US"/>
        </w:rPr>
        <w:t xml:space="preserve">White-Nockleby, C. (2022) ‘Grid-scale batteries and the politics of storage’, </w:t>
      </w:r>
      <w:r w:rsidRPr="00A02E2E">
        <w:rPr>
          <w:i/>
          <w:iCs/>
          <w:lang w:val="en-US"/>
        </w:rPr>
        <w:t>Social Studies of Science</w:t>
      </w:r>
      <w:r w:rsidRPr="00A02E2E">
        <w:rPr>
          <w:lang w:val="en-US"/>
        </w:rPr>
        <w:t xml:space="preserve">, 52(5), pp. 689–709. Available at: </w:t>
      </w:r>
      <w:hyperlink r:id="rId98" w:tgtFrame="_new" w:history="1">
        <w:r w:rsidRPr="00A02E2E">
          <w:rPr>
            <w:rStyle w:val="Hyperlink"/>
            <w:lang w:val="en-US"/>
          </w:rPr>
          <w:t>https://doi.org/10.1177/03063127221109605</w:t>
        </w:r>
      </w:hyperlink>
      <w:r w:rsidRPr="00A02E2E">
        <w:rPr>
          <w:lang w:val="en-US"/>
        </w:rPr>
        <w:t>.</w:t>
      </w:r>
    </w:p>
    <w:p w:rsidR="00BB07D4" w:rsidRPr="00C00153" w:rsidRDefault="00BB07D4" w:rsidP="00BB07D4">
      <w:pPr>
        <w:ind w:hanging="720"/>
        <w:rPr>
          <w:lang w:val="en-US"/>
        </w:rPr>
      </w:pPr>
      <w:r w:rsidRPr="00C00153">
        <w:rPr>
          <w:lang w:val="en-US"/>
        </w:rPr>
        <w:t xml:space="preserve">Xu, D., Liu, Z., Shan, R., Weng, H. and Zhang, H. (2023) ‘How a grid company could enter the hydrogen industry through a new business model: A case study in China’, </w:t>
      </w:r>
      <w:r w:rsidRPr="00C00153">
        <w:rPr>
          <w:i/>
          <w:iCs/>
          <w:lang w:val="en-US"/>
        </w:rPr>
        <w:t>Sustainability</w:t>
      </w:r>
      <w:r w:rsidRPr="00C00153">
        <w:rPr>
          <w:lang w:val="en-US"/>
        </w:rPr>
        <w:t xml:space="preserve">, 15(5), p. 4417. Available at: </w:t>
      </w:r>
      <w:hyperlink r:id="rId99" w:tgtFrame="_new" w:history="1">
        <w:r w:rsidRPr="00C00153">
          <w:rPr>
            <w:rStyle w:val="Hyperlink"/>
            <w:lang w:val="en-US"/>
          </w:rPr>
          <w:t>https://doi.org/10.3390/su15054417</w:t>
        </w:r>
      </w:hyperlink>
      <w:r w:rsidRPr="00C00153">
        <w:rPr>
          <w:lang w:val="en-US"/>
        </w:rPr>
        <w:t>.</w:t>
      </w:r>
    </w:p>
    <w:p w:rsidR="00BB07D4" w:rsidRPr="003339EA" w:rsidRDefault="00BB07D4" w:rsidP="00BB07D4">
      <w:pPr>
        <w:ind w:hanging="720"/>
        <w:rPr>
          <w:lang w:val="en-US"/>
        </w:rPr>
      </w:pPr>
      <w:r w:rsidRPr="003339EA">
        <w:rPr>
          <w:lang w:val="en-US"/>
        </w:rPr>
        <w:t xml:space="preserve">Yang, R. (2023) ‘ESG evaluation in automobile industry – Take Ford Motor Company and Tesla Company as example’, </w:t>
      </w:r>
      <w:r w:rsidRPr="003339EA">
        <w:rPr>
          <w:i/>
          <w:iCs/>
          <w:lang w:val="en-US"/>
        </w:rPr>
        <w:t>Advances in Economics, Management and Political Sciences</w:t>
      </w:r>
      <w:r w:rsidRPr="003339EA">
        <w:rPr>
          <w:lang w:val="en-US"/>
        </w:rPr>
        <w:t xml:space="preserve">, 17(1), pp. 246–252. </w:t>
      </w:r>
      <w:hyperlink r:id="rId100" w:tgtFrame="_new" w:history="1">
        <w:r w:rsidRPr="003339EA">
          <w:rPr>
            <w:rStyle w:val="Hyperlink"/>
            <w:lang w:val="en-US"/>
          </w:rPr>
          <w:t>https://doi.org/10.54254/2754-1169/17/20231105</w:t>
        </w:r>
      </w:hyperlink>
    </w:p>
    <w:p w:rsidR="00BB07D4" w:rsidRPr="009F6314" w:rsidRDefault="00BB07D4" w:rsidP="00BB07D4">
      <w:pPr>
        <w:ind w:hanging="720"/>
        <w:rPr>
          <w:lang w:val="en-US"/>
        </w:rPr>
      </w:pPr>
      <w:r w:rsidRPr="009F6314">
        <w:rPr>
          <w:lang w:val="en-US"/>
        </w:rPr>
        <w:t xml:space="preserve">Yang, T., Luo, D., Yu, A. and Chen, Z. (2023) ‘Enabling future closed-loop recycling of spent lithium-ion batteries: Direct cathode regeneration’, </w:t>
      </w:r>
      <w:r w:rsidRPr="009F6314">
        <w:rPr>
          <w:i/>
          <w:iCs/>
          <w:lang w:val="en-US"/>
        </w:rPr>
        <w:t>Advanced Materials</w:t>
      </w:r>
      <w:r w:rsidRPr="009F6314">
        <w:rPr>
          <w:lang w:val="en-US"/>
        </w:rPr>
        <w:t xml:space="preserve">, 35(36). Available at: </w:t>
      </w:r>
      <w:hyperlink r:id="rId101" w:tgtFrame="_new" w:history="1">
        <w:r w:rsidRPr="009F6314">
          <w:rPr>
            <w:rStyle w:val="Hyperlink"/>
            <w:lang w:val="en-US"/>
          </w:rPr>
          <w:t>https://doi.org/10.1002/adma.202203218</w:t>
        </w:r>
      </w:hyperlink>
      <w:r w:rsidRPr="009F6314">
        <w:rPr>
          <w:lang w:val="en-US"/>
        </w:rPr>
        <w:t>.</w:t>
      </w:r>
    </w:p>
    <w:p w:rsidR="00BB07D4" w:rsidRPr="00C00153" w:rsidRDefault="00BB07D4" w:rsidP="00BB07D4">
      <w:pPr>
        <w:ind w:hanging="720"/>
        <w:rPr>
          <w:lang w:val="en-US"/>
        </w:rPr>
      </w:pPr>
      <w:r w:rsidRPr="00C00153">
        <w:rPr>
          <w:lang w:val="en-US"/>
        </w:rPr>
        <w:t xml:space="preserve">Yin, B. (2024) ‘Business models for enterprise innovation and development’, </w:t>
      </w:r>
      <w:r w:rsidRPr="00C00153">
        <w:rPr>
          <w:i/>
          <w:iCs/>
          <w:lang w:val="en-US"/>
        </w:rPr>
        <w:t>Journal of Global Economy Business and Finance</w:t>
      </w:r>
      <w:r w:rsidRPr="00C00153">
        <w:rPr>
          <w:lang w:val="en-US"/>
        </w:rPr>
        <w:t xml:space="preserve">, 6(7), pp. 89–94. Available at: </w:t>
      </w:r>
      <w:hyperlink r:id="rId102" w:tgtFrame="_new" w:history="1">
        <w:r w:rsidRPr="00C00153">
          <w:rPr>
            <w:rStyle w:val="Hyperlink"/>
            <w:lang w:val="en-US"/>
          </w:rPr>
          <w:t>https://doi.org/10.53469/jgebf.2024.06(07).16</w:t>
        </w:r>
      </w:hyperlink>
      <w:r w:rsidRPr="00C00153">
        <w:rPr>
          <w:lang w:val="en-US"/>
        </w:rPr>
        <w:t>.</w:t>
      </w:r>
    </w:p>
    <w:p w:rsidR="00BB07D4" w:rsidRPr="00531B4F" w:rsidRDefault="00BB07D4" w:rsidP="00BB07D4">
      <w:pPr>
        <w:ind w:hanging="720"/>
        <w:rPr>
          <w:lang w:val="en-US"/>
        </w:rPr>
      </w:pPr>
      <w:r w:rsidRPr="00531B4F">
        <w:rPr>
          <w:lang w:val="en-US"/>
        </w:rPr>
        <w:t xml:space="preserve">Yousuf, A., Wang, Z., Paranjape, R. and Tang, Y. (2024) ‘An in-depth exploration of electric vehicle charging station infrastructure: A comprehensive review of challenges, mitigation approaches, and optimization strategies’, </w:t>
      </w:r>
      <w:r w:rsidRPr="00531B4F">
        <w:rPr>
          <w:i/>
          <w:iCs/>
          <w:lang w:val="en-US"/>
        </w:rPr>
        <w:t>IEEE Access</w:t>
      </w:r>
      <w:r w:rsidRPr="00531B4F">
        <w:rPr>
          <w:lang w:val="en-US"/>
        </w:rPr>
        <w:t xml:space="preserve">, 12, pp. 51570–51589. </w:t>
      </w:r>
      <w:hyperlink r:id="rId103" w:tgtFrame="_new" w:history="1">
        <w:r w:rsidRPr="00531B4F">
          <w:rPr>
            <w:rStyle w:val="Hyperlink"/>
            <w:lang w:val="en-US"/>
          </w:rPr>
          <w:t>https://doi.org/10.1109/access.2024.3385731</w:t>
        </w:r>
      </w:hyperlink>
    </w:p>
    <w:p w:rsidR="00BB07D4" w:rsidRPr="00E70DBA" w:rsidRDefault="00BB07D4" w:rsidP="00BB07D4">
      <w:pPr>
        <w:ind w:hanging="720"/>
        <w:rPr>
          <w:lang w:val="en-US"/>
        </w:rPr>
      </w:pPr>
      <w:r w:rsidRPr="00E70DBA">
        <w:rPr>
          <w:lang w:val="en-US"/>
        </w:rPr>
        <w:t xml:space="preserve">Zhang, H.R. (2024) ‘Strategic internationalization of BYD: A case study on entry into the German EV market using the eclectic paradigm framework’, </w:t>
      </w:r>
      <w:r w:rsidRPr="00E70DBA">
        <w:rPr>
          <w:i/>
          <w:iCs/>
          <w:lang w:val="en-US"/>
        </w:rPr>
        <w:t>Frontiers in Business Economics and Management</w:t>
      </w:r>
      <w:r w:rsidRPr="00E70DBA">
        <w:rPr>
          <w:lang w:val="en-US"/>
        </w:rPr>
        <w:t xml:space="preserve">, 17(1), pp. 254–259. Available at: </w:t>
      </w:r>
      <w:hyperlink r:id="rId104" w:tgtFrame="_new" w:history="1">
        <w:r w:rsidRPr="00E70DBA">
          <w:rPr>
            <w:rStyle w:val="Hyperlink"/>
            <w:lang w:val="en-US"/>
          </w:rPr>
          <w:t>https://doi.org/10.54097/nmap2t62</w:t>
        </w:r>
      </w:hyperlink>
      <w:r w:rsidRPr="00E70DBA">
        <w:rPr>
          <w:lang w:val="en-US"/>
        </w:rPr>
        <w:t>.</w:t>
      </w:r>
    </w:p>
    <w:p w:rsidR="00BB07D4" w:rsidRPr="003339EA" w:rsidRDefault="00BB07D4" w:rsidP="00BB07D4">
      <w:pPr>
        <w:ind w:hanging="720"/>
        <w:rPr>
          <w:lang w:val="en-US"/>
        </w:rPr>
      </w:pPr>
      <w:r w:rsidRPr="003339EA">
        <w:rPr>
          <w:lang w:val="en-US"/>
        </w:rPr>
        <w:t xml:space="preserve">Zhang, J. (2024) ‘Promoting green energy vehicle: A global warming solution’, </w:t>
      </w:r>
      <w:r w:rsidRPr="003339EA">
        <w:rPr>
          <w:i/>
          <w:iCs/>
          <w:lang w:val="en-US"/>
        </w:rPr>
        <w:t>Advances in Economics, Management and Political Sciences</w:t>
      </w:r>
      <w:r w:rsidRPr="003339EA">
        <w:rPr>
          <w:lang w:val="en-US"/>
        </w:rPr>
        <w:t xml:space="preserve">, 67(1), pp. 80–86. </w:t>
      </w:r>
      <w:hyperlink r:id="rId105" w:tgtFrame="_new" w:history="1">
        <w:r w:rsidRPr="003339EA">
          <w:rPr>
            <w:rStyle w:val="Hyperlink"/>
            <w:lang w:val="en-US"/>
          </w:rPr>
          <w:t>https://doi.org/10.54254/2754-1169/67/20241266</w:t>
        </w:r>
      </w:hyperlink>
    </w:p>
    <w:p w:rsidR="00BB07D4" w:rsidRPr="008B5A0A" w:rsidRDefault="00BB07D4" w:rsidP="00BB07D4">
      <w:pPr>
        <w:ind w:hanging="720"/>
        <w:rPr>
          <w:lang w:val="en-US"/>
        </w:rPr>
      </w:pPr>
      <w:r w:rsidRPr="008B5A0A">
        <w:rPr>
          <w:lang w:val="en-US"/>
        </w:rPr>
        <w:lastRenderedPageBreak/>
        <w:t xml:space="preserve">Zhang, X., Nasir, M. and Nor-Ahmad, S.N.H.J.N. (2024) ‘The green chain: A carbon neutral path from climate risk to environmental, social and governance performance’, </w:t>
      </w:r>
      <w:r w:rsidRPr="008B5A0A">
        <w:rPr>
          <w:i/>
          <w:iCs/>
          <w:lang w:val="en-US"/>
        </w:rPr>
        <w:t>PaperASIA</w:t>
      </w:r>
      <w:r w:rsidRPr="008B5A0A">
        <w:rPr>
          <w:lang w:val="en-US"/>
        </w:rPr>
        <w:t xml:space="preserve">, 40(2b), pp. 113–123. Available at: </w:t>
      </w:r>
      <w:hyperlink r:id="rId106" w:tgtFrame="_new" w:history="1">
        <w:r w:rsidRPr="008B5A0A">
          <w:rPr>
            <w:rStyle w:val="Hyperlink"/>
            <w:lang w:val="en-US"/>
          </w:rPr>
          <w:t>https://doi.org/10.59953/paperasia.v40i2b.89</w:t>
        </w:r>
      </w:hyperlink>
      <w:r w:rsidRPr="008B5A0A">
        <w:rPr>
          <w:lang w:val="en-US"/>
        </w:rPr>
        <w:t>.</w:t>
      </w:r>
    </w:p>
    <w:p w:rsidR="00BB07D4" w:rsidRPr="008B5A0A" w:rsidRDefault="00BB07D4" w:rsidP="00BB07D4">
      <w:pPr>
        <w:ind w:hanging="720"/>
        <w:rPr>
          <w:lang w:val="en-US"/>
        </w:rPr>
      </w:pPr>
      <w:r w:rsidRPr="008B5A0A">
        <w:rPr>
          <w:lang w:val="en-US"/>
        </w:rPr>
        <w:t xml:space="preserve">Zhao, R. (2024) ‘A financial analysis and valuation of BYD’, </w:t>
      </w:r>
      <w:r w:rsidRPr="008B5A0A">
        <w:rPr>
          <w:i/>
          <w:iCs/>
          <w:lang w:val="en-US"/>
        </w:rPr>
        <w:t>Advances in Economics Management and Political Sciences</w:t>
      </w:r>
      <w:r w:rsidRPr="008B5A0A">
        <w:rPr>
          <w:lang w:val="en-US"/>
        </w:rPr>
        <w:t xml:space="preserve">, 102(1), pp. 191–198. Available at: </w:t>
      </w:r>
      <w:hyperlink r:id="rId107" w:tgtFrame="_new" w:history="1">
        <w:r w:rsidRPr="008B5A0A">
          <w:rPr>
            <w:rStyle w:val="Hyperlink"/>
            <w:lang w:val="en-US"/>
          </w:rPr>
          <w:t>https://doi.org/10.54254/2754-1169/102/2024ed0091</w:t>
        </w:r>
      </w:hyperlink>
      <w:r w:rsidRPr="008B5A0A">
        <w:rPr>
          <w:lang w:val="en-US"/>
        </w:rPr>
        <w:t>.</w:t>
      </w:r>
    </w:p>
    <w:p w:rsidR="00BB07D4" w:rsidRPr="00A02E2E" w:rsidRDefault="00BB07D4" w:rsidP="00BB07D4">
      <w:pPr>
        <w:ind w:hanging="720"/>
        <w:rPr>
          <w:lang w:val="en-US"/>
        </w:rPr>
      </w:pPr>
      <w:r w:rsidRPr="00A02E2E">
        <w:rPr>
          <w:lang w:val="en-US"/>
        </w:rPr>
        <w:t xml:space="preserve">Zhou, X. (2024) ‘ESG “greenwashing” case analysis’, </w:t>
      </w:r>
      <w:r w:rsidRPr="00A02E2E">
        <w:rPr>
          <w:i/>
          <w:iCs/>
          <w:lang w:val="en-US"/>
        </w:rPr>
        <w:t>Frontiers in Business Economics and Management</w:t>
      </w:r>
      <w:r w:rsidRPr="00A02E2E">
        <w:rPr>
          <w:lang w:val="en-US"/>
        </w:rPr>
        <w:t xml:space="preserve">, 17(2), pp. 442–449. Available at: </w:t>
      </w:r>
      <w:hyperlink r:id="rId108" w:tgtFrame="_new" w:history="1">
        <w:r w:rsidRPr="00A02E2E">
          <w:rPr>
            <w:rStyle w:val="Hyperlink"/>
            <w:lang w:val="en-US"/>
          </w:rPr>
          <w:t>https://doi.org/10.54097/19x6s270</w:t>
        </w:r>
      </w:hyperlink>
      <w:r w:rsidRPr="00A02E2E">
        <w:rPr>
          <w:lang w:val="en-US"/>
        </w:rPr>
        <w:t>.</w:t>
      </w:r>
    </w:p>
    <w:p w:rsidR="00BB07D4" w:rsidRPr="003339EA" w:rsidRDefault="00BB07D4" w:rsidP="00BB07D4">
      <w:pPr>
        <w:ind w:hanging="720"/>
        <w:rPr>
          <w:lang w:val="en-US"/>
        </w:rPr>
      </w:pPr>
    </w:p>
    <w:sectPr w:rsidR="00BB07D4" w:rsidRPr="003339EA" w:rsidSect="0004750F">
      <w:footerReference w:type="default" r:id="rId10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16C5C" w:rsidRDefault="00816C5C" w:rsidP="00FC3E2C">
      <w:pPr>
        <w:spacing w:after="0" w:line="240" w:lineRule="auto"/>
      </w:pPr>
      <w:r>
        <w:separator/>
      </w:r>
    </w:p>
  </w:endnote>
  <w:endnote w:type="continuationSeparator" w:id="0">
    <w:p w:rsidR="00816C5C" w:rsidRDefault="00816C5C" w:rsidP="00FC3E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variable"/>
    <w:sig w:usb0="20000287" w:usb1="00000003" w:usb2="00000000" w:usb3="00000000" w:csb0="0000019F" w:csb1="00000000"/>
  </w:font>
  <w:font w:name="Aptos Display">
    <w:altName w:val="Arial"/>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6250528"/>
      <w:docPartObj>
        <w:docPartGallery w:val="Page Numbers (Bottom of Page)"/>
        <w:docPartUnique/>
      </w:docPartObj>
    </w:sdtPr>
    <w:sdtEndPr>
      <w:rPr>
        <w:noProof/>
      </w:rPr>
    </w:sdtEndPr>
    <w:sdtContent>
      <w:p w:rsidR="00AE6DF9" w:rsidRDefault="00AE6DF9">
        <w:pPr>
          <w:pStyle w:val="Footer"/>
          <w:jc w:val="center"/>
        </w:pPr>
        <w:r>
          <w:fldChar w:fldCharType="begin"/>
        </w:r>
        <w:r>
          <w:instrText xml:space="preserve"> PAGE   \* MERGEFORMAT </w:instrText>
        </w:r>
        <w:r>
          <w:fldChar w:fldCharType="separate"/>
        </w:r>
        <w:r w:rsidR="007A55A1">
          <w:rPr>
            <w:noProof/>
          </w:rPr>
          <w:t>1</w:t>
        </w:r>
        <w:r>
          <w:rPr>
            <w:noProof/>
          </w:rPr>
          <w:fldChar w:fldCharType="end"/>
        </w:r>
      </w:p>
    </w:sdtContent>
  </w:sdt>
  <w:p w:rsidR="00AE6DF9" w:rsidRDefault="00AE6DF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16C5C" w:rsidRDefault="00816C5C" w:rsidP="00FC3E2C">
      <w:pPr>
        <w:spacing w:after="0" w:line="240" w:lineRule="auto"/>
      </w:pPr>
      <w:r>
        <w:separator/>
      </w:r>
    </w:p>
  </w:footnote>
  <w:footnote w:type="continuationSeparator" w:id="0">
    <w:p w:rsidR="00816C5C" w:rsidRDefault="00816C5C" w:rsidP="00FC3E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6518BC"/>
    <w:multiLevelType w:val="multilevel"/>
    <w:tmpl w:val="401CDE96"/>
    <w:lvl w:ilvl="0">
      <w:start w:val="1"/>
      <w:numFmt w:val="decimal"/>
      <w:lvlText w:val="%1."/>
      <w:lvlJc w:val="left"/>
      <w:pPr>
        <w:ind w:left="567" w:hanging="567"/>
      </w:pPr>
      <w:rPr>
        <w:rFonts w:ascii="Arial" w:hAnsi="Arial"/>
        <w:b/>
        <w:i w:val="0"/>
        <w:color w:val="302683"/>
        <w:sz w:val="44"/>
        <w:u w:val="none" w:color="00B3E1"/>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
      <w:lvlJc w:val="left"/>
    </w:lvl>
    <w:lvl w:ilvl="7">
      <w:start w:val="1"/>
      <w:numFmt w:val="none"/>
      <w:lvlText w:val=""/>
      <w:lvlJc w:val="left"/>
    </w:lvl>
    <w:lvl w:ilvl="8">
      <w:start w:val="1"/>
      <w:numFmt w:val="none"/>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6C8B"/>
    <w:rsid w:val="00003D7B"/>
    <w:rsid w:val="00004E53"/>
    <w:rsid w:val="000364F7"/>
    <w:rsid w:val="0004750F"/>
    <w:rsid w:val="000535D7"/>
    <w:rsid w:val="00081882"/>
    <w:rsid w:val="000845C9"/>
    <w:rsid w:val="000B4398"/>
    <w:rsid w:val="000C3F70"/>
    <w:rsid w:val="000F5EEA"/>
    <w:rsid w:val="00151D17"/>
    <w:rsid w:val="001813E3"/>
    <w:rsid w:val="00227529"/>
    <w:rsid w:val="002633E8"/>
    <w:rsid w:val="002670CE"/>
    <w:rsid w:val="002957EE"/>
    <w:rsid w:val="002A6320"/>
    <w:rsid w:val="002A7790"/>
    <w:rsid w:val="002F2A8A"/>
    <w:rsid w:val="003339EA"/>
    <w:rsid w:val="00374128"/>
    <w:rsid w:val="003750B3"/>
    <w:rsid w:val="00384BEC"/>
    <w:rsid w:val="0038746A"/>
    <w:rsid w:val="00393B78"/>
    <w:rsid w:val="0039594D"/>
    <w:rsid w:val="003C7788"/>
    <w:rsid w:val="003D560E"/>
    <w:rsid w:val="003E33ED"/>
    <w:rsid w:val="003F331F"/>
    <w:rsid w:val="00430DC4"/>
    <w:rsid w:val="00453F02"/>
    <w:rsid w:val="004F1122"/>
    <w:rsid w:val="00531B4F"/>
    <w:rsid w:val="005349D0"/>
    <w:rsid w:val="00535B22"/>
    <w:rsid w:val="0054149A"/>
    <w:rsid w:val="00572120"/>
    <w:rsid w:val="00580162"/>
    <w:rsid w:val="00596205"/>
    <w:rsid w:val="005C12FE"/>
    <w:rsid w:val="005E2F9A"/>
    <w:rsid w:val="005F3B7F"/>
    <w:rsid w:val="006363F6"/>
    <w:rsid w:val="006D0272"/>
    <w:rsid w:val="007367C2"/>
    <w:rsid w:val="00740BE4"/>
    <w:rsid w:val="0078516A"/>
    <w:rsid w:val="007A55A1"/>
    <w:rsid w:val="007E593E"/>
    <w:rsid w:val="007F000E"/>
    <w:rsid w:val="007F3CF5"/>
    <w:rsid w:val="00816C5C"/>
    <w:rsid w:val="00836D00"/>
    <w:rsid w:val="008370BF"/>
    <w:rsid w:val="00837C46"/>
    <w:rsid w:val="0084602B"/>
    <w:rsid w:val="008907EE"/>
    <w:rsid w:val="008B1337"/>
    <w:rsid w:val="008B5A0A"/>
    <w:rsid w:val="008F5390"/>
    <w:rsid w:val="00922064"/>
    <w:rsid w:val="00922B45"/>
    <w:rsid w:val="0099421E"/>
    <w:rsid w:val="009947ED"/>
    <w:rsid w:val="009A2DD9"/>
    <w:rsid w:val="009C4898"/>
    <w:rsid w:val="009F33E7"/>
    <w:rsid w:val="009F6314"/>
    <w:rsid w:val="00A02E2E"/>
    <w:rsid w:val="00A034AE"/>
    <w:rsid w:val="00A0653A"/>
    <w:rsid w:val="00A07F0A"/>
    <w:rsid w:val="00A13304"/>
    <w:rsid w:val="00A24CE2"/>
    <w:rsid w:val="00A279F9"/>
    <w:rsid w:val="00A52C03"/>
    <w:rsid w:val="00A7281B"/>
    <w:rsid w:val="00A82C1E"/>
    <w:rsid w:val="00A93C8B"/>
    <w:rsid w:val="00AA4E06"/>
    <w:rsid w:val="00AB6C8B"/>
    <w:rsid w:val="00AE46CC"/>
    <w:rsid w:val="00AE6DF9"/>
    <w:rsid w:val="00B054DF"/>
    <w:rsid w:val="00B649DB"/>
    <w:rsid w:val="00B90AD8"/>
    <w:rsid w:val="00B91F86"/>
    <w:rsid w:val="00B97014"/>
    <w:rsid w:val="00BA6562"/>
    <w:rsid w:val="00BB07D4"/>
    <w:rsid w:val="00BD1005"/>
    <w:rsid w:val="00BD5D4C"/>
    <w:rsid w:val="00BD7A8D"/>
    <w:rsid w:val="00BE4E52"/>
    <w:rsid w:val="00BF011E"/>
    <w:rsid w:val="00C00153"/>
    <w:rsid w:val="00C3541C"/>
    <w:rsid w:val="00C42320"/>
    <w:rsid w:val="00C42C92"/>
    <w:rsid w:val="00C578D1"/>
    <w:rsid w:val="00C73502"/>
    <w:rsid w:val="00CA2A68"/>
    <w:rsid w:val="00CB5DEC"/>
    <w:rsid w:val="00D347BC"/>
    <w:rsid w:val="00D57064"/>
    <w:rsid w:val="00D6424E"/>
    <w:rsid w:val="00DA6B03"/>
    <w:rsid w:val="00DF2A5F"/>
    <w:rsid w:val="00DF2B01"/>
    <w:rsid w:val="00DF58FC"/>
    <w:rsid w:val="00E17D10"/>
    <w:rsid w:val="00E3088F"/>
    <w:rsid w:val="00E32E8F"/>
    <w:rsid w:val="00E558D3"/>
    <w:rsid w:val="00E70DBA"/>
    <w:rsid w:val="00E90073"/>
    <w:rsid w:val="00E91759"/>
    <w:rsid w:val="00EC21F4"/>
    <w:rsid w:val="00EC7AEE"/>
    <w:rsid w:val="00ED1E19"/>
    <w:rsid w:val="00EF57E9"/>
    <w:rsid w:val="00F27087"/>
    <w:rsid w:val="00F346AA"/>
    <w:rsid w:val="00F35BAC"/>
    <w:rsid w:val="00F52B33"/>
    <w:rsid w:val="00FC3E2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C86F1"/>
  <w15:chartTrackingRefBased/>
  <w15:docId w15:val="{C9EB24C4-151D-4D85-AB7B-7C08F339C0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4750F"/>
    <w:pPr>
      <w:spacing w:line="360" w:lineRule="auto"/>
      <w:jc w:val="both"/>
    </w:pPr>
    <w:rPr>
      <w:rFonts w:ascii="Arial" w:hAnsi="Arial"/>
    </w:rPr>
  </w:style>
  <w:style w:type="paragraph" w:styleId="Heading1">
    <w:name w:val="heading 1"/>
    <w:basedOn w:val="Normal"/>
    <w:next w:val="Normal"/>
    <w:link w:val="Heading1Char"/>
    <w:uiPriority w:val="9"/>
    <w:qFormat/>
    <w:rsid w:val="009F33E7"/>
    <w:pPr>
      <w:keepNext/>
      <w:keepLines/>
      <w:spacing w:before="360" w:after="80"/>
      <w:outlineLvl w:val="0"/>
    </w:pPr>
    <w:rPr>
      <w:rFonts w:eastAsiaTheme="majorEastAsia" w:cstheme="majorBidi"/>
      <w:b/>
      <w:color w:val="1F4E79" w:themeColor="accent1" w:themeShade="80"/>
      <w:sz w:val="36"/>
      <w:szCs w:val="40"/>
    </w:rPr>
  </w:style>
  <w:style w:type="paragraph" w:styleId="Heading2">
    <w:name w:val="heading 2"/>
    <w:basedOn w:val="Normal"/>
    <w:next w:val="Normal"/>
    <w:link w:val="Heading2Char"/>
    <w:uiPriority w:val="9"/>
    <w:unhideWhenUsed/>
    <w:qFormat/>
    <w:rsid w:val="00374128"/>
    <w:pPr>
      <w:keepNext/>
      <w:keepLines/>
      <w:spacing w:before="160" w:after="80"/>
      <w:outlineLvl w:val="1"/>
    </w:pPr>
    <w:rPr>
      <w:rFonts w:eastAsiaTheme="majorEastAsia" w:cstheme="majorBidi"/>
      <w:b/>
      <w:color w:val="2E74B5" w:themeColor="accent1" w:themeShade="BF"/>
      <w:sz w:val="28"/>
      <w:szCs w:val="32"/>
    </w:rPr>
  </w:style>
  <w:style w:type="paragraph" w:styleId="Heading3">
    <w:name w:val="heading 3"/>
    <w:basedOn w:val="Normal"/>
    <w:next w:val="Normal"/>
    <w:link w:val="Heading3Char"/>
    <w:uiPriority w:val="9"/>
    <w:semiHidden/>
    <w:unhideWhenUsed/>
    <w:qFormat/>
    <w:rsid w:val="007F3CF5"/>
    <w:pPr>
      <w:keepNext/>
      <w:keepLines/>
      <w:spacing w:before="160" w:after="80"/>
      <w:outlineLvl w:val="2"/>
    </w:pPr>
    <w:rPr>
      <w:rFonts w:asciiTheme="minorHAnsi" w:eastAsiaTheme="majorEastAsia" w:hAnsiTheme="min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7F3CF5"/>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7F3CF5"/>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7F3CF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F3CF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F3CF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F3CF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33E7"/>
    <w:rPr>
      <w:rFonts w:ascii="Times New Roman" w:eastAsiaTheme="majorEastAsia" w:hAnsi="Times New Roman" w:cstheme="majorBidi"/>
      <w:b/>
      <w:color w:val="1F4E79" w:themeColor="accent1" w:themeShade="80"/>
      <w:sz w:val="36"/>
      <w:szCs w:val="40"/>
    </w:rPr>
  </w:style>
  <w:style w:type="character" w:customStyle="1" w:styleId="Heading2Char">
    <w:name w:val="Heading 2 Char"/>
    <w:basedOn w:val="DefaultParagraphFont"/>
    <w:link w:val="Heading2"/>
    <w:uiPriority w:val="9"/>
    <w:rsid w:val="00374128"/>
    <w:rPr>
      <w:rFonts w:ascii="Times New Roman" w:eastAsiaTheme="majorEastAsia" w:hAnsi="Times New Roman" w:cstheme="majorBidi"/>
      <w:b/>
      <w:color w:val="2E74B5" w:themeColor="accent1" w:themeShade="BF"/>
      <w:sz w:val="28"/>
      <w:szCs w:val="32"/>
    </w:rPr>
  </w:style>
  <w:style w:type="character" w:customStyle="1" w:styleId="Heading3Char">
    <w:name w:val="Heading 3 Char"/>
    <w:basedOn w:val="DefaultParagraphFont"/>
    <w:link w:val="Heading3"/>
    <w:uiPriority w:val="9"/>
    <w:semiHidden/>
    <w:rsid w:val="007F3CF5"/>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7F3CF5"/>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7F3CF5"/>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7F3C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3C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3C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3CF5"/>
    <w:rPr>
      <w:rFonts w:eastAsiaTheme="majorEastAsia" w:cstheme="majorBidi"/>
      <w:color w:val="272727" w:themeColor="text1" w:themeTint="D8"/>
    </w:rPr>
  </w:style>
  <w:style w:type="paragraph" w:styleId="Title">
    <w:name w:val="Title"/>
    <w:basedOn w:val="Normal"/>
    <w:next w:val="Normal"/>
    <w:link w:val="TitleChar"/>
    <w:uiPriority w:val="10"/>
    <w:qFormat/>
    <w:rsid w:val="007F3C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3C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3CF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3CF5"/>
    <w:rPr>
      <w:rFonts w:eastAsiaTheme="majorEastAsia" w:cstheme="majorBidi"/>
      <w:color w:val="595959" w:themeColor="text1" w:themeTint="A6"/>
      <w:spacing w:val="15"/>
      <w:sz w:val="28"/>
      <w:szCs w:val="28"/>
    </w:rPr>
  </w:style>
  <w:style w:type="character" w:styleId="Strong">
    <w:name w:val="Strong"/>
    <w:basedOn w:val="DefaultParagraphFont"/>
    <w:uiPriority w:val="22"/>
    <w:qFormat/>
    <w:rsid w:val="007F3CF5"/>
    <w:rPr>
      <w:b/>
      <w:bCs/>
    </w:rPr>
  </w:style>
  <w:style w:type="paragraph" w:styleId="ListParagraph">
    <w:name w:val="List Paragraph"/>
    <w:basedOn w:val="Normal"/>
    <w:uiPriority w:val="34"/>
    <w:qFormat/>
    <w:rsid w:val="007F3CF5"/>
    <w:pPr>
      <w:ind w:left="720"/>
      <w:contextualSpacing/>
    </w:pPr>
  </w:style>
  <w:style w:type="paragraph" w:styleId="Quote">
    <w:name w:val="Quote"/>
    <w:basedOn w:val="Normal"/>
    <w:next w:val="Normal"/>
    <w:link w:val="QuoteChar"/>
    <w:uiPriority w:val="29"/>
    <w:qFormat/>
    <w:rsid w:val="007F3CF5"/>
    <w:pPr>
      <w:spacing w:before="160"/>
      <w:jc w:val="center"/>
    </w:pPr>
    <w:rPr>
      <w:rFonts w:asciiTheme="minorHAnsi" w:hAnsiTheme="minorHAnsi"/>
      <w:i/>
      <w:iCs/>
      <w:color w:val="404040" w:themeColor="text1" w:themeTint="BF"/>
    </w:rPr>
  </w:style>
  <w:style w:type="character" w:customStyle="1" w:styleId="QuoteChar">
    <w:name w:val="Quote Char"/>
    <w:basedOn w:val="DefaultParagraphFont"/>
    <w:link w:val="Quote"/>
    <w:uiPriority w:val="29"/>
    <w:rsid w:val="007F3CF5"/>
    <w:rPr>
      <w:i/>
      <w:iCs/>
      <w:color w:val="404040" w:themeColor="text1" w:themeTint="BF"/>
    </w:rPr>
  </w:style>
  <w:style w:type="paragraph" w:styleId="IntenseQuote">
    <w:name w:val="Intense Quote"/>
    <w:basedOn w:val="Normal"/>
    <w:next w:val="Normal"/>
    <w:link w:val="IntenseQuoteChar"/>
    <w:uiPriority w:val="30"/>
    <w:qFormat/>
    <w:rsid w:val="007F3CF5"/>
    <w:pPr>
      <w:pBdr>
        <w:top w:val="single" w:sz="4" w:space="10" w:color="2E74B5" w:themeColor="accent1" w:themeShade="BF"/>
        <w:bottom w:val="single" w:sz="4" w:space="10" w:color="2E74B5" w:themeColor="accent1" w:themeShade="BF"/>
      </w:pBdr>
      <w:spacing w:before="360" w:after="360"/>
      <w:ind w:left="864" w:right="864"/>
      <w:jc w:val="center"/>
    </w:pPr>
    <w:rPr>
      <w:rFonts w:asciiTheme="minorHAnsi" w:hAnsiTheme="minorHAnsi"/>
      <w:i/>
      <w:iCs/>
      <w:color w:val="2E74B5" w:themeColor="accent1" w:themeShade="BF"/>
    </w:rPr>
  </w:style>
  <w:style w:type="character" w:customStyle="1" w:styleId="IntenseQuoteChar">
    <w:name w:val="Intense Quote Char"/>
    <w:basedOn w:val="DefaultParagraphFont"/>
    <w:link w:val="IntenseQuote"/>
    <w:uiPriority w:val="30"/>
    <w:rsid w:val="007F3CF5"/>
    <w:rPr>
      <w:i/>
      <w:iCs/>
      <w:color w:val="2E74B5" w:themeColor="accent1" w:themeShade="BF"/>
    </w:rPr>
  </w:style>
  <w:style w:type="character" w:styleId="IntenseEmphasis">
    <w:name w:val="Intense Emphasis"/>
    <w:basedOn w:val="DefaultParagraphFont"/>
    <w:uiPriority w:val="21"/>
    <w:qFormat/>
    <w:rsid w:val="007F3CF5"/>
    <w:rPr>
      <w:i/>
      <w:iCs/>
      <w:color w:val="2E74B5" w:themeColor="accent1" w:themeShade="BF"/>
    </w:rPr>
  </w:style>
  <w:style w:type="character" w:styleId="IntenseReference">
    <w:name w:val="Intense Reference"/>
    <w:basedOn w:val="DefaultParagraphFont"/>
    <w:uiPriority w:val="32"/>
    <w:qFormat/>
    <w:rsid w:val="007F3CF5"/>
    <w:rPr>
      <w:b/>
      <w:bCs/>
      <w:smallCaps/>
      <w:color w:val="2E74B5" w:themeColor="accent1" w:themeShade="BF"/>
      <w:spacing w:val="5"/>
    </w:rPr>
  </w:style>
  <w:style w:type="paragraph" w:styleId="Header">
    <w:name w:val="header"/>
    <w:basedOn w:val="Normal"/>
    <w:link w:val="HeaderChar"/>
    <w:uiPriority w:val="99"/>
    <w:unhideWhenUsed/>
    <w:rsid w:val="00FC3E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3E2C"/>
    <w:rPr>
      <w:rFonts w:ascii="Times New Roman" w:hAnsi="Times New Roman"/>
    </w:rPr>
  </w:style>
  <w:style w:type="paragraph" w:styleId="Footer">
    <w:name w:val="footer"/>
    <w:basedOn w:val="Normal"/>
    <w:link w:val="FooterChar"/>
    <w:uiPriority w:val="99"/>
    <w:unhideWhenUsed/>
    <w:rsid w:val="00FC3E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3E2C"/>
    <w:rPr>
      <w:rFonts w:ascii="Times New Roman" w:hAnsi="Times New Roman"/>
    </w:rPr>
  </w:style>
  <w:style w:type="table" w:styleId="TableGrid">
    <w:name w:val="Table Grid"/>
    <w:basedOn w:val="TableNormal"/>
    <w:uiPriority w:val="39"/>
    <w:rsid w:val="00B90A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B90AD8"/>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NoSpacing">
    <w:name w:val="No Spacing"/>
    <w:link w:val="NoSpacingChar"/>
    <w:uiPriority w:val="1"/>
    <w:qFormat/>
    <w:rsid w:val="002A632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A6320"/>
    <w:rPr>
      <w:rFonts w:eastAsiaTheme="minorEastAsia"/>
      <w:kern w:val="0"/>
      <w:sz w:val="22"/>
      <w:szCs w:val="22"/>
      <w:lang w:val="en-US"/>
      <w14:ligatures w14:val="none"/>
    </w:rPr>
  </w:style>
  <w:style w:type="paragraph" w:styleId="NormalWeb">
    <w:name w:val="Normal (Web)"/>
    <w:basedOn w:val="Normal"/>
    <w:uiPriority w:val="99"/>
    <w:semiHidden/>
    <w:unhideWhenUsed/>
    <w:rsid w:val="00922B45"/>
    <w:pPr>
      <w:spacing w:before="100" w:beforeAutospacing="1" w:after="100" w:afterAutospacing="1" w:line="240" w:lineRule="auto"/>
      <w:jc w:val="left"/>
    </w:pPr>
    <w:rPr>
      <w:rFonts w:ascii="Times New Roman" w:eastAsia="Times New Roman" w:hAnsi="Times New Roman" w:cs="Times New Roman"/>
      <w:kern w:val="0"/>
      <w:lang w:eastAsia="en-GB"/>
      <w14:ligatures w14:val="none"/>
    </w:rPr>
  </w:style>
  <w:style w:type="character" w:customStyle="1" w:styleId="whitespace-normal">
    <w:name w:val="whitespace-normal"/>
    <w:basedOn w:val="DefaultParagraphFont"/>
    <w:rsid w:val="00453F02"/>
  </w:style>
  <w:style w:type="paragraph" w:styleId="TOCHeading">
    <w:name w:val="TOC Heading"/>
    <w:basedOn w:val="Heading1"/>
    <w:next w:val="Normal"/>
    <w:uiPriority w:val="39"/>
    <w:unhideWhenUsed/>
    <w:qFormat/>
    <w:rsid w:val="007F000E"/>
    <w:pPr>
      <w:spacing w:before="240" w:after="0" w:line="259" w:lineRule="auto"/>
      <w:jc w:val="left"/>
      <w:outlineLvl w:val="9"/>
    </w:pPr>
    <w:rPr>
      <w:rFonts w:asciiTheme="majorHAnsi" w:hAnsiTheme="majorHAnsi"/>
      <w:b w:val="0"/>
      <w:color w:val="2E74B5" w:themeColor="accent1" w:themeShade="BF"/>
      <w:kern w:val="0"/>
      <w:sz w:val="32"/>
      <w:szCs w:val="32"/>
      <w:lang w:val="en-US"/>
      <w14:ligatures w14:val="none"/>
    </w:rPr>
  </w:style>
  <w:style w:type="paragraph" w:styleId="TOC1">
    <w:name w:val="toc 1"/>
    <w:basedOn w:val="Normal"/>
    <w:next w:val="Normal"/>
    <w:autoRedefine/>
    <w:uiPriority w:val="39"/>
    <w:unhideWhenUsed/>
    <w:rsid w:val="007F000E"/>
    <w:pPr>
      <w:spacing w:after="100"/>
    </w:pPr>
  </w:style>
  <w:style w:type="paragraph" w:styleId="TOC2">
    <w:name w:val="toc 2"/>
    <w:basedOn w:val="Normal"/>
    <w:next w:val="Normal"/>
    <w:autoRedefine/>
    <w:uiPriority w:val="39"/>
    <w:unhideWhenUsed/>
    <w:rsid w:val="007F000E"/>
    <w:pPr>
      <w:spacing w:after="100"/>
      <w:ind w:left="220"/>
    </w:pPr>
  </w:style>
  <w:style w:type="character" w:styleId="Hyperlink">
    <w:name w:val="Hyperlink"/>
    <w:basedOn w:val="DefaultParagraphFont"/>
    <w:uiPriority w:val="99"/>
    <w:unhideWhenUsed/>
    <w:rsid w:val="007F000E"/>
    <w:rPr>
      <w:color w:val="0563C1" w:themeColor="hyperlink"/>
      <w:u w:val="single"/>
    </w:rPr>
  </w:style>
  <w:style w:type="character" w:styleId="Emphasis">
    <w:name w:val="Emphasis"/>
    <w:basedOn w:val="DefaultParagraphFont"/>
    <w:uiPriority w:val="20"/>
    <w:qFormat/>
    <w:rsid w:val="008370B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216790">
      <w:bodyDiv w:val="1"/>
      <w:marLeft w:val="0"/>
      <w:marRight w:val="0"/>
      <w:marTop w:val="0"/>
      <w:marBottom w:val="0"/>
      <w:divBdr>
        <w:top w:val="none" w:sz="0" w:space="0" w:color="auto"/>
        <w:left w:val="none" w:sz="0" w:space="0" w:color="auto"/>
        <w:bottom w:val="none" w:sz="0" w:space="0" w:color="auto"/>
        <w:right w:val="none" w:sz="0" w:space="0" w:color="auto"/>
      </w:divBdr>
    </w:div>
    <w:div w:id="71003106">
      <w:bodyDiv w:val="1"/>
      <w:marLeft w:val="0"/>
      <w:marRight w:val="0"/>
      <w:marTop w:val="0"/>
      <w:marBottom w:val="0"/>
      <w:divBdr>
        <w:top w:val="none" w:sz="0" w:space="0" w:color="auto"/>
        <w:left w:val="none" w:sz="0" w:space="0" w:color="auto"/>
        <w:bottom w:val="none" w:sz="0" w:space="0" w:color="auto"/>
        <w:right w:val="none" w:sz="0" w:space="0" w:color="auto"/>
      </w:divBdr>
    </w:div>
    <w:div w:id="73018826">
      <w:bodyDiv w:val="1"/>
      <w:marLeft w:val="0"/>
      <w:marRight w:val="0"/>
      <w:marTop w:val="0"/>
      <w:marBottom w:val="0"/>
      <w:divBdr>
        <w:top w:val="none" w:sz="0" w:space="0" w:color="auto"/>
        <w:left w:val="none" w:sz="0" w:space="0" w:color="auto"/>
        <w:bottom w:val="none" w:sz="0" w:space="0" w:color="auto"/>
        <w:right w:val="none" w:sz="0" w:space="0" w:color="auto"/>
      </w:divBdr>
    </w:div>
    <w:div w:id="90710451">
      <w:bodyDiv w:val="1"/>
      <w:marLeft w:val="0"/>
      <w:marRight w:val="0"/>
      <w:marTop w:val="0"/>
      <w:marBottom w:val="0"/>
      <w:divBdr>
        <w:top w:val="none" w:sz="0" w:space="0" w:color="auto"/>
        <w:left w:val="none" w:sz="0" w:space="0" w:color="auto"/>
        <w:bottom w:val="none" w:sz="0" w:space="0" w:color="auto"/>
        <w:right w:val="none" w:sz="0" w:space="0" w:color="auto"/>
      </w:divBdr>
    </w:div>
    <w:div w:id="101653498">
      <w:bodyDiv w:val="1"/>
      <w:marLeft w:val="0"/>
      <w:marRight w:val="0"/>
      <w:marTop w:val="0"/>
      <w:marBottom w:val="0"/>
      <w:divBdr>
        <w:top w:val="none" w:sz="0" w:space="0" w:color="auto"/>
        <w:left w:val="none" w:sz="0" w:space="0" w:color="auto"/>
        <w:bottom w:val="none" w:sz="0" w:space="0" w:color="auto"/>
        <w:right w:val="none" w:sz="0" w:space="0" w:color="auto"/>
      </w:divBdr>
    </w:div>
    <w:div w:id="108864363">
      <w:bodyDiv w:val="1"/>
      <w:marLeft w:val="0"/>
      <w:marRight w:val="0"/>
      <w:marTop w:val="0"/>
      <w:marBottom w:val="0"/>
      <w:divBdr>
        <w:top w:val="none" w:sz="0" w:space="0" w:color="auto"/>
        <w:left w:val="none" w:sz="0" w:space="0" w:color="auto"/>
        <w:bottom w:val="none" w:sz="0" w:space="0" w:color="auto"/>
        <w:right w:val="none" w:sz="0" w:space="0" w:color="auto"/>
      </w:divBdr>
    </w:div>
    <w:div w:id="125318771">
      <w:bodyDiv w:val="1"/>
      <w:marLeft w:val="0"/>
      <w:marRight w:val="0"/>
      <w:marTop w:val="0"/>
      <w:marBottom w:val="0"/>
      <w:divBdr>
        <w:top w:val="none" w:sz="0" w:space="0" w:color="auto"/>
        <w:left w:val="none" w:sz="0" w:space="0" w:color="auto"/>
        <w:bottom w:val="none" w:sz="0" w:space="0" w:color="auto"/>
        <w:right w:val="none" w:sz="0" w:space="0" w:color="auto"/>
      </w:divBdr>
    </w:div>
    <w:div w:id="184484262">
      <w:bodyDiv w:val="1"/>
      <w:marLeft w:val="0"/>
      <w:marRight w:val="0"/>
      <w:marTop w:val="0"/>
      <w:marBottom w:val="0"/>
      <w:divBdr>
        <w:top w:val="none" w:sz="0" w:space="0" w:color="auto"/>
        <w:left w:val="none" w:sz="0" w:space="0" w:color="auto"/>
        <w:bottom w:val="none" w:sz="0" w:space="0" w:color="auto"/>
        <w:right w:val="none" w:sz="0" w:space="0" w:color="auto"/>
      </w:divBdr>
    </w:div>
    <w:div w:id="232129082">
      <w:bodyDiv w:val="1"/>
      <w:marLeft w:val="0"/>
      <w:marRight w:val="0"/>
      <w:marTop w:val="0"/>
      <w:marBottom w:val="0"/>
      <w:divBdr>
        <w:top w:val="none" w:sz="0" w:space="0" w:color="auto"/>
        <w:left w:val="none" w:sz="0" w:space="0" w:color="auto"/>
        <w:bottom w:val="none" w:sz="0" w:space="0" w:color="auto"/>
        <w:right w:val="none" w:sz="0" w:space="0" w:color="auto"/>
      </w:divBdr>
    </w:div>
    <w:div w:id="270477050">
      <w:bodyDiv w:val="1"/>
      <w:marLeft w:val="0"/>
      <w:marRight w:val="0"/>
      <w:marTop w:val="0"/>
      <w:marBottom w:val="0"/>
      <w:divBdr>
        <w:top w:val="none" w:sz="0" w:space="0" w:color="auto"/>
        <w:left w:val="none" w:sz="0" w:space="0" w:color="auto"/>
        <w:bottom w:val="none" w:sz="0" w:space="0" w:color="auto"/>
        <w:right w:val="none" w:sz="0" w:space="0" w:color="auto"/>
      </w:divBdr>
    </w:div>
    <w:div w:id="334262719">
      <w:bodyDiv w:val="1"/>
      <w:marLeft w:val="0"/>
      <w:marRight w:val="0"/>
      <w:marTop w:val="0"/>
      <w:marBottom w:val="0"/>
      <w:divBdr>
        <w:top w:val="none" w:sz="0" w:space="0" w:color="auto"/>
        <w:left w:val="none" w:sz="0" w:space="0" w:color="auto"/>
        <w:bottom w:val="none" w:sz="0" w:space="0" w:color="auto"/>
        <w:right w:val="none" w:sz="0" w:space="0" w:color="auto"/>
      </w:divBdr>
    </w:div>
    <w:div w:id="378825761">
      <w:bodyDiv w:val="1"/>
      <w:marLeft w:val="0"/>
      <w:marRight w:val="0"/>
      <w:marTop w:val="0"/>
      <w:marBottom w:val="0"/>
      <w:divBdr>
        <w:top w:val="none" w:sz="0" w:space="0" w:color="auto"/>
        <w:left w:val="none" w:sz="0" w:space="0" w:color="auto"/>
        <w:bottom w:val="none" w:sz="0" w:space="0" w:color="auto"/>
        <w:right w:val="none" w:sz="0" w:space="0" w:color="auto"/>
      </w:divBdr>
    </w:div>
    <w:div w:id="395974122">
      <w:bodyDiv w:val="1"/>
      <w:marLeft w:val="0"/>
      <w:marRight w:val="0"/>
      <w:marTop w:val="0"/>
      <w:marBottom w:val="0"/>
      <w:divBdr>
        <w:top w:val="none" w:sz="0" w:space="0" w:color="auto"/>
        <w:left w:val="none" w:sz="0" w:space="0" w:color="auto"/>
        <w:bottom w:val="none" w:sz="0" w:space="0" w:color="auto"/>
        <w:right w:val="none" w:sz="0" w:space="0" w:color="auto"/>
      </w:divBdr>
    </w:div>
    <w:div w:id="451021016">
      <w:bodyDiv w:val="1"/>
      <w:marLeft w:val="0"/>
      <w:marRight w:val="0"/>
      <w:marTop w:val="0"/>
      <w:marBottom w:val="0"/>
      <w:divBdr>
        <w:top w:val="none" w:sz="0" w:space="0" w:color="auto"/>
        <w:left w:val="none" w:sz="0" w:space="0" w:color="auto"/>
        <w:bottom w:val="none" w:sz="0" w:space="0" w:color="auto"/>
        <w:right w:val="none" w:sz="0" w:space="0" w:color="auto"/>
      </w:divBdr>
    </w:div>
    <w:div w:id="484204353">
      <w:bodyDiv w:val="1"/>
      <w:marLeft w:val="0"/>
      <w:marRight w:val="0"/>
      <w:marTop w:val="0"/>
      <w:marBottom w:val="0"/>
      <w:divBdr>
        <w:top w:val="none" w:sz="0" w:space="0" w:color="auto"/>
        <w:left w:val="none" w:sz="0" w:space="0" w:color="auto"/>
        <w:bottom w:val="none" w:sz="0" w:space="0" w:color="auto"/>
        <w:right w:val="none" w:sz="0" w:space="0" w:color="auto"/>
      </w:divBdr>
    </w:div>
    <w:div w:id="536163467">
      <w:bodyDiv w:val="1"/>
      <w:marLeft w:val="0"/>
      <w:marRight w:val="0"/>
      <w:marTop w:val="0"/>
      <w:marBottom w:val="0"/>
      <w:divBdr>
        <w:top w:val="none" w:sz="0" w:space="0" w:color="auto"/>
        <w:left w:val="none" w:sz="0" w:space="0" w:color="auto"/>
        <w:bottom w:val="none" w:sz="0" w:space="0" w:color="auto"/>
        <w:right w:val="none" w:sz="0" w:space="0" w:color="auto"/>
      </w:divBdr>
    </w:div>
    <w:div w:id="593169931">
      <w:bodyDiv w:val="1"/>
      <w:marLeft w:val="0"/>
      <w:marRight w:val="0"/>
      <w:marTop w:val="0"/>
      <w:marBottom w:val="0"/>
      <w:divBdr>
        <w:top w:val="none" w:sz="0" w:space="0" w:color="auto"/>
        <w:left w:val="none" w:sz="0" w:space="0" w:color="auto"/>
        <w:bottom w:val="none" w:sz="0" w:space="0" w:color="auto"/>
        <w:right w:val="none" w:sz="0" w:space="0" w:color="auto"/>
      </w:divBdr>
    </w:div>
    <w:div w:id="606084879">
      <w:bodyDiv w:val="1"/>
      <w:marLeft w:val="0"/>
      <w:marRight w:val="0"/>
      <w:marTop w:val="0"/>
      <w:marBottom w:val="0"/>
      <w:divBdr>
        <w:top w:val="none" w:sz="0" w:space="0" w:color="auto"/>
        <w:left w:val="none" w:sz="0" w:space="0" w:color="auto"/>
        <w:bottom w:val="none" w:sz="0" w:space="0" w:color="auto"/>
        <w:right w:val="none" w:sz="0" w:space="0" w:color="auto"/>
      </w:divBdr>
    </w:div>
    <w:div w:id="639455211">
      <w:bodyDiv w:val="1"/>
      <w:marLeft w:val="0"/>
      <w:marRight w:val="0"/>
      <w:marTop w:val="0"/>
      <w:marBottom w:val="0"/>
      <w:divBdr>
        <w:top w:val="none" w:sz="0" w:space="0" w:color="auto"/>
        <w:left w:val="none" w:sz="0" w:space="0" w:color="auto"/>
        <w:bottom w:val="none" w:sz="0" w:space="0" w:color="auto"/>
        <w:right w:val="none" w:sz="0" w:space="0" w:color="auto"/>
      </w:divBdr>
    </w:div>
    <w:div w:id="653140210">
      <w:bodyDiv w:val="1"/>
      <w:marLeft w:val="0"/>
      <w:marRight w:val="0"/>
      <w:marTop w:val="0"/>
      <w:marBottom w:val="0"/>
      <w:divBdr>
        <w:top w:val="none" w:sz="0" w:space="0" w:color="auto"/>
        <w:left w:val="none" w:sz="0" w:space="0" w:color="auto"/>
        <w:bottom w:val="none" w:sz="0" w:space="0" w:color="auto"/>
        <w:right w:val="none" w:sz="0" w:space="0" w:color="auto"/>
      </w:divBdr>
      <w:divsChild>
        <w:div w:id="1009790643">
          <w:marLeft w:val="0"/>
          <w:marRight w:val="0"/>
          <w:marTop w:val="0"/>
          <w:marBottom w:val="0"/>
          <w:divBdr>
            <w:top w:val="none" w:sz="0" w:space="0" w:color="auto"/>
            <w:left w:val="none" w:sz="0" w:space="0" w:color="auto"/>
            <w:bottom w:val="none" w:sz="0" w:space="0" w:color="auto"/>
            <w:right w:val="none" w:sz="0" w:space="0" w:color="auto"/>
          </w:divBdr>
          <w:divsChild>
            <w:div w:id="318386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9714426">
      <w:bodyDiv w:val="1"/>
      <w:marLeft w:val="0"/>
      <w:marRight w:val="0"/>
      <w:marTop w:val="0"/>
      <w:marBottom w:val="0"/>
      <w:divBdr>
        <w:top w:val="none" w:sz="0" w:space="0" w:color="auto"/>
        <w:left w:val="none" w:sz="0" w:space="0" w:color="auto"/>
        <w:bottom w:val="none" w:sz="0" w:space="0" w:color="auto"/>
        <w:right w:val="none" w:sz="0" w:space="0" w:color="auto"/>
      </w:divBdr>
    </w:div>
    <w:div w:id="837891564">
      <w:bodyDiv w:val="1"/>
      <w:marLeft w:val="0"/>
      <w:marRight w:val="0"/>
      <w:marTop w:val="0"/>
      <w:marBottom w:val="0"/>
      <w:divBdr>
        <w:top w:val="none" w:sz="0" w:space="0" w:color="auto"/>
        <w:left w:val="none" w:sz="0" w:space="0" w:color="auto"/>
        <w:bottom w:val="none" w:sz="0" w:space="0" w:color="auto"/>
        <w:right w:val="none" w:sz="0" w:space="0" w:color="auto"/>
      </w:divBdr>
      <w:divsChild>
        <w:div w:id="1221214791">
          <w:marLeft w:val="0"/>
          <w:marRight w:val="0"/>
          <w:marTop w:val="0"/>
          <w:marBottom w:val="0"/>
          <w:divBdr>
            <w:top w:val="none" w:sz="0" w:space="0" w:color="auto"/>
            <w:left w:val="none" w:sz="0" w:space="0" w:color="auto"/>
            <w:bottom w:val="none" w:sz="0" w:space="0" w:color="auto"/>
            <w:right w:val="none" w:sz="0" w:space="0" w:color="auto"/>
          </w:divBdr>
          <w:divsChild>
            <w:div w:id="1281765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9286650">
      <w:bodyDiv w:val="1"/>
      <w:marLeft w:val="0"/>
      <w:marRight w:val="0"/>
      <w:marTop w:val="0"/>
      <w:marBottom w:val="0"/>
      <w:divBdr>
        <w:top w:val="none" w:sz="0" w:space="0" w:color="auto"/>
        <w:left w:val="none" w:sz="0" w:space="0" w:color="auto"/>
        <w:bottom w:val="none" w:sz="0" w:space="0" w:color="auto"/>
        <w:right w:val="none" w:sz="0" w:space="0" w:color="auto"/>
      </w:divBdr>
    </w:div>
    <w:div w:id="1043136640">
      <w:bodyDiv w:val="1"/>
      <w:marLeft w:val="0"/>
      <w:marRight w:val="0"/>
      <w:marTop w:val="0"/>
      <w:marBottom w:val="0"/>
      <w:divBdr>
        <w:top w:val="none" w:sz="0" w:space="0" w:color="auto"/>
        <w:left w:val="none" w:sz="0" w:space="0" w:color="auto"/>
        <w:bottom w:val="none" w:sz="0" w:space="0" w:color="auto"/>
        <w:right w:val="none" w:sz="0" w:space="0" w:color="auto"/>
      </w:divBdr>
    </w:div>
    <w:div w:id="1063411262">
      <w:bodyDiv w:val="1"/>
      <w:marLeft w:val="0"/>
      <w:marRight w:val="0"/>
      <w:marTop w:val="0"/>
      <w:marBottom w:val="0"/>
      <w:divBdr>
        <w:top w:val="none" w:sz="0" w:space="0" w:color="auto"/>
        <w:left w:val="none" w:sz="0" w:space="0" w:color="auto"/>
        <w:bottom w:val="none" w:sz="0" w:space="0" w:color="auto"/>
        <w:right w:val="none" w:sz="0" w:space="0" w:color="auto"/>
      </w:divBdr>
    </w:div>
    <w:div w:id="1305965870">
      <w:bodyDiv w:val="1"/>
      <w:marLeft w:val="0"/>
      <w:marRight w:val="0"/>
      <w:marTop w:val="0"/>
      <w:marBottom w:val="0"/>
      <w:divBdr>
        <w:top w:val="none" w:sz="0" w:space="0" w:color="auto"/>
        <w:left w:val="none" w:sz="0" w:space="0" w:color="auto"/>
        <w:bottom w:val="none" w:sz="0" w:space="0" w:color="auto"/>
        <w:right w:val="none" w:sz="0" w:space="0" w:color="auto"/>
      </w:divBdr>
    </w:div>
    <w:div w:id="1339773327">
      <w:bodyDiv w:val="1"/>
      <w:marLeft w:val="0"/>
      <w:marRight w:val="0"/>
      <w:marTop w:val="0"/>
      <w:marBottom w:val="0"/>
      <w:divBdr>
        <w:top w:val="none" w:sz="0" w:space="0" w:color="auto"/>
        <w:left w:val="none" w:sz="0" w:space="0" w:color="auto"/>
        <w:bottom w:val="none" w:sz="0" w:space="0" w:color="auto"/>
        <w:right w:val="none" w:sz="0" w:space="0" w:color="auto"/>
      </w:divBdr>
    </w:div>
    <w:div w:id="1383943601">
      <w:bodyDiv w:val="1"/>
      <w:marLeft w:val="0"/>
      <w:marRight w:val="0"/>
      <w:marTop w:val="0"/>
      <w:marBottom w:val="0"/>
      <w:divBdr>
        <w:top w:val="none" w:sz="0" w:space="0" w:color="auto"/>
        <w:left w:val="none" w:sz="0" w:space="0" w:color="auto"/>
        <w:bottom w:val="none" w:sz="0" w:space="0" w:color="auto"/>
        <w:right w:val="none" w:sz="0" w:space="0" w:color="auto"/>
      </w:divBdr>
    </w:div>
    <w:div w:id="1400979530">
      <w:bodyDiv w:val="1"/>
      <w:marLeft w:val="0"/>
      <w:marRight w:val="0"/>
      <w:marTop w:val="0"/>
      <w:marBottom w:val="0"/>
      <w:divBdr>
        <w:top w:val="none" w:sz="0" w:space="0" w:color="auto"/>
        <w:left w:val="none" w:sz="0" w:space="0" w:color="auto"/>
        <w:bottom w:val="none" w:sz="0" w:space="0" w:color="auto"/>
        <w:right w:val="none" w:sz="0" w:space="0" w:color="auto"/>
      </w:divBdr>
    </w:div>
    <w:div w:id="1413315920">
      <w:bodyDiv w:val="1"/>
      <w:marLeft w:val="0"/>
      <w:marRight w:val="0"/>
      <w:marTop w:val="0"/>
      <w:marBottom w:val="0"/>
      <w:divBdr>
        <w:top w:val="none" w:sz="0" w:space="0" w:color="auto"/>
        <w:left w:val="none" w:sz="0" w:space="0" w:color="auto"/>
        <w:bottom w:val="none" w:sz="0" w:space="0" w:color="auto"/>
        <w:right w:val="none" w:sz="0" w:space="0" w:color="auto"/>
      </w:divBdr>
    </w:div>
    <w:div w:id="1415082800">
      <w:bodyDiv w:val="1"/>
      <w:marLeft w:val="0"/>
      <w:marRight w:val="0"/>
      <w:marTop w:val="0"/>
      <w:marBottom w:val="0"/>
      <w:divBdr>
        <w:top w:val="none" w:sz="0" w:space="0" w:color="auto"/>
        <w:left w:val="none" w:sz="0" w:space="0" w:color="auto"/>
        <w:bottom w:val="none" w:sz="0" w:space="0" w:color="auto"/>
        <w:right w:val="none" w:sz="0" w:space="0" w:color="auto"/>
      </w:divBdr>
    </w:div>
    <w:div w:id="1513956020">
      <w:bodyDiv w:val="1"/>
      <w:marLeft w:val="0"/>
      <w:marRight w:val="0"/>
      <w:marTop w:val="0"/>
      <w:marBottom w:val="0"/>
      <w:divBdr>
        <w:top w:val="none" w:sz="0" w:space="0" w:color="auto"/>
        <w:left w:val="none" w:sz="0" w:space="0" w:color="auto"/>
        <w:bottom w:val="none" w:sz="0" w:space="0" w:color="auto"/>
        <w:right w:val="none" w:sz="0" w:space="0" w:color="auto"/>
      </w:divBdr>
    </w:div>
    <w:div w:id="1542521580">
      <w:bodyDiv w:val="1"/>
      <w:marLeft w:val="0"/>
      <w:marRight w:val="0"/>
      <w:marTop w:val="0"/>
      <w:marBottom w:val="0"/>
      <w:divBdr>
        <w:top w:val="none" w:sz="0" w:space="0" w:color="auto"/>
        <w:left w:val="none" w:sz="0" w:space="0" w:color="auto"/>
        <w:bottom w:val="none" w:sz="0" w:space="0" w:color="auto"/>
        <w:right w:val="none" w:sz="0" w:space="0" w:color="auto"/>
      </w:divBdr>
    </w:div>
    <w:div w:id="1560288454">
      <w:bodyDiv w:val="1"/>
      <w:marLeft w:val="0"/>
      <w:marRight w:val="0"/>
      <w:marTop w:val="0"/>
      <w:marBottom w:val="0"/>
      <w:divBdr>
        <w:top w:val="none" w:sz="0" w:space="0" w:color="auto"/>
        <w:left w:val="none" w:sz="0" w:space="0" w:color="auto"/>
        <w:bottom w:val="none" w:sz="0" w:space="0" w:color="auto"/>
        <w:right w:val="none" w:sz="0" w:space="0" w:color="auto"/>
      </w:divBdr>
    </w:div>
    <w:div w:id="1570655671">
      <w:bodyDiv w:val="1"/>
      <w:marLeft w:val="0"/>
      <w:marRight w:val="0"/>
      <w:marTop w:val="0"/>
      <w:marBottom w:val="0"/>
      <w:divBdr>
        <w:top w:val="none" w:sz="0" w:space="0" w:color="auto"/>
        <w:left w:val="none" w:sz="0" w:space="0" w:color="auto"/>
        <w:bottom w:val="none" w:sz="0" w:space="0" w:color="auto"/>
        <w:right w:val="none" w:sz="0" w:space="0" w:color="auto"/>
      </w:divBdr>
    </w:div>
    <w:div w:id="1596286057">
      <w:bodyDiv w:val="1"/>
      <w:marLeft w:val="0"/>
      <w:marRight w:val="0"/>
      <w:marTop w:val="0"/>
      <w:marBottom w:val="0"/>
      <w:divBdr>
        <w:top w:val="none" w:sz="0" w:space="0" w:color="auto"/>
        <w:left w:val="none" w:sz="0" w:space="0" w:color="auto"/>
        <w:bottom w:val="none" w:sz="0" w:space="0" w:color="auto"/>
        <w:right w:val="none" w:sz="0" w:space="0" w:color="auto"/>
      </w:divBdr>
    </w:div>
    <w:div w:id="1603800775">
      <w:bodyDiv w:val="1"/>
      <w:marLeft w:val="0"/>
      <w:marRight w:val="0"/>
      <w:marTop w:val="0"/>
      <w:marBottom w:val="0"/>
      <w:divBdr>
        <w:top w:val="none" w:sz="0" w:space="0" w:color="auto"/>
        <w:left w:val="none" w:sz="0" w:space="0" w:color="auto"/>
        <w:bottom w:val="none" w:sz="0" w:space="0" w:color="auto"/>
        <w:right w:val="none" w:sz="0" w:space="0" w:color="auto"/>
      </w:divBdr>
    </w:div>
    <w:div w:id="1671323671">
      <w:bodyDiv w:val="1"/>
      <w:marLeft w:val="0"/>
      <w:marRight w:val="0"/>
      <w:marTop w:val="0"/>
      <w:marBottom w:val="0"/>
      <w:divBdr>
        <w:top w:val="none" w:sz="0" w:space="0" w:color="auto"/>
        <w:left w:val="none" w:sz="0" w:space="0" w:color="auto"/>
        <w:bottom w:val="none" w:sz="0" w:space="0" w:color="auto"/>
        <w:right w:val="none" w:sz="0" w:space="0" w:color="auto"/>
      </w:divBdr>
    </w:div>
    <w:div w:id="1735815281">
      <w:bodyDiv w:val="1"/>
      <w:marLeft w:val="0"/>
      <w:marRight w:val="0"/>
      <w:marTop w:val="0"/>
      <w:marBottom w:val="0"/>
      <w:divBdr>
        <w:top w:val="none" w:sz="0" w:space="0" w:color="auto"/>
        <w:left w:val="none" w:sz="0" w:space="0" w:color="auto"/>
        <w:bottom w:val="none" w:sz="0" w:space="0" w:color="auto"/>
        <w:right w:val="none" w:sz="0" w:space="0" w:color="auto"/>
      </w:divBdr>
    </w:div>
    <w:div w:id="1761173767">
      <w:bodyDiv w:val="1"/>
      <w:marLeft w:val="0"/>
      <w:marRight w:val="0"/>
      <w:marTop w:val="0"/>
      <w:marBottom w:val="0"/>
      <w:divBdr>
        <w:top w:val="none" w:sz="0" w:space="0" w:color="auto"/>
        <w:left w:val="none" w:sz="0" w:space="0" w:color="auto"/>
        <w:bottom w:val="none" w:sz="0" w:space="0" w:color="auto"/>
        <w:right w:val="none" w:sz="0" w:space="0" w:color="auto"/>
      </w:divBdr>
    </w:div>
    <w:div w:id="1772772988">
      <w:bodyDiv w:val="1"/>
      <w:marLeft w:val="0"/>
      <w:marRight w:val="0"/>
      <w:marTop w:val="0"/>
      <w:marBottom w:val="0"/>
      <w:divBdr>
        <w:top w:val="none" w:sz="0" w:space="0" w:color="auto"/>
        <w:left w:val="none" w:sz="0" w:space="0" w:color="auto"/>
        <w:bottom w:val="none" w:sz="0" w:space="0" w:color="auto"/>
        <w:right w:val="none" w:sz="0" w:space="0" w:color="auto"/>
      </w:divBdr>
      <w:divsChild>
        <w:div w:id="1892111522">
          <w:marLeft w:val="0"/>
          <w:marRight w:val="0"/>
          <w:marTop w:val="0"/>
          <w:marBottom w:val="0"/>
          <w:divBdr>
            <w:top w:val="none" w:sz="0" w:space="0" w:color="auto"/>
            <w:left w:val="none" w:sz="0" w:space="0" w:color="auto"/>
            <w:bottom w:val="none" w:sz="0" w:space="0" w:color="auto"/>
            <w:right w:val="none" w:sz="0" w:space="0" w:color="auto"/>
          </w:divBdr>
          <w:divsChild>
            <w:div w:id="1456944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7216488">
      <w:bodyDiv w:val="1"/>
      <w:marLeft w:val="0"/>
      <w:marRight w:val="0"/>
      <w:marTop w:val="0"/>
      <w:marBottom w:val="0"/>
      <w:divBdr>
        <w:top w:val="none" w:sz="0" w:space="0" w:color="auto"/>
        <w:left w:val="none" w:sz="0" w:space="0" w:color="auto"/>
        <w:bottom w:val="none" w:sz="0" w:space="0" w:color="auto"/>
        <w:right w:val="none" w:sz="0" w:space="0" w:color="auto"/>
      </w:divBdr>
    </w:div>
    <w:div w:id="1796174496">
      <w:bodyDiv w:val="1"/>
      <w:marLeft w:val="0"/>
      <w:marRight w:val="0"/>
      <w:marTop w:val="0"/>
      <w:marBottom w:val="0"/>
      <w:divBdr>
        <w:top w:val="none" w:sz="0" w:space="0" w:color="auto"/>
        <w:left w:val="none" w:sz="0" w:space="0" w:color="auto"/>
        <w:bottom w:val="none" w:sz="0" w:space="0" w:color="auto"/>
        <w:right w:val="none" w:sz="0" w:space="0" w:color="auto"/>
      </w:divBdr>
    </w:div>
    <w:div w:id="1802073108">
      <w:bodyDiv w:val="1"/>
      <w:marLeft w:val="0"/>
      <w:marRight w:val="0"/>
      <w:marTop w:val="0"/>
      <w:marBottom w:val="0"/>
      <w:divBdr>
        <w:top w:val="none" w:sz="0" w:space="0" w:color="auto"/>
        <w:left w:val="none" w:sz="0" w:space="0" w:color="auto"/>
        <w:bottom w:val="none" w:sz="0" w:space="0" w:color="auto"/>
        <w:right w:val="none" w:sz="0" w:space="0" w:color="auto"/>
      </w:divBdr>
    </w:div>
    <w:div w:id="1829513472">
      <w:bodyDiv w:val="1"/>
      <w:marLeft w:val="0"/>
      <w:marRight w:val="0"/>
      <w:marTop w:val="0"/>
      <w:marBottom w:val="0"/>
      <w:divBdr>
        <w:top w:val="none" w:sz="0" w:space="0" w:color="auto"/>
        <w:left w:val="none" w:sz="0" w:space="0" w:color="auto"/>
        <w:bottom w:val="none" w:sz="0" w:space="0" w:color="auto"/>
        <w:right w:val="none" w:sz="0" w:space="0" w:color="auto"/>
      </w:divBdr>
      <w:divsChild>
        <w:div w:id="190457151">
          <w:marLeft w:val="0"/>
          <w:marRight w:val="0"/>
          <w:marTop w:val="0"/>
          <w:marBottom w:val="0"/>
          <w:divBdr>
            <w:top w:val="none" w:sz="0" w:space="0" w:color="auto"/>
            <w:left w:val="none" w:sz="0" w:space="0" w:color="auto"/>
            <w:bottom w:val="none" w:sz="0" w:space="0" w:color="auto"/>
            <w:right w:val="none" w:sz="0" w:space="0" w:color="auto"/>
          </w:divBdr>
          <w:divsChild>
            <w:div w:id="1840582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695183">
      <w:bodyDiv w:val="1"/>
      <w:marLeft w:val="0"/>
      <w:marRight w:val="0"/>
      <w:marTop w:val="0"/>
      <w:marBottom w:val="0"/>
      <w:divBdr>
        <w:top w:val="none" w:sz="0" w:space="0" w:color="auto"/>
        <w:left w:val="none" w:sz="0" w:space="0" w:color="auto"/>
        <w:bottom w:val="none" w:sz="0" w:space="0" w:color="auto"/>
        <w:right w:val="none" w:sz="0" w:space="0" w:color="auto"/>
      </w:divBdr>
    </w:div>
    <w:div w:id="1923876996">
      <w:bodyDiv w:val="1"/>
      <w:marLeft w:val="0"/>
      <w:marRight w:val="0"/>
      <w:marTop w:val="0"/>
      <w:marBottom w:val="0"/>
      <w:divBdr>
        <w:top w:val="none" w:sz="0" w:space="0" w:color="auto"/>
        <w:left w:val="none" w:sz="0" w:space="0" w:color="auto"/>
        <w:bottom w:val="none" w:sz="0" w:space="0" w:color="auto"/>
        <w:right w:val="none" w:sz="0" w:space="0" w:color="auto"/>
      </w:divBdr>
    </w:div>
    <w:div w:id="1974098259">
      <w:bodyDiv w:val="1"/>
      <w:marLeft w:val="0"/>
      <w:marRight w:val="0"/>
      <w:marTop w:val="0"/>
      <w:marBottom w:val="0"/>
      <w:divBdr>
        <w:top w:val="none" w:sz="0" w:space="0" w:color="auto"/>
        <w:left w:val="none" w:sz="0" w:space="0" w:color="auto"/>
        <w:bottom w:val="none" w:sz="0" w:space="0" w:color="auto"/>
        <w:right w:val="none" w:sz="0" w:space="0" w:color="auto"/>
      </w:divBdr>
      <w:divsChild>
        <w:div w:id="159007204">
          <w:marLeft w:val="0"/>
          <w:marRight w:val="0"/>
          <w:marTop w:val="0"/>
          <w:marBottom w:val="0"/>
          <w:divBdr>
            <w:top w:val="none" w:sz="0" w:space="0" w:color="auto"/>
            <w:left w:val="none" w:sz="0" w:space="0" w:color="auto"/>
            <w:bottom w:val="none" w:sz="0" w:space="0" w:color="auto"/>
            <w:right w:val="none" w:sz="0" w:space="0" w:color="auto"/>
          </w:divBdr>
          <w:divsChild>
            <w:div w:id="1737818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5644844">
      <w:bodyDiv w:val="1"/>
      <w:marLeft w:val="0"/>
      <w:marRight w:val="0"/>
      <w:marTop w:val="0"/>
      <w:marBottom w:val="0"/>
      <w:divBdr>
        <w:top w:val="none" w:sz="0" w:space="0" w:color="auto"/>
        <w:left w:val="none" w:sz="0" w:space="0" w:color="auto"/>
        <w:bottom w:val="none" w:sz="0" w:space="0" w:color="auto"/>
        <w:right w:val="none" w:sz="0" w:space="0" w:color="auto"/>
      </w:divBdr>
    </w:div>
    <w:div w:id="2116362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2139/ssrn.4017429" TargetMode="External"/><Relationship Id="rId21" Type="http://schemas.openxmlformats.org/officeDocument/2006/relationships/hyperlink" Target="https://doi.org/10.47191/ijcsrr/v7-i7-75" TargetMode="External"/><Relationship Id="rId42" Type="http://schemas.openxmlformats.org/officeDocument/2006/relationships/hyperlink" Target="https://doi.org/10.54254/2754-1169/63/20231431" TargetMode="External"/><Relationship Id="rId47" Type="http://schemas.openxmlformats.org/officeDocument/2006/relationships/hyperlink" Target="https://doi.org/10.2139/ssrn.4402478" TargetMode="External"/><Relationship Id="rId63" Type="http://schemas.openxmlformats.org/officeDocument/2006/relationships/hyperlink" Target="https://doi.org/10.3390/su13073632" TargetMode="External"/><Relationship Id="rId68" Type="http://schemas.openxmlformats.org/officeDocument/2006/relationships/hyperlink" Target="https://doi.org/10.1108/dts-08-2023-0061" TargetMode="External"/><Relationship Id="rId84" Type="http://schemas.openxmlformats.org/officeDocument/2006/relationships/hyperlink" Target="https://doi.org/10.1109/access.2022.3175585" TargetMode="External"/><Relationship Id="rId89" Type="http://schemas.openxmlformats.org/officeDocument/2006/relationships/hyperlink" Target="https://doi.org/10.1177/25166042231202300" TargetMode="External"/><Relationship Id="rId112"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hyperlink" Target="https://doi.org/10.3390/recycling8050078" TargetMode="External"/><Relationship Id="rId107" Type="http://schemas.openxmlformats.org/officeDocument/2006/relationships/hyperlink" Target="https://doi.org/10.54254/2754-1169/102/2024ed0091" TargetMode="External"/><Relationship Id="rId11" Type="http://schemas.openxmlformats.org/officeDocument/2006/relationships/image" Target="media/image4.png"/><Relationship Id="rId24" Type="http://schemas.openxmlformats.org/officeDocument/2006/relationships/hyperlink" Target="https://doi.org/10.2172/1798711" TargetMode="External"/><Relationship Id="rId32" Type="http://schemas.openxmlformats.org/officeDocument/2006/relationships/hyperlink" Target="https://doi.org/10.1057/s41267-021-00405-6" TargetMode="External"/><Relationship Id="rId37" Type="http://schemas.openxmlformats.org/officeDocument/2006/relationships/hyperlink" Target="https://doi.org/10.21203/rs.3.rs-7347669/v1" TargetMode="External"/><Relationship Id="rId40" Type="http://schemas.openxmlformats.org/officeDocument/2006/relationships/hyperlink" Target="https://doi.org/10.3390/futuretransp1020018" TargetMode="External"/><Relationship Id="rId45" Type="http://schemas.openxmlformats.org/officeDocument/2006/relationships/hyperlink" Target="https://doi.org/10.1002/est2.70243" TargetMode="External"/><Relationship Id="rId53" Type="http://schemas.openxmlformats.org/officeDocument/2006/relationships/hyperlink" Target="https://doi.org/10.1002/bsd2.70223" TargetMode="External"/><Relationship Id="rId58" Type="http://schemas.openxmlformats.org/officeDocument/2006/relationships/hyperlink" Target="https://doi.org/10.3390/environments11050097" TargetMode="External"/><Relationship Id="rId66" Type="http://schemas.openxmlformats.org/officeDocument/2006/relationships/hyperlink" Target="https://doi.org/10.51594/ijmer.v6i3.844" TargetMode="External"/><Relationship Id="rId74" Type="http://schemas.openxmlformats.org/officeDocument/2006/relationships/hyperlink" Target="https://doi.org/10.2139/ssrn.4307733" TargetMode="External"/><Relationship Id="rId79" Type="http://schemas.openxmlformats.org/officeDocument/2006/relationships/hyperlink" Target="https://doi.org/10.1177/23197145251379928" TargetMode="External"/><Relationship Id="rId87" Type="http://schemas.openxmlformats.org/officeDocument/2006/relationships/hyperlink" Target="https://doi.org/10.37394/232025.2024.6.7" TargetMode="External"/><Relationship Id="rId102" Type="http://schemas.openxmlformats.org/officeDocument/2006/relationships/hyperlink" Target="https://doi.org/10.53469/jgebf.2024.06(07).16" TargetMode="External"/><Relationship Id="rId110"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doi.org/10.1002/aenm.202102028" TargetMode="External"/><Relationship Id="rId82" Type="http://schemas.openxmlformats.org/officeDocument/2006/relationships/hyperlink" Target="https://doi.org/10.1051/e3sconf/202344909008" TargetMode="External"/><Relationship Id="rId90" Type="http://schemas.openxmlformats.org/officeDocument/2006/relationships/hyperlink" Target="https://doi.org/10.30574/gscarr.2024.18.2.061" TargetMode="External"/><Relationship Id="rId95" Type="http://schemas.openxmlformats.org/officeDocument/2006/relationships/hyperlink" Target="https://doi.org/10.53486/icspm2022.61" TargetMode="External"/><Relationship Id="rId19" Type="http://schemas.openxmlformats.org/officeDocument/2006/relationships/hyperlink" Target="https://doi.org/10.21203/rs.3.rs-7086056/v1" TargetMode="External"/><Relationship Id="rId14" Type="http://schemas.openxmlformats.org/officeDocument/2006/relationships/image" Target="media/image7.jpeg"/><Relationship Id="rId22" Type="http://schemas.openxmlformats.org/officeDocument/2006/relationships/hyperlink" Target="https://doi.org/10.1111/lamp.70036" TargetMode="External"/><Relationship Id="rId27" Type="http://schemas.openxmlformats.org/officeDocument/2006/relationships/hyperlink" Target="https://doi.org/10.2139/ssrn.4017429" TargetMode="External"/><Relationship Id="rId30" Type="http://schemas.openxmlformats.org/officeDocument/2006/relationships/hyperlink" Target="https://doi.org/10.3390/su13084215" TargetMode="External"/><Relationship Id="rId35" Type="http://schemas.openxmlformats.org/officeDocument/2006/relationships/hyperlink" Target="https://doi.org/10.1017/s1474745624000168" TargetMode="External"/><Relationship Id="rId43" Type="http://schemas.openxmlformats.org/officeDocument/2006/relationships/hyperlink" Target="https://doi.org/10.29056/jncist.2021.10.09" TargetMode="External"/><Relationship Id="rId48" Type="http://schemas.openxmlformats.org/officeDocument/2006/relationships/hyperlink" Target="https://doi.org/10.3390/en16227530" TargetMode="External"/><Relationship Id="rId56" Type="http://schemas.openxmlformats.org/officeDocument/2006/relationships/hyperlink" Target="https://doi.org/10.54254/2754-1169/61/20231122" TargetMode="External"/><Relationship Id="rId64" Type="http://schemas.openxmlformats.org/officeDocument/2006/relationships/hyperlink" Target="https://doi.org/10.54254/2754-1169/112/20242477" TargetMode="External"/><Relationship Id="rId69" Type="http://schemas.openxmlformats.org/officeDocument/2006/relationships/hyperlink" Target="https://doi.org/10.21203/rs.3.rs-6973843/v1" TargetMode="External"/><Relationship Id="rId77" Type="http://schemas.openxmlformats.org/officeDocument/2006/relationships/hyperlink" Target="https://doi.org/10.1002/bsd2.70205" TargetMode="External"/><Relationship Id="rId100" Type="http://schemas.openxmlformats.org/officeDocument/2006/relationships/hyperlink" Target="https://doi.org/10.54254/2754-1169/17/20231105" TargetMode="External"/><Relationship Id="rId105" Type="http://schemas.openxmlformats.org/officeDocument/2006/relationships/hyperlink" Target="https://doi.org/10.54254/2754-1169/67/20241266" TargetMode="External"/><Relationship Id="rId8" Type="http://schemas.openxmlformats.org/officeDocument/2006/relationships/image" Target="media/image1.png"/><Relationship Id="rId51" Type="http://schemas.openxmlformats.org/officeDocument/2006/relationships/hyperlink" Target="https://doi.org/10.1002/ieam.4554" TargetMode="External"/><Relationship Id="rId72" Type="http://schemas.openxmlformats.org/officeDocument/2006/relationships/hyperlink" Target="https://doi.org/10.1111/jpim.12677" TargetMode="External"/><Relationship Id="rId80" Type="http://schemas.openxmlformats.org/officeDocument/2006/relationships/hyperlink" Target="https://doi.org/10.1163/9789004686182_013" TargetMode="External"/><Relationship Id="rId85" Type="http://schemas.openxmlformats.org/officeDocument/2006/relationships/hyperlink" Target="https://doi.org/10.2139/ssrn.4220540" TargetMode="External"/><Relationship Id="rId93" Type="http://schemas.openxmlformats.org/officeDocument/2006/relationships/hyperlink" Target="https://doi.org/10.61173/3nnc0k35" TargetMode="External"/><Relationship Id="rId98" Type="http://schemas.openxmlformats.org/officeDocument/2006/relationships/hyperlink" Target="https://doi.org/10.1177/03063127221109605"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doi.org/10.2478/hjbpa-2024-0001" TargetMode="External"/><Relationship Id="rId33" Type="http://schemas.openxmlformats.org/officeDocument/2006/relationships/hyperlink" Target="https://doi.org/10.20944/preprints202101.0423.v1" TargetMode="External"/><Relationship Id="rId38" Type="http://schemas.openxmlformats.org/officeDocument/2006/relationships/hyperlink" Target="https://doi.org/10.54097/es6rry79" TargetMode="External"/><Relationship Id="rId46" Type="http://schemas.openxmlformats.org/officeDocument/2006/relationships/hyperlink" Target="https://doi.org/10.1002/est2.70244" TargetMode="External"/><Relationship Id="rId59" Type="http://schemas.openxmlformats.org/officeDocument/2006/relationships/hyperlink" Target="https://doi.org/10.1504/ijatm.2023.136572" TargetMode="External"/><Relationship Id="rId67" Type="http://schemas.openxmlformats.org/officeDocument/2006/relationships/hyperlink" Target="https://doi.org/10.2478/sbe-2022-0061" TargetMode="External"/><Relationship Id="rId103" Type="http://schemas.openxmlformats.org/officeDocument/2006/relationships/hyperlink" Target="https://doi.org/10.1109/access.2024.3385731" TargetMode="External"/><Relationship Id="rId108" Type="http://schemas.openxmlformats.org/officeDocument/2006/relationships/hyperlink" Target="https://doi.org/10.54097/19x6s270" TargetMode="External"/><Relationship Id="rId20" Type="http://schemas.openxmlformats.org/officeDocument/2006/relationships/hyperlink" Target="https://doi.org/10.26668/businessreview/2024.v9i3.4373" TargetMode="External"/><Relationship Id="rId41" Type="http://schemas.openxmlformats.org/officeDocument/2006/relationships/hyperlink" Target="https://doi.org/10.3389/fenvs.2022.962942" TargetMode="External"/><Relationship Id="rId54" Type="http://schemas.openxmlformats.org/officeDocument/2006/relationships/hyperlink" Target="https://doi.org/10.54097/t0qbn123" TargetMode="External"/><Relationship Id="rId62" Type="http://schemas.openxmlformats.org/officeDocument/2006/relationships/hyperlink" Target="https://doi.org/10.5772/intechopen.107256" TargetMode="External"/><Relationship Id="rId70" Type="http://schemas.openxmlformats.org/officeDocument/2006/relationships/hyperlink" Target="https://doi.org/10.3390/mi16020194" TargetMode="External"/><Relationship Id="rId75" Type="http://schemas.openxmlformats.org/officeDocument/2006/relationships/hyperlink" Target="https://doi.org/10.47191/ijcsrr/v6-i7-58" TargetMode="External"/><Relationship Id="rId83" Type="http://schemas.openxmlformats.org/officeDocument/2006/relationships/hyperlink" Target="https://doi.org/10.54097/3zy8zv26" TargetMode="External"/><Relationship Id="rId88" Type="http://schemas.openxmlformats.org/officeDocument/2006/relationships/hyperlink" Target="https://doi.org/10.1108/bl-04-2022-0070" TargetMode="External"/><Relationship Id="rId91" Type="http://schemas.openxmlformats.org/officeDocument/2006/relationships/hyperlink" Target="https://doi.org/10.4337/9781035307494.00008" TargetMode="External"/><Relationship Id="rId96" Type="http://schemas.openxmlformats.org/officeDocument/2006/relationships/hyperlink" Target="https://doi.org/10.54254/2754-1169/82/20231072" TargetMode="External"/><Relationship Id="rId11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s://doi.org/10.1016/j.jclepro.2020.120659" TargetMode="External"/><Relationship Id="rId28" Type="http://schemas.openxmlformats.org/officeDocument/2006/relationships/hyperlink" Target="https://doi.org/10.1371/journal.pone.0328563" TargetMode="External"/><Relationship Id="rId36" Type="http://schemas.openxmlformats.org/officeDocument/2006/relationships/hyperlink" Target="https://doi.org/10.3390/wevj13100185" TargetMode="External"/><Relationship Id="rId49" Type="http://schemas.openxmlformats.org/officeDocument/2006/relationships/hyperlink" Target="https://doi.org/10.1504/ijatm.2020.10030506" TargetMode="External"/><Relationship Id="rId57" Type="http://schemas.openxmlformats.org/officeDocument/2006/relationships/hyperlink" Target="https://doi.org/10.4108/eai.8-12-2023.2344725" TargetMode="External"/><Relationship Id="rId106" Type="http://schemas.openxmlformats.org/officeDocument/2006/relationships/hyperlink" Target="https://doi.org/10.59953/paperasia.v40i2b.89" TargetMode="External"/><Relationship Id="rId10" Type="http://schemas.openxmlformats.org/officeDocument/2006/relationships/image" Target="media/image3.png"/><Relationship Id="rId31" Type="http://schemas.openxmlformats.org/officeDocument/2006/relationships/hyperlink" Target="https://doi.org/10.2991/978-94-6463-054-1_25" TargetMode="External"/><Relationship Id="rId44" Type="http://schemas.openxmlformats.org/officeDocument/2006/relationships/hyperlink" Target="https://doi.org/10.1002/ev.20633" TargetMode="External"/><Relationship Id="rId52" Type="http://schemas.openxmlformats.org/officeDocument/2006/relationships/hyperlink" Target="https://doi.org/10.3390/su14031606" TargetMode="External"/><Relationship Id="rId60" Type="http://schemas.openxmlformats.org/officeDocument/2006/relationships/hyperlink" Target="https://doi.org/10.1504/ijatm.2023.10060522" TargetMode="External"/><Relationship Id="rId65" Type="http://schemas.openxmlformats.org/officeDocument/2006/relationships/hyperlink" Target="https://doi.org/10.1007/s43615-022-00181-x" TargetMode="External"/><Relationship Id="rId73" Type="http://schemas.openxmlformats.org/officeDocument/2006/relationships/hyperlink" Target="https://doi.org/10.2172/1924236" TargetMode="External"/><Relationship Id="rId78" Type="http://schemas.openxmlformats.org/officeDocument/2006/relationships/hyperlink" Target="https://doi.org/10.2991/978-94-6463-054-1_28" TargetMode="External"/><Relationship Id="rId81" Type="http://schemas.openxmlformats.org/officeDocument/2006/relationships/hyperlink" Target="https://doi.org/10.1186/s13012-024-01367-7" TargetMode="External"/><Relationship Id="rId86" Type="http://schemas.openxmlformats.org/officeDocument/2006/relationships/hyperlink" Target="https://doi.org/10.36941/ajis-2020-0065" TargetMode="External"/><Relationship Id="rId94" Type="http://schemas.openxmlformats.org/officeDocument/2006/relationships/hyperlink" Target="https://doi.org/10.1002/bse.3863" TargetMode="External"/><Relationship Id="rId99" Type="http://schemas.openxmlformats.org/officeDocument/2006/relationships/hyperlink" Target="https://doi.org/10.3390/su15054417" TargetMode="External"/><Relationship Id="rId101" Type="http://schemas.openxmlformats.org/officeDocument/2006/relationships/hyperlink" Target="https://doi.org/10.1002/adma.202203218"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image" Target="media/image11.png"/><Relationship Id="rId39" Type="http://schemas.openxmlformats.org/officeDocument/2006/relationships/hyperlink" Target="https://doi.org/10.36948/ijfmr.2025.v07i01.36703" TargetMode="External"/><Relationship Id="rId109" Type="http://schemas.openxmlformats.org/officeDocument/2006/relationships/footer" Target="footer1.xml"/><Relationship Id="rId34" Type="http://schemas.openxmlformats.org/officeDocument/2006/relationships/hyperlink" Target="https://doi.org/10.35912/jomabs.v1i3.2101" TargetMode="External"/><Relationship Id="rId50" Type="http://schemas.openxmlformats.org/officeDocument/2006/relationships/hyperlink" Target="https://doi.org/10.1002/ieam.4554" TargetMode="External"/><Relationship Id="rId55" Type="http://schemas.openxmlformats.org/officeDocument/2006/relationships/hyperlink" Target="https://doi.org/10.54254/2754-1169/72/20240702" TargetMode="External"/><Relationship Id="rId76" Type="http://schemas.openxmlformats.org/officeDocument/2006/relationships/hyperlink" Target="https://doi.org/10.1002/jsc.2600" TargetMode="External"/><Relationship Id="rId97" Type="http://schemas.openxmlformats.org/officeDocument/2006/relationships/hyperlink" Target="https://doi.org/10.1108/s2044-994120220000015006" TargetMode="External"/><Relationship Id="rId104" Type="http://schemas.openxmlformats.org/officeDocument/2006/relationships/hyperlink" Target="https://doi.org/10.54097/nmap2t62" TargetMode="External"/><Relationship Id="rId7" Type="http://schemas.openxmlformats.org/officeDocument/2006/relationships/endnotes" Target="endnotes.xml"/><Relationship Id="rId71" Type="http://schemas.openxmlformats.org/officeDocument/2006/relationships/hyperlink" Target="https://doi.org/10.1111/jpim.12677" TargetMode="External"/><Relationship Id="rId92" Type="http://schemas.openxmlformats.org/officeDocument/2006/relationships/hyperlink" Target="https://doi.org/10.5937/wbjae2102111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F13844B73D464C6499BD0012CB356D6E"/>
        <w:category>
          <w:name w:val="General"/>
          <w:gallery w:val="placeholder"/>
        </w:category>
        <w:types>
          <w:type w:val="bbPlcHdr"/>
        </w:types>
        <w:behaviors>
          <w:behavior w:val="content"/>
        </w:behaviors>
        <w:guid w:val="{626959C0-D4A8-4F0B-B94C-FCCB692C3272}"/>
      </w:docPartPr>
      <w:docPartBody>
        <w:p w:rsidR="002E1347" w:rsidRDefault="00C15F29" w:rsidP="00C15F29">
          <w:pPr>
            <w:pStyle w:val="F13844B73D464C6499BD0012CB356D6E"/>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variable"/>
    <w:sig w:usb0="20000287" w:usb1="00000003" w:usb2="00000000" w:usb3="00000000" w:csb0="0000019F" w:csb1="00000000"/>
  </w:font>
  <w:font w:name="Aptos Display">
    <w:altName w:val="Arial"/>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5F29"/>
    <w:rsid w:val="001B722F"/>
    <w:rsid w:val="001F0B56"/>
    <w:rsid w:val="002A0ED6"/>
    <w:rsid w:val="002E1347"/>
    <w:rsid w:val="003E07CA"/>
    <w:rsid w:val="00657035"/>
    <w:rsid w:val="0097100A"/>
    <w:rsid w:val="00C15F29"/>
    <w:rsid w:val="00D45085"/>
    <w:rsid w:val="00F67F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13844B73D464C6499BD0012CB356D6E">
    <w:name w:val="F13844B73D464C6499BD0012CB356D6E"/>
    <w:rsid w:val="00C15F29"/>
  </w:style>
  <w:style w:type="paragraph" w:customStyle="1" w:styleId="E5FE0E5C2EF74E3680FBD26E3656E0C9">
    <w:name w:val="E5FE0E5C2EF74E3680FBD26E3656E0C9"/>
    <w:rsid w:val="00C15F2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34FB89-558D-4B1C-BF45-66DB5A7CCD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Pages>1</Pages>
  <Words>10858</Words>
  <Characters>61891</Characters>
  <Application>Microsoft Office Word</Application>
  <DocSecurity>0</DocSecurity>
  <Lines>515</Lines>
  <Paragraphs>145</Paragraphs>
  <ScaleCrop>false</ScaleCrop>
  <HeadingPairs>
    <vt:vector size="2" baseType="variant">
      <vt:variant>
        <vt:lpstr>Title</vt:lpstr>
      </vt:variant>
      <vt:variant>
        <vt:i4>1</vt:i4>
      </vt:variant>
    </vt:vector>
  </HeadingPairs>
  <TitlesOfParts>
    <vt:vector size="1" baseType="lpstr">
      <vt:lpstr>STRATEGIC MANAGEMENT REPORT</vt:lpstr>
    </vt:vector>
  </TitlesOfParts>
  <Company/>
  <LinksUpToDate>false</LinksUpToDate>
  <CharactersWithSpaces>72604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REPORT</dc:title>
  <dc:subject/>
  <dc:creator>pc</dc:creator>
  <cp:keywords/>
  <dc:description/>
  <cp:lastModifiedBy>pc</cp:lastModifiedBy>
  <cp:revision>28</cp:revision>
  <dcterms:created xsi:type="dcterms:W3CDTF">2026-04-30T19:10:00Z</dcterms:created>
  <dcterms:modified xsi:type="dcterms:W3CDTF">2026-04-30T21:54:00Z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5d49216d-02a4-47d6-9051-6d6cf6f3ef71</vt:lpwstr>
  </property>
</Properties>
</file>