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8301D" w14:textId="77777777" w:rsidR="00017AC9" w:rsidRPr="0099167E" w:rsidRDefault="00017AC9" w:rsidP="00017AC9">
      <w:pPr>
        <w:spacing w:line="360" w:lineRule="auto"/>
        <w:rPr>
          <w:rFonts w:ascii="Arial" w:hAnsi="Arial" w:cs="Arial"/>
          <w:sz w:val="36"/>
          <w:szCs w:val="36"/>
        </w:rPr>
      </w:pPr>
      <w:r w:rsidRPr="0099167E">
        <w:rPr>
          <w:rFonts w:ascii="Arial" w:hAnsi="Arial" w:cs="Arial"/>
          <w:sz w:val="36"/>
          <w:szCs w:val="36"/>
        </w:rPr>
        <w:t>Name: Shazad Hussain Shah</w:t>
      </w:r>
    </w:p>
    <w:p w14:paraId="1FAA9749" w14:textId="77777777" w:rsidR="00017AC9" w:rsidRPr="0099167E" w:rsidRDefault="00017AC9" w:rsidP="00017AC9">
      <w:pPr>
        <w:spacing w:line="360" w:lineRule="auto"/>
        <w:rPr>
          <w:rFonts w:ascii="Arial" w:hAnsi="Arial" w:cs="Arial"/>
          <w:sz w:val="36"/>
          <w:szCs w:val="36"/>
        </w:rPr>
      </w:pPr>
      <w:r w:rsidRPr="0099167E">
        <w:rPr>
          <w:rFonts w:ascii="Arial" w:hAnsi="Arial" w:cs="Arial"/>
          <w:sz w:val="36"/>
          <w:szCs w:val="36"/>
        </w:rPr>
        <w:t>Student Number: 2311387</w:t>
      </w:r>
    </w:p>
    <w:p w14:paraId="6E7AA1AF" w14:textId="77777777" w:rsidR="00017AC9" w:rsidRPr="0099167E" w:rsidRDefault="00017AC9" w:rsidP="00017AC9">
      <w:pPr>
        <w:spacing w:line="360" w:lineRule="auto"/>
        <w:rPr>
          <w:rFonts w:ascii="Arial" w:hAnsi="Arial" w:cs="Arial"/>
          <w:sz w:val="36"/>
          <w:szCs w:val="36"/>
        </w:rPr>
      </w:pPr>
      <w:r w:rsidRPr="0099167E">
        <w:rPr>
          <w:rFonts w:ascii="Arial" w:hAnsi="Arial" w:cs="Arial"/>
          <w:sz w:val="36"/>
          <w:szCs w:val="36"/>
        </w:rPr>
        <w:t xml:space="preserve">Module Code and Title: </w:t>
      </w:r>
      <w:r w:rsidRPr="00E12431">
        <w:rPr>
          <w:rFonts w:ascii="Arial" w:hAnsi="Arial" w:cs="Arial"/>
          <w:sz w:val="36"/>
          <w:szCs w:val="36"/>
        </w:rPr>
        <w:t>LCBB5012</w:t>
      </w:r>
      <w:r w:rsidRPr="0099167E">
        <w:rPr>
          <w:rFonts w:ascii="Arial" w:hAnsi="Arial" w:cs="Arial"/>
          <w:sz w:val="36"/>
          <w:szCs w:val="36"/>
        </w:rPr>
        <w:t xml:space="preserve"> / </w:t>
      </w:r>
      <w:r w:rsidRPr="00EA2417">
        <w:rPr>
          <w:rFonts w:ascii="Arial" w:hAnsi="Arial" w:cs="Arial"/>
          <w:sz w:val="36"/>
          <w:szCs w:val="36"/>
        </w:rPr>
        <w:t>Principles of Human Resource Management</w:t>
      </w:r>
    </w:p>
    <w:p w14:paraId="7199B26E" w14:textId="77777777" w:rsidR="00017AC9" w:rsidRDefault="00017AC9" w:rsidP="00017AC9">
      <w:pPr>
        <w:spacing w:line="360" w:lineRule="auto"/>
        <w:rPr>
          <w:rFonts w:ascii="Arial" w:hAnsi="Arial" w:cs="Arial"/>
          <w:sz w:val="36"/>
          <w:szCs w:val="36"/>
        </w:rPr>
      </w:pPr>
      <w:r w:rsidRPr="0099167E">
        <w:rPr>
          <w:rFonts w:ascii="Arial" w:hAnsi="Arial" w:cs="Arial"/>
          <w:sz w:val="36"/>
          <w:szCs w:val="36"/>
        </w:rPr>
        <w:t xml:space="preserve">Lecturer: </w:t>
      </w:r>
      <w:r>
        <w:rPr>
          <w:rFonts w:ascii="Arial" w:hAnsi="Arial" w:cs="Arial"/>
          <w:sz w:val="36"/>
          <w:szCs w:val="36"/>
        </w:rPr>
        <w:t>Nassir Ibrahim</w:t>
      </w:r>
    </w:p>
    <w:p w14:paraId="2CABE0E1" w14:textId="13DB4289" w:rsidR="00017AC9" w:rsidRPr="0099167E" w:rsidRDefault="00017AC9" w:rsidP="00017AC9">
      <w:pPr>
        <w:spacing w:line="360" w:lineRule="auto"/>
        <w:rPr>
          <w:rFonts w:ascii="Arial" w:hAnsi="Arial" w:cs="Arial"/>
          <w:sz w:val="36"/>
          <w:szCs w:val="36"/>
        </w:rPr>
      </w:pPr>
      <w:r>
        <w:rPr>
          <w:rFonts w:ascii="Arial" w:hAnsi="Arial" w:cs="Arial"/>
          <w:sz w:val="36"/>
          <w:szCs w:val="36"/>
        </w:rPr>
        <w:t xml:space="preserve">Title: </w:t>
      </w:r>
      <w:r w:rsidRPr="00017AC9">
        <w:rPr>
          <w:rFonts w:ascii="Arial" w:hAnsi="Arial" w:cs="Arial"/>
          <w:sz w:val="36"/>
          <w:szCs w:val="36"/>
        </w:rPr>
        <w:t>Environmental Factors and the Effectiveness of Human Resource Management at Unilever</w:t>
      </w:r>
    </w:p>
    <w:p w14:paraId="45ED9FB9" w14:textId="546EBE17" w:rsidR="00017AC9" w:rsidRDefault="00017AC9" w:rsidP="00017AC9">
      <w:pPr>
        <w:spacing w:line="360" w:lineRule="auto"/>
        <w:rPr>
          <w:rFonts w:ascii="Arial" w:hAnsi="Arial" w:cs="Arial"/>
          <w:b/>
          <w:bCs/>
        </w:rPr>
      </w:pPr>
    </w:p>
    <w:p w14:paraId="06E16145" w14:textId="77777777" w:rsidR="00017AC9" w:rsidRDefault="00017AC9">
      <w:pPr>
        <w:rPr>
          <w:rFonts w:ascii="Arial" w:hAnsi="Arial" w:cs="Arial"/>
          <w:b/>
          <w:bCs/>
        </w:rPr>
      </w:pPr>
      <w:r>
        <w:rPr>
          <w:rFonts w:ascii="Arial" w:hAnsi="Arial" w:cs="Arial"/>
          <w:b/>
          <w:bCs/>
        </w:rPr>
        <w:br w:type="page"/>
      </w:r>
    </w:p>
    <w:p w14:paraId="2D2EF738" w14:textId="77777777" w:rsidR="00017AC9" w:rsidRDefault="00017AC9" w:rsidP="00017AC9">
      <w:pPr>
        <w:spacing w:line="360" w:lineRule="auto"/>
        <w:rPr>
          <w:rFonts w:ascii="Arial" w:hAnsi="Arial" w:cs="Arial"/>
          <w:b/>
          <w:bCs/>
        </w:rPr>
      </w:pPr>
    </w:p>
    <w:sdt>
      <w:sdtPr>
        <w:rPr>
          <w:rFonts w:asciiTheme="minorHAnsi" w:eastAsiaTheme="minorHAnsi" w:hAnsiTheme="minorHAnsi" w:cstheme="minorBidi"/>
          <w:color w:val="auto"/>
          <w:kern w:val="2"/>
          <w:sz w:val="24"/>
          <w:szCs w:val="24"/>
          <w:lang w:val="en-GB"/>
          <w14:ligatures w14:val="standardContextual"/>
        </w:rPr>
        <w:id w:val="738290310"/>
        <w:docPartObj>
          <w:docPartGallery w:val="Table of Contents"/>
          <w:docPartUnique/>
        </w:docPartObj>
      </w:sdtPr>
      <w:sdtEndPr>
        <w:rPr>
          <w:b/>
          <w:bCs/>
          <w:noProof/>
        </w:rPr>
      </w:sdtEndPr>
      <w:sdtContent>
        <w:p w14:paraId="692DA463" w14:textId="70D77DC4" w:rsidR="00017AC9" w:rsidRDefault="00017AC9">
          <w:pPr>
            <w:pStyle w:val="TOCHeading"/>
          </w:pPr>
          <w:r>
            <w:t>Contents</w:t>
          </w:r>
        </w:p>
        <w:p w14:paraId="3E78FD2C" w14:textId="4AD64405" w:rsidR="00017AC9" w:rsidRDefault="00017AC9">
          <w:pPr>
            <w:pStyle w:val="TOC1"/>
            <w:tabs>
              <w:tab w:val="right" w:leader="dot" w:pos="9016"/>
            </w:tabs>
            <w:rPr>
              <w:noProof/>
            </w:rPr>
          </w:pPr>
          <w:r>
            <w:fldChar w:fldCharType="begin"/>
          </w:r>
          <w:r>
            <w:instrText xml:space="preserve"> TOC \o "1-3" \h \z \u </w:instrText>
          </w:r>
          <w:r>
            <w:fldChar w:fldCharType="separate"/>
          </w:r>
          <w:hyperlink w:anchor="_Toc235215168" w:history="1">
            <w:r w:rsidRPr="005B2BC1">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_Toc235215168 \h </w:instrText>
            </w:r>
            <w:r>
              <w:rPr>
                <w:noProof/>
                <w:webHidden/>
              </w:rPr>
            </w:r>
            <w:r>
              <w:rPr>
                <w:noProof/>
                <w:webHidden/>
              </w:rPr>
              <w:fldChar w:fldCharType="separate"/>
            </w:r>
            <w:r>
              <w:rPr>
                <w:noProof/>
                <w:webHidden/>
              </w:rPr>
              <w:t>3</w:t>
            </w:r>
            <w:r>
              <w:rPr>
                <w:noProof/>
                <w:webHidden/>
              </w:rPr>
              <w:fldChar w:fldCharType="end"/>
            </w:r>
          </w:hyperlink>
        </w:p>
        <w:p w14:paraId="42954A1D" w14:textId="638FA2B1" w:rsidR="00017AC9" w:rsidRDefault="002B49C2">
          <w:pPr>
            <w:pStyle w:val="TOC1"/>
            <w:tabs>
              <w:tab w:val="right" w:leader="dot" w:pos="9016"/>
            </w:tabs>
            <w:rPr>
              <w:noProof/>
            </w:rPr>
          </w:pPr>
          <w:hyperlink w:anchor="_Toc235215169" w:history="1">
            <w:r w:rsidR="00017AC9" w:rsidRPr="005B2BC1">
              <w:rPr>
                <w:rStyle w:val="Hyperlink"/>
                <w:rFonts w:ascii="Arial" w:hAnsi="Arial" w:cs="Arial"/>
                <w:noProof/>
              </w:rPr>
              <w:t>Internal and External Environment</w:t>
            </w:r>
            <w:r w:rsidR="00017AC9">
              <w:rPr>
                <w:noProof/>
                <w:webHidden/>
              </w:rPr>
              <w:tab/>
            </w:r>
            <w:r w:rsidR="00017AC9">
              <w:rPr>
                <w:noProof/>
                <w:webHidden/>
              </w:rPr>
              <w:fldChar w:fldCharType="begin"/>
            </w:r>
            <w:r w:rsidR="00017AC9">
              <w:rPr>
                <w:noProof/>
                <w:webHidden/>
              </w:rPr>
              <w:instrText xml:space="preserve"> PAGEREF _Toc235215169 \h </w:instrText>
            </w:r>
            <w:r w:rsidR="00017AC9">
              <w:rPr>
                <w:noProof/>
                <w:webHidden/>
              </w:rPr>
            </w:r>
            <w:r w:rsidR="00017AC9">
              <w:rPr>
                <w:noProof/>
                <w:webHidden/>
              </w:rPr>
              <w:fldChar w:fldCharType="separate"/>
            </w:r>
            <w:r w:rsidR="00017AC9">
              <w:rPr>
                <w:noProof/>
                <w:webHidden/>
              </w:rPr>
              <w:t>4</w:t>
            </w:r>
            <w:r w:rsidR="00017AC9">
              <w:rPr>
                <w:noProof/>
                <w:webHidden/>
              </w:rPr>
              <w:fldChar w:fldCharType="end"/>
            </w:r>
          </w:hyperlink>
        </w:p>
        <w:p w14:paraId="74491F29" w14:textId="3F474AA0" w:rsidR="00017AC9" w:rsidRDefault="002B49C2">
          <w:pPr>
            <w:pStyle w:val="TOC1"/>
            <w:tabs>
              <w:tab w:val="right" w:leader="dot" w:pos="9016"/>
            </w:tabs>
            <w:rPr>
              <w:noProof/>
            </w:rPr>
          </w:pPr>
          <w:hyperlink w:anchor="_Toc235215170" w:history="1">
            <w:r w:rsidR="00017AC9" w:rsidRPr="005B2BC1">
              <w:rPr>
                <w:rStyle w:val="Hyperlink"/>
                <w:rFonts w:ascii="Arial" w:hAnsi="Arial" w:cs="Arial"/>
                <w:noProof/>
              </w:rPr>
              <w:t>Organisation Application</w:t>
            </w:r>
            <w:r w:rsidR="00017AC9">
              <w:rPr>
                <w:noProof/>
                <w:webHidden/>
              </w:rPr>
              <w:tab/>
            </w:r>
            <w:r w:rsidR="00017AC9">
              <w:rPr>
                <w:noProof/>
                <w:webHidden/>
              </w:rPr>
              <w:fldChar w:fldCharType="begin"/>
            </w:r>
            <w:r w:rsidR="00017AC9">
              <w:rPr>
                <w:noProof/>
                <w:webHidden/>
              </w:rPr>
              <w:instrText xml:space="preserve"> PAGEREF _Toc235215170 \h </w:instrText>
            </w:r>
            <w:r w:rsidR="00017AC9">
              <w:rPr>
                <w:noProof/>
                <w:webHidden/>
              </w:rPr>
            </w:r>
            <w:r w:rsidR="00017AC9">
              <w:rPr>
                <w:noProof/>
                <w:webHidden/>
              </w:rPr>
              <w:fldChar w:fldCharType="separate"/>
            </w:r>
            <w:r w:rsidR="00017AC9">
              <w:rPr>
                <w:noProof/>
                <w:webHidden/>
              </w:rPr>
              <w:t>5</w:t>
            </w:r>
            <w:r w:rsidR="00017AC9">
              <w:rPr>
                <w:noProof/>
                <w:webHidden/>
              </w:rPr>
              <w:fldChar w:fldCharType="end"/>
            </w:r>
          </w:hyperlink>
        </w:p>
        <w:p w14:paraId="343D65ED" w14:textId="7FB93B2D" w:rsidR="00017AC9" w:rsidRDefault="002B49C2">
          <w:pPr>
            <w:pStyle w:val="TOC1"/>
            <w:tabs>
              <w:tab w:val="right" w:leader="dot" w:pos="9016"/>
            </w:tabs>
            <w:rPr>
              <w:noProof/>
            </w:rPr>
          </w:pPr>
          <w:hyperlink w:anchor="_Toc235215171" w:history="1">
            <w:r w:rsidR="00017AC9" w:rsidRPr="005B2BC1">
              <w:rPr>
                <w:rStyle w:val="Hyperlink"/>
                <w:rFonts w:ascii="Arial" w:hAnsi="Arial" w:cs="Arial"/>
                <w:noProof/>
              </w:rPr>
              <w:t>Application of the Model</w:t>
            </w:r>
            <w:r w:rsidR="00017AC9">
              <w:rPr>
                <w:noProof/>
                <w:webHidden/>
              </w:rPr>
              <w:tab/>
            </w:r>
            <w:r w:rsidR="00017AC9">
              <w:rPr>
                <w:noProof/>
                <w:webHidden/>
              </w:rPr>
              <w:fldChar w:fldCharType="begin"/>
            </w:r>
            <w:r w:rsidR="00017AC9">
              <w:rPr>
                <w:noProof/>
                <w:webHidden/>
              </w:rPr>
              <w:instrText xml:space="preserve"> PAGEREF _Toc235215171 \h </w:instrText>
            </w:r>
            <w:r w:rsidR="00017AC9">
              <w:rPr>
                <w:noProof/>
                <w:webHidden/>
              </w:rPr>
            </w:r>
            <w:r w:rsidR="00017AC9">
              <w:rPr>
                <w:noProof/>
                <w:webHidden/>
              </w:rPr>
              <w:fldChar w:fldCharType="separate"/>
            </w:r>
            <w:r w:rsidR="00017AC9">
              <w:rPr>
                <w:noProof/>
                <w:webHidden/>
              </w:rPr>
              <w:t>6</w:t>
            </w:r>
            <w:r w:rsidR="00017AC9">
              <w:rPr>
                <w:noProof/>
                <w:webHidden/>
              </w:rPr>
              <w:fldChar w:fldCharType="end"/>
            </w:r>
          </w:hyperlink>
        </w:p>
        <w:p w14:paraId="327BFCA8" w14:textId="7D64A42D" w:rsidR="00017AC9" w:rsidRDefault="002B49C2">
          <w:pPr>
            <w:pStyle w:val="TOC1"/>
            <w:tabs>
              <w:tab w:val="right" w:leader="dot" w:pos="9016"/>
            </w:tabs>
            <w:rPr>
              <w:noProof/>
            </w:rPr>
          </w:pPr>
          <w:hyperlink w:anchor="_Toc235215172" w:history="1">
            <w:r w:rsidR="00017AC9" w:rsidRPr="005B2BC1">
              <w:rPr>
                <w:rStyle w:val="Hyperlink"/>
                <w:rFonts w:ascii="Arial" w:hAnsi="Arial" w:cs="Arial"/>
                <w:noProof/>
              </w:rPr>
              <w:t>Conclusion</w:t>
            </w:r>
            <w:r w:rsidR="00017AC9">
              <w:rPr>
                <w:noProof/>
                <w:webHidden/>
              </w:rPr>
              <w:tab/>
            </w:r>
            <w:r w:rsidR="00017AC9">
              <w:rPr>
                <w:noProof/>
                <w:webHidden/>
              </w:rPr>
              <w:fldChar w:fldCharType="begin"/>
            </w:r>
            <w:r w:rsidR="00017AC9">
              <w:rPr>
                <w:noProof/>
                <w:webHidden/>
              </w:rPr>
              <w:instrText xml:space="preserve"> PAGEREF _Toc235215172 \h </w:instrText>
            </w:r>
            <w:r w:rsidR="00017AC9">
              <w:rPr>
                <w:noProof/>
                <w:webHidden/>
              </w:rPr>
            </w:r>
            <w:r w:rsidR="00017AC9">
              <w:rPr>
                <w:noProof/>
                <w:webHidden/>
              </w:rPr>
              <w:fldChar w:fldCharType="separate"/>
            </w:r>
            <w:r w:rsidR="00017AC9">
              <w:rPr>
                <w:noProof/>
                <w:webHidden/>
              </w:rPr>
              <w:t>9</w:t>
            </w:r>
            <w:r w:rsidR="00017AC9">
              <w:rPr>
                <w:noProof/>
                <w:webHidden/>
              </w:rPr>
              <w:fldChar w:fldCharType="end"/>
            </w:r>
          </w:hyperlink>
        </w:p>
        <w:p w14:paraId="59987E6A" w14:textId="4A001A01" w:rsidR="00017AC9" w:rsidRDefault="002B49C2">
          <w:pPr>
            <w:pStyle w:val="TOC1"/>
            <w:tabs>
              <w:tab w:val="right" w:leader="dot" w:pos="9016"/>
            </w:tabs>
            <w:rPr>
              <w:noProof/>
            </w:rPr>
          </w:pPr>
          <w:hyperlink w:anchor="_Toc235215173" w:history="1">
            <w:r w:rsidR="00017AC9" w:rsidRPr="005B2BC1">
              <w:rPr>
                <w:rStyle w:val="Hyperlink"/>
                <w:rFonts w:ascii="Arial" w:hAnsi="Arial" w:cs="Arial"/>
                <w:noProof/>
              </w:rPr>
              <w:t>Reference List</w:t>
            </w:r>
            <w:r w:rsidR="00017AC9">
              <w:rPr>
                <w:noProof/>
                <w:webHidden/>
              </w:rPr>
              <w:tab/>
            </w:r>
            <w:r w:rsidR="00017AC9">
              <w:rPr>
                <w:noProof/>
                <w:webHidden/>
              </w:rPr>
              <w:fldChar w:fldCharType="begin"/>
            </w:r>
            <w:r w:rsidR="00017AC9">
              <w:rPr>
                <w:noProof/>
                <w:webHidden/>
              </w:rPr>
              <w:instrText xml:space="preserve"> PAGEREF _Toc235215173 \h </w:instrText>
            </w:r>
            <w:r w:rsidR="00017AC9">
              <w:rPr>
                <w:noProof/>
                <w:webHidden/>
              </w:rPr>
            </w:r>
            <w:r w:rsidR="00017AC9">
              <w:rPr>
                <w:noProof/>
                <w:webHidden/>
              </w:rPr>
              <w:fldChar w:fldCharType="separate"/>
            </w:r>
            <w:r w:rsidR="00017AC9">
              <w:rPr>
                <w:noProof/>
                <w:webHidden/>
              </w:rPr>
              <w:t>11</w:t>
            </w:r>
            <w:r w:rsidR="00017AC9">
              <w:rPr>
                <w:noProof/>
                <w:webHidden/>
              </w:rPr>
              <w:fldChar w:fldCharType="end"/>
            </w:r>
          </w:hyperlink>
        </w:p>
        <w:p w14:paraId="17084C6C" w14:textId="00F2774D" w:rsidR="00017AC9" w:rsidRDefault="00017AC9">
          <w:r>
            <w:rPr>
              <w:b/>
              <w:bCs/>
              <w:noProof/>
            </w:rPr>
            <w:fldChar w:fldCharType="end"/>
          </w:r>
        </w:p>
      </w:sdtContent>
    </w:sdt>
    <w:p w14:paraId="54537AD7" w14:textId="2FA5AA73" w:rsidR="00AA746C" w:rsidRPr="00017AC9" w:rsidRDefault="00017AC9" w:rsidP="00AA746C">
      <w:pPr>
        <w:rPr>
          <w:rFonts w:ascii="Arial" w:hAnsi="Arial" w:cs="Arial"/>
          <w:b/>
          <w:bCs/>
        </w:rPr>
      </w:pPr>
      <w:r>
        <w:rPr>
          <w:rFonts w:ascii="Arial" w:hAnsi="Arial" w:cs="Arial"/>
          <w:b/>
          <w:bCs/>
        </w:rPr>
        <w:br w:type="page"/>
      </w:r>
    </w:p>
    <w:p w14:paraId="38576A09" w14:textId="77777777" w:rsidR="00017AC9" w:rsidRPr="00017AC9" w:rsidRDefault="00017AC9" w:rsidP="00017AC9">
      <w:pPr>
        <w:pStyle w:val="Heading1"/>
        <w:rPr>
          <w:rFonts w:ascii="Arial" w:hAnsi="Arial" w:cs="Arial"/>
        </w:rPr>
      </w:pPr>
      <w:bookmarkStart w:id="0" w:name="_Toc235215168"/>
      <w:r w:rsidRPr="00017AC9">
        <w:rPr>
          <w:rFonts w:ascii="Arial" w:hAnsi="Arial" w:cs="Arial"/>
        </w:rPr>
        <w:lastRenderedPageBreak/>
        <w:t>Introduction</w:t>
      </w:r>
      <w:bookmarkEnd w:id="0"/>
    </w:p>
    <w:p w14:paraId="0C8BAEBE" w14:textId="77777777" w:rsidR="00017AC9" w:rsidRPr="007A7ABC" w:rsidRDefault="00017AC9" w:rsidP="00017AC9">
      <w:pPr>
        <w:spacing w:line="360" w:lineRule="auto"/>
        <w:rPr>
          <w:rFonts w:ascii="Arial" w:hAnsi="Arial" w:cs="Arial"/>
          <w:sz w:val="22"/>
          <w:szCs w:val="22"/>
        </w:rPr>
      </w:pPr>
      <w:r w:rsidRPr="007A7ABC">
        <w:rPr>
          <w:rFonts w:ascii="Arial" w:hAnsi="Arial" w:cs="Arial"/>
          <w:sz w:val="22"/>
          <w:szCs w:val="22"/>
        </w:rPr>
        <w:t>Human resource management (HRM) enables organisations to acquire, develop, motivate and retain the people needed to achieve strategic objectives. Its effectiveness depends on the quality of HR policies and how well those policies respond to internal organisational conditions and external pressures. This is especially important in multinational organisations, where HR managers must maintain global consistency while adapting practices to different legal systems, labour markets and cultural expectations.</w:t>
      </w:r>
    </w:p>
    <w:p w14:paraId="65BB6FD6" w14:textId="6820B3E6" w:rsidR="00017AC9" w:rsidRPr="007A7ABC" w:rsidRDefault="00017AC9" w:rsidP="00017AC9">
      <w:pPr>
        <w:spacing w:line="360" w:lineRule="auto"/>
        <w:rPr>
          <w:rFonts w:ascii="Arial" w:hAnsi="Arial" w:cs="Arial"/>
          <w:sz w:val="22"/>
          <w:szCs w:val="22"/>
        </w:rPr>
      </w:pPr>
      <w:r w:rsidRPr="007A7ABC">
        <w:rPr>
          <w:rFonts w:ascii="Arial" w:hAnsi="Arial" w:cs="Arial"/>
          <w:sz w:val="22"/>
          <w:szCs w:val="22"/>
        </w:rPr>
        <w:t>Four HR functions are particularly important. Recruitment and selection help organisations appoint employees with the required knowledge, skills and behaviours. Effective recruitment reduces vacancy costs, turnover and poor performance. Training and development improve capability, support innovation and prepare employees for technological and organisational change. Performance management aligns individual and team objectives with organisational priorities through target-setting, feedback, appraisal and development. Employee relations support fairness, communication, employee voice, consultation and conflict resolution. Together, these functions influence employee ability, motivation and opportunity to contribute, thereby affecting productivity, engagement and organisational performance (</w:t>
      </w:r>
      <w:proofErr w:type="spellStart"/>
      <w:r w:rsidRPr="007A7ABC">
        <w:rPr>
          <w:rFonts w:ascii="Arial" w:hAnsi="Arial" w:cs="Arial"/>
          <w:sz w:val="22"/>
          <w:szCs w:val="22"/>
        </w:rPr>
        <w:t>Garengo</w:t>
      </w:r>
      <w:proofErr w:type="spellEnd"/>
      <w:r w:rsidRPr="007A7ABC">
        <w:rPr>
          <w:rFonts w:ascii="Arial" w:hAnsi="Arial" w:cs="Arial"/>
          <w:sz w:val="22"/>
          <w:szCs w:val="22"/>
        </w:rPr>
        <w:t xml:space="preserve">, </w:t>
      </w:r>
      <w:bookmarkStart w:id="1" w:name="_Hlk235381371"/>
      <w:r w:rsidR="002B523C" w:rsidRPr="00A82EE5">
        <w:rPr>
          <w:rFonts w:ascii="Arial" w:hAnsi="Arial" w:cs="Arial"/>
          <w:i/>
          <w:iCs/>
          <w:sz w:val="22"/>
          <w:szCs w:val="22"/>
        </w:rPr>
        <w:t>et al</w:t>
      </w:r>
      <w:bookmarkEnd w:id="1"/>
      <w:r w:rsidR="00A82EE5">
        <w:rPr>
          <w:rFonts w:ascii="Arial" w:hAnsi="Arial" w:cs="Arial"/>
          <w:sz w:val="22"/>
          <w:szCs w:val="22"/>
        </w:rPr>
        <w:t>.</w:t>
      </w:r>
      <w:r w:rsidRPr="007A7ABC">
        <w:rPr>
          <w:rFonts w:ascii="Arial" w:hAnsi="Arial" w:cs="Arial"/>
          <w:sz w:val="22"/>
          <w:szCs w:val="22"/>
        </w:rPr>
        <w:t xml:space="preserve">, 2021; </w:t>
      </w:r>
      <w:proofErr w:type="spellStart"/>
      <w:r w:rsidRPr="007A7ABC">
        <w:rPr>
          <w:rFonts w:ascii="Arial" w:hAnsi="Arial" w:cs="Arial"/>
          <w:sz w:val="22"/>
          <w:szCs w:val="22"/>
        </w:rPr>
        <w:t>Alqudah</w:t>
      </w:r>
      <w:proofErr w:type="spellEnd"/>
      <w:r w:rsidRPr="007A7ABC">
        <w:rPr>
          <w:rFonts w:ascii="Arial" w:hAnsi="Arial" w:cs="Arial"/>
          <w:sz w:val="22"/>
          <w:szCs w:val="22"/>
        </w:rPr>
        <w:t xml:space="preserve"> </w:t>
      </w:r>
      <w:r w:rsidRPr="00B4527A">
        <w:rPr>
          <w:rFonts w:ascii="Arial" w:hAnsi="Arial" w:cs="Arial"/>
          <w:i/>
          <w:iCs/>
          <w:sz w:val="22"/>
          <w:szCs w:val="22"/>
        </w:rPr>
        <w:t>et al</w:t>
      </w:r>
      <w:r w:rsidRPr="007A7ABC">
        <w:rPr>
          <w:rFonts w:ascii="Arial" w:hAnsi="Arial" w:cs="Arial"/>
          <w:sz w:val="22"/>
          <w:szCs w:val="22"/>
        </w:rPr>
        <w:t>., 2022).</w:t>
      </w:r>
    </w:p>
    <w:p w14:paraId="279DA234" w14:textId="0B969F2D" w:rsidR="007A7ABC" w:rsidRPr="007A7ABC" w:rsidRDefault="00017AC9" w:rsidP="007A7ABC">
      <w:pPr>
        <w:spacing w:line="360" w:lineRule="auto"/>
        <w:rPr>
          <w:rFonts w:ascii="Arial" w:hAnsi="Arial" w:cs="Arial"/>
        </w:rPr>
      </w:pPr>
      <w:r w:rsidRPr="007A7ABC">
        <w:rPr>
          <w:rFonts w:ascii="Arial" w:hAnsi="Arial" w:cs="Arial"/>
          <w:sz w:val="22"/>
          <w:szCs w:val="22"/>
        </w:rPr>
        <w:t>This report evaluates how environmental factors influence HR managers’ effectiveness at Unilever, a multinational consumer-goods organisation. It applies the PESTLE model to examine political, economic, social, technological, legal and environmental influences. The report first considers the internal and external business environment and evaluates PESTLE’s usefulness and limitations. It then introduces Unilever and its international HR practices. The main section applies the model, compares the United Kingdom and India, and considers institutional differences. The conclusion summarises the findings and reflects on future implications for global HR managers.</w:t>
      </w:r>
      <w:bookmarkStart w:id="2" w:name="_Toc235215169"/>
    </w:p>
    <w:p w14:paraId="23B2E010" w14:textId="77777777" w:rsidR="004F6732" w:rsidRDefault="004F6732" w:rsidP="00017AC9">
      <w:pPr>
        <w:pStyle w:val="Heading1"/>
        <w:rPr>
          <w:rFonts w:ascii="Arial" w:hAnsi="Arial" w:cs="Arial"/>
        </w:rPr>
      </w:pPr>
    </w:p>
    <w:p w14:paraId="45E0EFBD" w14:textId="77777777" w:rsidR="004F6732" w:rsidRDefault="004F6732" w:rsidP="004F6732"/>
    <w:p w14:paraId="5394CFB7" w14:textId="77777777" w:rsidR="004F6732" w:rsidRDefault="004F6732" w:rsidP="004F6732"/>
    <w:p w14:paraId="6320D56E" w14:textId="77777777" w:rsidR="004F6732" w:rsidRPr="004F6732" w:rsidRDefault="004F6732" w:rsidP="004F6732"/>
    <w:p w14:paraId="382303EA" w14:textId="487AA258" w:rsidR="00017AC9" w:rsidRPr="00017AC9" w:rsidRDefault="00017AC9" w:rsidP="00017AC9">
      <w:pPr>
        <w:pStyle w:val="Heading1"/>
        <w:rPr>
          <w:rFonts w:ascii="Arial" w:hAnsi="Arial" w:cs="Arial"/>
        </w:rPr>
      </w:pPr>
      <w:r w:rsidRPr="00017AC9">
        <w:rPr>
          <w:rFonts w:ascii="Arial" w:hAnsi="Arial" w:cs="Arial"/>
        </w:rPr>
        <w:lastRenderedPageBreak/>
        <w:t>Internal and External Environment</w:t>
      </w:r>
      <w:bookmarkEnd w:id="2"/>
    </w:p>
    <w:p w14:paraId="706D118F" w14:textId="77777777" w:rsidR="007A7ABC" w:rsidRPr="007A7ABC" w:rsidRDefault="007A7ABC" w:rsidP="007A7ABC">
      <w:pPr>
        <w:pStyle w:val="isselectedend"/>
        <w:spacing w:line="360" w:lineRule="auto"/>
        <w:rPr>
          <w:rFonts w:ascii="Arial" w:hAnsi="Arial" w:cs="Arial"/>
          <w:sz w:val="22"/>
          <w:szCs w:val="22"/>
        </w:rPr>
      </w:pPr>
      <w:bookmarkStart w:id="3" w:name="_Toc235215170"/>
      <w:r w:rsidRPr="007A7ABC">
        <w:rPr>
          <w:rFonts w:ascii="Arial" w:hAnsi="Arial" w:cs="Arial"/>
          <w:sz w:val="22"/>
          <w:szCs w:val="22"/>
        </w:rPr>
        <w:t xml:space="preserve">The business environment includes external forces beyond an organisation’s direct control and internal conditions that shape its capacity to respond. This report uses PESTLE, which examines political, economic, social, technological, legal and environmental influences. Political factors include government policy, taxation, trade relationships and political stability. Economic factors cover inflation, growth, unemployment, exchange rates and wage levels. Social factors include demographic change, education, cultural values and employee expectations. Technological factors concern artificial intelligence, automation, cybersecurity and digital infrastructure. Legal factors include employment regulation, equality, immigration, data protection and health and safety, while environmental factors encompass climate change, resource scarcity and sustainability pressures (Faisal, 2023; Wood </w:t>
      </w:r>
      <w:r w:rsidRPr="00B4527A">
        <w:rPr>
          <w:rFonts w:ascii="Arial" w:hAnsi="Arial" w:cs="Arial"/>
          <w:i/>
          <w:iCs/>
          <w:sz w:val="22"/>
          <w:szCs w:val="22"/>
        </w:rPr>
        <w:t>et al</w:t>
      </w:r>
      <w:r w:rsidRPr="007A7ABC">
        <w:rPr>
          <w:rFonts w:ascii="Arial" w:hAnsi="Arial" w:cs="Arial"/>
          <w:sz w:val="22"/>
          <w:szCs w:val="22"/>
        </w:rPr>
        <w:t>., 2024).</w:t>
      </w:r>
    </w:p>
    <w:p w14:paraId="23478B1E" w14:textId="51733FE2" w:rsidR="007A7ABC" w:rsidRPr="007A7ABC" w:rsidRDefault="007A7ABC" w:rsidP="007A7ABC">
      <w:pPr>
        <w:pStyle w:val="isselectedend"/>
        <w:spacing w:line="360" w:lineRule="auto"/>
        <w:rPr>
          <w:rFonts w:ascii="Arial" w:hAnsi="Arial" w:cs="Arial"/>
          <w:sz w:val="22"/>
          <w:szCs w:val="22"/>
        </w:rPr>
      </w:pPr>
      <w:r w:rsidRPr="007A7ABC">
        <w:rPr>
          <w:rFonts w:ascii="Arial" w:hAnsi="Arial" w:cs="Arial"/>
          <w:sz w:val="22"/>
          <w:szCs w:val="22"/>
        </w:rPr>
        <w:t>PESTLE is useful because it provides a structured approach to environmental scanning and encourages managers to consider developments that may initially appear separate from HRM. For example, inflation can affect pay expectations and employee retention, immigration restrictions can reduce access to specialist labour, and technological developments can alter workforce skills and recruitment methods. Climate commitments may also create demand for sustainability-related competencies and changes in employee behaviour. By identifying such pressures, PESTLE can support workforce planning, risk identification and strategic HR decision-making rather than limiting HR managers to reactive administrative activities (</w:t>
      </w:r>
      <w:proofErr w:type="spellStart"/>
      <w:r w:rsidRPr="007A7ABC">
        <w:rPr>
          <w:rFonts w:ascii="Arial" w:hAnsi="Arial" w:cs="Arial"/>
          <w:sz w:val="22"/>
          <w:szCs w:val="22"/>
        </w:rPr>
        <w:t>Garengo</w:t>
      </w:r>
      <w:proofErr w:type="spellEnd"/>
      <w:r w:rsidRPr="007A7ABC">
        <w:rPr>
          <w:rFonts w:ascii="Arial" w:hAnsi="Arial" w:cs="Arial"/>
          <w:sz w:val="22"/>
          <w:szCs w:val="22"/>
        </w:rPr>
        <w:t xml:space="preserve"> </w:t>
      </w:r>
      <w:bookmarkStart w:id="4" w:name="_Hlk235381399"/>
      <w:r w:rsidR="00A82EE5" w:rsidRPr="00A82EE5">
        <w:rPr>
          <w:rFonts w:ascii="Arial" w:hAnsi="Arial" w:cs="Arial"/>
          <w:i/>
          <w:iCs/>
          <w:sz w:val="22"/>
          <w:szCs w:val="22"/>
        </w:rPr>
        <w:t>et al</w:t>
      </w:r>
      <w:bookmarkEnd w:id="4"/>
      <w:r w:rsidR="00A82EE5">
        <w:rPr>
          <w:rFonts w:ascii="Arial" w:hAnsi="Arial" w:cs="Arial"/>
          <w:sz w:val="22"/>
          <w:szCs w:val="22"/>
        </w:rPr>
        <w:t>.</w:t>
      </w:r>
      <w:r w:rsidRPr="007A7ABC">
        <w:rPr>
          <w:rFonts w:ascii="Arial" w:hAnsi="Arial" w:cs="Arial"/>
          <w:sz w:val="22"/>
          <w:szCs w:val="22"/>
        </w:rPr>
        <w:t xml:space="preserve">, 2021; </w:t>
      </w:r>
      <w:proofErr w:type="spellStart"/>
      <w:r w:rsidRPr="007A7ABC">
        <w:rPr>
          <w:rFonts w:ascii="Arial" w:hAnsi="Arial" w:cs="Arial"/>
          <w:sz w:val="22"/>
          <w:szCs w:val="22"/>
        </w:rPr>
        <w:t>Papademetriou</w:t>
      </w:r>
      <w:proofErr w:type="spellEnd"/>
      <w:r w:rsidRPr="007A7ABC">
        <w:rPr>
          <w:rFonts w:ascii="Arial" w:hAnsi="Arial" w:cs="Arial"/>
          <w:sz w:val="22"/>
          <w:szCs w:val="22"/>
        </w:rPr>
        <w:t xml:space="preserve">, </w:t>
      </w:r>
      <w:proofErr w:type="spellStart"/>
      <w:r w:rsidRPr="007A7ABC">
        <w:rPr>
          <w:rFonts w:ascii="Arial" w:hAnsi="Arial" w:cs="Arial"/>
          <w:sz w:val="22"/>
          <w:szCs w:val="22"/>
        </w:rPr>
        <w:t>Anastasiadou</w:t>
      </w:r>
      <w:proofErr w:type="spellEnd"/>
      <w:r w:rsidRPr="007A7ABC">
        <w:rPr>
          <w:rFonts w:ascii="Arial" w:hAnsi="Arial" w:cs="Arial"/>
          <w:sz w:val="22"/>
          <w:szCs w:val="22"/>
        </w:rPr>
        <w:t xml:space="preserve"> and </w:t>
      </w:r>
      <w:proofErr w:type="spellStart"/>
      <w:r w:rsidRPr="007A7ABC">
        <w:rPr>
          <w:rFonts w:ascii="Arial" w:hAnsi="Arial" w:cs="Arial"/>
          <w:sz w:val="22"/>
          <w:szCs w:val="22"/>
        </w:rPr>
        <w:t>Konteos</w:t>
      </w:r>
      <w:proofErr w:type="spellEnd"/>
      <w:r w:rsidRPr="007A7ABC">
        <w:rPr>
          <w:rFonts w:ascii="Arial" w:hAnsi="Arial" w:cs="Arial"/>
          <w:sz w:val="22"/>
          <w:szCs w:val="22"/>
        </w:rPr>
        <w:t>, 2025).</w:t>
      </w:r>
    </w:p>
    <w:p w14:paraId="0AB0D498" w14:textId="419F4AFC" w:rsidR="007A7ABC" w:rsidRPr="007A7ABC" w:rsidRDefault="007A7ABC" w:rsidP="007A7ABC">
      <w:pPr>
        <w:pStyle w:val="isselectedend"/>
        <w:spacing w:line="360" w:lineRule="auto"/>
        <w:rPr>
          <w:rFonts w:ascii="Arial" w:hAnsi="Arial" w:cs="Arial"/>
          <w:sz w:val="22"/>
          <w:szCs w:val="22"/>
        </w:rPr>
      </w:pPr>
      <w:r w:rsidRPr="007A7ABC">
        <w:rPr>
          <w:rFonts w:ascii="Arial" w:hAnsi="Arial" w:cs="Arial"/>
          <w:sz w:val="22"/>
          <w:szCs w:val="22"/>
        </w:rPr>
        <w:t>However, PESTLE has several limitations. It may become overly descriptive by producing lists of environmental issues without explaining their relative importance, interaction or likely organisational impact. Its categories are not always distinct. For example, artificial-intelligence regulation may be technological, legal and political, while climate transition may have economic, social, legal and environmental consequences. The model can also provide only a snapshot, despite environmental conditions changing continuously. Furthermore, its external focus means it does not independently assess whether an organisation possesses sufficient resources, leadership, culture or capabilities to respond effectively. PESTLE should therefore be combined with workforce analytics, internal capability assessment, scenario planning and institutional analysis (Chung</w:t>
      </w:r>
      <w:r w:rsidR="005B3BB6">
        <w:rPr>
          <w:rFonts w:ascii="Arial" w:hAnsi="Arial" w:cs="Arial"/>
          <w:sz w:val="22"/>
          <w:szCs w:val="22"/>
        </w:rPr>
        <w:t xml:space="preserve"> and</w:t>
      </w:r>
      <w:r w:rsidRPr="007A7ABC">
        <w:rPr>
          <w:rFonts w:ascii="Arial" w:hAnsi="Arial" w:cs="Arial"/>
          <w:sz w:val="22"/>
          <w:szCs w:val="22"/>
        </w:rPr>
        <w:t xml:space="preserve"> Sparrow, 2024; Wood </w:t>
      </w:r>
      <w:r w:rsidRPr="00B4527A">
        <w:rPr>
          <w:rFonts w:ascii="Arial" w:hAnsi="Arial" w:cs="Arial"/>
          <w:i/>
          <w:iCs/>
          <w:sz w:val="22"/>
          <w:szCs w:val="22"/>
        </w:rPr>
        <w:t>et al</w:t>
      </w:r>
      <w:r w:rsidRPr="007A7ABC">
        <w:rPr>
          <w:rFonts w:ascii="Arial" w:hAnsi="Arial" w:cs="Arial"/>
          <w:sz w:val="22"/>
          <w:szCs w:val="22"/>
        </w:rPr>
        <w:t>., 2024).</w:t>
      </w:r>
    </w:p>
    <w:p w14:paraId="3CD884C4" w14:textId="77777777" w:rsidR="007A7ABC" w:rsidRPr="007A7ABC" w:rsidRDefault="007A7ABC" w:rsidP="007A7ABC">
      <w:pPr>
        <w:pStyle w:val="isselectedend"/>
        <w:spacing w:line="360" w:lineRule="auto"/>
        <w:rPr>
          <w:rFonts w:ascii="Arial" w:hAnsi="Arial" w:cs="Arial"/>
          <w:sz w:val="22"/>
          <w:szCs w:val="22"/>
        </w:rPr>
      </w:pPr>
      <w:r w:rsidRPr="007A7ABC">
        <w:rPr>
          <w:rFonts w:ascii="Arial" w:hAnsi="Arial" w:cs="Arial"/>
          <w:sz w:val="22"/>
          <w:szCs w:val="22"/>
        </w:rPr>
        <w:t xml:space="preserve">The model is directly connected to major HR functions. Recruitment is affected by labour supply, migration policy, employer reputation, wage levels and the availability of selection </w:t>
      </w:r>
      <w:r w:rsidRPr="007A7ABC">
        <w:rPr>
          <w:rFonts w:ascii="Arial" w:hAnsi="Arial" w:cs="Arial"/>
          <w:sz w:val="22"/>
          <w:szCs w:val="22"/>
        </w:rPr>
        <w:lastRenderedPageBreak/>
        <w:t>technologies. Training and development respond to automation, regulatory change, skill shortages and organisational sustainability objectives. Performance management is shaped by organisational strategy and by national expectations relating to hierarchy, feedback and individual or collective performance. Employee relations are influenced by employment legislation, trade-union structures, employee-voice arrangements and wider social expectations concerning fairness and responsible employment (</w:t>
      </w:r>
      <w:proofErr w:type="spellStart"/>
      <w:r w:rsidRPr="007A7ABC">
        <w:rPr>
          <w:rFonts w:ascii="Arial" w:hAnsi="Arial" w:cs="Arial"/>
          <w:sz w:val="22"/>
          <w:szCs w:val="22"/>
        </w:rPr>
        <w:t>Alqudah</w:t>
      </w:r>
      <w:proofErr w:type="spellEnd"/>
      <w:r w:rsidRPr="007A7ABC">
        <w:rPr>
          <w:rFonts w:ascii="Arial" w:hAnsi="Arial" w:cs="Arial"/>
          <w:sz w:val="22"/>
          <w:szCs w:val="22"/>
        </w:rPr>
        <w:t xml:space="preserve"> </w:t>
      </w:r>
      <w:r w:rsidRPr="00B4527A">
        <w:rPr>
          <w:rFonts w:ascii="Arial" w:hAnsi="Arial" w:cs="Arial"/>
          <w:i/>
          <w:iCs/>
          <w:sz w:val="22"/>
          <w:szCs w:val="22"/>
        </w:rPr>
        <w:t>et al</w:t>
      </w:r>
      <w:r w:rsidRPr="007A7ABC">
        <w:rPr>
          <w:rFonts w:ascii="Arial" w:hAnsi="Arial" w:cs="Arial"/>
          <w:sz w:val="22"/>
          <w:szCs w:val="22"/>
        </w:rPr>
        <w:t xml:space="preserve">., 2022; </w:t>
      </w:r>
      <w:proofErr w:type="spellStart"/>
      <w:r w:rsidRPr="007A7ABC">
        <w:rPr>
          <w:rFonts w:ascii="Arial" w:hAnsi="Arial" w:cs="Arial"/>
          <w:sz w:val="22"/>
          <w:szCs w:val="22"/>
        </w:rPr>
        <w:t>Omidi</w:t>
      </w:r>
      <w:proofErr w:type="spellEnd"/>
      <w:r w:rsidRPr="007A7ABC">
        <w:rPr>
          <w:rFonts w:ascii="Arial" w:hAnsi="Arial" w:cs="Arial"/>
          <w:sz w:val="22"/>
          <w:szCs w:val="22"/>
        </w:rPr>
        <w:t xml:space="preserve"> and Dal </w:t>
      </w:r>
      <w:proofErr w:type="spellStart"/>
      <w:r w:rsidRPr="007A7ABC">
        <w:rPr>
          <w:rFonts w:ascii="Arial" w:hAnsi="Arial" w:cs="Arial"/>
          <w:sz w:val="22"/>
          <w:szCs w:val="22"/>
        </w:rPr>
        <w:t>Zotto</w:t>
      </w:r>
      <w:proofErr w:type="spellEnd"/>
      <w:r w:rsidRPr="007A7ABC">
        <w:rPr>
          <w:rFonts w:ascii="Arial" w:hAnsi="Arial" w:cs="Arial"/>
          <w:sz w:val="22"/>
          <w:szCs w:val="22"/>
        </w:rPr>
        <w:t xml:space="preserve">, 2022; </w:t>
      </w:r>
      <w:proofErr w:type="spellStart"/>
      <w:r w:rsidRPr="007A7ABC">
        <w:rPr>
          <w:rFonts w:ascii="Arial" w:hAnsi="Arial" w:cs="Arial"/>
          <w:sz w:val="22"/>
          <w:szCs w:val="22"/>
        </w:rPr>
        <w:t>Peretz</w:t>
      </w:r>
      <w:proofErr w:type="spellEnd"/>
      <w:r w:rsidRPr="007A7ABC">
        <w:rPr>
          <w:rFonts w:ascii="Arial" w:hAnsi="Arial" w:cs="Arial"/>
          <w:sz w:val="22"/>
          <w:szCs w:val="22"/>
        </w:rPr>
        <w:t>, 2024).</w:t>
      </w:r>
    </w:p>
    <w:p w14:paraId="596A19DC" w14:textId="77777777" w:rsidR="007A7ABC" w:rsidRPr="007A7ABC" w:rsidRDefault="007A7ABC" w:rsidP="007A7ABC">
      <w:pPr>
        <w:pStyle w:val="isselectedend"/>
        <w:spacing w:line="360" w:lineRule="auto"/>
        <w:rPr>
          <w:rFonts w:ascii="Arial" w:hAnsi="Arial" w:cs="Arial"/>
          <w:sz w:val="22"/>
          <w:szCs w:val="22"/>
        </w:rPr>
      </w:pPr>
      <w:r w:rsidRPr="007A7ABC">
        <w:rPr>
          <w:rFonts w:ascii="Arial" w:hAnsi="Arial" w:cs="Arial"/>
          <w:sz w:val="22"/>
          <w:szCs w:val="22"/>
        </w:rPr>
        <w:t>Internal factors remain equally important. Organisational strategy determines the skills and behaviours HR must develop, while financial resources influence recruitment, reward and training budgets. Leadership affects whether HR advice is incorporated into strategic decisions, and organisational culture influences trust, innovation, employee voice and willingness to accept change. A multinational organisation may face a similar external skills shortage in two countries but achieve different outcomes because one subsidiary has stronger succession planning, leadership capability or learning systems than the other. Research indicates that coherent HR systems and employee commitment can strengthen organisational readiness for change and improve employee performance (</w:t>
      </w:r>
      <w:proofErr w:type="spellStart"/>
      <w:r w:rsidRPr="007A7ABC">
        <w:rPr>
          <w:rFonts w:ascii="Arial" w:hAnsi="Arial" w:cs="Arial"/>
          <w:sz w:val="22"/>
          <w:szCs w:val="22"/>
        </w:rPr>
        <w:t>Alqudah</w:t>
      </w:r>
      <w:proofErr w:type="spellEnd"/>
      <w:r w:rsidRPr="007A7ABC">
        <w:rPr>
          <w:rFonts w:ascii="Arial" w:hAnsi="Arial" w:cs="Arial"/>
          <w:sz w:val="22"/>
          <w:szCs w:val="22"/>
        </w:rPr>
        <w:t xml:space="preserve"> </w:t>
      </w:r>
      <w:r w:rsidRPr="00B4527A">
        <w:rPr>
          <w:rFonts w:ascii="Arial" w:hAnsi="Arial" w:cs="Arial"/>
          <w:i/>
          <w:iCs/>
          <w:sz w:val="22"/>
          <w:szCs w:val="22"/>
        </w:rPr>
        <w:t>et al</w:t>
      </w:r>
      <w:r w:rsidRPr="007A7ABC">
        <w:rPr>
          <w:rFonts w:ascii="Arial" w:hAnsi="Arial" w:cs="Arial"/>
          <w:sz w:val="22"/>
          <w:szCs w:val="22"/>
        </w:rPr>
        <w:t>., 2022).</w:t>
      </w:r>
    </w:p>
    <w:p w14:paraId="566EF1C6" w14:textId="0103D325" w:rsidR="007A7ABC" w:rsidRPr="007A7ABC" w:rsidRDefault="007A7ABC" w:rsidP="007A7ABC">
      <w:pPr>
        <w:pStyle w:val="isselectedend"/>
        <w:spacing w:line="360" w:lineRule="auto"/>
        <w:rPr>
          <w:rFonts w:ascii="Arial" w:hAnsi="Arial" w:cs="Arial"/>
          <w:sz w:val="22"/>
          <w:szCs w:val="22"/>
        </w:rPr>
      </w:pPr>
      <w:r w:rsidRPr="007A7ABC">
        <w:rPr>
          <w:rFonts w:ascii="Arial" w:hAnsi="Arial" w:cs="Arial"/>
          <w:sz w:val="22"/>
          <w:szCs w:val="22"/>
        </w:rPr>
        <w:t xml:space="preserve">Institutional theory strengthens PESTLE by explaining why HR practices differ between national settings. Regulatory institutions establish legal obligations, normative institutions create accepted standards of employment practice, and cultural-cognitive institutions influence assumptions about hierarchy, authority and fairness. Multinational organisations must therefore balance global integration with local responsiveness rather than simply transferring headquarters practices without modification. Subsidiaries interpret and adapt global HR policies according to local regulations, labour-market conditions and social expectations </w:t>
      </w:r>
      <w:r w:rsidR="0072679E" w:rsidRPr="0072679E">
        <w:rPr>
          <w:rFonts w:ascii="Arial" w:hAnsi="Arial" w:cs="Arial"/>
          <w:sz w:val="22"/>
          <w:szCs w:val="22"/>
        </w:rPr>
        <w:t>(Chung and Sparrow</w:t>
      </w:r>
      <w:r w:rsidRPr="007A7ABC">
        <w:rPr>
          <w:rFonts w:ascii="Arial" w:hAnsi="Arial" w:cs="Arial"/>
          <w:sz w:val="22"/>
          <w:szCs w:val="22"/>
        </w:rPr>
        <w:t xml:space="preserve">, 2024; Wood </w:t>
      </w:r>
      <w:r w:rsidRPr="00B4527A">
        <w:rPr>
          <w:rFonts w:ascii="Arial" w:hAnsi="Arial" w:cs="Arial"/>
          <w:i/>
          <w:iCs/>
          <w:sz w:val="22"/>
          <w:szCs w:val="22"/>
        </w:rPr>
        <w:t>et al</w:t>
      </w:r>
      <w:r w:rsidRPr="007A7ABC">
        <w:rPr>
          <w:rFonts w:ascii="Arial" w:hAnsi="Arial" w:cs="Arial"/>
          <w:sz w:val="22"/>
          <w:szCs w:val="22"/>
        </w:rPr>
        <w:t>., 2024).</w:t>
      </w:r>
    </w:p>
    <w:p w14:paraId="793E257F" w14:textId="77777777" w:rsidR="007A7ABC" w:rsidRPr="007A7ABC" w:rsidRDefault="007A7ABC" w:rsidP="007A7ABC">
      <w:pPr>
        <w:pStyle w:val="NormalWeb"/>
        <w:spacing w:line="360" w:lineRule="auto"/>
        <w:rPr>
          <w:rFonts w:ascii="Arial" w:hAnsi="Arial" w:cs="Arial"/>
          <w:sz w:val="22"/>
          <w:szCs w:val="22"/>
        </w:rPr>
      </w:pPr>
      <w:r w:rsidRPr="007A7ABC">
        <w:rPr>
          <w:rFonts w:ascii="Arial" w:hAnsi="Arial" w:cs="Arial"/>
          <w:sz w:val="22"/>
          <w:szCs w:val="22"/>
        </w:rPr>
        <w:t>PESTLE can also contribute to practical HR implementation. Environmental findings should be converted into prioritised actions, identified responsibilities, measurable indicators and review dates. In recruitment, this may involve revising job descriptions to include emerging digital or environmental competencies, reviewing selection methods for legal and technological risks, and designing training to address identified capability gaps. Without this implementation stage, the model may identify important environmental pressures but fail to improve workforce decisions or organisational outcomes.</w:t>
      </w:r>
    </w:p>
    <w:p w14:paraId="15B403D8" w14:textId="77777777" w:rsidR="00017AC9" w:rsidRPr="00017AC9" w:rsidRDefault="00017AC9" w:rsidP="00017AC9">
      <w:pPr>
        <w:pStyle w:val="Heading1"/>
        <w:rPr>
          <w:rFonts w:ascii="Arial" w:hAnsi="Arial" w:cs="Arial"/>
        </w:rPr>
      </w:pPr>
      <w:r w:rsidRPr="00017AC9">
        <w:rPr>
          <w:rFonts w:ascii="Arial" w:hAnsi="Arial" w:cs="Arial"/>
        </w:rPr>
        <w:lastRenderedPageBreak/>
        <w:t>Organisation Application</w:t>
      </w:r>
      <w:bookmarkEnd w:id="3"/>
    </w:p>
    <w:p w14:paraId="36042460" w14:textId="0256F1FA" w:rsidR="00017AC9" w:rsidRPr="00FA2E51" w:rsidRDefault="00B2029E" w:rsidP="00017AC9">
      <w:pPr>
        <w:spacing w:line="360" w:lineRule="auto"/>
        <w:rPr>
          <w:rFonts w:ascii="Arial" w:hAnsi="Arial" w:cs="Arial"/>
          <w:sz w:val="22"/>
          <w:szCs w:val="22"/>
        </w:rPr>
      </w:pPr>
      <w:r w:rsidRPr="00B2029E">
        <w:rPr>
          <w:rFonts w:ascii="Arial" w:hAnsi="Arial" w:cs="Arial"/>
          <w:sz w:val="22"/>
          <w:szCs w:val="22"/>
        </w:rPr>
        <w:t xml:space="preserve">Unilever is a multinational fast-moving consumer-goods organisation operating across major international markets. Its portfolio includes products in beauty and well-being, personal care, home care and food. The organisation sells brands across Europe, Asia, Africa and the Americas and employs people in manufacturing, research, supply-chain management, marketing, sales and digital commerce. Its international scale makes HRM strategically important because workforce capability, leadership and employee engagement influence innovation, operational efficiency and brand performance (Unilever, 2025; Wood </w:t>
      </w:r>
      <w:r w:rsidRPr="004D2621">
        <w:rPr>
          <w:rFonts w:ascii="Arial" w:hAnsi="Arial" w:cs="Arial"/>
          <w:i/>
          <w:iCs/>
          <w:sz w:val="22"/>
          <w:szCs w:val="22"/>
        </w:rPr>
        <w:t>et al</w:t>
      </w:r>
      <w:r w:rsidRPr="00B2029E">
        <w:rPr>
          <w:rFonts w:ascii="Arial" w:hAnsi="Arial" w:cs="Arial"/>
          <w:sz w:val="22"/>
          <w:szCs w:val="22"/>
        </w:rPr>
        <w:t>., 2024)</w:t>
      </w:r>
      <w:r w:rsidR="00017AC9" w:rsidRPr="00FA2E51">
        <w:rPr>
          <w:rFonts w:ascii="Arial" w:hAnsi="Arial" w:cs="Arial"/>
          <w:sz w:val="22"/>
          <w:szCs w:val="22"/>
        </w:rPr>
        <w:t>.</w:t>
      </w:r>
    </w:p>
    <w:p w14:paraId="1B930ECB" w14:textId="1A6103A9" w:rsidR="0058203C" w:rsidRDefault="00BE5D77" w:rsidP="00017AC9">
      <w:pPr>
        <w:spacing w:line="360" w:lineRule="auto"/>
        <w:rPr>
          <w:rFonts w:ascii="Arial" w:hAnsi="Arial" w:cs="Arial"/>
          <w:sz w:val="22"/>
          <w:szCs w:val="22"/>
        </w:rPr>
      </w:pPr>
      <w:r w:rsidRPr="00BE5D77">
        <w:rPr>
          <w:rFonts w:ascii="Arial" w:hAnsi="Arial" w:cs="Arial"/>
          <w:sz w:val="22"/>
          <w:szCs w:val="22"/>
        </w:rPr>
        <w:t xml:space="preserve">Unilever’s recruitment practices combine global employer branding with country-specific sourcing and selection. Digital recruitment supports access to larger talent pools, while local HR teams adapt advertisements, contracts and assessment processes to national labour markets and legal requirements. Training and development include digital learning, leadership development, on-the-job experience and reskilling for changing technologies and business models. The organisation also requires capabilities in sustainability, data analysis, e-commerce and innovation, reflecting the growing importance of digital transformation and future-focused workforce development in multinational organisations (Akter </w:t>
      </w:r>
      <w:r w:rsidRPr="004D2621">
        <w:rPr>
          <w:rFonts w:ascii="Arial" w:hAnsi="Arial" w:cs="Arial"/>
          <w:i/>
          <w:iCs/>
          <w:sz w:val="22"/>
          <w:szCs w:val="22"/>
        </w:rPr>
        <w:t>et al</w:t>
      </w:r>
      <w:r w:rsidRPr="00BE5D77">
        <w:rPr>
          <w:rFonts w:ascii="Arial" w:hAnsi="Arial" w:cs="Arial"/>
          <w:sz w:val="22"/>
          <w:szCs w:val="22"/>
        </w:rPr>
        <w:t>., 202</w:t>
      </w:r>
      <w:r w:rsidR="00733833">
        <w:rPr>
          <w:rFonts w:ascii="Arial" w:hAnsi="Arial" w:cs="Arial"/>
          <w:sz w:val="22"/>
          <w:szCs w:val="22"/>
        </w:rPr>
        <w:t>3</w:t>
      </w:r>
      <w:r w:rsidRPr="00BE5D77">
        <w:rPr>
          <w:rFonts w:ascii="Arial" w:hAnsi="Arial" w:cs="Arial"/>
          <w:sz w:val="22"/>
          <w:szCs w:val="22"/>
        </w:rPr>
        <w:t xml:space="preserve">; </w:t>
      </w:r>
      <w:r w:rsidR="00CA2AE5" w:rsidRPr="00CA2AE5">
        <w:rPr>
          <w:rFonts w:ascii="Arial" w:hAnsi="Arial" w:cs="Arial"/>
          <w:sz w:val="22"/>
          <w:szCs w:val="22"/>
        </w:rPr>
        <w:t xml:space="preserve">Khatoon </w:t>
      </w:r>
      <w:r w:rsidR="00CA2AE5" w:rsidRPr="00CA2AE5">
        <w:rPr>
          <w:rFonts w:ascii="Arial" w:hAnsi="Arial" w:cs="Arial"/>
          <w:i/>
          <w:iCs/>
          <w:sz w:val="22"/>
          <w:szCs w:val="22"/>
        </w:rPr>
        <w:t>et al</w:t>
      </w:r>
      <w:r w:rsidR="00CA2AE5" w:rsidRPr="00CA2AE5">
        <w:rPr>
          <w:rFonts w:ascii="Arial" w:hAnsi="Arial" w:cs="Arial"/>
          <w:sz w:val="22"/>
          <w:szCs w:val="22"/>
        </w:rPr>
        <w:t>.,</w:t>
      </w:r>
      <w:r w:rsidR="00CA2AE5">
        <w:rPr>
          <w:rFonts w:ascii="Arial" w:hAnsi="Arial" w:cs="Arial"/>
          <w:sz w:val="22"/>
          <w:szCs w:val="22"/>
        </w:rPr>
        <w:t xml:space="preserve"> </w:t>
      </w:r>
      <w:r w:rsidRPr="00BE5D77">
        <w:rPr>
          <w:rFonts w:ascii="Arial" w:hAnsi="Arial" w:cs="Arial"/>
          <w:sz w:val="22"/>
          <w:szCs w:val="22"/>
        </w:rPr>
        <w:t>2025; Unilever, 2025).</w:t>
      </w:r>
    </w:p>
    <w:p w14:paraId="511A218D" w14:textId="44C6D981" w:rsidR="00017AC9" w:rsidRPr="00FA2E51" w:rsidRDefault="00017AC9" w:rsidP="00017AC9">
      <w:pPr>
        <w:spacing w:line="360" w:lineRule="auto"/>
        <w:rPr>
          <w:rFonts w:ascii="Arial" w:hAnsi="Arial" w:cs="Arial"/>
          <w:sz w:val="22"/>
          <w:szCs w:val="22"/>
        </w:rPr>
      </w:pPr>
      <w:r w:rsidRPr="00FA2E51">
        <w:rPr>
          <w:rFonts w:ascii="Arial" w:hAnsi="Arial" w:cs="Arial"/>
          <w:sz w:val="22"/>
          <w:szCs w:val="22"/>
        </w:rPr>
        <w:t>Performance management links individual and team objectives to business priorities, supported by feedback and development discussions. Employee relations are managed through employee-listening mechanisms, consultation, grievance procedures and local engagement with employee representatives. Unilever’s annual reporting identifies culture, organisational capability, employee engagement and leadership as important enablers of strategy (Unilever, 2025).</w:t>
      </w:r>
    </w:p>
    <w:p w14:paraId="7285FBF5" w14:textId="2C4E69A8" w:rsidR="00017AC9" w:rsidRPr="00FA2E51" w:rsidRDefault="0058203C" w:rsidP="00017AC9">
      <w:pPr>
        <w:spacing w:line="360" w:lineRule="auto"/>
        <w:rPr>
          <w:rFonts w:ascii="Arial" w:hAnsi="Arial" w:cs="Arial"/>
          <w:sz w:val="22"/>
          <w:szCs w:val="22"/>
        </w:rPr>
      </w:pPr>
      <w:r w:rsidRPr="0058203C">
        <w:rPr>
          <w:rFonts w:ascii="Arial" w:hAnsi="Arial" w:cs="Arial"/>
          <w:sz w:val="22"/>
          <w:szCs w:val="22"/>
        </w:rPr>
        <w:t xml:space="preserve">These practices require both standardisation and adaptation. Global values, ethical standards, leadership expectations and performance principles support organisational consistency, while remuneration, benefits, working arrangements, consultation procedures and employment documentation must reflect local institutions. HR managers therefore act as strategic partners and institutional interpreters, ensuring that global policies remain legally compliant, culturally credible and operationally effective in each country and operational setting. This balance between global integration and local responsiveness is a central challenge in international HRM </w:t>
      </w:r>
      <w:r w:rsidR="00953F36" w:rsidRPr="00953F36">
        <w:rPr>
          <w:rFonts w:ascii="Arial" w:hAnsi="Arial" w:cs="Arial"/>
          <w:sz w:val="22"/>
          <w:szCs w:val="22"/>
        </w:rPr>
        <w:t>(Chung and Sparrow</w:t>
      </w:r>
      <w:r w:rsidRPr="0058203C">
        <w:rPr>
          <w:rFonts w:ascii="Arial" w:hAnsi="Arial" w:cs="Arial"/>
          <w:sz w:val="22"/>
          <w:szCs w:val="22"/>
        </w:rPr>
        <w:t xml:space="preserve">, 2024; Wood </w:t>
      </w:r>
      <w:r w:rsidRPr="004D2621">
        <w:rPr>
          <w:rFonts w:ascii="Arial" w:hAnsi="Arial" w:cs="Arial"/>
          <w:i/>
          <w:iCs/>
          <w:sz w:val="22"/>
          <w:szCs w:val="22"/>
        </w:rPr>
        <w:t>et al</w:t>
      </w:r>
      <w:r w:rsidRPr="0058203C">
        <w:rPr>
          <w:rFonts w:ascii="Arial" w:hAnsi="Arial" w:cs="Arial"/>
          <w:sz w:val="22"/>
          <w:szCs w:val="22"/>
        </w:rPr>
        <w:t>., 2024)</w:t>
      </w:r>
      <w:r w:rsidR="00017AC9" w:rsidRPr="00FA2E51">
        <w:rPr>
          <w:rFonts w:ascii="Arial" w:hAnsi="Arial" w:cs="Arial"/>
          <w:sz w:val="22"/>
          <w:szCs w:val="22"/>
        </w:rPr>
        <w:t>.</w:t>
      </w:r>
    </w:p>
    <w:p w14:paraId="00911782" w14:textId="77777777" w:rsidR="00B0740B" w:rsidRDefault="00B0740B" w:rsidP="00B0740B">
      <w:bookmarkStart w:id="5" w:name="_Toc235215171"/>
    </w:p>
    <w:p w14:paraId="76A9BC1D" w14:textId="77777777" w:rsidR="00B0740B" w:rsidRPr="00B0740B" w:rsidRDefault="00B0740B" w:rsidP="00B0740B"/>
    <w:p w14:paraId="191FC8C3" w14:textId="671A21E2" w:rsidR="00017AC9" w:rsidRPr="00017AC9" w:rsidRDefault="00017AC9" w:rsidP="00017AC9">
      <w:pPr>
        <w:pStyle w:val="Heading1"/>
        <w:rPr>
          <w:rFonts w:ascii="Arial" w:hAnsi="Arial" w:cs="Arial"/>
        </w:rPr>
      </w:pPr>
      <w:r w:rsidRPr="00017AC9">
        <w:rPr>
          <w:rFonts w:ascii="Arial" w:hAnsi="Arial" w:cs="Arial"/>
        </w:rPr>
        <w:lastRenderedPageBreak/>
        <w:t>Application of the Model</w:t>
      </w:r>
      <w:bookmarkEnd w:id="5"/>
    </w:p>
    <w:p w14:paraId="7A9C6257" w14:textId="77777777" w:rsidR="004F11D2" w:rsidRPr="004F11D2" w:rsidRDefault="004F11D2" w:rsidP="004F11D2">
      <w:pPr>
        <w:pStyle w:val="isselectedend"/>
        <w:spacing w:line="360" w:lineRule="auto"/>
        <w:rPr>
          <w:rFonts w:ascii="Arial" w:hAnsi="Arial" w:cs="Arial"/>
          <w:sz w:val="22"/>
          <w:szCs w:val="22"/>
        </w:rPr>
      </w:pPr>
      <w:bookmarkStart w:id="6" w:name="_Toc235215172"/>
      <w:r w:rsidRPr="004F11D2">
        <w:rPr>
          <w:rFonts w:ascii="Arial" w:hAnsi="Arial" w:cs="Arial"/>
          <w:sz w:val="22"/>
          <w:szCs w:val="22"/>
        </w:rPr>
        <w:t xml:space="preserve">Political factors influence workforce mobility, investment and organisational legitimacy. Trade barriers, geopolitical conflict and immigration policies can disrupt supply chains and restrict access to specialist talent. Unilever’s HR managers must therefore develop local succession pipelines and reduce reliance on internationally mobile employees. Workforce-localisation policies may also require targeted recruitment, apprenticeships and knowledge transfer. These are most effective when supported by genuine development and career progression rather than numerical targets alone (Darwish </w:t>
      </w:r>
      <w:r w:rsidRPr="004D2621">
        <w:rPr>
          <w:rFonts w:ascii="Arial" w:hAnsi="Arial" w:cs="Arial"/>
          <w:i/>
          <w:iCs/>
          <w:sz w:val="22"/>
          <w:szCs w:val="22"/>
        </w:rPr>
        <w:t>et al</w:t>
      </w:r>
      <w:r w:rsidRPr="004F11D2">
        <w:rPr>
          <w:rFonts w:ascii="Arial" w:hAnsi="Arial" w:cs="Arial"/>
          <w:sz w:val="22"/>
          <w:szCs w:val="22"/>
        </w:rPr>
        <w:t>., 2023).</w:t>
      </w:r>
    </w:p>
    <w:p w14:paraId="5C75AEF8" w14:textId="77777777" w:rsidR="004F11D2" w:rsidRPr="004F11D2" w:rsidRDefault="004F11D2" w:rsidP="004F11D2">
      <w:pPr>
        <w:pStyle w:val="isselectedend"/>
        <w:spacing w:line="360" w:lineRule="auto"/>
        <w:rPr>
          <w:rFonts w:ascii="Arial" w:hAnsi="Arial" w:cs="Arial"/>
          <w:sz w:val="22"/>
          <w:szCs w:val="22"/>
        </w:rPr>
      </w:pPr>
      <w:r w:rsidRPr="004F11D2">
        <w:rPr>
          <w:rFonts w:ascii="Arial" w:hAnsi="Arial" w:cs="Arial"/>
          <w:sz w:val="22"/>
          <w:szCs w:val="22"/>
        </w:rPr>
        <w:t>Economic factors affect pay, recruitment, restructuring and retention. Inflation increases pressure for salary adjustments, while exchange-rate movements complicate international reward comparisons. Shortages in digital, engineering and sustainability skills can increase recruitment costs despite high general unemployment. HR managers must decide whether to develop employees, recruit externally or use temporary expertise. Although cost reductions may improve efficiency, poorly managed redundancies can damage trust and reputation. Fair consultation, transparent selection and retraining can maintain readiness for change (</w:t>
      </w:r>
      <w:proofErr w:type="spellStart"/>
      <w:r w:rsidRPr="004F11D2">
        <w:rPr>
          <w:rFonts w:ascii="Arial" w:hAnsi="Arial" w:cs="Arial"/>
          <w:sz w:val="22"/>
          <w:szCs w:val="22"/>
        </w:rPr>
        <w:t>Alqudah</w:t>
      </w:r>
      <w:proofErr w:type="spellEnd"/>
      <w:r w:rsidRPr="004F11D2">
        <w:rPr>
          <w:rFonts w:ascii="Arial" w:hAnsi="Arial" w:cs="Arial"/>
          <w:sz w:val="22"/>
          <w:szCs w:val="22"/>
        </w:rPr>
        <w:t xml:space="preserve"> </w:t>
      </w:r>
      <w:r w:rsidRPr="004D2621">
        <w:rPr>
          <w:rFonts w:ascii="Arial" w:hAnsi="Arial" w:cs="Arial"/>
          <w:i/>
          <w:iCs/>
          <w:sz w:val="22"/>
          <w:szCs w:val="22"/>
        </w:rPr>
        <w:t>et al</w:t>
      </w:r>
      <w:r w:rsidRPr="004F11D2">
        <w:rPr>
          <w:rFonts w:ascii="Arial" w:hAnsi="Arial" w:cs="Arial"/>
          <w:sz w:val="22"/>
          <w:szCs w:val="22"/>
        </w:rPr>
        <w:t>., 2022).</w:t>
      </w:r>
    </w:p>
    <w:p w14:paraId="29C65A9A" w14:textId="77777777" w:rsidR="004F11D2" w:rsidRPr="004F11D2" w:rsidRDefault="004F11D2" w:rsidP="004F11D2">
      <w:pPr>
        <w:pStyle w:val="isselectedend"/>
        <w:spacing w:line="360" w:lineRule="auto"/>
        <w:rPr>
          <w:rFonts w:ascii="Arial" w:hAnsi="Arial" w:cs="Arial"/>
          <w:sz w:val="22"/>
          <w:szCs w:val="22"/>
        </w:rPr>
      </w:pPr>
      <w:r w:rsidRPr="004F11D2">
        <w:rPr>
          <w:rFonts w:ascii="Arial" w:hAnsi="Arial" w:cs="Arial"/>
          <w:sz w:val="22"/>
          <w:szCs w:val="22"/>
        </w:rPr>
        <w:t>Social factors shape employee expectations and employer attractiveness. Candidates increasingly value flexibility, inclusion, well-being, development and credible sustainability commitments. Unilever should use inclusive job descriptions and avoid vague criteria such as “cultural fit”, which may disadvantage diverse candidates. Innovation roles should have clear job descriptions, person specifications, scoring matrices and reasonable-adjustment information. Structured interviews, trained panels and consistent scoring can improve fairness and ensure decisions reflect relevant skills rather than subjective judgement (</w:t>
      </w:r>
      <w:proofErr w:type="spellStart"/>
      <w:r w:rsidRPr="004F11D2">
        <w:rPr>
          <w:rFonts w:ascii="Arial" w:hAnsi="Arial" w:cs="Arial"/>
          <w:sz w:val="22"/>
          <w:szCs w:val="22"/>
        </w:rPr>
        <w:t>Omidi</w:t>
      </w:r>
      <w:proofErr w:type="spellEnd"/>
      <w:r w:rsidRPr="004F11D2">
        <w:rPr>
          <w:rFonts w:ascii="Arial" w:hAnsi="Arial" w:cs="Arial"/>
          <w:sz w:val="22"/>
          <w:szCs w:val="22"/>
        </w:rPr>
        <w:t xml:space="preserve"> and Dal </w:t>
      </w:r>
      <w:proofErr w:type="spellStart"/>
      <w:r w:rsidRPr="004F11D2">
        <w:rPr>
          <w:rFonts w:ascii="Arial" w:hAnsi="Arial" w:cs="Arial"/>
          <w:sz w:val="22"/>
          <w:szCs w:val="22"/>
        </w:rPr>
        <w:t>Zotto</w:t>
      </w:r>
      <w:proofErr w:type="spellEnd"/>
      <w:r w:rsidRPr="004F11D2">
        <w:rPr>
          <w:rFonts w:ascii="Arial" w:hAnsi="Arial" w:cs="Arial"/>
          <w:sz w:val="22"/>
          <w:szCs w:val="22"/>
        </w:rPr>
        <w:t xml:space="preserve">, 2022; </w:t>
      </w:r>
      <w:proofErr w:type="spellStart"/>
      <w:r w:rsidRPr="004F11D2">
        <w:rPr>
          <w:rFonts w:ascii="Arial" w:hAnsi="Arial" w:cs="Arial"/>
          <w:sz w:val="22"/>
          <w:szCs w:val="22"/>
        </w:rPr>
        <w:t>Peretz</w:t>
      </w:r>
      <w:proofErr w:type="spellEnd"/>
      <w:r w:rsidRPr="004F11D2">
        <w:rPr>
          <w:rFonts w:ascii="Arial" w:hAnsi="Arial" w:cs="Arial"/>
          <w:sz w:val="22"/>
          <w:szCs w:val="22"/>
        </w:rPr>
        <w:t>, 2024).</w:t>
      </w:r>
    </w:p>
    <w:p w14:paraId="398E9F1C" w14:textId="20DFD5E8" w:rsidR="004F11D2" w:rsidRPr="004F11D2" w:rsidRDefault="004F11D2" w:rsidP="004F11D2">
      <w:pPr>
        <w:pStyle w:val="isselectedend"/>
        <w:spacing w:line="360" w:lineRule="auto"/>
        <w:rPr>
          <w:rFonts w:ascii="Arial" w:hAnsi="Arial" w:cs="Arial"/>
          <w:sz w:val="22"/>
          <w:szCs w:val="22"/>
        </w:rPr>
      </w:pPr>
      <w:r w:rsidRPr="004F11D2">
        <w:rPr>
          <w:rFonts w:ascii="Arial" w:hAnsi="Arial" w:cs="Arial"/>
          <w:sz w:val="22"/>
          <w:szCs w:val="22"/>
        </w:rPr>
        <w:t xml:space="preserve">Technological factors create opportunities and risks. AI can support candidate sourcing, scheduling, skills analysis, personalised learning and workforce forecasting. Digital learning also enables development across countries. However, algorithms may reproduce discrimination and employee monitoring may undermine trust. HR managers should require human oversight, bias testing, secure data governance and opportunities to challenge decisions. Digital transformation must also include reskilling and change management because technology alters roles and managerial responsibilities (Akter </w:t>
      </w:r>
      <w:r w:rsidRPr="004D2621">
        <w:rPr>
          <w:rFonts w:ascii="Arial" w:hAnsi="Arial" w:cs="Arial"/>
          <w:i/>
          <w:iCs/>
          <w:sz w:val="22"/>
          <w:szCs w:val="22"/>
        </w:rPr>
        <w:t>et al</w:t>
      </w:r>
      <w:r w:rsidRPr="004F11D2">
        <w:rPr>
          <w:rFonts w:ascii="Arial" w:hAnsi="Arial" w:cs="Arial"/>
          <w:sz w:val="22"/>
          <w:szCs w:val="22"/>
        </w:rPr>
        <w:t>., 202</w:t>
      </w:r>
      <w:r w:rsidR="001F1B06">
        <w:rPr>
          <w:rFonts w:ascii="Arial" w:hAnsi="Arial" w:cs="Arial"/>
          <w:sz w:val="22"/>
          <w:szCs w:val="22"/>
        </w:rPr>
        <w:t>3</w:t>
      </w:r>
      <w:r w:rsidRPr="004F11D2">
        <w:rPr>
          <w:rFonts w:ascii="Arial" w:hAnsi="Arial" w:cs="Arial"/>
          <w:sz w:val="22"/>
          <w:szCs w:val="22"/>
        </w:rPr>
        <w:t>).</w:t>
      </w:r>
    </w:p>
    <w:p w14:paraId="2F7AD4DB" w14:textId="360C50B3" w:rsidR="004F11D2" w:rsidRPr="004F11D2" w:rsidRDefault="004F11D2" w:rsidP="004F11D2">
      <w:pPr>
        <w:pStyle w:val="isselectedend"/>
        <w:spacing w:line="360" w:lineRule="auto"/>
        <w:rPr>
          <w:rFonts w:ascii="Arial" w:hAnsi="Arial" w:cs="Arial"/>
          <w:sz w:val="22"/>
          <w:szCs w:val="22"/>
        </w:rPr>
      </w:pPr>
      <w:r w:rsidRPr="004F11D2">
        <w:rPr>
          <w:rFonts w:ascii="Arial" w:hAnsi="Arial" w:cs="Arial"/>
          <w:sz w:val="22"/>
          <w:szCs w:val="22"/>
        </w:rPr>
        <w:t xml:space="preserve">Legal factors strongly affect HR effectiveness because recruitment, employee data, performance and termination processes are regulated differently across countries. </w:t>
      </w:r>
      <w:r w:rsidRPr="004F11D2">
        <w:rPr>
          <w:rFonts w:ascii="Arial" w:hAnsi="Arial" w:cs="Arial"/>
          <w:sz w:val="22"/>
          <w:szCs w:val="22"/>
        </w:rPr>
        <w:lastRenderedPageBreak/>
        <w:t xml:space="preserve">Recruitment must comply with equality, immigration, disability and data-protection requirements, while dismissal and redundancy procedures must follow national legislation. Unilever should maintain global standards for dignity and non-discrimination while adapting procedures to local law. HR managers must also challenge decisions that create legal, ethical or reputational risks </w:t>
      </w:r>
      <w:r w:rsidR="00953F36" w:rsidRPr="00953F36">
        <w:rPr>
          <w:rFonts w:ascii="Arial" w:hAnsi="Arial" w:cs="Arial"/>
          <w:sz w:val="22"/>
          <w:szCs w:val="22"/>
        </w:rPr>
        <w:t>(Chung and Sparrow</w:t>
      </w:r>
      <w:r w:rsidRPr="004F11D2">
        <w:rPr>
          <w:rFonts w:ascii="Arial" w:hAnsi="Arial" w:cs="Arial"/>
          <w:sz w:val="22"/>
          <w:szCs w:val="22"/>
        </w:rPr>
        <w:t xml:space="preserve">, 2024; Wood </w:t>
      </w:r>
      <w:r w:rsidRPr="004D2621">
        <w:rPr>
          <w:rFonts w:ascii="Arial" w:hAnsi="Arial" w:cs="Arial"/>
          <w:i/>
          <w:iCs/>
          <w:sz w:val="22"/>
          <w:szCs w:val="22"/>
        </w:rPr>
        <w:t>et al</w:t>
      </w:r>
      <w:r w:rsidRPr="004F11D2">
        <w:rPr>
          <w:rFonts w:ascii="Arial" w:hAnsi="Arial" w:cs="Arial"/>
          <w:sz w:val="22"/>
          <w:szCs w:val="22"/>
        </w:rPr>
        <w:t>., 2024).</w:t>
      </w:r>
    </w:p>
    <w:p w14:paraId="1644ADAD" w14:textId="77777777" w:rsidR="004F11D2" w:rsidRPr="004F11D2" w:rsidRDefault="004F11D2" w:rsidP="004F11D2">
      <w:pPr>
        <w:pStyle w:val="isselectedend"/>
        <w:spacing w:line="360" w:lineRule="auto"/>
        <w:rPr>
          <w:rFonts w:ascii="Arial" w:hAnsi="Arial" w:cs="Arial"/>
          <w:sz w:val="22"/>
          <w:szCs w:val="22"/>
        </w:rPr>
      </w:pPr>
      <w:r w:rsidRPr="004F11D2">
        <w:rPr>
          <w:rFonts w:ascii="Arial" w:hAnsi="Arial" w:cs="Arial"/>
          <w:sz w:val="22"/>
          <w:szCs w:val="22"/>
        </w:rPr>
        <w:t>Environmental pressures influence safety, skills and engagement. Extreme heat, flooding and resource shortages may affect factories, distribution and employee well-being. HR may need emergency arrangements, health protections and continuity training. Sustainability targets also require capabilities in green design, procurement and manufacturing. Green HRM can embed environmental responsibilities in recruitment, development, appraisal and employee participation, although targets should remain achievable and within employees’ control (Faisal, 2023).</w:t>
      </w:r>
    </w:p>
    <w:p w14:paraId="63C790B3" w14:textId="0655AB02" w:rsidR="004F11D2" w:rsidRPr="004F11D2" w:rsidRDefault="004F11D2" w:rsidP="004F11D2">
      <w:pPr>
        <w:pStyle w:val="isselectedend"/>
        <w:spacing w:line="360" w:lineRule="auto"/>
        <w:rPr>
          <w:rFonts w:ascii="Arial" w:hAnsi="Arial" w:cs="Arial"/>
          <w:sz w:val="22"/>
          <w:szCs w:val="22"/>
        </w:rPr>
      </w:pPr>
      <w:r w:rsidRPr="004F11D2">
        <w:rPr>
          <w:rFonts w:ascii="Arial" w:hAnsi="Arial" w:cs="Arial"/>
          <w:sz w:val="22"/>
          <w:szCs w:val="22"/>
        </w:rPr>
        <w:t xml:space="preserve">In the UK, digital infrastructure supports online recruitment, digital learning and hybrid work. However, competition for specialist talent, equality law and data-protection requirements demand transparent recruitment. Selection criteria should be job-related, adjustments should be available and decisions documented. AI-assisted recruitment also requires human oversight to reduce discrimination and protect data (Akter </w:t>
      </w:r>
      <w:r w:rsidRPr="004D2621">
        <w:rPr>
          <w:rFonts w:ascii="Arial" w:hAnsi="Arial" w:cs="Arial"/>
          <w:i/>
          <w:iCs/>
          <w:sz w:val="22"/>
          <w:szCs w:val="22"/>
        </w:rPr>
        <w:t>et al</w:t>
      </w:r>
      <w:r w:rsidRPr="004F11D2">
        <w:rPr>
          <w:rFonts w:ascii="Arial" w:hAnsi="Arial" w:cs="Arial"/>
          <w:sz w:val="22"/>
          <w:szCs w:val="22"/>
        </w:rPr>
        <w:t>., 202</w:t>
      </w:r>
      <w:r w:rsidR="001F1B06">
        <w:rPr>
          <w:rFonts w:ascii="Arial" w:hAnsi="Arial" w:cs="Arial"/>
          <w:sz w:val="22"/>
          <w:szCs w:val="22"/>
        </w:rPr>
        <w:t>3</w:t>
      </w:r>
      <w:r w:rsidRPr="004F11D2">
        <w:rPr>
          <w:rFonts w:ascii="Arial" w:hAnsi="Arial" w:cs="Arial"/>
          <w:sz w:val="22"/>
          <w:szCs w:val="22"/>
        </w:rPr>
        <w:t xml:space="preserve">; </w:t>
      </w:r>
      <w:r w:rsidR="00402563" w:rsidRPr="00402563">
        <w:rPr>
          <w:rFonts w:ascii="Arial" w:hAnsi="Arial" w:cs="Arial"/>
          <w:sz w:val="22"/>
          <w:szCs w:val="22"/>
        </w:rPr>
        <w:t>Chung and Sparrow, 2024)</w:t>
      </w:r>
    </w:p>
    <w:p w14:paraId="7A070E79" w14:textId="77777777" w:rsidR="004F11D2" w:rsidRPr="004F11D2" w:rsidRDefault="004F11D2" w:rsidP="004F11D2">
      <w:pPr>
        <w:pStyle w:val="isselectedend"/>
        <w:spacing w:line="360" w:lineRule="auto"/>
        <w:rPr>
          <w:rFonts w:ascii="Arial" w:hAnsi="Arial" w:cs="Arial"/>
          <w:sz w:val="22"/>
          <w:szCs w:val="22"/>
        </w:rPr>
      </w:pPr>
      <w:r w:rsidRPr="004F11D2">
        <w:rPr>
          <w:rFonts w:ascii="Arial" w:hAnsi="Arial" w:cs="Arial"/>
          <w:sz w:val="22"/>
          <w:szCs w:val="22"/>
        </w:rPr>
        <w:t>India offers a large labour pool, but regional differences in skills, language, infrastructure and regulation require localisation. Digital recruitment can widen access, although candidates with limited connectivity may need alternative assessments. Respect for hierarchy may also discourage employees from challenging managers. Confidential reporting, employee forums and manager training can strengthen voice and psychological safety (</w:t>
      </w:r>
      <w:proofErr w:type="spellStart"/>
      <w:r w:rsidRPr="004F11D2">
        <w:rPr>
          <w:rFonts w:ascii="Arial" w:hAnsi="Arial" w:cs="Arial"/>
          <w:sz w:val="22"/>
          <w:szCs w:val="22"/>
        </w:rPr>
        <w:t>Peretz</w:t>
      </w:r>
      <w:proofErr w:type="spellEnd"/>
      <w:r w:rsidRPr="004F11D2">
        <w:rPr>
          <w:rFonts w:ascii="Arial" w:hAnsi="Arial" w:cs="Arial"/>
          <w:sz w:val="22"/>
          <w:szCs w:val="22"/>
        </w:rPr>
        <w:t xml:space="preserve">, 2024; Wood </w:t>
      </w:r>
      <w:r w:rsidRPr="004D2621">
        <w:rPr>
          <w:rFonts w:ascii="Arial" w:hAnsi="Arial" w:cs="Arial"/>
          <w:i/>
          <w:iCs/>
          <w:sz w:val="22"/>
          <w:szCs w:val="22"/>
        </w:rPr>
        <w:t>et al</w:t>
      </w:r>
      <w:r w:rsidRPr="004F11D2">
        <w:rPr>
          <w:rFonts w:ascii="Arial" w:hAnsi="Arial" w:cs="Arial"/>
          <w:sz w:val="22"/>
          <w:szCs w:val="22"/>
        </w:rPr>
        <w:t>., 2024).</w:t>
      </w:r>
    </w:p>
    <w:p w14:paraId="7BC323ED" w14:textId="0FD143C5" w:rsidR="004F11D2" w:rsidRPr="004F11D2" w:rsidRDefault="004F11D2" w:rsidP="004F11D2">
      <w:pPr>
        <w:pStyle w:val="isselectedend"/>
        <w:spacing w:line="360" w:lineRule="auto"/>
        <w:rPr>
          <w:rFonts w:ascii="Arial" w:hAnsi="Arial" w:cs="Arial"/>
          <w:sz w:val="22"/>
          <w:szCs w:val="22"/>
        </w:rPr>
      </w:pPr>
      <w:r w:rsidRPr="004F11D2">
        <w:rPr>
          <w:rFonts w:ascii="Arial" w:hAnsi="Arial" w:cs="Arial"/>
          <w:sz w:val="22"/>
          <w:szCs w:val="22"/>
        </w:rPr>
        <w:t>Neither complete standardisation nor unrestricted localisation is effective. Unilever should standardise values, core competencies and minimum employment protections while adapting recruitment, contracts, pay, benefits and consultation to national conditions. HR metrics should monitor hiring quality, capability, turnover, grievances and engagement while permitting local explanations of differences (</w:t>
      </w:r>
      <w:r w:rsidR="00402563" w:rsidRPr="00402563">
        <w:rPr>
          <w:rFonts w:ascii="Arial" w:hAnsi="Arial" w:cs="Arial"/>
          <w:sz w:val="22"/>
          <w:szCs w:val="22"/>
        </w:rPr>
        <w:t>Chung and Sparrow, 2024</w:t>
      </w:r>
      <w:r w:rsidRPr="004F11D2">
        <w:rPr>
          <w:rFonts w:ascii="Arial" w:hAnsi="Arial" w:cs="Arial"/>
          <w:sz w:val="22"/>
          <w:szCs w:val="22"/>
        </w:rPr>
        <w:t xml:space="preserve">; Wood </w:t>
      </w:r>
      <w:r w:rsidRPr="004D2621">
        <w:rPr>
          <w:rFonts w:ascii="Arial" w:hAnsi="Arial" w:cs="Arial"/>
          <w:i/>
          <w:iCs/>
          <w:sz w:val="22"/>
          <w:szCs w:val="22"/>
        </w:rPr>
        <w:t>et al</w:t>
      </w:r>
      <w:r w:rsidRPr="004F11D2">
        <w:rPr>
          <w:rFonts w:ascii="Arial" w:hAnsi="Arial" w:cs="Arial"/>
          <w:sz w:val="22"/>
          <w:szCs w:val="22"/>
        </w:rPr>
        <w:t>., 2024).</w:t>
      </w:r>
    </w:p>
    <w:p w14:paraId="08463190" w14:textId="29E014D0" w:rsidR="004F11D2" w:rsidRDefault="004F11D2" w:rsidP="004F11D2">
      <w:pPr>
        <w:pStyle w:val="NormalWeb"/>
        <w:spacing w:line="360" w:lineRule="auto"/>
      </w:pPr>
      <w:r w:rsidRPr="004F11D2">
        <w:rPr>
          <w:rFonts w:ascii="Arial" w:hAnsi="Arial" w:cs="Arial"/>
          <w:sz w:val="22"/>
          <w:szCs w:val="22"/>
        </w:rPr>
        <w:t xml:space="preserve">This approach supports innovation by linking environmental trends to workforce competencies. Unilever can recruit employees with digital, sustainability and cross-cultural capabilities, while training and performance data identify skill gaps and connect </w:t>
      </w:r>
      <w:r w:rsidRPr="004F11D2">
        <w:rPr>
          <w:rFonts w:ascii="Arial" w:hAnsi="Arial" w:cs="Arial"/>
          <w:sz w:val="22"/>
          <w:szCs w:val="22"/>
        </w:rPr>
        <w:lastRenderedPageBreak/>
        <w:t>environmental analysis with recruitment, development and organisational renewal (</w:t>
      </w:r>
      <w:proofErr w:type="spellStart"/>
      <w:r w:rsidRPr="004F11D2">
        <w:rPr>
          <w:rFonts w:ascii="Arial" w:hAnsi="Arial" w:cs="Arial"/>
          <w:sz w:val="22"/>
          <w:szCs w:val="22"/>
        </w:rPr>
        <w:t>Alqudah</w:t>
      </w:r>
      <w:proofErr w:type="spellEnd"/>
      <w:r w:rsidRPr="004F11D2">
        <w:rPr>
          <w:rFonts w:ascii="Arial" w:hAnsi="Arial" w:cs="Arial"/>
          <w:sz w:val="22"/>
          <w:szCs w:val="22"/>
        </w:rPr>
        <w:t xml:space="preserve"> </w:t>
      </w:r>
      <w:r w:rsidRPr="004D2621">
        <w:rPr>
          <w:rFonts w:ascii="Arial" w:hAnsi="Arial" w:cs="Arial"/>
          <w:i/>
          <w:iCs/>
          <w:sz w:val="22"/>
          <w:szCs w:val="22"/>
        </w:rPr>
        <w:t>et al</w:t>
      </w:r>
      <w:r w:rsidRPr="004F11D2">
        <w:rPr>
          <w:rFonts w:ascii="Arial" w:hAnsi="Arial" w:cs="Arial"/>
          <w:sz w:val="22"/>
          <w:szCs w:val="22"/>
        </w:rPr>
        <w:t xml:space="preserve">., 2022; </w:t>
      </w:r>
      <w:proofErr w:type="spellStart"/>
      <w:r w:rsidRPr="004F11D2">
        <w:rPr>
          <w:rFonts w:ascii="Arial" w:hAnsi="Arial" w:cs="Arial"/>
          <w:sz w:val="22"/>
          <w:szCs w:val="22"/>
        </w:rPr>
        <w:t>Garengo</w:t>
      </w:r>
      <w:proofErr w:type="spellEnd"/>
      <w:r w:rsidRPr="004F11D2">
        <w:rPr>
          <w:rFonts w:ascii="Arial" w:hAnsi="Arial" w:cs="Arial"/>
          <w:sz w:val="22"/>
          <w:szCs w:val="22"/>
        </w:rPr>
        <w:t xml:space="preserve">, </w:t>
      </w:r>
      <w:r w:rsidR="00A82EE5" w:rsidRPr="00A82EE5">
        <w:rPr>
          <w:rFonts w:ascii="Arial" w:hAnsi="Arial" w:cs="Arial"/>
          <w:i/>
          <w:iCs/>
          <w:sz w:val="22"/>
          <w:szCs w:val="22"/>
        </w:rPr>
        <w:t>et al</w:t>
      </w:r>
      <w:r w:rsidR="00A82EE5">
        <w:rPr>
          <w:rFonts w:ascii="Arial" w:hAnsi="Arial" w:cs="Arial"/>
          <w:i/>
          <w:iCs/>
          <w:sz w:val="22"/>
          <w:szCs w:val="22"/>
        </w:rPr>
        <w:t>.</w:t>
      </w:r>
      <w:r w:rsidRPr="004F11D2">
        <w:rPr>
          <w:rFonts w:ascii="Arial" w:hAnsi="Arial" w:cs="Arial"/>
          <w:sz w:val="22"/>
          <w:szCs w:val="22"/>
        </w:rPr>
        <w:t>, 2021).</w:t>
      </w:r>
    </w:p>
    <w:p w14:paraId="10DD1144" w14:textId="77777777" w:rsidR="006935F9" w:rsidRPr="00AA746C" w:rsidRDefault="006935F9" w:rsidP="00AA746C"/>
    <w:p w14:paraId="1EA01FEF" w14:textId="2761B3DB" w:rsidR="00017AC9" w:rsidRPr="00017AC9" w:rsidRDefault="00017AC9" w:rsidP="00017AC9">
      <w:pPr>
        <w:pStyle w:val="Heading1"/>
        <w:rPr>
          <w:rFonts w:ascii="Arial" w:hAnsi="Arial" w:cs="Arial"/>
        </w:rPr>
      </w:pPr>
      <w:r w:rsidRPr="00017AC9">
        <w:rPr>
          <w:rFonts w:ascii="Arial" w:hAnsi="Arial" w:cs="Arial"/>
        </w:rPr>
        <w:t>Conclusion</w:t>
      </w:r>
      <w:bookmarkEnd w:id="6"/>
    </w:p>
    <w:p w14:paraId="7FF5E0FF" w14:textId="77777777" w:rsidR="00017AC9" w:rsidRPr="00AA746C" w:rsidRDefault="00017AC9" w:rsidP="00017AC9">
      <w:pPr>
        <w:spacing w:line="360" w:lineRule="auto"/>
        <w:rPr>
          <w:rFonts w:ascii="Arial" w:hAnsi="Arial" w:cs="Arial"/>
          <w:sz w:val="22"/>
          <w:szCs w:val="22"/>
        </w:rPr>
      </w:pPr>
      <w:r w:rsidRPr="00AA746C">
        <w:rPr>
          <w:rFonts w:ascii="Arial" w:hAnsi="Arial" w:cs="Arial"/>
          <w:sz w:val="22"/>
          <w:szCs w:val="22"/>
        </w:rPr>
        <w:t>The report has shown that recruitment, training and development, performance management and employee relations are interconnected HR functions supporting organisational capability and performance. Recruitment provides required skills; development prepares employees for changing demands; performance management aligns contribution with strategy; and employee relations support trust, fairness and employee voice.</w:t>
      </w:r>
    </w:p>
    <w:p w14:paraId="16C59A4A" w14:textId="77777777" w:rsidR="00017AC9" w:rsidRPr="00AA746C" w:rsidRDefault="00017AC9" w:rsidP="00017AC9">
      <w:pPr>
        <w:spacing w:line="360" w:lineRule="auto"/>
        <w:rPr>
          <w:rFonts w:ascii="Arial" w:hAnsi="Arial" w:cs="Arial"/>
          <w:sz w:val="22"/>
          <w:szCs w:val="22"/>
        </w:rPr>
      </w:pPr>
      <w:r w:rsidRPr="00AA746C">
        <w:rPr>
          <w:rFonts w:ascii="Arial" w:hAnsi="Arial" w:cs="Arial"/>
          <w:sz w:val="22"/>
          <w:szCs w:val="22"/>
        </w:rPr>
        <w:t>PESTLE provides a useful framework for identifying how political, economic, social, technological, legal and environmental forces affect these functions. It enables HR managers to translate inflation, migration policy, technological change, employment law and climate pressures into workforce decisions. However, the model can be static and descriptive, its categories overlap, and it does not assess internal readiness. Its effectiveness therefore depends on combining external scanning with workforce data, institutional analysis and evaluation of organisational resources, leadership and culture.</w:t>
      </w:r>
    </w:p>
    <w:p w14:paraId="35BCC1E7" w14:textId="77777777" w:rsidR="00017AC9" w:rsidRPr="00AA746C" w:rsidRDefault="00017AC9" w:rsidP="00017AC9">
      <w:pPr>
        <w:spacing w:line="360" w:lineRule="auto"/>
        <w:rPr>
          <w:rFonts w:ascii="Arial" w:hAnsi="Arial" w:cs="Arial"/>
          <w:sz w:val="22"/>
          <w:szCs w:val="22"/>
        </w:rPr>
      </w:pPr>
      <w:r w:rsidRPr="00AA746C">
        <w:rPr>
          <w:rFonts w:ascii="Arial" w:hAnsi="Arial" w:cs="Arial"/>
          <w:sz w:val="22"/>
          <w:szCs w:val="22"/>
        </w:rPr>
        <w:t>Application to Unilever demonstrates that international HRM requires global consistency and local responsiveness. Common organisational values, ethical standards and performance principles can support integration, but recruitment processes, contracts, reward, employee voice and consultation must reflect national conditions. Differences between the UK and India illustrate how culture, infrastructure, labour markets and regulation change the impact of the same environmental force.</w:t>
      </w:r>
    </w:p>
    <w:p w14:paraId="25679D87" w14:textId="77777777" w:rsidR="00017AC9" w:rsidRPr="00017AC9" w:rsidRDefault="00017AC9" w:rsidP="00017AC9">
      <w:pPr>
        <w:spacing w:line="360" w:lineRule="auto"/>
        <w:rPr>
          <w:rFonts w:ascii="Arial" w:hAnsi="Arial" w:cs="Arial"/>
        </w:rPr>
      </w:pPr>
      <w:r w:rsidRPr="00AA746C">
        <w:rPr>
          <w:rFonts w:ascii="Arial" w:hAnsi="Arial" w:cs="Arial"/>
          <w:sz w:val="22"/>
          <w:szCs w:val="22"/>
        </w:rPr>
        <w:t>Future HR managers will face faster AI adoption, climate transition, geopolitical uncertainty, demographic change and continued productivity pressure. Their role will increasingly require environmental intelligence, data capability, ethical judgement and change leadership. Global organisations should maintain rolling PESTLE reviews, audit algorithmic HR systems, strengthen local employee voice and invest in transferable skills. The most effective HRM system will standardise organisational purpose and minimum protections while enabling evidence-based local adaptation.</w:t>
      </w:r>
    </w:p>
    <w:p w14:paraId="55DC2724" w14:textId="77777777" w:rsidR="00017AC9" w:rsidRDefault="00017AC9" w:rsidP="00017AC9">
      <w:pPr>
        <w:spacing w:line="360" w:lineRule="auto"/>
        <w:rPr>
          <w:rFonts w:ascii="Arial" w:hAnsi="Arial" w:cs="Arial"/>
          <w:b/>
          <w:bCs/>
        </w:rPr>
      </w:pPr>
    </w:p>
    <w:p w14:paraId="5D197A34" w14:textId="77777777" w:rsidR="00FA2E51" w:rsidRDefault="00FA2E51" w:rsidP="00FA2E51">
      <w:bookmarkStart w:id="7" w:name="_Toc235215173"/>
    </w:p>
    <w:p w14:paraId="5D909C90" w14:textId="77777777" w:rsidR="00A60A9B" w:rsidRPr="00A60A9B" w:rsidRDefault="00A60A9B" w:rsidP="00A60A9B"/>
    <w:p w14:paraId="1312F905" w14:textId="393A8064" w:rsidR="00017AC9" w:rsidRPr="00017AC9" w:rsidRDefault="00017AC9" w:rsidP="00017AC9">
      <w:pPr>
        <w:pStyle w:val="Heading1"/>
        <w:rPr>
          <w:rFonts w:ascii="Arial" w:hAnsi="Arial" w:cs="Arial"/>
        </w:rPr>
      </w:pPr>
      <w:r w:rsidRPr="00017AC9">
        <w:rPr>
          <w:rFonts w:ascii="Arial" w:hAnsi="Arial" w:cs="Arial"/>
        </w:rPr>
        <w:lastRenderedPageBreak/>
        <w:t>Reference List</w:t>
      </w:r>
      <w:bookmarkEnd w:id="7"/>
    </w:p>
    <w:p w14:paraId="19FD4C5F" w14:textId="77777777" w:rsidR="00623227" w:rsidRPr="002B49C2" w:rsidRDefault="00623227" w:rsidP="00017AC9">
      <w:pPr>
        <w:spacing w:line="360" w:lineRule="auto"/>
        <w:rPr>
          <w:rFonts w:ascii="Arial" w:hAnsi="Arial" w:cs="Arial"/>
          <w:sz w:val="22"/>
          <w:szCs w:val="22"/>
        </w:rPr>
      </w:pPr>
      <w:r w:rsidRPr="002B49C2">
        <w:rPr>
          <w:rFonts w:ascii="Arial" w:hAnsi="Arial" w:cs="Arial"/>
          <w:sz w:val="22"/>
          <w:szCs w:val="22"/>
        </w:rPr>
        <w:t xml:space="preserve">Akter, S., Biswas, K., </w:t>
      </w:r>
      <w:proofErr w:type="spellStart"/>
      <w:r w:rsidRPr="002B49C2">
        <w:rPr>
          <w:rFonts w:ascii="Arial" w:hAnsi="Arial" w:cs="Arial"/>
          <w:sz w:val="22"/>
          <w:szCs w:val="22"/>
        </w:rPr>
        <w:t>Vrontis</w:t>
      </w:r>
      <w:proofErr w:type="spellEnd"/>
      <w:r w:rsidRPr="002B49C2">
        <w:rPr>
          <w:rFonts w:ascii="Arial" w:hAnsi="Arial" w:cs="Arial"/>
          <w:sz w:val="22"/>
          <w:szCs w:val="22"/>
        </w:rPr>
        <w:t xml:space="preserve">, D., Cooper, C.L. and </w:t>
      </w:r>
      <w:proofErr w:type="spellStart"/>
      <w:r w:rsidRPr="002B49C2">
        <w:rPr>
          <w:rFonts w:ascii="Arial" w:hAnsi="Arial" w:cs="Arial"/>
          <w:sz w:val="22"/>
          <w:szCs w:val="22"/>
        </w:rPr>
        <w:t>Tarba</w:t>
      </w:r>
      <w:proofErr w:type="spellEnd"/>
      <w:r w:rsidRPr="002B49C2">
        <w:rPr>
          <w:rFonts w:ascii="Arial" w:hAnsi="Arial" w:cs="Arial"/>
          <w:sz w:val="22"/>
          <w:szCs w:val="22"/>
        </w:rPr>
        <w:t>, S.Y. (2023). Mastering digital transformation in workforce management. </w:t>
      </w:r>
      <w:r w:rsidRPr="002B49C2">
        <w:rPr>
          <w:rFonts w:ascii="Arial" w:hAnsi="Arial" w:cs="Arial"/>
          <w:i/>
          <w:iCs/>
          <w:sz w:val="22"/>
          <w:szCs w:val="22"/>
        </w:rPr>
        <w:t>Production Planning &amp; Control</w:t>
      </w:r>
      <w:r w:rsidRPr="002B49C2">
        <w:rPr>
          <w:rFonts w:ascii="Arial" w:hAnsi="Arial" w:cs="Arial"/>
          <w:sz w:val="22"/>
          <w:szCs w:val="22"/>
        </w:rPr>
        <w:t>, 35(13), pp.1–8. doi:10.1080/09537287.2023.2270465.</w:t>
      </w:r>
    </w:p>
    <w:p w14:paraId="33315B1D" w14:textId="07D88F47" w:rsidR="00017AC9" w:rsidRPr="002B49C2" w:rsidRDefault="00017AC9" w:rsidP="00017AC9">
      <w:pPr>
        <w:spacing w:line="360" w:lineRule="auto"/>
        <w:rPr>
          <w:rFonts w:ascii="Arial" w:hAnsi="Arial" w:cs="Arial"/>
          <w:sz w:val="22"/>
          <w:szCs w:val="22"/>
        </w:rPr>
      </w:pPr>
      <w:proofErr w:type="spellStart"/>
      <w:r w:rsidRPr="002B49C2">
        <w:rPr>
          <w:rFonts w:ascii="Arial" w:hAnsi="Arial" w:cs="Arial"/>
          <w:sz w:val="22"/>
          <w:szCs w:val="22"/>
        </w:rPr>
        <w:t>Alqudah</w:t>
      </w:r>
      <w:proofErr w:type="spellEnd"/>
      <w:r w:rsidRPr="002B49C2">
        <w:rPr>
          <w:rFonts w:ascii="Arial" w:hAnsi="Arial" w:cs="Arial"/>
          <w:sz w:val="22"/>
          <w:szCs w:val="22"/>
        </w:rPr>
        <w:t>, I.H.A., Carballo-</w:t>
      </w:r>
      <w:proofErr w:type="spellStart"/>
      <w:r w:rsidRPr="002B49C2">
        <w:rPr>
          <w:rFonts w:ascii="Arial" w:hAnsi="Arial" w:cs="Arial"/>
          <w:sz w:val="22"/>
          <w:szCs w:val="22"/>
        </w:rPr>
        <w:t>Penela</w:t>
      </w:r>
      <w:proofErr w:type="spellEnd"/>
      <w:r w:rsidRPr="002B49C2">
        <w:rPr>
          <w:rFonts w:ascii="Arial" w:hAnsi="Arial" w:cs="Arial"/>
          <w:sz w:val="22"/>
          <w:szCs w:val="22"/>
        </w:rPr>
        <w:t xml:space="preserve">, A. and </w:t>
      </w:r>
      <w:proofErr w:type="spellStart"/>
      <w:r w:rsidRPr="002B49C2">
        <w:rPr>
          <w:rFonts w:ascii="Arial" w:hAnsi="Arial" w:cs="Arial"/>
          <w:sz w:val="22"/>
          <w:szCs w:val="22"/>
        </w:rPr>
        <w:t>Ruzo-Sanmartín</w:t>
      </w:r>
      <w:proofErr w:type="spellEnd"/>
      <w:r w:rsidRPr="002B49C2">
        <w:rPr>
          <w:rFonts w:ascii="Arial" w:hAnsi="Arial" w:cs="Arial"/>
          <w:sz w:val="22"/>
          <w:szCs w:val="22"/>
        </w:rPr>
        <w:t>, E. (2022) ‘</w:t>
      </w:r>
      <w:r w:rsidR="00A474B3" w:rsidRPr="002B49C2">
        <w:rPr>
          <w:rFonts w:ascii="Arial" w:hAnsi="Arial" w:cs="Arial"/>
          <w:sz w:val="22"/>
          <w:szCs w:val="22"/>
        </w:rPr>
        <w:t>High-performance human resource management practices and readiness for change: An integrative model including affective commitment, employees’ performance, and the moderating role of hierarchy culture</w:t>
      </w:r>
      <w:r w:rsidR="00A474B3" w:rsidRPr="002B49C2">
        <w:rPr>
          <w:rFonts w:ascii="Arial" w:hAnsi="Arial" w:cs="Arial"/>
          <w:sz w:val="22"/>
          <w:szCs w:val="22"/>
        </w:rPr>
        <w:t>’</w:t>
      </w:r>
      <w:r w:rsidRPr="002B49C2">
        <w:rPr>
          <w:rFonts w:ascii="Arial" w:hAnsi="Arial" w:cs="Arial"/>
          <w:sz w:val="22"/>
          <w:szCs w:val="22"/>
        </w:rPr>
        <w:t xml:space="preserve">, </w:t>
      </w:r>
      <w:r w:rsidRPr="002B49C2">
        <w:rPr>
          <w:rFonts w:ascii="Arial" w:hAnsi="Arial" w:cs="Arial"/>
          <w:i/>
          <w:iCs/>
          <w:sz w:val="22"/>
          <w:szCs w:val="22"/>
        </w:rPr>
        <w:t>European Research on Management and Business Economics</w:t>
      </w:r>
      <w:r w:rsidRPr="002B49C2">
        <w:rPr>
          <w:rFonts w:ascii="Arial" w:hAnsi="Arial" w:cs="Arial"/>
          <w:sz w:val="22"/>
          <w:szCs w:val="22"/>
        </w:rPr>
        <w:t>, 28(1), 100177.</w:t>
      </w:r>
    </w:p>
    <w:p w14:paraId="07813D42" w14:textId="43C96489" w:rsidR="00017AC9" w:rsidRPr="002B49C2" w:rsidRDefault="002C103A" w:rsidP="00017AC9">
      <w:pPr>
        <w:spacing w:line="360" w:lineRule="auto"/>
        <w:rPr>
          <w:rFonts w:ascii="Arial" w:hAnsi="Arial" w:cs="Arial"/>
          <w:sz w:val="22"/>
          <w:szCs w:val="22"/>
        </w:rPr>
      </w:pPr>
      <w:r w:rsidRPr="002B49C2">
        <w:rPr>
          <w:rFonts w:ascii="Arial" w:hAnsi="Arial" w:cs="Arial"/>
          <w:sz w:val="22"/>
          <w:szCs w:val="22"/>
        </w:rPr>
        <w:t>Chung, C. and Sparrow, P. (2024) ‘</w:t>
      </w:r>
      <w:r w:rsidR="00C81225" w:rsidRPr="002B49C2">
        <w:rPr>
          <w:rFonts w:ascii="Arial" w:hAnsi="Arial" w:cs="Arial"/>
          <w:sz w:val="22"/>
          <w:szCs w:val="22"/>
        </w:rPr>
        <w:t>Exploring the configuration of international HRM strategies for global integration and local responsiveness in MNEs</w:t>
      </w:r>
      <w:r w:rsidR="00C81225" w:rsidRPr="002B49C2">
        <w:rPr>
          <w:rFonts w:ascii="Arial" w:hAnsi="Arial" w:cs="Arial"/>
          <w:sz w:val="22"/>
          <w:szCs w:val="22"/>
        </w:rPr>
        <w:t>’</w:t>
      </w:r>
      <w:r w:rsidRPr="002B49C2">
        <w:rPr>
          <w:rFonts w:ascii="Arial" w:hAnsi="Arial" w:cs="Arial"/>
          <w:sz w:val="22"/>
          <w:szCs w:val="22"/>
        </w:rPr>
        <w:t>, </w:t>
      </w:r>
      <w:r w:rsidRPr="002B49C2">
        <w:rPr>
          <w:rFonts w:ascii="Arial" w:hAnsi="Arial" w:cs="Arial"/>
          <w:i/>
          <w:iCs/>
          <w:sz w:val="22"/>
          <w:szCs w:val="22"/>
        </w:rPr>
        <w:t>The International Journal of Human Resource Management</w:t>
      </w:r>
      <w:r w:rsidRPr="002B49C2">
        <w:rPr>
          <w:rFonts w:ascii="Arial" w:hAnsi="Arial" w:cs="Arial"/>
          <w:sz w:val="22"/>
          <w:szCs w:val="22"/>
        </w:rPr>
        <w:t xml:space="preserve">, 35(11), pp. 1943–1969. </w:t>
      </w:r>
      <w:r w:rsidR="00DE33EF" w:rsidRPr="002B49C2">
        <w:rPr>
          <w:rFonts w:ascii="Arial" w:hAnsi="Arial" w:cs="Arial"/>
          <w:sz w:val="22"/>
          <w:szCs w:val="22"/>
        </w:rPr>
        <w:t>https://</w:t>
      </w:r>
      <w:r w:rsidRPr="002B49C2">
        <w:rPr>
          <w:rFonts w:ascii="Arial" w:hAnsi="Arial" w:cs="Arial"/>
          <w:sz w:val="22"/>
          <w:szCs w:val="22"/>
        </w:rPr>
        <w:t>doi:10.1080/09585192.2024.2320768</w:t>
      </w:r>
      <w:r w:rsidR="00017AC9" w:rsidRPr="002B49C2">
        <w:rPr>
          <w:rFonts w:ascii="Arial" w:hAnsi="Arial" w:cs="Arial"/>
          <w:sz w:val="22"/>
          <w:szCs w:val="22"/>
        </w:rPr>
        <w:t xml:space="preserve">. </w:t>
      </w:r>
    </w:p>
    <w:p w14:paraId="0417B8AA" w14:textId="21BAAC9E" w:rsidR="00017AC9" w:rsidRPr="002B49C2" w:rsidRDefault="00017AC9" w:rsidP="00017AC9">
      <w:pPr>
        <w:spacing w:line="360" w:lineRule="auto"/>
        <w:rPr>
          <w:rFonts w:ascii="Arial" w:hAnsi="Arial" w:cs="Arial"/>
          <w:sz w:val="22"/>
          <w:szCs w:val="22"/>
        </w:rPr>
      </w:pPr>
      <w:r w:rsidRPr="002B49C2">
        <w:rPr>
          <w:rFonts w:ascii="Arial" w:hAnsi="Arial" w:cs="Arial"/>
          <w:sz w:val="22"/>
          <w:szCs w:val="22"/>
        </w:rPr>
        <w:t xml:space="preserve">Darwish, T.K., Al </w:t>
      </w:r>
      <w:proofErr w:type="spellStart"/>
      <w:r w:rsidRPr="002B49C2">
        <w:rPr>
          <w:rFonts w:ascii="Arial" w:hAnsi="Arial" w:cs="Arial"/>
          <w:sz w:val="22"/>
          <w:szCs w:val="22"/>
        </w:rPr>
        <w:t>Waqfi</w:t>
      </w:r>
      <w:proofErr w:type="spellEnd"/>
      <w:r w:rsidRPr="002B49C2">
        <w:rPr>
          <w:rFonts w:ascii="Arial" w:hAnsi="Arial" w:cs="Arial"/>
          <w:sz w:val="22"/>
          <w:szCs w:val="22"/>
        </w:rPr>
        <w:t xml:space="preserve">, M.A., </w:t>
      </w:r>
      <w:proofErr w:type="spellStart"/>
      <w:r w:rsidRPr="002B49C2">
        <w:rPr>
          <w:rFonts w:ascii="Arial" w:hAnsi="Arial" w:cs="Arial"/>
          <w:sz w:val="22"/>
          <w:szCs w:val="22"/>
        </w:rPr>
        <w:t>Alanezi</w:t>
      </w:r>
      <w:proofErr w:type="spellEnd"/>
      <w:r w:rsidRPr="002B49C2">
        <w:rPr>
          <w:rFonts w:ascii="Arial" w:hAnsi="Arial" w:cs="Arial"/>
          <w:sz w:val="22"/>
          <w:szCs w:val="22"/>
        </w:rPr>
        <w:t xml:space="preserve">, A.N., </w:t>
      </w:r>
      <w:proofErr w:type="spellStart"/>
      <w:r w:rsidRPr="002B49C2">
        <w:rPr>
          <w:rFonts w:ascii="Arial" w:hAnsi="Arial" w:cs="Arial"/>
          <w:sz w:val="22"/>
          <w:szCs w:val="22"/>
        </w:rPr>
        <w:t>Haak-Saheem</w:t>
      </w:r>
      <w:proofErr w:type="spellEnd"/>
      <w:r w:rsidRPr="002B49C2">
        <w:rPr>
          <w:rFonts w:ascii="Arial" w:hAnsi="Arial" w:cs="Arial"/>
          <w:sz w:val="22"/>
          <w:szCs w:val="22"/>
        </w:rPr>
        <w:t>, W. and Brewster, C. (2023) ‘</w:t>
      </w:r>
      <w:r w:rsidR="003E4653" w:rsidRPr="002B49C2">
        <w:rPr>
          <w:rFonts w:ascii="Arial" w:hAnsi="Arial" w:cs="Arial"/>
          <w:sz w:val="22"/>
          <w:szCs w:val="22"/>
        </w:rPr>
        <w:t>Bringing it all back home: the HRM role in workforce localisation in MNEs in Saudi Arabia</w:t>
      </w:r>
      <w:r w:rsidR="003E4653" w:rsidRPr="002B49C2">
        <w:rPr>
          <w:rFonts w:ascii="Arial" w:hAnsi="Arial" w:cs="Arial"/>
          <w:sz w:val="22"/>
          <w:szCs w:val="22"/>
        </w:rPr>
        <w:t>’</w:t>
      </w:r>
      <w:r w:rsidRPr="002B49C2">
        <w:rPr>
          <w:rFonts w:ascii="Arial" w:hAnsi="Arial" w:cs="Arial"/>
          <w:sz w:val="22"/>
          <w:szCs w:val="22"/>
        </w:rPr>
        <w:t xml:space="preserve">, </w:t>
      </w:r>
      <w:r w:rsidRPr="002B49C2">
        <w:rPr>
          <w:rFonts w:ascii="Arial" w:hAnsi="Arial" w:cs="Arial"/>
          <w:i/>
          <w:iCs/>
          <w:sz w:val="22"/>
          <w:szCs w:val="22"/>
        </w:rPr>
        <w:t>The International Journal of Human Resource Management</w:t>
      </w:r>
      <w:r w:rsidRPr="002B49C2">
        <w:rPr>
          <w:rFonts w:ascii="Arial" w:hAnsi="Arial" w:cs="Arial"/>
          <w:sz w:val="22"/>
          <w:szCs w:val="22"/>
        </w:rPr>
        <w:t xml:space="preserve">, 34(19), pp. 3721–3745. </w:t>
      </w:r>
      <w:r w:rsidR="00DE33EF" w:rsidRPr="002B49C2">
        <w:rPr>
          <w:rFonts w:ascii="Arial" w:hAnsi="Arial" w:cs="Arial"/>
          <w:sz w:val="22"/>
          <w:szCs w:val="22"/>
        </w:rPr>
        <w:t>https://</w:t>
      </w:r>
      <w:r w:rsidR="00E81F7F" w:rsidRPr="002B49C2">
        <w:rPr>
          <w:rFonts w:ascii="Arial" w:hAnsi="Arial" w:cs="Arial"/>
          <w:sz w:val="22"/>
          <w:szCs w:val="22"/>
        </w:rPr>
        <w:t>doi:10.1080/09585192.2022.2148551.</w:t>
      </w:r>
    </w:p>
    <w:p w14:paraId="1D140144" w14:textId="274C10D1" w:rsidR="00017AC9" w:rsidRPr="002B49C2" w:rsidRDefault="00017AC9" w:rsidP="00017AC9">
      <w:pPr>
        <w:spacing w:line="360" w:lineRule="auto"/>
        <w:rPr>
          <w:rFonts w:ascii="Arial" w:hAnsi="Arial" w:cs="Arial"/>
          <w:sz w:val="22"/>
          <w:szCs w:val="22"/>
        </w:rPr>
      </w:pPr>
      <w:r w:rsidRPr="002B49C2">
        <w:rPr>
          <w:rFonts w:ascii="Arial" w:hAnsi="Arial" w:cs="Arial"/>
          <w:sz w:val="22"/>
          <w:szCs w:val="22"/>
        </w:rPr>
        <w:t>Faisal, S. (2023) ‘</w:t>
      </w:r>
      <w:r w:rsidR="0008586B" w:rsidRPr="002B49C2">
        <w:rPr>
          <w:rFonts w:ascii="Arial" w:hAnsi="Arial" w:cs="Arial"/>
          <w:sz w:val="22"/>
          <w:szCs w:val="22"/>
        </w:rPr>
        <w:t>Twenty-Years Journey of Sustainable Human Resource Management Research: A Bibliometric Analysis</w:t>
      </w:r>
      <w:r w:rsidR="0008586B" w:rsidRPr="002B49C2">
        <w:rPr>
          <w:rFonts w:ascii="Arial" w:hAnsi="Arial" w:cs="Arial"/>
          <w:sz w:val="22"/>
          <w:szCs w:val="22"/>
        </w:rPr>
        <w:t>’</w:t>
      </w:r>
      <w:r w:rsidRPr="002B49C2">
        <w:rPr>
          <w:rFonts w:ascii="Arial" w:hAnsi="Arial" w:cs="Arial"/>
          <w:sz w:val="22"/>
          <w:szCs w:val="22"/>
        </w:rPr>
        <w:t xml:space="preserve">, </w:t>
      </w:r>
      <w:r w:rsidRPr="002B49C2">
        <w:rPr>
          <w:rFonts w:ascii="Arial" w:hAnsi="Arial" w:cs="Arial"/>
          <w:i/>
          <w:iCs/>
          <w:sz w:val="22"/>
          <w:szCs w:val="22"/>
        </w:rPr>
        <w:t>Administrative Sciences</w:t>
      </w:r>
      <w:r w:rsidRPr="002B49C2">
        <w:rPr>
          <w:rFonts w:ascii="Arial" w:hAnsi="Arial" w:cs="Arial"/>
          <w:sz w:val="22"/>
          <w:szCs w:val="22"/>
        </w:rPr>
        <w:t xml:space="preserve">, 13(6), 139. </w:t>
      </w:r>
      <w:r w:rsidR="00DE33EF" w:rsidRPr="002B49C2">
        <w:rPr>
          <w:rFonts w:ascii="Arial" w:hAnsi="Arial" w:cs="Arial"/>
          <w:sz w:val="22"/>
          <w:szCs w:val="22"/>
        </w:rPr>
        <w:t>https://</w:t>
      </w:r>
      <w:r w:rsidR="00EA3920" w:rsidRPr="002B49C2">
        <w:rPr>
          <w:rFonts w:ascii="Arial" w:hAnsi="Arial" w:cs="Arial"/>
          <w:sz w:val="22"/>
          <w:szCs w:val="22"/>
        </w:rPr>
        <w:t>doi.org/10.3390/admsci13060139.</w:t>
      </w:r>
    </w:p>
    <w:p w14:paraId="23814753" w14:textId="7297B14E" w:rsidR="00017AC9" w:rsidRPr="002B49C2" w:rsidRDefault="00017AC9" w:rsidP="00017AC9">
      <w:pPr>
        <w:spacing w:line="360" w:lineRule="auto"/>
        <w:rPr>
          <w:rFonts w:ascii="Arial" w:hAnsi="Arial" w:cs="Arial"/>
          <w:sz w:val="22"/>
          <w:szCs w:val="22"/>
        </w:rPr>
      </w:pPr>
      <w:bookmarkStart w:id="8" w:name="_Hlk235381351"/>
      <w:proofErr w:type="spellStart"/>
      <w:r w:rsidRPr="002B49C2">
        <w:rPr>
          <w:rFonts w:ascii="Arial" w:hAnsi="Arial" w:cs="Arial"/>
          <w:sz w:val="22"/>
          <w:szCs w:val="22"/>
        </w:rPr>
        <w:t>Garengo</w:t>
      </w:r>
      <w:bookmarkEnd w:id="8"/>
      <w:proofErr w:type="spellEnd"/>
      <w:r w:rsidRPr="002B49C2">
        <w:rPr>
          <w:rFonts w:ascii="Arial" w:hAnsi="Arial" w:cs="Arial"/>
          <w:sz w:val="22"/>
          <w:szCs w:val="22"/>
        </w:rPr>
        <w:t xml:space="preserve">, P., </w:t>
      </w:r>
      <w:proofErr w:type="spellStart"/>
      <w:r w:rsidRPr="002B49C2">
        <w:rPr>
          <w:rFonts w:ascii="Arial" w:hAnsi="Arial" w:cs="Arial"/>
          <w:sz w:val="22"/>
          <w:szCs w:val="22"/>
        </w:rPr>
        <w:t>Sardi</w:t>
      </w:r>
      <w:proofErr w:type="spellEnd"/>
      <w:r w:rsidRPr="002B49C2">
        <w:rPr>
          <w:rFonts w:ascii="Arial" w:hAnsi="Arial" w:cs="Arial"/>
          <w:sz w:val="22"/>
          <w:szCs w:val="22"/>
        </w:rPr>
        <w:t xml:space="preserve">, A. and </w:t>
      </w:r>
      <w:proofErr w:type="spellStart"/>
      <w:r w:rsidRPr="002B49C2">
        <w:rPr>
          <w:rFonts w:ascii="Arial" w:hAnsi="Arial" w:cs="Arial"/>
          <w:sz w:val="22"/>
          <w:szCs w:val="22"/>
        </w:rPr>
        <w:t>Nudurupati</w:t>
      </w:r>
      <w:proofErr w:type="spellEnd"/>
      <w:r w:rsidRPr="002B49C2">
        <w:rPr>
          <w:rFonts w:ascii="Arial" w:hAnsi="Arial" w:cs="Arial"/>
          <w:sz w:val="22"/>
          <w:szCs w:val="22"/>
        </w:rPr>
        <w:t>, S.S. (2021) ‘</w:t>
      </w:r>
      <w:r w:rsidR="00200349" w:rsidRPr="002B49C2">
        <w:rPr>
          <w:rFonts w:ascii="Arial" w:hAnsi="Arial" w:cs="Arial"/>
          <w:sz w:val="22"/>
          <w:szCs w:val="22"/>
        </w:rPr>
        <w:t>Human resource management (HRM) in the performance measurement and management (PMM) domain: a bibliometric review</w:t>
      </w:r>
      <w:r w:rsidRPr="002B49C2">
        <w:rPr>
          <w:rFonts w:ascii="Arial" w:hAnsi="Arial" w:cs="Arial"/>
          <w:sz w:val="22"/>
          <w:szCs w:val="22"/>
        </w:rPr>
        <w:t xml:space="preserve">, 71(7), pp. 3056–3077. </w:t>
      </w:r>
      <w:bookmarkStart w:id="9" w:name="_Hlk235551582"/>
      <w:r w:rsidR="00DE33EF" w:rsidRPr="002B49C2">
        <w:rPr>
          <w:rFonts w:ascii="Arial" w:hAnsi="Arial" w:cs="Arial"/>
          <w:sz w:val="22"/>
          <w:szCs w:val="22"/>
        </w:rPr>
        <w:t>https://</w:t>
      </w:r>
      <w:bookmarkEnd w:id="9"/>
      <w:r w:rsidR="005D5AF6" w:rsidRPr="002B49C2">
        <w:rPr>
          <w:rFonts w:ascii="Arial" w:hAnsi="Arial" w:cs="Arial"/>
          <w:sz w:val="22"/>
          <w:szCs w:val="22"/>
        </w:rPr>
        <w:t>d</w:t>
      </w:r>
      <w:r w:rsidR="00FC6852" w:rsidRPr="002B49C2">
        <w:rPr>
          <w:rFonts w:ascii="Arial" w:hAnsi="Arial" w:cs="Arial"/>
          <w:sz w:val="22"/>
          <w:szCs w:val="22"/>
        </w:rPr>
        <w:t>oi</w:t>
      </w:r>
      <w:r w:rsidR="005D5AF6" w:rsidRPr="002B49C2">
        <w:rPr>
          <w:rFonts w:ascii="Arial" w:hAnsi="Arial" w:cs="Arial"/>
          <w:sz w:val="22"/>
          <w:szCs w:val="22"/>
        </w:rPr>
        <w:t>:</w:t>
      </w:r>
      <w:r w:rsidR="00FC6852" w:rsidRPr="002B49C2">
        <w:rPr>
          <w:rFonts w:ascii="Arial" w:hAnsi="Arial" w:cs="Arial"/>
          <w:sz w:val="22"/>
          <w:szCs w:val="22"/>
        </w:rPr>
        <w:t>10.1108/IJPPM-04-2020-0177</w:t>
      </w:r>
      <w:r w:rsidR="006E4101" w:rsidRPr="002B49C2">
        <w:rPr>
          <w:rFonts w:ascii="Arial" w:hAnsi="Arial" w:cs="Arial"/>
          <w:sz w:val="22"/>
          <w:szCs w:val="22"/>
        </w:rPr>
        <w:t>.</w:t>
      </w:r>
    </w:p>
    <w:p w14:paraId="319A08C7" w14:textId="7397E7C9" w:rsidR="00017AC9" w:rsidRPr="002B49C2" w:rsidRDefault="00E90CEB" w:rsidP="00017AC9">
      <w:pPr>
        <w:spacing w:line="360" w:lineRule="auto"/>
        <w:rPr>
          <w:rFonts w:ascii="Arial" w:hAnsi="Arial" w:cs="Arial"/>
          <w:sz w:val="22"/>
          <w:szCs w:val="22"/>
        </w:rPr>
      </w:pPr>
      <w:r w:rsidRPr="002B49C2">
        <w:rPr>
          <w:rFonts w:ascii="Arial" w:hAnsi="Arial" w:cs="Arial"/>
          <w:sz w:val="22"/>
          <w:szCs w:val="22"/>
        </w:rPr>
        <w:t xml:space="preserve">Khatoon, U.T., </w:t>
      </w:r>
      <w:proofErr w:type="spellStart"/>
      <w:r w:rsidRPr="002B49C2">
        <w:rPr>
          <w:rFonts w:ascii="Arial" w:hAnsi="Arial" w:cs="Arial"/>
          <w:sz w:val="22"/>
          <w:szCs w:val="22"/>
        </w:rPr>
        <w:t>Babgi</w:t>
      </w:r>
      <w:proofErr w:type="spellEnd"/>
      <w:r w:rsidRPr="002B49C2">
        <w:rPr>
          <w:rFonts w:ascii="Arial" w:hAnsi="Arial" w:cs="Arial"/>
          <w:sz w:val="22"/>
          <w:szCs w:val="22"/>
        </w:rPr>
        <w:t xml:space="preserve">, M., Hadi, N.T., Mir, R.N. and </w:t>
      </w:r>
      <w:proofErr w:type="spellStart"/>
      <w:r w:rsidRPr="002B49C2">
        <w:rPr>
          <w:rFonts w:ascii="Arial" w:hAnsi="Arial" w:cs="Arial"/>
          <w:sz w:val="22"/>
          <w:szCs w:val="22"/>
        </w:rPr>
        <w:t>Velidandi</w:t>
      </w:r>
      <w:proofErr w:type="spellEnd"/>
      <w:r w:rsidRPr="002B49C2">
        <w:rPr>
          <w:rFonts w:ascii="Arial" w:hAnsi="Arial" w:cs="Arial"/>
          <w:sz w:val="22"/>
          <w:szCs w:val="22"/>
        </w:rPr>
        <w:t>, A. (2025). Technology-Driven Change in Human Resource Management: Reshaping Talent Management and Organizational Design. </w:t>
      </w:r>
      <w:r w:rsidRPr="002B49C2">
        <w:rPr>
          <w:rFonts w:ascii="Arial" w:hAnsi="Arial" w:cs="Arial"/>
          <w:i/>
          <w:iCs/>
          <w:sz w:val="22"/>
          <w:szCs w:val="22"/>
        </w:rPr>
        <w:t>Administrative Sciences</w:t>
      </w:r>
      <w:r w:rsidRPr="002B49C2">
        <w:rPr>
          <w:rFonts w:ascii="Arial" w:hAnsi="Arial" w:cs="Arial"/>
          <w:sz w:val="22"/>
          <w:szCs w:val="22"/>
        </w:rPr>
        <w:t>,15(11), p.452. doi:10.3390/admsci15110452</w:t>
      </w:r>
      <w:r w:rsidR="00017AC9" w:rsidRPr="002B49C2">
        <w:rPr>
          <w:rFonts w:ascii="Arial" w:hAnsi="Arial" w:cs="Arial"/>
          <w:sz w:val="22"/>
          <w:szCs w:val="22"/>
        </w:rPr>
        <w:t>.</w:t>
      </w:r>
    </w:p>
    <w:p w14:paraId="7D4F9B06" w14:textId="50FF4FAB" w:rsidR="00017AC9" w:rsidRPr="002B49C2" w:rsidRDefault="00017AC9" w:rsidP="00017AC9">
      <w:pPr>
        <w:spacing w:line="360" w:lineRule="auto"/>
        <w:rPr>
          <w:rFonts w:ascii="Arial" w:hAnsi="Arial" w:cs="Arial"/>
          <w:sz w:val="22"/>
          <w:szCs w:val="22"/>
        </w:rPr>
      </w:pPr>
      <w:r w:rsidRPr="002B49C2">
        <w:rPr>
          <w:rFonts w:ascii="Arial" w:hAnsi="Arial" w:cs="Arial"/>
          <w:sz w:val="22"/>
          <w:szCs w:val="22"/>
        </w:rPr>
        <w:t xml:space="preserve">Liang, X., Zhang, X., Paulet, R. and Zheng, L.J. (2022) ‘A literature review of the COVID-19 pandemic’s effect on sustainable HRM’, </w:t>
      </w:r>
      <w:r w:rsidRPr="002B49C2">
        <w:rPr>
          <w:rFonts w:ascii="Arial" w:hAnsi="Arial" w:cs="Arial"/>
          <w:i/>
          <w:iCs/>
          <w:sz w:val="22"/>
          <w:szCs w:val="22"/>
        </w:rPr>
        <w:t>Sustainability</w:t>
      </w:r>
      <w:r w:rsidRPr="002B49C2">
        <w:rPr>
          <w:rFonts w:ascii="Arial" w:hAnsi="Arial" w:cs="Arial"/>
          <w:sz w:val="22"/>
          <w:szCs w:val="22"/>
        </w:rPr>
        <w:t>, 14(5), 2579.</w:t>
      </w:r>
      <w:r w:rsidR="004C3EC3" w:rsidRPr="002B49C2">
        <w:rPr>
          <w:rFonts w:ascii="Arial" w:hAnsi="Arial" w:cs="Arial"/>
          <w:sz w:val="22"/>
          <w:szCs w:val="22"/>
        </w:rPr>
        <w:t xml:space="preserve"> </w:t>
      </w:r>
      <w:r w:rsidR="00DE33EF" w:rsidRPr="002B49C2">
        <w:rPr>
          <w:rFonts w:ascii="Arial" w:hAnsi="Arial" w:cs="Arial"/>
          <w:sz w:val="22"/>
          <w:szCs w:val="22"/>
        </w:rPr>
        <w:t>https://</w:t>
      </w:r>
      <w:r w:rsidR="00C81AFB" w:rsidRPr="002B49C2">
        <w:rPr>
          <w:rFonts w:ascii="Arial" w:hAnsi="Arial" w:cs="Arial"/>
          <w:sz w:val="22"/>
          <w:szCs w:val="22"/>
        </w:rPr>
        <w:t>doi:10.3390/su14052579.</w:t>
      </w:r>
    </w:p>
    <w:p w14:paraId="66AE5E9E" w14:textId="77777777" w:rsidR="00033904" w:rsidRPr="002B49C2" w:rsidRDefault="00033904" w:rsidP="00033904">
      <w:pPr>
        <w:spacing w:line="360" w:lineRule="auto"/>
        <w:rPr>
          <w:rFonts w:ascii="Arial" w:hAnsi="Arial" w:cs="Arial"/>
          <w:sz w:val="22"/>
          <w:szCs w:val="22"/>
        </w:rPr>
      </w:pPr>
    </w:p>
    <w:p w14:paraId="53A9ACB2" w14:textId="77777777" w:rsidR="00C237B9" w:rsidRPr="002B49C2" w:rsidRDefault="00C237B9" w:rsidP="00033904">
      <w:pPr>
        <w:spacing w:line="360" w:lineRule="auto"/>
        <w:rPr>
          <w:rFonts w:ascii="Arial" w:hAnsi="Arial" w:cs="Arial"/>
          <w:sz w:val="22"/>
          <w:szCs w:val="22"/>
        </w:rPr>
      </w:pPr>
    </w:p>
    <w:p w14:paraId="609760A7" w14:textId="7B46514B" w:rsidR="00033904" w:rsidRPr="002B49C2" w:rsidRDefault="00017AC9" w:rsidP="00033904">
      <w:pPr>
        <w:spacing w:line="360" w:lineRule="auto"/>
        <w:rPr>
          <w:rFonts w:ascii="Arial" w:hAnsi="Arial" w:cs="Arial"/>
          <w:sz w:val="22"/>
          <w:szCs w:val="22"/>
        </w:rPr>
      </w:pPr>
      <w:proofErr w:type="spellStart"/>
      <w:r w:rsidRPr="002B49C2">
        <w:rPr>
          <w:rFonts w:ascii="Arial" w:hAnsi="Arial" w:cs="Arial"/>
          <w:sz w:val="22"/>
          <w:szCs w:val="22"/>
        </w:rPr>
        <w:lastRenderedPageBreak/>
        <w:t>Omidi</w:t>
      </w:r>
      <w:proofErr w:type="spellEnd"/>
      <w:r w:rsidRPr="002B49C2">
        <w:rPr>
          <w:rFonts w:ascii="Arial" w:hAnsi="Arial" w:cs="Arial"/>
          <w:sz w:val="22"/>
          <w:szCs w:val="22"/>
        </w:rPr>
        <w:t xml:space="preserve">, A. and Dal </w:t>
      </w:r>
      <w:proofErr w:type="spellStart"/>
      <w:r w:rsidRPr="002B49C2">
        <w:rPr>
          <w:rFonts w:ascii="Arial" w:hAnsi="Arial" w:cs="Arial"/>
          <w:sz w:val="22"/>
          <w:szCs w:val="22"/>
        </w:rPr>
        <w:t>Zotto</w:t>
      </w:r>
      <w:proofErr w:type="spellEnd"/>
      <w:r w:rsidRPr="002B49C2">
        <w:rPr>
          <w:rFonts w:ascii="Arial" w:hAnsi="Arial" w:cs="Arial"/>
          <w:sz w:val="22"/>
          <w:szCs w:val="22"/>
        </w:rPr>
        <w:t>, C. (2022) ‘</w:t>
      </w:r>
      <w:r w:rsidR="00033904" w:rsidRPr="002B49C2">
        <w:rPr>
          <w:rFonts w:ascii="Arial" w:hAnsi="Arial" w:cs="Arial"/>
          <w:sz w:val="22"/>
          <w:szCs w:val="22"/>
        </w:rPr>
        <w:t>Socially Responsible Human Resource Management:</w:t>
      </w:r>
    </w:p>
    <w:p w14:paraId="71FB221F" w14:textId="2A63DC15" w:rsidR="00017AC9" w:rsidRPr="002B49C2" w:rsidRDefault="00033904" w:rsidP="00033904">
      <w:pPr>
        <w:spacing w:line="360" w:lineRule="auto"/>
        <w:rPr>
          <w:rFonts w:ascii="Arial" w:hAnsi="Arial" w:cs="Arial"/>
          <w:sz w:val="22"/>
          <w:szCs w:val="22"/>
        </w:rPr>
      </w:pPr>
      <w:r w:rsidRPr="002B49C2">
        <w:rPr>
          <w:rFonts w:ascii="Arial" w:hAnsi="Arial" w:cs="Arial"/>
          <w:sz w:val="22"/>
          <w:szCs w:val="22"/>
        </w:rPr>
        <w:t>A Systematic Literature Review and Research Agenda</w:t>
      </w:r>
      <w:r w:rsidR="00017AC9" w:rsidRPr="002B49C2">
        <w:rPr>
          <w:rFonts w:ascii="Arial" w:hAnsi="Arial" w:cs="Arial"/>
          <w:sz w:val="22"/>
          <w:szCs w:val="22"/>
        </w:rPr>
        <w:t xml:space="preserve">’, </w:t>
      </w:r>
      <w:r w:rsidR="00017AC9" w:rsidRPr="002B49C2">
        <w:rPr>
          <w:rFonts w:ascii="Arial" w:hAnsi="Arial" w:cs="Arial"/>
          <w:i/>
          <w:iCs/>
          <w:sz w:val="22"/>
          <w:szCs w:val="22"/>
        </w:rPr>
        <w:t>Sustainability</w:t>
      </w:r>
      <w:r w:rsidR="00017AC9" w:rsidRPr="002B49C2">
        <w:rPr>
          <w:rFonts w:ascii="Arial" w:hAnsi="Arial" w:cs="Arial"/>
          <w:sz w:val="22"/>
          <w:szCs w:val="22"/>
        </w:rPr>
        <w:t>, 14(4), 2116.</w:t>
      </w:r>
      <w:r w:rsidR="00AC1475" w:rsidRPr="002B49C2">
        <w:rPr>
          <w:rFonts w:ascii="Arial" w:hAnsi="Arial" w:cs="Arial"/>
          <w:sz w:val="22"/>
          <w:szCs w:val="22"/>
        </w:rPr>
        <w:t xml:space="preserve"> </w:t>
      </w:r>
      <w:r w:rsidR="00AC1475" w:rsidRPr="002B49C2">
        <w:rPr>
          <w:rFonts w:ascii="Arial" w:hAnsi="Arial" w:cs="Arial"/>
          <w:sz w:val="22"/>
          <w:szCs w:val="22"/>
        </w:rPr>
        <w:t>doi.org/10.3390/su14042116</w:t>
      </w:r>
      <w:r w:rsidR="00AC1475" w:rsidRPr="002B49C2">
        <w:rPr>
          <w:rFonts w:ascii="Arial" w:hAnsi="Arial" w:cs="Arial"/>
          <w:sz w:val="22"/>
          <w:szCs w:val="22"/>
        </w:rPr>
        <w:t>.</w:t>
      </w:r>
    </w:p>
    <w:p w14:paraId="4A5903A9" w14:textId="38BAA146" w:rsidR="00017AC9" w:rsidRPr="002B49C2" w:rsidRDefault="00017AC9" w:rsidP="00017AC9">
      <w:pPr>
        <w:spacing w:line="360" w:lineRule="auto"/>
        <w:rPr>
          <w:rFonts w:ascii="Arial" w:hAnsi="Arial" w:cs="Arial"/>
          <w:sz w:val="22"/>
          <w:szCs w:val="22"/>
        </w:rPr>
      </w:pPr>
      <w:proofErr w:type="spellStart"/>
      <w:r w:rsidRPr="002B49C2">
        <w:rPr>
          <w:rFonts w:ascii="Arial" w:hAnsi="Arial" w:cs="Arial"/>
          <w:sz w:val="22"/>
          <w:szCs w:val="22"/>
        </w:rPr>
        <w:t>Papademetriou</w:t>
      </w:r>
      <w:proofErr w:type="spellEnd"/>
      <w:r w:rsidRPr="002B49C2">
        <w:rPr>
          <w:rFonts w:ascii="Arial" w:hAnsi="Arial" w:cs="Arial"/>
          <w:sz w:val="22"/>
          <w:szCs w:val="22"/>
        </w:rPr>
        <w:t xml:space="preserve">, C., </w:t>
      </w:r>
      <w:proofErr w:type="spellStart"/>
      <w:r w:rsidRPr="002B49C2">
        <w:rPr>
          <w:rFonts w:ascii="Arial" w:hAnsi="Arial" w:cs="Arial"/>
          <w:sz w:val="22"/>
          <w:szCs w:val="22"/>
        </w:rPr>
        <w:t>Anastasiadou</w:t>
      </w:r>
      <w:proofErr w:type="spellEnd"/>
      <w:r w:rsidRPr="002B49C2">
        <w:rPr>
          <w:rFonts w:ascii="Arial" w:hAnsi="Arial" w:cs="Arial"/>
          <w:sz w:val="22"/>
          <w:szCs w:val="22"/>
        </w:rPr>
        <w:t xml:space="preserve">, S. and </w:t>
      </w:r>
      <w:proofErr w:type="spellStart"/>
      <w:r w:rsidRPr="002B49C2">
        <w:rPr>
          <w:rFonts w:ascii="Arial" w:hAnsi="Arial" w:cs="Arial"/>
          <w:sz w:val="22"/>
          <w:szCs w:val="22"/>
        </w:rPr>
        <w:t>Konteos</w:t>
      </w:r>
      <w:proofErr w:type="spellEnd"/>
      <w:r w:rsidRPr="002B49C2">
        <w:rPr>
          <w:rFonts w:ascii="Arial" w:hAnsi="Arial" w:cs="Arial"/>
          <w:sz w:val="22"/>
          <w:szCs w:val="22"/>
        </w:rPr>
        <w:t>, G. (2025) ‘</w:t>
      </w:r>
      <w:r w:rsidR="00097101" w:rsidRPr="002B49C2">
        <w:rPr>
          <w:rFonts w:ascii="Arial" w:hAnsi="Arial" w:cs="Arial"/>
          <w:sz w:val="22"/>
          <w:szCs w:val="22"/>
        </w:rPr>
        <w:t>Integrating Sustainability into Human Resource Management: Building a Greener Workforce for the Future</w:t>
      </w:r>
      <w:r w:rsidRPr="002B49C2">
        <w:rPr>
          <w:rFonts w:ascii="Arial" w:hAnsi="Arial" w:cs="Arial"/>
          <w:sz w:val="22"/>
          <w:szCs w:val="22"/>
        </w:rPr>
        <w:t xml:space="preserve">, </w:t>
      </w:r>
      <w:r w:rsidRPr="002B49C2">
        <w:rPr>
          <w:rFonts w:ascii="Arial" w:hAnsi="Arial" w:cs="Arial"/>
          <w:i/>
          <w:iCs/>
          <w:sz w:val="22"/>
          <w:szCs w:val="22"/>
        </w:rPr>
        <w:t>Sustainability</w:t>
      </w:r>
      <w:r w:rsidRPr="002B49C2">
        <w:rPr>
          <w:rFonts w:ascii="Arial" w:hAnsi="Arial" w:cs="Arial"/>
          <w:sz w:val="22"/>
          <w:szCs w:val="22"/>
        </w:rPr>
        <w:t>, 17(3), 1113.</w:t>
      </w:r>
      <w:r w:rsidR="00DE33EF" w:rsidRPr="002B49C2">
        <w:rPr>
          <w:rFonts w:ascii="Arial" w:hAnsi="Arial" w:cs="Arial"/>
          <w:sz w:val="22"/>
          <w:szCs w:val="22"/>
        </w:rPr>
        <w:t xml:space="preserve"> </w:t>
      </w:r>
      <w:bookmarkStart w:id="10" w:name="_Hlk235551565"/>
      <w:r w:rsidR="00DE33EF" w:rsidRPr="002B49C2">
        <w:rPr>
          <w:rFonts w:ascii="Arial" w:hAnsi="Arial" w:cs="Arial"/>
          <w:sz w:val="22"/>
          <w:szCs w:val="22"/>
        </w:rPr>
        <w:t>https://</w:t>
      </w:r>
      <w:bookmarkEnd w:id="10"/>
      <w:r w:rsidR="00DE33EF" w:rsidRPr="002B49C2">
        <w:rPr>
          <w:rFonts w:ascii="Arial" w:hAnsi="Arial" w:cs="Arial"/>
          <w:sz w:val="22"/>
          <w:szCs w:val="22"/>
        </w:rPr>
        <w:t>doi.org/10.3390/su17031113</w:t>
      </w:r>
      <w:r w:rsidR="00BE6FF4" w:rsidRPr="002B49C2">
        <w:rPr>
          <w:rFonts w:ascii="Arial" w:hAnsi="Arial" w:cs="Arial"/>
          <w:sz w:val="22"/>
          <w:szCs w:val="22"/>
        </w:rPr>
        <w:t>.</w:t>
      </w:r>
    </w:p>
    <w:p w14:paraId="7683060D" w14:textId="7F57CFC3" w:rsidR="00017AC9" w:rsidRPr="002B49C2" w:rsidRDefault="00396F07" w:rsidP="00017AC9">
      <w:pPr>
        <w:spacing w:line="360" w:lineRule="auto"/>
        <w:rPr>
          <w:rFonts w:ascii="Arial" w:hAnsi="Arial" w:cs="Arial"/>
          <w:sz w:val="22"/>
          <w:szCs w:val="22"/>
        </w:rPr>
      </w:pPr>
      <w:proofErr w:type="spellStart"/>
      <w:r w:rsidRPr="002B49C2">
        <w:rPr>
          <w:rFonts w:ascii="Arial" w:hAnsi="Arial" w:cs="Arial"/>
          <w:sz w:val="22"/>
          <w:szCs w:val="22"/>
        </w:rPr>
        <w:t>Peretz</w:t>
      </w:r>
      <w:proofErr w:type="spellEnd"/>
      <w:r w:rsidRPr="002B49C2">
        <w:rPr>
          <w:rFonts w:ascii="Arial" w:hAnsi="Arial" w:cs="Arial"/>
          <w:sz w:val="22"/>
          <w:szCs w:val="22"/>
        </w:rPr>
        <w:t xml:space="preserve">, H. (2024). Sustainable Human Resource Management and Employees’ Performance: </w:t>
      </w:r>
      <w:proofErr w:type="gramStart"/>
      <w:r w:rsidRPr="002B49C2">
        <w:rPr>
          <w:rFonts w:ascii="Arial" w:hAnsi="Arial" w:cs="Arial"/>
          <w:sz w:val="22"/>
          <w:szCs w:val="22"/>
        </w:rPr>
        <w:t>the</w:t>
      </w:r>
      <w:proofErr w:type="gramEnd"/>
      <w:r w:rsidRPr="002B49C2">
        <w:rPr>
          <w:rFonts w:ascii="Arial" w:hAnsi="Arial" w:cs="Arial"/>
          <w:sz w:val="22"/>
          <w:szCs w:val="22"/>
        </w:rPr>
        <w:t xml:space="preserve"> Impact of National Culture. </w:t>
      </w:r>
      <w:r w:rsidRPr="002B49C2">
        <w:rPr>
          <w:rFonts w:ascii="Arial" w:hAnsi="Arial" w:cs="Arial"/>
          <w:i/>
          <w:iCs/>
          <w:sz w:val="22"/>
          <w:szCs w:val="22"/>
        </w:rPr>
        <w:t>Sustainability</w:t>
      </w:r>
      <w:r w:rsidRPr="002B49C2">
        <w:rPr>
          <w:rFonts w:ascii="Arial" w:hAnsi="Arial" w:cs="Arial"/>
          <w:sz w:val="22"/>
          <w:szCs w:val="22"/>
        </w:rPr>
        <w:t>,16(17), pp.7281–7281. https://doi:10.3390/su16177281.</w:t>
      </w:r>
    </w:p>
    <w:p w14:paraId="1B8C262C" w14:textId="58A126D3" w:rsidR="00017AC9" w:rsidRPr="002B49C2" w:rsidRDefault="006F1234" w:rsidP="00017AC9">
      <w:pPr>
        <w:spacing w:line="360" w:lineRule="auto"/>
        <w:rPr>
          <w:rFonts w:ascii="Arial" w:hAnsi="Arial" w:cs="Arial"/>
          <w:sz w:val="22"/>
          <w:szCs w:val="22"/>
        </w:rPr>
      </w:pPr>
      <w:r w:rsidRPr="002B49C2">
        <w:rPr>
          <w:rFonts w:ascii="Arial" w:hAnsi="Arial" w:cs="Arial"/>
          <w:sz w:val="22"/>
          <w:szCs w:val="22"/>
        </w:rPr>
        <w:t>Unilever (2024). </w:t>
      </w:r>
      <w:r w:rsidRPr="002B49C2">
        <w:rPr>
          <w:rFonts w:ascii="Arial" w:hAnsi="Arial" w:cs="Arial"/>
          <w:i/>
          <w:iCs/>
          <w:sz w:val="22"/>
          <w:szCs w:val="22"/>
        </w:rPr>
        <w:t>Annual Report and Accounts 2024</w:t>
      </w:r>
      <w:r w:rsidRPr="002B49C2">
        <w:rPr>
          <w:rFonts w:ascii="Arial" w:hAnsi="Arial" w:cs="Arial"/>
          <w:sz w:val="22"/>
          <w:szCs w:val="22"/>
        </w:rPr>
        <w:t>. </w:t>
      </w:r>
      <w:r w:rsidRPr="002B49C2">
        <w:rPr>
          <w:rFonts w:ascii="Arial" w:hAnsi="Arial" w:cs="Arial"/>
          <w:i/>
          <w:iCs/>
          <w:sz w:val="22"/>
          <w:szCs w:val="22"/>
        </w:rPr>
        <w:t>Unilever</w:t>
      </w:r>
      <w:r w:rsidRPr="002B49C2">
        <w:rPr>
          <w:rFonts w:ascii="Arial" w:hAnsi="Arial" w:cs="Arial"/>
          <w:sz w:val="22"/>
          <w:szCs w:val="22"/>
        </w:rPr>
        <w:t xml:space="preserve">. Unilever. Available at: </w:t>
      </w:r>
      <w:r w:rsidR="00C25E88" w:rsidRPr="002B49C2">
        <w:rPr>
          <w:rFonts w:ascii="Arial" w:hAnsi="Arial" w:cs="Arial"/>
          <w:sz w:val="22"/>
          <w:szCs w:val="22"/>
        </w:rPr>
        <w:t>https://www.unilever.com/files/unilever-annual-report-and-accounts-2024.pdf</w:t>
      </w:r>
      <w:r w:rsidR="00C25E88" w:rsidRPr="002B49C2">
        <w:rPr>
          <w:rFonts w:ascii="Arial" w:hAnsi="Arial" w:cs="Arial"/>
          <w:sz w:val="22"/>
          <w:szCs w:val="22"/>
        </w:rPr>
        <w:t xml:space="preserve"> </w:t>
      </w:r>
      <w:r w:rsidR="00CD5675" w:rsidRPr="002B49C2">
        <w:rPr>
          <w:rFonts w:ascii="Arial" w:hAnsi="Arial" w:cs="Arial"/>
          <w:sz w:val="22"/>
          <w:szCs w:val="22"/>
        </w:rPr>
        <w:t>(</w:t>
      </w:r>
      <w:r w:rsidRPr="002B49C2">
        <w:rPr>
          <w:rFonts w:ascii="Arial" w:hAnsi="Arial" w:cs="Arial"/>
          <w:sz w:val="22"/>
          <w:szCs w:val="22"/>
        </w:rPr>
        <w:t>Accessed</w:t>
      </w:r>
      <w:r w:rsidR="00CD5675" w:rsidRPr="002B49C2">
        <w:rPr>
          <w:rFonts w:ascii="Arial" w:hAnsi="Arial" w:cs="Arial"/>
          <w:sz w:val="22"/>
          <w:szCs w:val="22"/>
        </w:rPr>
        <w:t>:</w:t>
      </w:r>
      <w:r w:rsidRPr="002B49C2">
        <w:rPr>
          <w:rFonts w:ascii="Arial" w:hAnsi="Arial" w:cs="Arial"/>
          <w:sz w:val="22"/>
          <w:szCs w:val="22"/>
        </w:rPr>
        <w:t xml:space="preserve"> </w:t>
      </w:r>
      <w:r w:rsidR="00CD5675" w:rsidRPr="002B49C2">
        <w:rPr>
          <w:rFonts w:ascii="Arial" w:hAnsi="Arial" w:cs="Arial"/>
          <w:sz w:val="22"/>
          <w:szCs w:val="22"/>
        </w:rPr>
        <w:t>16</w:t>
      </w:r>
      <w:r w:rsidRPr="002B49C2">
        <w:rPr>
          <w:rFonts w:ascii="Arial" w:hAnsi="Arial" w:cs="Arial"/>
          <w:sz w:val="22"/>
          <w:szCs w:val="22"/>
        </w:rPr>
        <w:t xml:space="preserve"> July 2026</w:t>
      </w:r>
      <w:r w:rsidR="00CD5675" w:rsidRPr="002B49C2">
        <w:rPr>
          <w:rFonts w:ascii="Arial" w:hAnsi="Arial" w:cs="Arial"/>
          <w:sz w:val="22"/>
          <w:szCs w:val="22"/>
        </w:rPr>
        <w:t>)</w:t>
      </w:r>
      <w:r w:rsidR="00017AC9" w:rsidRPr="002B49C2">
        <w:rPr>
          <w:rFonts w:ascii="Arial" w:hAnsi="Arial" w:cs="Arial"/>
          <w:sz w:val="22"/>
          <w:szCs w:val="22"/>
        </w:rPr>
        <w:t>.</w:t>
      </w:r>
    </w:p>
    <w:p w14:paraId="6AA12CCA" w14:textId="4B7248DB" w:rsidR="00017AC9" w:rsidRPr="00FA2E51" w:rsidRDefault="00F064CB" w:rsidP="00017AC9">
      <w:pPr>
        <w:spacing w:line="360" w:lineRule="auto"/>
        <w:rPr>
          <w:rFonts w:ascii="Arial" w:hAnsi="Arial" w:cs="Arial"/>
          <w:sz w:val="22"/>
          <w:szCs w:val="22"/>
        </w:rPr>
      </w:pPr>
      <w:r w:rsidRPr="002B49C2">
        <w:rPr>
          <w:rFonts w:ascii="Arial" w:hAnsi="Arial" w:cs="Arial"/>
          <w:sz w:val="22"/>
          <w:szCs w:val="22"/>
        </w:rPr>
        <w:t xml:space="preserve">Wood, G., Cooke, F.L., </w:t>
      </w:r>
      <w:proofErr w:type="spellStart"/>
      <w:r w:rsidRPr="002B49C2">
        <w:rPr>
          <w:rFonts w:ascii="Arial" w:hAnsi="Arial" w:cs="Arial"/>
          <w:sz w:val="22"/>
          <w:szCs w:val="22"/>
        </w:rPr>
        <w:t>Brou</w:t>
      </w:r>
      <w:proofErr w:type="spellEnd"/>
      <w:r w:rsidRPr="002B49C2">
        <w:rPr>
          <w:rFonts w:ascii="Arial" w:hAnsi="Arial" w:cs="Arial"/>
          <w:sz w:val="22"/>
          <w:szCs w:val="22"/>
        </w:rPr>
        <w:t xml:space="preserve">, D., Wang, J. and </w:t>
      </w:r>
      <w:proofErr w:type="spellStart"/>
      <w:r w:rsidRPr="002B49C2">
        <w:rPr>
          <w:rFonts w:ascii="Arial" w:hAnsi="Arial" w:cs="Arial"/>
          <w:sz w:val="22"/>
          <w:szCs w:val="22"/>
        </w:rPr>
        <w:t>Ghauri</w:t>
      </w:r>
      <w:proofErr w:type="spellEnd"/>
      <w:r w:rsidRPr="002B49C2">
        <w:rPr>
          <w:rFonts w:ascii="Arial" w:hAnsi="Arial" w:cs="Arial"/>
          <w:sz w:val="22"/>
          <w:szCs w:val="22"/>
        </w:rPr>
        <w:t xml:space="preserve">, P. (2024). Rethinking contexts and institutions for research on human resource management in multinational enterprises in an age of </w:t>
      </w:r>
      <w:proofErr w:type="spellStart"/>
      <w:r w:rsidRPr="002B49C2">
        <w:rPr>
          <w:rFonts w:ascii="Arial" w:hAnsi="Arial" w:cs="Arial"/>
          <w:sz w:val="22"/>
          <w:szCs w:val="22"/>
        </w:rPr>
        <w:t>polycrisis</w:t>
      </w:r>
      <w:proofErr w:type="spellEnd"/>
      <w:r w:rsidRPr="002B49C2">
        <w:rPr>
          <w:rFonts w:ascii="Arial" w:hAnsi="Arial" w:cs="Arial"/>
          <w:sz w:val="22"/>
          <w:szCs w:val="22"/>
        </w:rPr>
        <w:t>: reflections and suggestions. </w:t>
      </w:r>
      <w:r w:rsidRPr="002B49C2">
        <w:rPr>
          <w:rFonts w:ascii="Arial" w:hAnsi="Arial" w:cs="Arial"/>
          <w:i/>
          <w:iCs/>
          <w:sz w:val="22"/>
          <w:szCs w:val="22"/>
        </w:rPr>
        <w:t>The International Journal of Human Resource Management</w:t>
      </w:r>
      <w:r w:rsidRPr="002B49C2">
        <w:rPr>
          <w:rFonts w:ascii="Arial" w:hAnsi="Arial" w:cs="Arial"/>
          <w:sz w:val="22"/>
          <w:szCs w:val="22"/>
        </w:rPr>
        <w:t>, pp.1–34.</w:t>
      </w:r>
      <w:r w:rsidR="00C237B9" w:rsidRPr="002B49C2">
        <w:rPr>
          <w:rFonts w:ascii="Arial" w:hAnsi="Arial" w:cs="Arial"/>
          <w:sz w:val="22"/>
          <w:szCs w:val="22"/>
        </w:rPr>
        <w:t xml:space="preserve"> </w:t>
      </w:r>
      <w:r w:rsidR="00C237B9" w:rsidRPr="002B49C2">
        <w:rPr>
          <w:rFonts w:ascii="Arial" w:hAnsi="Arial" w:cs="Arial"/>
          <w:sz w:val="22"/>
          <w:szCs w:val="22"/>
        </w:rPr>
        <w:t>https://</w:t>
      </w:r>
      <w:r w:rsidRPr="002B49C2">
        <w:rPr>
          <w:rFonts w:ascii="Arial" w:hAnsi="Arial" w:cs="Arial"/>
          <w:sz w:val="22"/>
          <w:szCs w:val="22"/>
        </w:rPr>
        <w:t xml:space="preserve"> doi:10.1080/09585192.2024.2401021</w:t>
      </w:r>
      <w:r w:rsidR="00017AC9" w:rsidRPr="002B49C2">
        <w:rPr>
          <w:rFonts w:ascii="Arial" w:hAnsi="Arial" w:cs="Arial"/>
          <w:sz w:val="22"/>
          <w:szCs w:val="22"/>
        </w:rPr>
        <w:t>.</w:t>
      </w:r>
      <w:r w:rsidR="00017AC9" w:rsidRPr="00FA2E51">
        <w:rPr>
          <w:rFonts w:ascii="Arial" w:hAnsi="Arial" w:cs="Arial"/>
          <w:sz w:val="22"/>
          <w:szCs w:val="22"/>
        </w:rPr>
        <w:t xml:space="preserve"> </w:t>
      </w:r>
    </w:p>
    <w:p w14:paraId="750DFC5C" w14:textId="77777777" w:rsidR="00017AC9" w:rsidRDefault="00017AC9"/>
    <w:sectPr w:rsidR="00017AC9">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E08051" w14:textId="77777777" w:rsidR="00AB6842" w:rsidRDefault="00AB6842" w:rsidP="00017AC9">
      <w:pPr>
        <w:spacing w:after="0" w:line="240" w:lineRule="auto"/>
      </w:pPr>
      <w:r>
        <w:separator/>
      </w:r>
    </w:p>
  </w:endnote>
  <w:endnote w:type="continuationSeparator" w:id="0">
    <w:p w14:paraId="318AF141" w14:textId="77777777" w:rsidR="00AB6842" w:rsidRDefault="00AB6842" w:rsidP="00017A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7372698"/>
      <w:docPartObj>
        <w:docPartGallery w:val="Page Numbers (Bottom of Page)"/>
        <w:docPartUnique/>
      </w:docPartObj>
    </w:sdtPr>
    <w:sdtEndPr>
      <w:rPr>
        <w:noProof/>
      </w:rPr>
    </w:sdtEndPr>
    <w:sdtContent>
      <w:p w14:paraId="4AB7745F" w14:textId="1E5F51D4" w:rsidR="00017AC9" w:rsidRDefault="00017AC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76DCDE" w14:textId="77777777" w:rsidR="00017AC9" w:rsidRDefault="00017A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241A71" w14:textId="77777777" w:rsidR="00AB6842" w:rsidRDefault="00AB6842" w:rsidP="00017AC9">
      <w:pPr>
        <w:spacing w:after="0" w:line="240" w:lineRule="auto"/>
      </w:pPr>
      <w:r>
        <w:separator/>
      </w:r>
    </w:p>
  </w:footnote>
  <w:footnote w:type="continuationSeparator" w:id="0">
    <w:p w14:paraId="15D18CD7" w14:textId="77777777" w:rsidR="00AB6842" w:rsidRDefault="00AB6842" w:rsidP="00017AC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AC9"/>
    <w:rsid w:val="00003E43"/>
    <w:rsid w:val="00017AC9"/>
    <w:rsid w:val="00033904"/>
    <w:rsid w:val="000441F9"/>
    <w:rsid w:val="00047518"/>
    <w:rsid w:val="000632E0"/>
    <w:rsid w:val="0008586B"/>
    <w:rsid w:val="00097101"/>
    <w:rsid w:val="0014193E"/>
    <w:rsid w:val="001F1B06"/>
    <w:rsid w:val="001F3F3A"/>
    <w:rsid w:val="00200349"/>
    <w:rsid w:val="00273828"/>
    <w:rsid w:val="002B49C2"/>
    <w:rsid w:val="002B523C"/>
    <w:rsid w:val="002C103A"/>
    <w:rsid w:val="002F4698"/>
    <w:rsid w:val="002F69E0"/>
    <w:rsid w:val="00325020"/>
    <w:rsid w:val="003271FD"/>
    <w:rsid w:val="00393500"/>
    <w:rsid w:val="00396F07"/>
    <w:rsid w:val="003A54AA"/>
    <w:rsid w:val="003E4653"/>
    <w:rsid w:val="00402563"/>
    <w:rsid w:val="004C3EC3"/>
    <w:rsid w:val="004D2621"/>
    <w:rsid w:val="004F11D2"/>
    <w:rsid w:val="004F6732"/>
    <w:rsid w:val="00524EB0"/>
    <w:rsid w:val="005262AF"/>
    <w:rsid w:val="005414BF"/>
    <w:rsid w:val="0058203C"/>
    <w:rsid w:val="00593214"/>
    <w:rsid w:val="005A00C7"/>
    <w:rsid w:val="005B3BB6"/>
    <w:rsid w:val="005B7890"/>
    <w:rsid w:val="005D5AF6"/>
    <w:rsid w:val="006046F8"/>
    <w:rsid w:val="00623227"/>
    <w:rsid w:val="00646831"/>
    <w:rsid w:val="00652F8F"/>
    <w:rsid w:val="006935F9"/>
    <w:rsid w:val="00696117"/>
    <w:rsid w:val="006C166C"/>
    <w:rsid w:val="006E4101"/>
    <w:rsid w:val="006F1234"/>
    <w:rsid w:val="0072679E"/>
    <w:rsid w:val="00733833"/>
    <w:rsid w:val="007537E0"/>
    <w:rsid w:val="007A7ABC"/>
    <w:rsid w:val="007B7509"/>
    <w:rsid w:val="00873309"/>
    <w:rsid w:val="00953F36"/>
    <w:rsid w:val="00956AD0"/>
    <w:rsid w:val="00A24FB0"/>
    <w:rsid w:val="00A474B3"/>
    <w:rsid w:val="00A47D88"/>
    <w:rsid w:val="00A60A9B"/>
    <w:rsid w:val="00A8023D"/>
    <w:rsid w:val="00A82EE5"/>
    <w:rsid w:val="00AA5E97"/>
    <w:rsid w:val="00AA746C"/>
    <w:rsid w:val="00AB6842"/>
    <w:rsid w:val="00AC1475"/>
    <w:rsid w:val="00B016BD"/>
    <w:rsid w:val="00B0740B"/>
    <w:rsid w:val="00B2029E"/>
    <w:rsid w:val="00B4527A"/>
    <w:rsid w:val="00BE5D77"/>
    <w:rsid w:val="00BE6FF4"/>
    <w:rsid w:val="00C237B9"/>
    <w:rsid w:val="00C25E88"/>
    <w:rsid w:val="00C32BC8"/>
    <w:rsid w:val="00C81225"/>
    <w:rsid w:val="00C81AFB"/>
    <w:rsid w:val="00C9401D"/>
    <w:rsid w:val="00CA2AE5"/>
    <w:rsid w:val="00CC7DA7"/>
    <w:rsid w:val="00CD5675"/>
    <w:rsid w:val="00DA15CE"/>
    <w:rsid w:val="00DA1C95"/>
    <w:rsid w:val="00DA7AD8"/>
    <w:rsid w:val="00DE33EF"/>
    <w:rsid w:val="00DF3A20"/>
    <w:rsid w:val="00E50BE4"/>
    <w:rsid w:val="00E81F7F"/>
    <w:rsid w:val="00E90CEB"/>
    <w:rsid w:val="00EA3920"/>
    <w:rsid w:val="00F064CB"/>
    <w:rsid w:val="00F2618E"/>
    <w:rsid w:val="00FA2E51"/>
    <w:rsid w:val="00FC4D91"/>
    <w:rsid w:val="00FC68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8CC0D"/>
  <w15:chartTrackingRefBased/>
  <w15:docId w15:val="{7982E139-186F-4243-863E-AD4EDC8B3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7A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7A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7A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7A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7A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7A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7A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7A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7A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7A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7A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7A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7A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7A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7A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7A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7A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7AC9"/>
    <w:rPr>
      <w:rFonts w:eastAsiaTheme="majorEastAsia" w:cstheme="majorBidi"/>
      <w:color w:val="272727" w:themeColor="text1" w:themeTint="D8"/>
    </w:rPr>
  </w:style>
  <w:style w:type="paragraph" w:styleId="Title">
    <w:name w:val="Title"/>
    <w:basedOn w:val="Normal"/>
    <w:next w:val="Normal"/>
    <w:link w:val="TitleChar"/>
    <w:uiPriority w:val="10"/>
    <w:qFormat/>
    <w:rsid w:val="00017A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7A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7A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7A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7AC9"/>
    <w:pPr>
      <w:spacing w:before="160"/>
      <w:jc w:val="center"/>
    </w:pPr>
    <w:rPr>
      <w:i/>
      <w:iCs/>
      <w:color w:val="404040" w:themeColor="text1" w:themeTint="BF"/>
    </w:rPr>
  </w:style>
  <w:style w:type="character" w:customStyle="1" w:styleId="QuoteChar">
    <w:name w:val="Quote Char"/>
    <w:basedOn w:val="DefaultParagraphFont"/>
    <w:link w:val="Quote"/>
    <w:uiPriority w:val="29"/>
    <w:rsid w:val="00017AC9"/>
    <w:rPr>
      <w:i/>
      <w:iCs/>
      <w:color w:val="404040" w:themeColor="text1" w:themeTint="BF"/>
    </w:rPr>
  </w:style>
  <w:style w:type="paragraph" w:styleId="ListParagraph">
    <w:name w:val="List Paragraph"/>
    <w:basedOn w:val="Normal"/>
    <w:uiPriority w:val="34"/>
    <w:qFormat/>
    <w:rsid w:val="00017AC9"/>
    <w:pPr>
      <w:ind w:left="720"/>
      <w:contextualSpacing/>
    </w:pPr>
  </w:style>
  <w:style w:type="character" w:styleId="IntenseEmphasis">
    <w:name w:val="Intense Emphasis"/>
    <w:basedOn w:val="DefaultParagraphFont"/>
    <w:uiPriority w:val="21"/>
    <w:qFormat/>
    <w:rsid w:val="00017AC9"/>
    <w:rPr>
      <w:i/>
      <w:iCs/>
      <w:color w:val="0F4761" w:themeColor="accent1" w:themeShade="BF"/>
    </w:rPr>
  </w:style>
  <w:style w:type="paragraph" w:styleId="IntenseQuote">
    <w:name w:val="Intense Quote"/>
    <w:basedOn w:val="Normal"/>
    <w:next w:val="Normal"/>
    <w:link w:val="IntenseQuoteChar"/>
    <w:uiPriority w:val="30"/>
    <w:qFormat/>
    <w:rsid w:val="00017A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7AC9"/>
    <w:rPr>
      <w:i/>
      <w:iCs/>
      <w:color w:val="0F4761" w:themeColor="accent1" w:themeShade="BF"/>
    </w:rPr>
  </w:style>
  <w:style w:type="character" w:styleId="IntenseReference">
    <w:name w:val="Intense Reference"/>
    <w:basedOn w:val="DefaultParagraphFont"/>
    <w:uiPriority w:val="32"/>
    <w:qFormat/>
    <w:rsid w:val="00017AC9"/>
    <w:rPr>
      <w:b/>
      <w:bCs/>
      <w:smallCaps/>
      <w:color w:val="0F4761" w:themeColor="accent1" w:themeShade="BF"/>
      <w:spacing w:val="5"/>
    </w:rPr>
  </w:style>
  <w:style w:type="paragraph" w:styleId="Header">
    <w:name w:val="header"/>
    <w:basedOn w:val="Normal"/>
    <w:link w:val="HeaderChar"/>
    <w:uiPriority w:val="99"/>
    <w:unhideWhenUsed/>
    <w:rsid w:val="00017A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7AC9"/>
  </w:style>
  <w:style w:type="paragraph" w:styleId="Footer">
    <w:name w:val="footer"/>
    <w:basedOn w:val="Normal"/>
    <w:link w:val="FooterChar"/>
    <w:uiPriority w:val="99"/>
    <w:unhideWhenUsed/>
    <w:rsid w:val="00017A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7AC9"/>
  </w:style>
  <w:style w:type="paragraph" w:styleId="TOCHeading">
    <w:name w:val="TOC Heading"/>
    <w:basedOn w:val="Heading1"/>
    <w:next w:val="Normal"/>
    <w:uiPriority w:val="39"/>
    <w:unhideWhenUsed/>
    <w:qFormat/>
    <w:rsid w:val="00017AC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17AC9"/>
    <w:pPr>
      <w:spacing w:after="100"/>
    </w:pPr>
  </w:style>
  <w:style w:type="character" w:styleId="Hyperlink">
    <w:name w:val="Hyperlink"/>
    <w:basedOn w:val="DefaultParagraphFont"/>
    <w:uiPriority w:val="99"/>
    <w:unhideWhenUsed/>
    <w:rsid w:val="00017AC9"/>
    <w:rPr>
      <w:color w:val="467886" w:themeColor="hyperlink"/>
      <w:u w:val="single"/>
    </w:rPr>
  </w:style>
  <w:style w:type="paragraph" w:customStyle="1" w:styleId="isselectedend">
    <w:name w:val="isselectedend"/>
    <w:basedOn w:val="Normal"/>
    <w:rsid w:val="007A7AB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7A7AB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EA39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140604">
      <w:bodyDiv w:val="1"/>
      <w:marLeft w:val="0"/>
      <w:marRight w:val="0"/>
      <w:marTop w:val="0"/>
      <w:marBottom w:val="0"/>
      <w:divBdr>
        <w:top w:val="none" w:sz="0" w:space="0" w:color="auto"/>
        <w:left w:val="none" w:sz="0" w:space="0" w:color="auto"/>
        <w:bottom w:val="none" w:sz="0" w:space="0" w:color="auto"/>
        <w:right w:val="none" w:sz="0" w:space="0" w:color="auto"/>
      </w:divBdr>
    </w:div>
    <w:div w:id="329455986">
      <w:bodyDiv w:val="1"/>
      <w:marLeft w:val="0"/>
      <w:marRight w:val="0"/>
      <w:marTop w:val="0"/>
      <w:marBottom w:val="0"/>
      <w:divBdr>
        <w:top w:val="none" w:sz="0" w:space="0" w:color="auto"/>
        <w:left w:val="none" w:sz="0" w:space="0" w:color="auto"/>
        <w:bottom w:val="none" w:sz="0" w:space="0" w:color="auto"/>
        <w:right w:val="none" w:sz="0" w:space="0" w:color="auto"/>
      </w:divBdr>
    </w:div>
    <w:div w:id="391544496">
      <w:bodyDiv w:val="1"/>
      <w:marLeft w:val="0"/>
      <w:marRight w:val="0"/>
      <w:marTop w:val="0"/>
      <w:marBottom w:val="0"/>
      <w:divBdr>
        <w:top w:val="none" w:sz="0" w:space="0" w:color="auto"/>
        <w:left w:val="none" w:sz="0" w:space="0" w:color="auto"/>
        <w:bottom w:val="none" w:sz="0" w:space="0" w:color="auto"/>
        <w:right w:val="none" w:sz="0" w:space="0" w:color="auto"/>
      </w:divBdr>
    </w:div>
    <w:div w:id="733623300">
      <w:bodyDiv w:val="1"/>
      <w:marLeft w:val="0"/>
      <w:marRight w:val="0"/>
      <w:marTop w:val="0"/>
      <w:marBottom w:val="0"/>
      <w:divBdr>
        <w:top w:val="none" w:sz="0" w:space="0" w:color="auto"/>
        <w:left w:val="none" w:sz="0" w:space="0" w:color="auto"/>
        <w:bottom w:val="none" w:sz="0" w:space="0" w:color="auto"/>
        <w:right w:val="none" w:sz="0" w:space="0" w:color="auto"/>
      </w:divBdr>
    </w:div>
    <w:div w:id="1472362191">
      <w:bodyDiv w:val="1"/>
      <w:marLeft w:val="0"/>
      <w:marRight w:val="0"/>
      <w:marTop w:val="0"/>
      <w:marBottom w:val="0"/>
      <w:divBdr>
        <w:top w:val="none" w:sz="0" w:space="0" w:color="auto"/>
        <w:left w:val="none" w:sz="0" w:space="0" w:color="auto"/>
        <w:bottom w:val="none" w:sz="0" w:space="0" w:color="auto"/>
        <w:right w:val="none" w:sz="0" w:space="0" w:color="auto"/>
      </w:divBdr>
    </w:div>
    <w:div w:id="1713531416">
      <w:bodyDiv w:val="1"/>
      <w:marLeft w:val="0"/>
      <w:marRight w:val="0"/>
      <w:marTop w:val="0"/>
      <w:marBottom w:val="0"/>
      <w:divBdr>
        <w:top w:val="none" w:sz="0" w:space="0" w:color="auto"/>
        <w:left w:val="none" w:sz="0" w:space="0" w:color="auto"/>
        <w:bottom w:val="none" w:sz="0" w:space="0" w:color="auto"/>
        <w:right w:val="none" w:sz="0" w:space="0" w:color="auto"/>
      </w:divBdr>
    </w:div>
    <w:div w:id="1829904129">
      <w:bodyDiv w:val="1"/>
      <w:marLeft w:val="0"/>
      <w:marRight w:val="0"/>
      <w:marTop w:val="0"/>
      <w:marBottom w:val="0"/>
      <w:divBdr>
        <w:top w:val="none" w:sz="0" w:space="0" w:color="auto"/>
        <w:left w:val="none" w:sz="0" w:space="0" w:color="auto"/>
        <w:bottom w:val="none" w:sz="0" w:space="0" w:color="auto"/>
        <w:right w:val="none" w:sz="0" w:space="0" w:color="auto"/>
      </w:divBdr>
    </w:div>
    <w:div w:id="1920672841">
      <w:bodyDiv w:val="1"/>
      <w:marLeft w:val="0"/>
      <w:marRight w:val="0"/>
      <w:marTop w:val="0"/>
      <w:marBottom w:val="0"/>
      <w:divBdr>
        <w:top w:val="none" w:sz="0" w:space="0" w:color="auto"/>
        <w:left w:val="none" w:sz="0" w:space="0" w:color="auto"/>
        <w:bottom w:val="none" w:sz="0" w:space="0" w:color="auto"/>
        <w:right w:val="none" w:sz="0" w:space="0" w:color="auto"/>
      </w:divBdr>
    </w:div>
    <w:div w:id="2072459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F39137-455E-4704-8D2C-020CB3E14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3212</Words>
  <Characters>18313</Characters>
  <Application>Microsoft Office Word</Application>
  <DocSecurity>0</DocSecurity>
  <Lines>152</Lines>
  <Paragraphs>42</Paragraphs>
  <ScaleCrop>false</ScaleCrop>
  <Company/>
  <LinksUpToDate>false</LinksUpToDate>
  <CharactersWithSpaces>21483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Shazad Shah</dc:creator>
  <cp:keywords/>
  <dc:description/>
  <cp:lastModifiedBy>Shazad Shah</cp:lastModifiedBy>
  <cp:revision>3</cp:revision>
  <dcterms:created xsi:type="dcterms:W3CDTF">2026-07-21T18:26:00Z</dcterms:created>
  <dcterms:modified xsi:type="dcterms:W3CDTF">2026-07-21T18:26:00Z</dcterms:modified>
</cp:coreProperties>
</file>