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dTable7Colorful-Accent2"/>
        <w:tblpPr w:leftFromText="180" w:rightFromText="180" w:vertAnchor="text" w:horzAnchor="margin" w:tblpY="114"/>
        <w:tblW w:w="0" w:type="auto"/>
        <w:tblLook w:val="04A0" w:firstRow="1" w:lastRow="0" w:firstColumn="1" w:lastColumn="0" w:noHBand="0" w:noVBand="1"/>
      </w:tblPr>
      <w:tblGrid>
        <w:gridCol w:w="2405"/>
        <w:gridCol w:w="6611"/>
      </w:tblGrid>
      <w:tr w:rsidR="00B92747" w14:paraId="6742EDC8" w14:textId="77777777" w:rsidTr="0046663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405" w:type="dxa"/>
            <w:hideMark/>
          </w:tcPr>
          <w:p w14:paraId="07575034" w14:textId="77777777" w:rsidR="00B92747" w:rsidRDefault="00B92747" w:rsidP="003F798D">
            <w:pPr>
              <w:rPr>
                <w:rFonts w:cs="Arial"/>
                <w:sz w:val="28"/>
                <w:szCs w:val="28"/>
              </w:rPr>
            </w:pPr>
            <w:r>
              <w:t>Programme:</w:t>
            </w:r>
          </w:p>
        </w:tc>
        <w:tc>
          <w:tcPr>
            <w:tcW w:w="6611" w:type="dxa"/>
            <w:hideMark/>
          </w:tcPr>
          <w:p w14:paraId="3BAC97A8" w14:textId="77777777" w:rsidR="00B92747" w:rsidRDefault="00B92747" w:rsidP="003F798D">
            <w:pPr>
              <w:cnfStyle w:val="100000000000" w:firstRow="1" w:lastRow="0" w:firstColumn="0" w:lastColumn="0" w:oddVBand="0" w:evenVBand="0" w:oddHBand="0" w:evenHBand="0" w:firstRowFirstColumn="0" w:firstRowLastColumn="0" w:lastRowFirstColumn="0" w:lastRowLastColumn="0"/>
              <w:rPr>
                <w:rFonts w:cs="Arial"/>
                <w:b w:val="0"/>
                <w:bCs w:val="0"/>
                <w:sz w:val="28"/>
                <w:szCs w:val="28"/>
              </w:rPr>
            </w:pPr>
            <w:r>
              <w:t xml:space="preserve">MSc Public Health and Social Care in Practice  </w:t>
            </w:r>
          </w:p>
        </w:tc>
      </w:tr>
      <w:tr w:rsidR="00B92747" w14:paraId="4624AD32" w14:textId="77777777" w:rsidTr="004666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0DA90520" w14:textId="77777777" w:rsidR="00B92747" w:rsidRDefault="00B92747" w:rsidP="003F798D">
            <w:pPr>
              <w:rPr>
                <w:rFonts w:cs="Arial"/>
                <w:b/>
                <w:bCs/>
                <w:sz w:val="28"/>
                <w:szCs w:val="28"/>
              </w:rPr>
            </w:pPr>
            <w:r>
              <w:t>Module:</w:t>
            </w:r>
          </w:p>
        </w:tc>
        <w:tc>
          <w:tcPr>
            <w:tcW w:w="6611" w:type="dxa"/>
            <w:hideMark/>
          </w:tcPr>
          <w:p w14:paraId="28364C95" w14:textId="2C68126C" w:rsidR="00B92747" w:rsidRDefault="00B92747" w:rsidP="00B92747">
            <w:pPr>
              <w:cnfStyle w:val="000000100000" w:firstRow="0" w:lastRow="0" w:firstColumn="0" w:lastColumn="0" w:oddVBand="0" w:evenVBand="0" w:oddHBand="1" w:evenHBand="0" w:firstRowFirstColumn="0" w:firstRowLastColumn="0" w:lastRowFirstColumn="0" w:lastRowLastColumn="0"/>
            </w:pPr>
            <w:r>
              <w:t>Population Health and Digital Health Promotion</w:t>
            </w:r>
          </w:p>
        </w:tc>
      </w:tr>
      <w:tr w:rsidR="00B92747" w14:paraId="179E9F96" w14:textId="77777777" w:rsidTr="00466630">
        <w:tc>
          <w:tcPr>
            <w:cnfStyle w:val="001000000000" w:firstRow="0" w:lastRow="0" w:firstColumn="1" w:lastColumn="0" w:oddVBand="0" w:evenVBand="0" w:oddHBand="0" w:evenHBand="0" w:firstRowFirstColumn="0" w:firstRowLastColumn="0" w:lastRowFirstColumn="0" w:lastRowLastColumn="0"/>
            <w:tcW w:w="2405" w:type="dxa"/>
            <w:hideMark/>
          </w:tcPr>
          <w:p w14:paraId="0815326E" w14:textId="77777777" w:rsidR="00B92747" w:rsidRDefault="00B92747" w:rsidP="003F798D">
            <w:pPr>
              <w:rPr>
                <w:rFonts w:cs="Arial"/>
                <w:b/>
                <w:bCs/>
                <w:sz w:val="28"/>
                <w:szCs w:val="28"/>
              </w:rPr>
            </w:pPr>
            <w:r>
              <w:t>Module code:</w:t>
            </w:r>
          </w:p>
        </w:tc>
        <w:tc>
          <w:tcPr>
            <w:tcW w:w="6611" w:type="dxa"/>
            <w:hideMark/>
          </w:tcPr>
          <w:p w14:paraId="303C6294" w14:textId="0783CB5C" w:rsidR="00B92747" w:rsidRDefault="00B92747" w:rsidP="003F798D">
            <w:pPr>
              <w:cnfStyle w:val="000000000000" w:firstRow="0" w:lastRow="0" w:firstColumn="0" w:lastColumn="0" w:oddVBand="0" w:evenVBand="0" w:oddHBand="0" w:evenHBand="0" w:firstRowFirstColumn="0" w:firstRowLastColumn="0" w:lastRowFirstColumn="0" w:lastRowLastColumn="0"/>
            </w:pPr>
            <w:r w:rsidRPr="007A32F5">
              <w:t>LCHS700</w:t>
            </w:r>
            <w:r>
              <w:t>9</w:t>
            </w:r>
          </w:p>
        </w:tc>
      </w:tr>
      <w:tr w:rsidR="00B92747" w14:paraId="583C0627" w14:textId="77777777" w:rsidTr="004666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3B5CEC79" w14:textId="77777777" w:rsidR="00B92747" w:rsidRDefault="00B92747" w:rsidP="003F798D">
            <w:pPr>
              <w:rPr>
                <w:rFonts w:cs="Arial"/>
                <w:b/>
                <w:bCs/>
                <w:sz w:val="28"/>
                <w:szCs w:val="28"/>
              </w:rPr>
            </w:pPr>
            <w:r>
              <w:t>Lecturer:</w:t>
            </w:r>
          </w:p>
        </w:tc>
        <w:tc>
          <w:tcPr>
            <w:tcW w:w="6611" w:type="dxa"/>
            <w:hideMark/>
          </w:tcPr>
          <w:p w14:paraId="76E8B386" w14:textId="1A3640E4" w:rsidR="00B92747" w:rsidRDefault="00937ECA" w:rsidP="003F798D">
            <w:pPr>
              <w:cnfStyle w:val="000000100000" w:firstRow="0" w:lastRow="0" w:firstColumn="0" w:lastColumn="0" w:oddVBand="0" w:evenVBand="0" w:oddHBand="1" w:evenHBand="0" w:firstRowFirstColumn="0" w:firstRowLastColumn="0" w:lastRowFirstColumn="0" w:lastRowLastColumn="0"/>
            </w:pPr>
            <w:r w:rsidRPr="00937ECA">
              <w:t>Dr Ping Wu</w:t>
            </w:r>
          </w:p>
        </w:tc>
      </w:tr>
      <w:tr w:rsidR="00B92747" w14:paraId="76F75766" w14:textId="77777777" w:rsidTr="00466630">
        <w:tc>
          <w:tcPr>
            <w:cnfStyle w:val="001000000000" w:firstRow="0" w:lastRow="0" w:firstColumn="1" w:lastColumn="0" w:oddVBand="0" w:evenVBand="0" w:oddHBand="0" w:evenHBand="0" w:firstRowFirstColumn="0" w:firstRowLastColumn="0" w:lastRowFirstColumn="0" w:lastRowLastColumn="0"/>
            <w:tcW w:w="2405" w:type="dxa"/>
            <w:hideMark/>
          </w:tcPr>
          <w:p w14:paraId="11C4E45B" w14:textId="77777777" w:rsidR="00B92747" w:rsidRDefault="00B92747" w:rsidP="003F798D">
            <w:pPr>
              <w:rPr>
                <w:rFonts w:cs="Arial"/>
                <w:b/>
                <w:bCs/>
                <w:sz w:val="28"/>
                <w:szCs w:val="28"/>
              </w:rPr>
            </w:pPr>
            <w:r>
              <w:t>Assignment Title:</w:t>
            </w:r>
          </w:p>
        </w:tc>
        <w:tc>
          <w:tcPr>
            <w:tcW w:w="6611" w:type="dxa"/>
            <w:hideMark/>
          </w:tcPr>
          <w:p w14:paraId="497936E6" w14:textId="30C39358" w:rsidR="00B92747" w:rsidRDefault="00B92747" w:rsidP="00B92747">
            <w:pPr>
              <w:cnfStyle w:val="000000000000" w:firstRow="0" w:lastRow="0" w:firstColumn="0" w:lastColumn="0" w:oddVBand="0" w:evenVBand="0" w:oddHBand="0" w:evenHBand="0" w:firstRowFirstColumn="0" w:firstRowLastColumn="0" w:lastRowFirstColumn="0" w:lastRowLastColumn="0"/>
            </w:pPr>
            <w:r>
              <w:t>Component 1: 2 Blogs</w:t>
            </w:r>
          </w:p>
          <w:p w14:paraId="4A3BE61A" w14:textId="77777777" w:rsidR="00B92747" w:rsidRDefault="00B92747" w:rsidP="003F798D">
            <w:pPr>
              <w:cnfStyle w:val="000000000000" w:firstRow="0" w:lastRow="0" w:firstColumn="0" w:lastColumn="0" w:oddVBand="0" w:evenVBand="0" w:oddHBand="0" w:evenHBand="0" w:firstRowFirstColumn="0" w:firstRowLastColumn="0" w:lastRowFirstColumn="0" w:lastRowLastColumn="0"/>
            </w:pPr>
          </w:p>
        </w:tc>
      </w:tr>
      <w:tr w:rsidR="00B92747" w14:paraId="39CEF145" w14:textId="77777777" w:rsidTr="004666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hideMark/>
          </w:tcPr>
          <w:p w14:paraId="09E0C9BC" w14:textId="77777777" w:rsidR="00B92747" w:rsidRDefault="00B92747" w:rsidP="003F798D">
            <w:pPr>
              <w:rPr>
                <w:b/>
                <w:bCs/>
              </w:rPr>
            </w:pPr>
            <w:r>
              <w:t>Student Name:</w:t>
            </w:r>
          </w:p>
        </w:tc>
        <w:tc>
          <w:tcPr>
            <w:tcW w:w="6611" w:type="dxa"/>
          </w:tcPr>
          <w:p w14:paraId="0FA7F782" w14:textId="43C54006" w:rsidR="00B92747" w:rsidRDefault="00FC1166" w:rsidP="003F798D">
            <w:pPr>
              <w:cnfStyle w:val="000000100000" w:firstRow="0" w:lastRow="0" w:firstColumn="0" w:lastColumn="0" w:oddVBand="0" w:evenVBand="0" w:oddHBand="1" w:evenHBand="0" w:firstRowFirstColumn="0" w:firstRowLastColumn="0" w:lastRowFirstColumn="0" w:lastRowLastColumn="0"/>
            </w:pPr>
            <w:proofErr w:type="spellStart"/>
            <w:r w:rsidRPr="00FC1166">
              <w:t>Bilkis</w:t>
            </w:r>
            <w:proofErr w:type="spellEnd"/>
            <w:r w:rsidRPr="00FC1166">
              <w:t xml:space="preserve"> Begum</w:t>
            </w:r>
          </w:p>
        </w:tc>
      </w:tr>
      <w:tr w:rsidR="00B92747" w14:paraId="7A441098" w14:textId="77777777" w:rsidTr="00466630">
        <w:tc>
          <w:tcPr>
            <w:cnfStyle w:val="001000000000" w:firstRow="0" w:lastRow="0" w:firstColumn="1" w:lastColumn="0" w:oddVBand="0" w:evenVBand="0" w:oddHBand="0" w:evenHBand="0" w:firstRowFirstColumn="0" w:firstRowLastColumn="0" w:lastRowFirstColumn="0" w:lastRowLastColumn="0"/>
            <w:tcW w:w="2405" w:type="dxa"/>
            <w:hideMark/>
          </w:tcPr>
          <w:p w14:paraId="530AC300" w14:textId="77777777" w:rsidR="00B92747" w:rsidRDefault="00B92747" w:rsidP="003F798D">
            <w:pPr>
              <w:rPr>
                <w:b/>
                <w:bCs/>
              </w:rPr>
            </w:pPr>
            <w:r>
              <w:t>Student ID:</w:t>
            </w:r>
          </w:p>
        </w:tc>
        <w:tc>
          <w:tcPr>
            <w:tcW w:w="6611" w:type="dxa"/>
          </w:tcPr>
          <w:p w14:paraId="5EE7B628" w14:textId="4F764EA0" w:rsidR="00B92747" w:rsidRDefault="00FC1166" w:rsidP="003F798D">
            <w:pPr>
              <w:cnfStyle w:val="000000000000" w:firstRow="0" w:lastRow="0" w:firstColumn="0" w:lastColumn="0" w:oddVBand="0" w:evenVBand="0" w:oddHBand="0" w:evenHBand="0" w:firstRowFirstColumn="0" w:firstRowLastColumn="0" w:lastRowFirstColumn="0" w:lastRowLastColumn="0"/>
            </w:pPr>
            <w:r w:rsidRPr="00FC1166">
              <w:t>2432744</w:t>
            </w:r>
          </w:p>
        </w:tc>
      </w:tr>
    </w:tbl>
    <w:p w14:paraId="3205FE54" w14:textId="59F85528" w:rsidR="000E66B6" w:rsidRDefault="000E66B6"/>
    <w:p w14:paraId="0813DEAB" w14:textId="77777777" w:rsidR="00B92747" w:rsidRDefault="00B92747">
      <w:pPr>
        <w:spacing w:line="259" w:lineRule="auto"/>
        <w:jc w:val="left"/>
      </w:pPr>
      <w:r>
        <w:br w:type="page"/>
      </w:r>
    </w:p>
    <w:p w14:paraId="1E92D510" w14:textId="4BCE3DF4" w:rsidR="00B92747" w:rsidRPr="00717DB7" w:rsidRDefault="00717DB7" w:rsidP="00717DB7">
      <w:pPr>
        <w:jc w:val="center"/>
        <w:rPr>
          <w:b/>
          <w:bCs/>
          <w:sz w:val="24"/>
          <w:szCs w:val="24"/>
        </w:rPr>
      </w:pPr>
      <w:r w:rsidRPr="00717DB7">
        <w:rPr>
          <w:b/>
          <w:bCs/>
          <w:sz w:val="24"/>
          <w:szCs w:val="24"/>
        </w:rPr>
        <w:lastRenderedPageBreak/>
        <w:t xml:space="preserve">Blog 1: </w:t>
      </w:r>
      <w:r w:rsidR="00A87D57" w:rsidRPr="00A87D57">
        <w:rPr>
          <w:b/>
          <w:bCs/>
          <w:sz w:val="24"/>
          <w:szCs w:val="24"/>
        </w:rPr>
        <w:t>“</w:t>
      </w:r>
      <w:r w:rsidR="00466630" w:rsidRPr="00466630">
        <w:rPr>
          <w:b/>
          <w:bCs/>
          <w:sz w:val="24"/>
          <w:szCs w:val="24"/>
        </w:rPr>
        <w:t>Pocket Mindfulness: How Calm Is Changing Digital Mental Health</w:t>
      </w:r>
      <w:r w:rsidR="00A87D57" w:rsidRPr="00A87D57">
        <w:rPr>
          <w:b/>
          <w:bCs/>
          <w:sz w:val="24"/>
          <w:szCs w:val="24"/>
        </w:rPr>
        <w:t>”</w:t>
      </w:r>
    </w:p>
    <w:p w14:paraId="1F5315F7" w14:textId="74B0841F" w:rsidR="00511564" w:rsidRPr="00511564" w:rsidRDefault="00A87D57" w:rsidP="00767B81">
      <w:pPr>
        <w:pStyle w:val="Heading2"/>
      </w:pPr>
      <w:r w:rsidRPr="00A87D57">
        <w:t>The Undressed Crisis: Mental Health in the Digital Era</w:t>
      </w:r>
      <w:r w:rsidR="00511564">
        <w:rPr>
          <w:noProof/>
        </w:rPr>
        <w:drawing>
          <wp:anchor distT="0" distB="0" distL="114300" distR="114300" simplePos="0" relativeHeight="251678720" behindDoc="0" locked="0" layoutInCell="1" allowOverlap="1" wp14:anchorId="2A289C2B" wp14:editId="23EA75A8">
            <wp:simplePos x="0" y="0"/>
            <wp:positionH relativeFrom="column">
              <wp:posOffset>-641350</wp:posOffset>
            </wp:positionH>
            <wp:positionV relativeFrom="paragraph">
              <wp:posOffset>262255</wp:posOffset>
            </wp:positionV>
            <wp:extent cx="3510280" cy="1555461"/>
            <wp:effectExtent l="0" t="0" r="0" b="6985"/>
            <wp:wrapThrough wrapText="bothSides">
              <wp:wrapPolygon edited="0">
                <wp:start x="0" y="0"/>
                <wp:lineTo x="0" y="21432"/>
                <wp:lineTo x="21452" y="21432"/>
                <wp:lineTo x="21452"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12221" b="9003"/>
                    <a:stretch/>
                  </pic:blipFill>
                  <pic:spPr bwMode="auto">
                    <a:xfrm>
                      <a:off x="0" y="0"/>
                      <a:ext cx="3510280" cy="1555461"/>
                    </a:xfrm>
                    <a:prstGeom prst="rect">
                      <a:avLst/>
                    </a:prstGeom>
                    <a:noFill/>
                    <a:ln>
                      <a:noFill/>
                    </a:ln>
                    <a:extLst>
                      <a:ext uri="{53640926-AAD7-44D8-BBD7-CCE9431645EC}">
                        <a14:shadowObscured xmlns:a14="http://schemas.microsoft.com/office/drawing/2010/main"/>
                      </a:ext>
                    </a:extLst>
                  </pic:spPr>
                </pic:pic>
              </a:graphicData>
            </a:graphic>
          </wp:anchor>
        </w:drawing>
      </w:r>
    </w:p>
    <w:p w14:paraId="490665D5" w14:textId="7906DEF8" w:rsidR="00A87D57" w:rsidRDefault="006B6BB0" w:rsidP="00AE6C4E">
      <w:pPr>
        <w:pStyle w:val="ListParagraph"/>
        <w:numPr>
          <w:ilvl w:val="0"/>
          <w:numId w:val="6"/>
        </w:numPr>
      </w:pPr>
      <w:r w:rsidRPr="006B6BB0">
        <w:t xml:space="preserve">According to </w:t>
      </w:r>
      <w:proofErr w:type="spellStart"/>
      <w:r w:rsidR="005D41AD" w:rsidRPr="005D41AD">
        <w:t>Olawade</w:t>
      </w:r>
      <w:proofErr w:type="spellEnd"/>
      <w:r w:rsidR="005D41AD" w:rsidRPr="005D41AD">
        <w:t xml:space="preserve"> et al.</w:t>
      </w:r>
      <w:r w:rsidR="005D41AD">
        <w:t xml:space="preserve"> (</w:t>
      </w:r>
      <w:r w:rsidR="005D41AD" w:rsidRPr="005D41AD">
        <w:t>2024)</w:t>
      </w:r>
      <w:r w:rsidRPr="006B6BB0">
        <w:t xml:space="preserve"> </w:t>
      </w:r>
      <w:r w:rsidR="00511564" w:rsidRPr="00511564">
        <w:t>The worldwide market for AI in mental health is estimated at US$ 1.45 billion in 2024, increasing to US$ 1.8 billion in 2025, and is anticipated to reach over US$ 11.84 billion by 2034.</w:t>
      </w:r>
    </w:p>
    <w:p w14:paraId="2A521C00" w14:textId="1F62A1F6" w:rsidR="00A87D57" w:rsidRDefault="00511564" w:rsidP="00AE6C4E">
      <w:pPr>
        <w:pStyle w:val="ListParagraph"/>
        <w:numPr>
          <w:ilvl w:val="0"/>
          <w:numId w:val="6"/>
        </w:numPr>
      </w:pPr>
      <w:r w:rsidRPr="00A87D57">
        <w:rPr>
          <w:b/>
          <w:bCs/>
          <w:i/>
          <w:iCs/>
          <w:noProof/>
          <w:sz w:val="18"/>
          <w:szCs w:val="18"/>
        </w:rPr>
        <mc:AlternateContent>
          <mc:Choice Requires="wps">
            <w:drawing>
              <wp:anchor distT="45720" distB="45720" distL="114300" distR="114300" simplePos="0" relativeHeight="251667456" behindDoc="0" locked="0" layoutInCell="1" allowOverlap="1" wp14:anchorId="561DC934" wp14:editId="2D18BC48">
                <wp:simplePos x="0" y="0"/>
                <wp:positionH relativeFrom="column">
                  <wp:posOffset>247650</wp:posOffset>
                </wp:positionH>
                <wp:positionV relativeFrom="paragraph">
                  <wp:posOffset>307975</wp:posOffset>
                </wp:positionV>
                <wp:extent cx="1517650" cy="254000"/>
                <wp:effectExtent l="0" t="0" r="635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7650" cy="254000"/>
                        </a:xfrm>
                        <a:prstGeom prst="rect">
                          <a:avLst/>
                        </a:prstGeom>
                        <a:solidFill>
                          <a:srgbClr val="FFFFFF"/>
                        </a:solidFill>
                        <a:ln w="9525">
                          <a:noFill/>
                          <a:miter lim="800000"/>
                          <a:headEnd/>
                          <a:tailEnd/>
                        </a:ln>
                      </wps:spPr>
                      <wps:txbx>
                        <w:txbxContent>
                          <w:p w14:paraId="3189F341" w14:textId="571DF41B" w:rsidR="00A87D57" w:rsidRPr="00511564" w:rsidRDefault="00511564">
                            <w:pPr>
                              <w:rPr>
                                <w:b/>
                                <w:bCs/>
                                <w:i/>
                                <w:iCs/>
                                <w:sz w:val="16"/>
                                <w:szCs w:val="16"/>
                              </w:rPr>
                            </w:pPr>
                            <w:r w:rsidRPr="00511564">
                              <w:rPr>
                                <w:b/>
                                <w:bCs/>
                                <w:i/>
                                <w:iCs/>
                                <w:sz w:val="16"/>
                                <w:szCs w:val="16"/>
                              </w:rPr>
                              <w:t>(Towards Healthcare, 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61DC934" id="_x0000_t202" coordsize="21600,21600" o:spt="202" path="m,l,21600r21600,l21600,xe">
                <v:stroke joinstyle="miter"/>
                <v:path gradientshapeok="t" o:connecttype="rect"/>
              </v:shapetype>
              <v:shape id="Text Box 2" o:spid="_x0000_s1026" type="#_x0000_t202" style="position:absolute;left:0;text-align:left;margin-left:19.5pt;margin-top:24.25pt;width:119.5pt;height:20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" stroked="f">
                <v:textbox>
                  <w:txbxContent>
                    <w:p w14:paraId="3189F341" w14:textId="571DF41B" w:rsidR="00A87D57" w:rsidRPr="00511564" w:rsidRDefault="00511564">
                      <w:pPr>
                        <w:rPr>
                          <w:b/>
                          <w:bCs/>
                          <w:i/>
                          <w:iCs/>
                          <w:sz w:val="16"/>
                          <w:szCs w:val="16"/>
                        </w:rPr>
                      </w:pPr>
                      <w:r w:rsidRPr="00511564">
                        <w:rPr>
                          <w:b/>
                          <w:bCs/>
                          <w:i/>
                          <w:iCs/>
                          <w:sz w:val="16"/>
                          <w:szCs w:val="16"/>
                        </w:rPr>
                        <w:t>(Towards Healthcare, 2025)</w:t>
                      </w:r>
                    </w:p>
                  </w:txbxContent>
                </v:textbox>
                <w10:wrap type="square"/>
              </v:shape>
            </w:pict>
          </mc:Fallback>
        </mc:AlternateContent>
      </w:r>
      <w:r w:rsidRPr="00511564">
        <w:t>AI in mental health is rapidly expanding, with approximately 1 in 8 young adults and 1 in 10 adults using AI chatbots for mental health advice, primarily driven by 24/7 access, low cost, and reduced stigma</w:t>
      </w:r>
      <w:r>
        <w:t xml:space="preserve"> </w:t>
      </w:r>
      <w:r w:rsidR="00937ECA">
        <w:t>(</w:t>
      </w:r>
      <w:r w:rsidR="00937ECA" w:rsidRPr="00A622B6">
        <w:rPr>
          <w:lang w:eastAsia="en-GB"/>
        </w:rPr>
        <w:t>World Health Organization</w:t>
      </w:r>
      <w:r w:rsidR="00937ECA">
        <w:rPr>
          <w:lang w:eastAsia="en-GB"/>
        </w:rPr>
        <w:t xml:space="preserve">, </w:t>
      </w:r>
      <w:r w:rsidR="00937ECA" w:rsidRPr="00A622B6">
        <w:rPr>
          <w:lang w:eastAsia="en-GB"/>
        </w:rPr>
        <w:t>2025</w:t>
      </w:r>
      <w:r w:rsidR="00937ECA">
        <w:rPr>
          <w:lang w:eastAsia="en-GB"/>
        </w:rPr>
        <w:t>)</w:t>
      </w:r>
      <w:r w:rsidR="00A87D57">
        <w:t>.</w:t>
      </w:r>
    </w:p>
    <w:p w14:paraId="76B7C753" w14:textId="0F42F750" w:rsidR="007D22A4" w:rsidRDefault="00511564" w:rsidP="003B1019">
      <w:pPr>
        <w:pStyle w:val="ListParagraph"/>
        <w:numPr>
          <w:ilvl w:val="0"/>
          <w:numId w:val="6"/>
        </w:numPr>
      </w:pPr>
      <w:r w:rsidRPr="00511564">
        <w:t>The global median of governmental health expenditure designated for mental health is under 2% (</w:t>
      </w:r>
      <w:proofErr w:type="spellStart"/>
      <w:r w:rsidRPr="00511564">
        <w:t>Kieling</w:t>
      </w:r>
      <w:proofErr w:type="spellEnd"/>
      <w:r w:rsidRPr="00511564">
        <w:t>, 2024).</w:t>
      </w:r>
    </w:p>
    <w:p w14:paraId="55F8DC36" w14:textId="08E907E8" w:rsidR="004D2B43" w:rsidRDefault="004D2B43" w:rsidP="00767B81">
      <w:pPr>
        <w:pStyle w:val="Heading2"/>
        <w:rPr>
          <w:noProof/>
        </w:rPr>
      </w:pPr>
      <w:r>
        <w:rPr>
          <w:noProof/>
          <w:lang w:eastAsia="en-GB"/>
        </w:rPr>
        <w:drawing>
          <wp:anchor distT="0" distB="0" distL="114300" distR="114300" simplePos="0" relativeHeight="251679744" behindDoc="0" locked="0" layoutInCell="1" allowOverlap="1" wp14:anchorId="335B5A51" wp14:editId="59517690">
            <wp:simplePos x="0" y="0"/>
            <wp:positionH relativeFrom="column">
              <wp:posOffset>-394335</wp:posOffset>
            </wp:positionH>
            <wp:positionV relativeFrom="paragraph">
              <wp:posOffset>354965</wp:posOffset>
            </wp:positionV>
            <wp:extent cx="2765425" cy="1555750"/>
            <wp:effectExtent l="0" t="0" r="0" b="6350"/>
            <wp:wrapThrough wrapText="bothSides">
              <wp:wrapPolygon edited="0">
                <wp:start x="0" y="0"/>
                <wp:lineTo x="0" y="21424"/>
                <wp:lineTo x="21426" y="21424"/>
                <wp:lineTo x="21426"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65425" cy="1555750"/>
                    </a:xfrm>
                    <a:prstGeom prst="rect">
                      <a:avLst/>
                    </a:prstGeom>
                    <a:noFill/>
                  </pic:spPr>
                </pic:pic>
              </a:graphicData>
            </a:graphic>
            <wp14:sizeRelH relativeFrom="margin">
              <wp14:pctWidth>0</wp14:pctWidth>
            </wp14:sizeRelH>
            <wp14:sizeRelV relativeFrom="margin">
              <wp14:pctHeight>0</wp14:pctHeight>
            </wp14:sizeRelV>
          </wp:anchor>
        </w:drawing>
      </w:r>
      <w:r w:rsidR="007D22A4" w:rsidRPr="007D22A4">
        <w:rPr>
          <w:noProof/>
        </w:rPr>
        <w:t>Digital Mindfulness: The</w:t>
      </w:r>
      <w:r w:rsidR="00AE6C4E">
        <w:rPr>
          <w:noProof/>
        </w:rPr>
        <w:t xml:space="preserve"> Overview of</w:t>
      </w:r>
      <w:r w:rsidR="007D22A4" w:rsidRPr="007D22A4">
        <w:rPr>
          <w:noProof/>
        </w:rPr>
        <w:t xml:space="preserve"> </w:t>
      </w:r>
      <w:r w:rsidR="00511564">
        <w:rPr>
          <w:noProof/>
        </w:rPr>
        <w:t>Calm</w:t>
      </w:r>
    </w:p>
    <w:p w14:paraId="59FBAFC4" w14:textId="5103E2F9" w:rsidR="007D22A4" w:rsidRDefault="004D2B43" w:rsidP="00AE6C4E">
      <w:pPr>
        <w:rPr>
          <w:noProof/>
        </w:rPr>
      </w:pPr>
      <w:r w:rsidRPr="00A87D57">
        <w:rPr>
          <w:b/>
          <w:bCs/>
          <w:i/>
          <w:iCs/>
          <w:noProof/>
          <w:sz w:val="18"/>
          <w:szCs w:val="18"/>
        </w:rPr>
        <mc:AlternateContent>
          <mc:Choice Requires="wps">
            <w:drawing>
              <wp:anchor distT="45720" distB="45720" distL="114300" distR="114300" simplePos="0" relativeHeight="251671552" behindDoc="0" locked="0" layoutInCell="1" allowOverlap="1" wp14:anchorId="33C2D10F" wp14:editId="05D0B0D0">
                <wp:simplePos x="0" y="0"/>
                <wp:positionH relativeFrom="column">
                  <wp:posOffset>-196850</wp:posOffset>
                </wp:positionH>
                <wp:positionV relativeFrom="paragraph">
                  <wp:posOffset>1633855</wp:posOffset>
                </wp:positionV>
                <wp:extent cx="1289050" cy="234950"/>
                <wp:effectExtent l="0" t="0" r="635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9050" cy="234950"/>
                        </a:xfrm>
                        <a:prstGeom prst="rect">
                          <a:avLst/>
                        </a:prstGeom>
                        <a:solidFill>
                          <a:srgbClr val="FFFFFF"/>
                        </a:solidFill>
                        <a:ln w="9525">
                          <a:noFill/>
                          <a:miter lim="800000"/>
                          <a:headEnd/>
                          <a:tailEnd/>
                        </a:ln>
                      </wps:spPr>
                      <wps:txbx>
                        <w:txbxContent>
                          <w:p w14:paraId="09F5E783" w14:textId="64704045" w:rsidR="00AE6C4E" w:rsidRPr="00A87D57" w:rsidRDefault="00AE6C4E" w:rsidP="00AE6C4E">
                            <w:pPr>
                              <w:rPr>
                                <w:b/>
                                <w:bCs/>
                                <w:i/>
                                <w:iCs/>
                                <w:sz w:val="18"/>
                                <w:szCs w:val="18"/>
                              </w:rPr>
                            </w:pPr>
                            <w:r w:rsidRPr="00A87D57">
                              <w:rPr>
                                <w:b/>
                                <w:bCs/>
                                <w:i/>
                                <w:iCs/>
                                <w:sz w:val="18"/>
                                <w:szCs w:val="18"/>
                              </w:rPr>
                              <w:t>(</w:t>
                            </w:r>
                            <w:proofErr w:type="spellStart"/>
                            <w:r w:rsidR="004D2B43">
                              <w:rPr>
                                <w:b/>
                                <w:bCs/>
                                <w:i/>
                                <w:iCs/>
                                <w:noProof/>
                                <w:sz w:val="20"/>
                                <w:szCs w:val="20"/>
                              </w:rPr>
                              <w:t>Balagam</w:t>
                            </w:r>
                            <w:proofErr w:type="spellEnd"/>
                            <w:r>
                              <w:rPr>
                                <w:b/>
                                <w:bCs/>
                                <w:i/>
                                <w:iCs/>
                                <w:noProof/>
                                <w:sz w:val="20"/>
                                <w:szCs w:val="20"/>
                              </w:rPr>
                              <w:t>,</w:t>
                            </w:r>
                            <w:r w:rsidRPr="00A87D57">
                              <w:rPr>
                                <w:b/>
                                <w:bCs/>
                                <w:i/>
                                <w:iCs/>
                                <w:sz w:val="18"/>
                                <w:szCs w:val="18"/>
                              </w:rPr>
                              <w:t xml:space="preserve"> 202</w:t>
                            </w:r>
                            <w:r w:rsidR="004D2B43">
                              <w:rPr>
                                <w:b/>
                                <w:bCs/>
                                <w:i/>
                                <w:iCs/>
                                <w:sz w:val="18"/>
                                <w:szCs w:val="18"/>
                              </w:rPr>
                              <w:t>1</w:t>
                            </w:r>
                            <w:r w:rsidRPr="00A87D57">
                              <w:rPr>
                                <w:b/>
                                <w:bCs/>
                                <w:i/>
                                <w:iCs/>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2D10F" id="_x0000_s1027" type="#_x0000_t202" style="position:absolute;left:0;text-align:left;margin-left:-15.5pt;margin-top:128.65pt;width:101.5pt;height:18.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" stroked="f">
                <v:textbox>
                  <w:txbxContent>
                    <w:p w14:paraId="09F5E783" w14:textId="64704045" w:rsidR="00AE6C4E" w:rsidRPr="00A87D57" w:rsidRDefault="00AE6C4E" w:rsidP="00AE6C4E">
                      <w:pPr>
                        <w:rPr>
                          <w:b/>
                          <w:bCs/>
                          <w:i/>
                          <w:iCs/>
                          <w:sz w:val="18"/>
                          <w:szCs w:val="18"/>
                        </w:rPr>
                      </w:pPr>
                      <w:r w:rsidRPr="00A87D57">
                        <w:rPr>
                          <w:b/>
                          <w:bCs/>
                          <w:i/>
                          <w:iCs/>
                          <w:sz w:val="18"/>
                          <w:szCs w:val="18"/>
                        </w:rPr>
                        <w:t>(</w:t>
                      </w:r>
                      <w:r w:rsidR="004D2B43">
                        <w:rPr>
                          <w:b/>
                          <w:bCs/>
                          <w:i/>
                          <w:iCs/>
                          <w:noProof/>
                          <w:sz w:val="20"/>
                          <w:szCs w:val="20"/>
                        </w:rPr>
                        <w:t>Balagam</w:t>
                      </w:r>
                      <w:r>
                        <w:rPr>
                          <w:b/>
                          <w:bCs/>
                          <w:i/>
                          <w:iCs/>
                          <w:noProof/>
                          <w:sz w:val="20"/>
                          <w:szCs w:val="20"/>
                        </w:rPr>
                        <w:t>,</w:t>
                      </w:r>
                      <w:r w:rsidRPr="00A87D57">
                        <w:rPr>
                          <w:b/>
                          <w:bCs/>
                          <w:i/>
                          <w:iCs/>
                          <w:sz w:val="18"/>
                          <w:szCs w:val="18"/>
                        </w:rPr>
                        <w:t xml:space="preserve"> 202</w:t>
                      </w:r>
                      <w:r w:rsidR="004D2B43">
                        <w:rPr>
                          <w:b/>
                          <w:bCs/>
                          <w:i/>
                          <w:iCs/>
                          <w:sz w:val="18"/>
                          <w:szCs w:val="18"/>
                        </w:rPr>
                        <w:t>1</w:t>
                      </w:r>
                      <w:r w:rsidRPr="00A87D57">
                        <w:rPr>
                          <w:b/>
                          <w:bCs/>
                          <w:i/>
                          <w:iCs/>
                          <w:sz w:val="18"/>
                          <w:szCs w:val="18"/>
                        </w:rPr>
                        <w:t>)</w:t>
                      </w:r>
                    </w:p>
                  </w:txbxContent>
                </v:textbox>
                <w10:wrap type="square"/>
              </v:shape>
            </w:pict>
          </mc:Fallback>
        </mc:AlternateContent>
      </w:r>
      <w:r w:rsidRPr="004D2B43">
        <w:rPr>
          <w:lang w:eastAsia="en-GB"/>
        </w:rPr>
        <w:t>Calm is a mindfulness application designed for both novices and meditation aficionados. It may assist individuals in attaining inner tranquillity and managing life's pressures. Calm is an acclaimed mindfulness application accessible on iOS, Android, and desktop platforms. Established in 2012, it has surpassed 100 million downloads and garnered over 1.5 million 5-star ratings</w:t>
      </w:r>
      <w:r>
        <w:rPr>
          <w:lang w:eastAsia="en-GB"/>
        </w:rPr>
        <w:t xml:space="preserve"> </w:t>
      </w:r>
      <w:r w:rsidR="00937ECA">
        <w:rPr>
          <w:lang w:eastAsia="en-GB"/>
        </w:rPr>
        <w:t>(</w:t>
      </w:r>
      <w:r w:rsidR="00937ECA">
        <w:t>Ritchie et al., 2023)</w:t>
      </w:r>
      <w:r w:rsidR="00AE6C4E" w:rsidRPr="00AE6C4E">
        <w:rPr>
          <w:noProof/>
        </w:rPr>
        <w:t>.</w:t>
      </w:r>
      <w:r>
        <w:rPr>
          <w:noProof/>
        </w:rPr>
        <w:t xml:space="preserve"> </w:t>
      </w:r>
      <w:r w:rsidRPr="004D2B43">
        <w:rPr>
          <w:noProof/>
        </w:rPr>
        <w:t>It is often regarded as an excellent foundation for novices because of its organised lessons and soothing narration, facilitating the establishment of a constant practice.</w:t>
      </w:r>
    </w:p>
    <w:p w14:paraId="1D274D97" w14:textId="3F45F680" w:rsidR="004D2B43" w:rsidRPr="004D2B43" w:rsidRDefault="004D2B43" w:rsidP="00AE6C4E">
      <w:pPr>
        <w:rPr>
          <w:b/>
          <w:bCs/>
          <w:noProof/>
        </w:rPr>
      </w:pPr>
      <w:r w:rsidRPr="004D2B43">
        <w:rPr>
          <w:b/>
          <w:bCs/>
          <w:noProof/>
        </w:rPr>
        <w:t>See</w:t>
      </w:r>
      <w:r>
        <w:rPr>
          <w:b/>
          <w:bCs/>
          <w:noProof/>
        </w:rPr>
        <w:t>:</w:t>
      </w:r>
    </w:p>
    <w:p w14:paraId="62A1A176" w14:textId="765C610B" w:rsidR="004D2B43" w:rsidRPr="00AE6C4E" w:rsidRDefault="007C26F2" w:rsidP="00AE6C4E">
      <w:pPr>
        <w:rPr>
          <w:noProof/>
        </w:rPr>
      </w:pPr>
      <w:hyperlink r:id="rId9" w:history="1">
        <w:r w:rsidR="004D2B43" w:rsidRPr="004D2B43">
          <w:rPr>
            <w:rStyle w:val="Hyperlink"/>
            <w:noProof/>
          </w:rPr>
          <w:t>A Breakdown of the Calm App: Tested and Reviewed by 6 Editors</w:t>
        </w:r>
      </w:hyperlink>
    </w:p>
    <w:p w14:paraId="12AC3494" w14:textId="5C5BF61D" w:rsidR="004B27D0" w:rsidRPr="004B27D0" w:rsidRDefault="004D2B43" w:rsidP="00767B81">
      <w:pPr>
        <w:pStyle w:val="Heading2"/>
        <w:rPr>
          <w:noProof/>
        </w:rPr>
      </w:pPr>
      <w:r w:rsidRPr="004D2B43">
        <w:rPr>
          <w:noProof/>
        </w:rPr>
        <w:t>Empirical Evidence of Influence: Findings from Research</w:t>
      </w:r>
    </w:p>
    <w:p w14:paraId="2710C698" w14:textId="6454F8F7" w:rsidR="004B27D0" w:rsidRDefault="004D2B43" w:rsidP="003B1019">
      <w:pPr>
        <w:rPr>
          <w:noProof/>
        </w:rPr>
      </w:pPr>
      <w:r w:rsidRPr="004D2B43">
        <w:rPr>
          <w:noProof/>
        </w:rPr>
        <w:t>Research by Cruz-Gonzalez et al. (2025) indicates that Calm decreased mind-wandering and enhanced concentration by 14%. Calm indicates that research suggests use the app for a minimum of three weeks may assist with emotional management. A research indicated that participants' aggression and susceptibility to negative feedback decreased by 57% (Gavrilova and Zawadzki, 2023). The ability to measure the mental health benefits of Calm is one of its most significant strengths.</w:t>
      </w:r>
    </w:p>
    <w:p w14:paraId="52F9B2AE" w14:textId="1BB99630" w:rsidR="007D22A4" w:rsidRDefault="00FE5D9C" w:rsidP="00767B81">
      <w:pPr>
        <w:pStyle w:val="Heading2"/>
        <w:rPr>
          <w:noProof/>
        </w:rPr>
      </w:pPr>
      <w:r w:rsidRPr="00FE5D9C">
        <w:rPr>
          <w:noProof/>
        </w:rPr>
        <w:lastRenderedPageBreak/>
        <w:t>The Procedure of Digital Healing</w:t>
      </w:r>
    </w:p>
    <w:p w14:paraId="32D7BC2D" w14:textId="1E1D720B" w:rsidR="007D22A4" w:rsidRDefault="00FE5D9C" w:rsidP="004B27D0">
      <w:pPr>
        <w:rPr>
          <w:lang w:eastAsia="en-GB"/>
        </w:rPr>
      </w:pPr>
      <w:r w:rsidRPr="00FE5D9C">
        <w:rPr>
          <w:lang w:eastAsia="en-GB"/>
        </w:rPr>
        <w:t>Research indicates that mindfulness applications may mitigate symptoms related to mental health disorders (</w:t>
      </w:r>
      <w:proofErr w:type="spellStart"/>
      <w:r w:rsidRPr="00FE5D9C">
        <w:rPr>
          <w:lang w:eastAsia="en-GB"/>
        </w:rPr>
        <w:t>Balagam</w:t>
      </w:r>
      <w:proofErr w:type="spellEnd"/>
      <w:r w:rsidRPr="00FE5D9C">
        <w:rPr>
          <w:lang w:eastAsia="en-GB"/>
        </w:rPr>
        <w:t>, 2021).</w:t>
      </w:r>
      <w:r>
        <w:rPr>
          <w:lang w:eastAsia="en-GB"/>
        </w:rPr>
        <w:t xml:space="preserve"> </w:t>
      </w:r>
      <w:r w:rsidRPr="00FE5D9C">
        <w:rPr>
          <w:lang w:eastAsia="en-GB"/>
        </w:rPr>
        <w:t xml:space="preserve">These applications especially address three domains: attention control, </w:t>
      </w:r>
      <w:proofErr w:type="spellStart"/>
      <w:r w:rsidRPr="00FE5D9C">
        <w:rPr>
          <w:lang w:eastAsia="en-GB"/>
        </w:rPr>
        <w:t>defusion</w:t>
      </w:r>
      <w:proofErr w:type="spellEnd"/>
      <w:r w:rsidRPr="00FE5D9C">
        <w:rPr>
          <w:lang w:eastAsia="en-GB"/>
        </w:rPr>
        <w:t>, and persistent negative cognition.</w:t>
      </w:r>
      <w:r>
        <w:rPr>
          <w:lang w:eastAsia="en-GB"/>
        </w:rPr>
        <w:t xml:space="preserve"> </w:t>
      </w:r>
      <w:r w:rsidRPr="00FE5D9C">
        <w:rPr>
          <w:lang w:eastAsia="en-GB"/>
        </w:rPr>
        <w:t>App-based treatments are effective due of their accessibility and convenience. Calm offers evidence-based treatments at all hours, in contrast to traditional therapy, which often entails waiting lists and geographical limitations</w:t>
      </w:r>
      <w:r w:rsidR="00E8377D">
        <w:rPr>
          <w:lang w:eastAsia="en-GB"/>
        </w:rPr>
        <w:t xml:space="preserve"> </w:t>
      </w:r>
      <w:r w:rsidR="00E8377D" w:rsidRPr="00E8377D">
        <w:rPr>
          <w:lang w:eastAsia="en-GB"/>
        </w:rPr>
        <w:t>(</w:t>
      </w:r>
      <w:proofErr w:type="spellStart"/>
      <w:r w:rsidR="00E8377D" w:rsidRPr="00E8377D">
        <w:rPr>
          <w:lang w:eastAsia="en-GB"/>
        </w:rPr>
        <w:t>Olawade</w:t>
      </w:r>
      <w:proofErr w:type="spellEnd"/>
      <w:r w:rsidR="00E8377D" w:rsidRPr="00E8377D">
        <w:rPr>
          <w:lang w:eastAsia="en-GB"/>
        </w:rPr>
        <w:t xml:space="preserve"> et al., 2024)</w:t>
      </w:r>
      <w:r w:rsidR="00E8377D">
        <w:rPr>
          <w:lang w:eastAsia="en-GB"/>
        </w:rPr>
        <w:t>.</w:t>
      </w:r>
    </w:p>
    <w:p w14:paraId="170A5E5B" w14:textId="43A1C6FF" w:rsidR="004B27D0" w:rsidRDefault="004B27D0" w:rsidP="00767B81">
      <w:pPr>
        <w:pStyle w:val="Heading2"/>
        <w:rPr>
          <w:noProof/>
        </w:rPr>
      </w:pPr>
      <w:r w:rsidRPr="004B27D0">
        <w:rPr>
          <w:noProof/>
        </w:rPr>
        <w:t>Advantages and Limitations</w:t>
      </w:r>
    </w:p>
    <w:p w14:paraId="64E3F68E" w14:textId="77777777" w:rsidR="00FE5D9C" w:rsidRPr="00FE5D9C" w:rsidRDefault="00FE5D9C" w:rsidP="00FE5D9C">
      <w:pPr>
        <w:rPr>
          <w:b/>
          <w:bCs/>
          <w:noProof/>
        </w:rPr>
      </w:pPr>
      <w:r w:rsidRPr="00FE5D9C">
        <w:rPr>
          <w:b/>
          <w:bCs/>
          <w:noProof/>
        </w:rPr>
        <w:t>Benefits:</w:t>
      </w:r>
    </w:p>
    <w:p w14:paraId="187683D9" w14:textId="4F4C8E98" w:rsidR="00FE5D9C" w:rsidRPr="00FE5D9C" w:rsidRDefault="00FE5D9C" w:rsidP="00FE5D9C">
      <w:pPr>
        <w:pStyle w:val="ListParagraph"/>
        <w:numPr>
          <w:ilvl w:val="0"/>
          <w:numId w:val="13"/>
        </w:numPr>
        <w:rPr>
          <w:noProof/>
        </w:rPr>
      </w:pPr>
      <w:r w:rsidRPr="00FE5D9C">
        <w:rPr>
          <w:noProof/>
        </w:rPr>
        <w:t>Easy to scale and widely accessible</w:t>
      </w:r>
    </w:p>
    <w:p w14:paraId="15ACE2A4" w14:textId="7CE054B6" w:rsidR="00FE5D9C" w:rsidRPr="00FE5D9C" w:rsidRDefault="00FE5D9C" w:rsidP="00FE5D9C">
      <w:pPr>
        <w:pStyle w:val="ListParagraph"/>
        <w:numPr>
          <w:ilvl w:val="0"/>
          <w:numId w:val="13"/>
        </w:numPr>
        <w:rPr>
          <w:noProof/>
        </w:rPr>
      </w:pPr>
      <w:r w:rsidRPr="00FE5D9C">
        <w:rPr>
          <w:noProof/>
        </w:rPr>
        <w:t>Encourages active user participation</w:t>
      </w:r>
    </w:p>
    <w:p w14:paraId="247F7A02" w14:textId="46A6BBBE" w:rsidR="00FE5D9C" w:rsidRPr="00FE5D9C" w:rsidRDefault="00FE5D9C" w:rsidP="00FE5D9C">
      <w:pPr>
        <w:pStyle w:val="ListParagraph"/>
        <w:numPr>
          <w:ilvl w:val="0"/>
          <w:numId w:val="13"/>
        </w:numPr>
        <w:rPr>
          <w:noProof/>
        </w:rPr>
      </w:pPr>
      <w:r w:rsidRPr="00FE5D9C">
        <w:rPr>
          <w:noProof/>
        </w:rPr>
        <w:t>Based on evidence-informed information</w:t>
      </w:r>
    </w:p>
    <w:p w14:paraId="49785CB1" w14:textId="338513BD" w:rsidR="00FE5D9C" w:rsidRPr="00FE5D9C" w:rsidRDefault="00FE5D9C" w:rsidP="00FE5D9C">
      <w:pPr>
        <w:pStyle w:val="ListParagraph"/>
        <w:numPr>
          <w:ilvl w:val="0"/>
          <w:numId w:val="13"/>
        </w:numPr>
        <w:rPr>
          <w:noProof/>
        </w:rPr>
      </w:pPr>
      <w:r w:rsidRPr="00FE5D9C">
        <w:rPr>
          <w:noProof/>
        </w:rPr>
        <w:t>Supports efficient use of resources</w:t>
      </w:r>
    </w:p>
    <w:p w14:paraId="014B6466" w14:textId="755C4474" w:rsidR="00FE5D9C" w:rsidRPr="00FE5D9C" w:rsidRDefault="00FE5D9C" w:rsidP="00FE5D9C">
      <w:pPr>
        <w:pStyle w:val="ListParagraph"/>
        <w:numPr>
          <w:ilvl w:val="0"/>
          <w:numId w:val="13"/>
        </w:numPr>
        <w:rPr>
          <w:noProof/>
        </w:rPr>
      </w:pPr>
      <w:r w:rsidRPr="00FE5D9C">
        <w:rPr>
          <w:noProof/>
        </w:rPr>
        <w:t>Allows personalised user experiences</w:t>
      </w:r>
    </w:p>
    <w:p w14:paraId="44575301" w14:textId="77777777" w:rsidR="00FE5D9C" w:rsidRPr="00FE5D9C" w:rsidRDefault="00FE5D9C" w:rsidP="00FE5D9C">
      <w:pPr>
        <w:rPr>
          <w:b/>
          <w:bCs/>
          <w:noProof/>
        </w:rPr>
      </w:pPr>
      <w:r w:rsidRPr="00FE5D9C">
        <w:rPr>
          <w:b/>
          <w:bCs/>
          <w:noProof/>
        </w:rPr>
        <w:t>Key Limitations:</w:t>
      </w:r>
    </w:p>
    <w:p w14:paraId="65181ECF" w14:textId="75CB3181" w:rsidR="00FE5D9C" w:rsidRPr="00FE5D9C" w:rsidRDefault="00FE5D9C" w:rsidP="00FE5D9C">
      <w:pPr>
        <w:pStyle w:val="ListParagraph"/>
        <w:numPr>
          <w:ilvl w:val="0"/>
          <w:numId w:val="14"/>
        </w:numPr>
        <w:rPr>
          <w:noProof/>
        </w:rPr>
      </w:pPr>
      <w:r w:rsidRPr="00FE5D9C">
        <w:rPr>
          <w:noProof/>
        </w:rPr>
        <w:t>Short duration of interventions</w:t>
      </w:r>
    </w:p>
    <w:p w14:paraId="6962E182" w14:textId="518A3344" w:rsidR="00FE5D9C" w:rsidRPr="00FE5D9C" w:rsidRDefault="00FE5D9C" w:rsidP="00FE5D9C">
      <w:pPr>
        <w:pStyle w:val="ListParagraph"/>
        <w:numPr>
          <w:ilvl w:val="0"/>
          <w:numId w:val="14"/>
        </w:numPr>
        <w:rPr>
          <w:noProof/>
        </w:rPr>
      </w:pPr>
      <w:r w:rsidRPr="00FE5D9C">
        <w:rPr>
          <w:noProof/>
        </w:rPr>
        <w:t>High dropout rates among users</w:t>
      </w:r>
    </w:p>
    <w:p w14:paraId="1172312A" w14:textId="79E2DF1F" w:rsidR="00FE5D9C" w:rsidRPr="00FE5D9C" w:rsidRDefault="00FE5D9C" w:rsidP="00FE5D9C">
      <w:pPr>
        <w:pStyle w:val="ListParagraph"/>
        <w:numPr>
          <w:ilvl w:val="0"/>
          <w:numId w:val="14"/>
        </w:numPr>
        <w:rPr>
          <w:noProof/>
        </w:rPr>
      </w:pPr>
      <w:r w:rsidRPr="00FE5D9C">
        <w:rPr>
          <w:noProof/>
        </w:rPr>
        <w:t>Potential conflicts of interest</w:t>
      </w:r>
    </w:p>
    <w:p w14:paraId="2FEB57DE" w14:textId="1DFB3ABF" w:rsidR="004B27D0" w:rsidRDefault="00FE5D9C" w:rsidP="00FE5D9C">
      <w:pPr>
        <w:pStyle w:val="ListParagraph"/>
        <w:numPr>
          <w:ilvl w:val="0"/>
          <w:numId w:val="14"/>
        </w:numPr>
        <w:rPr>
          <w:noProof/>
        </w:rPr>
      </w:pPr>
      <w:r w:rsidRPr="00FE5D9C">
        <w:rPr>
          <w:noProof/>
        </w:rPr>
        <w:t>Limited diversity in reach or representation</w:t>
      </w:r>
    </w:p>
    <w:p w14:paraId="093DFBEC" w14:textId="211B5D78" w:rsidR="004B27D0" w:rsidRDefault="004B27D0" w:rsidP="00767B81">
      <w:pPr>
        <w:pStyle w:val="Heading2"/>
        <w:rPr>
          <w:noProof/>
        </w:rPr>
      </w:pPr>
      <w:r w:rsidRPr="004B27D0">
        <w:rPr>
          <w:noProof/>
        </w:rPr>
        <w:t>Addressing the Shortfalls: A Path Forward</w:t>
      </w:r>
    </w:p>
    <w:p w14:paraId="799B1AC8" w14:textId="5B967A4F" w:rsidR="005D41AD" w:rsidRDefault="005D41AD" w:rsidP="00E8377D">
      <w:pPr>
        <w:pStyle w:val="ListParagraph"/>
        <w:numPr>
          <w:ilvl w:val="0"/>
          <w:numId w:val="18"/>
        </w:numPr>
        <w:rPr>
          <w:noProof/>
        </w:rPr>
      </w:pPr>
      <w:r>
        <w:rPr>
          <w:noProof/>
        </w:rPr>
        <w:t>Consider mindfulness apps as a supplementary resource to professional mental health therapy, especially for severe symptoms (Ritchie et al., 2023).</w:t>
      </w:r>
    </w:p>
    <w:p w14:paraId="39ED15C6" w14:textId="6CAAA091" w:rsidR="005D41AD" w:rsidRDefault="005D41AD" w:rsidP="00E8377D">
      <w:pPr>
        <w:pStyle w:val="ListParagraph"/>
        <w:numPr>
          <w:ilvl w:val="0"/>
          <w:numId w:val="18"/>
        </w:numPr>
        <w:rPr>
          <w:noProof/>
        </w:rPr>
      </w:pPr>
      <w:r>
        <w:rPr>
          <w:noProof/>
        </w:rPr>
        <w:t>Advanced algorithms can correlate users' symptoms, preferences, and response patterns with appropriate therapy.</w:t>
      </w:r>
    </w:p>
    <w:p w14:paraId="798533C7" w14:textId="0D16BDE1" w:rsidR="005D41AD" w:rsidRDefault="005D41AD" w:rsidP="00E8377D">
      <w:pPr>
        <w:pStyle w:val="ListParagraph"/>
        <w:numPr>
          <w:ilvl w:val="0"/>
          <w:numId w:val="18"/>
        </w:numPr>
        <w:rPr>
          <w:noProof/>
        </w:rPr>
      </w:pPr>
      <w:r>
        <w:rPr>
          <w:noProof/>
        </w:rPr>
        <w:t>Augmented social support may aid users in sustaining interest and provide peer help to those facing demotivation.</w:t>
      </w:r>
    </w:p>
    <w:p w14:paraId="41459859" w14:textId="1D749867" w:rsidR="005D41AD" w:rsidRDefault="005D41AD" w:rsidP="00E8377D">
      <w:pPr>
        <w:pStyle w:val="ListParagraph"/>
        <w:numPr>
          <w:ilvl w:val="0"/>
          <w:numId w:val="18"/>
        </w:numPr>
        <w:rPr>
          <w:rFonts w:eastAsiaTheme="majorEastAsia" w:cstheme="majorBidi"/>
          <w:noProof/>
          <w:color w:val="F4B083" w:themeColor="accent2" w:themeTint="99"/>
          <w:sz w:val="28"/>
          <w:szCs w:val="26"/>
        </w:rPr>
      </w:pPr>
      <w:r>
        <w:rPr>
          <w:noProof/>
        </w:rPr>
        <w:t>Collaboration with healthcare professionals may enhance the oversight of clients necessitating advanced care and ensure appropriate use</w:t>
      </w:r>
      <w:r w:rsidR="00E8377D">
        <w:rPr>
          <w:noProof/>
        </w:rPr>
        <w:t xml:space="preserve"> </w:t>
      </w:r>
      <w:r w:rsidR="00E8377D" w:rsidRPr="00E8377D">
        <w:rPr>
          <w:noProof/>
        </w:rPr>
        <w:t>(Cruz-Gonzalez et al., 2025)</w:t>
      </w:r>
      <w:r>
        <w:rPr>
          <w:noProof/>
        </w:rPr>
        <w:t>.</w:t>
      </w:r>
      <w:r>
        <w:rPr>
          <w:noProof/>
        </w:rPr>
        <w:br w:type="page"/>
      </w:r>
    </w:p>
    <w:p w14:paraId="6191DAB0" w14:textId="5DE55047" w:rsidR="004B27D0" w:rsidRDefault="004B27D0" w:rsidP="00767B81">
      <w:pPr>
        <w:pStyle w:val="Heading2"/>
        <w:rPr>
          <w:noProof/>
        </w:rPr>
      </w:pPr>
      <w:r>
        <w:rPr>
          <w:noProof/>
        </w:rPr>
        <w:lastRenderedPageBreak/>
        <w:t>References</w:t>
      </w:r>
    </w:p>
    <w:p w14:paraId="22B103D5" w14:textId="77777777" w:rsidR="00E8377D" w:rsidRDefault="00E8377D" w:rsidP="005D41AD">
      <w:pPr>
        <w:rPr>
          <w:lang w:eastAsia="en-GB"/>
        </w:rPr>
      </w:pPr>
      <w:proofErr w:type="spellStart"/>
      <w:r w:rsidRPr="005D41AD">
        <w:rPr>
          <w:lang w:eastAsia="en-GB"/>
        </w:rPr>
        <w:t>Balagam</w:t>
      </w:r>
      <w:proofErr w:type="spellEnd"/>
      <w:r w:rsidRPr="005D41AD">
        <w:rPr>
          <w:lang w:eastAsia="en-GB"/>
        </w:rPr>
        <w:t xml:space="preserve">, I. (2021). </w:t>
      </w:r>
      <w:r w:rsidRPr="005D41AD">
        <w:rPr>
          <w:i/>
          <w:iCs/>
          <w:lang w:eastAsia="en-GB"/>
        </w:rPr>
        <w:t>Is the Calm App Right for You? Here’s What Our Experts Say</w:t>
      </w:r>
      <w:r w:rsidRPr="005D41AD">
        <w:rPr>
          <w:lang w:eastAsia="en-GB"/>
        </w:rPr>
        <w:t xml:space="preserve">. [online] Healthline. Available at: </w:t>
      </w:r>
      <w:hyperlink r:id="rId10" w:history="1">
        <w:r w:rsidRPr="005D41AD">
          <w:rPr>
            <w:rStyle w:val="Hyperlink"/>
            <w:rFonts w:ascii="Times New Roman" w:eastAsia="Times New Roman" w:hAnsi="Times New Roman" w:cs="Times New Roman"/>
            <w:sz w:val="24"/>
            <w:szCs w:val="24"/>
            <w:lang w:eastAsia="en-GB"/>
          </w:rPr>
          <w:t>https://www.healthline.com/health/mental-health/calm-app-reviews</w:t>
        </w:r>
      </w:hyperlink>
      <w:r w:rsidRPr="005D41AD">
        <w:rPr>
          <w:lang w:eastAsia="en-GB"/>
        </w:rPr>
        <w:t>.</w:t>
      </w:r>
    </w:p>
    <w:p w14:paraId="7BECBD0B" w14:textId="77777777" w:rsidR="00E8377D" w:rsidRDefault="00E8377D" w:rsidP="005D41AD">
      <w:pPr>
        <w:rPr>
          <w:lang w:eastAsia="en-GB"/>
        </w:rPr>
      </w:pPr>
      <w:r w:rsidRPr="005D41AD">
        <w:rPr>
          <w:lang w:eastAsia="en-GB"/>
        </w:rPr>
        <w:t xml:space="preserve">Cruz-Gonzalez, P., He, A.W.-J., Lam, E.P., Ng, I.M.C., Li, M.W., Hou, R., Chan, J.N.-M., </w:t>
      </w:r>
      <w:proofErr w:type="spellStart"/>
      <w:r w:rsidRPr="005D41AD">
        <w:rPr>
          <w:lang w:eastAsia="en-GB"/>
        </w:rPr>
        <w:t>Sahni</w:t>
      </w:r>
      <w:proofErr w:type="spellEnd"/>
      <w:r w:rsidRPr="005D41AD">
        <w:rPr>
          <w:lang w:eastAsia="en-GB"/>
        </w:rPr>
        <w:t xml:space="preserve">, Y., Vinas Guasch, N., Miller, T., Lau, B.W.-M. and Sánchez </w:t>
      </w:r>
      <w:proofErr w:type="spellStart"/>
      <w:r w:rsidRPr="005D41AD">
        <w:rPr>
          <w:lang w:eastAsia="en-GB"/>
        </w:rPr>
        <w:t>Vidaña</w:t>
      </w:r>
      <w:proofErr w:type="spellEnd"/>
      <w:r w:rsidRPr="005D41AD">
        <w:rPr>
          <w:lang w:eastAsia="en-GB"/>
        </w:rPr>
        <w:t xml:space="preserve">, D.I. (2025). Artificial intelligence in mental health care: a systematic review of diagnosis, monitoring, and intervention applications. </w:t>
      </w:r>
      <w:r w:rsidRPr="005D41AD">
        <w:rPr>
          <w:i/>
          <w:iCs/>
          <w:lang w:eastAsia="en-GB"/>
        </w:rPr>
        <w:t>Psychological Medicine</w:t>
      </w:r>
      <w:r w:rsidRPr="005D41AD">
        <w:rPr>
          <w:lang w:eastAsia="en-GB"/>
        </w:rPr>
        <w:t xml:space="preserve">, [online] 55. doi: </w:t>
      </w:r>
      <w:hyperlink r:id="rId11" w:history="1">
        <w:r w:rsidRPr="00321E82">
          <w:rPr>
            <w:rStyle w:val="Hyperlink"/>
            <w:rFonts w:ascii="Times New Roman" w:eastAsia="Times New Roman" w:hAnsi="Times New Roman" w:cs="Times New Roman"/>
            <w:sz w:val="24"/>
            <w:szCs w:val="24"/>
            <w:lang w:eastAsia="en-GB"/>
          </w:rPr>
          <w:t>https://doi.org/10.1017/s0033291724003295</w:t>
        </w:r>
      </w:hyperlink>
      <w:r w:rsidRPr="005D41AD">
        <w:rPr>
          <w:lang w:eastAsia="en-GB"/>
        </w:rPr>
        <w:t>.</w:t>
      </w:r>
    </w:p>
    <w:p w14:paraId="441D57D1" w14:textId="77777777" w:rsidR="00E8377D" w:rsidRDefault="00E8377D" w:rsidP="00AD39B0">
      <w:r>
        <w:t xml:space="preserve">Gavrilova, L. and </w:t>
      </w:r>
      <w:proofErr w:type="spellStart"/>
      <w:r>
        <w:t>Zawadzki</w:t>
      </w:r>
      <w:proofErr w:type="spellEnd"/>
      <w:r>
        <w:t xml:space="preserve">, M.J. (2023). Examining How Headspace Impacts Mindfulness Mechanisms Over an 8-Week App-Based Mindfulness Intervention. </w:t>
      </w:r>
      <w:r>
        <w:rPr>
          <w:i/>
          <w:iCs/>
        </w:rPr>
        <w:t>Mindfulness</w:t>
      </w:r>
      <w:r>
        <w:t xml:space="preserve">, 14(9), pp.2236–2249. doi: </w:t>
      </w:r>
      <w:hyperlink r:id="rId12" w:history="1">
        <w:r w:rsidRPr="005F01C9">
          <w:rPr>
            <w:rStyle w:val="Hyperlink"/>
          </w:rPr>
          <w:t>https://doi.org/10.1007/s12671-023-02214-4</w:t>
        </w:r>
      </w:hyperlink>
      <w:r>
        <w:t>.</w:t>
      </w:r>
    </w:p>
    <w:p w14:paraId="34BEBA7A" w14:textId="77777777" w:rsidR="00E8377D" w:rsidRDefault="00E8377D" w:rsidP="00A622B6">
      <w:pPr>
        <w:rPr>
          <w:lang w:eastAsia="en-GB"/>
        </w:rPr>
      </w:pPr>
      <w:proofErr w:type="spellStart"/>
      <w:r w:rsidRPr="00A622B6">
        <w:rPr>
          <w:lang w:eastAsia="en-GB"/>
        </w:rPr>
        <w:t>Kieling</w:t>
      </w:r>
      <w:proofErr w:type="spellEnd"/>
      <w:r w:rsidRPr="00A622B6">
        <w:rPr>
          <w:lang w:eastAsia="en-GB"/>
        </w:rPr>
        <w:t xml:space="preserve">, C., </w:t>
      </w:r>
      <w:proofErr w:type="spellStart"/>
      <w:r w:rsidRPr="00A622B6">
        <w:rPr>
          <w:lang w:eastAsia="en-GB"/>
        </w:rPr>
        <w:t>Buchweitz</w:t>
      </w:r>
      <w:proofErr w:type="spellEnd"/>
      <w:r w:rsidRPr="00A622B6">
        <w:rPr>
          <w:lang w:eastAsia="en-GB"/>
        </w:rPr>
        <w:t xml:space="preserve">, C., </w:t>
      </w:r>
      <w:proofErr w:type="spellStart"/>
      <w:r w:rsidRPr="00A622B6">
        <w:rPr>
          <w:lang w:eastAsia="en-GB"/>
        </w:rPr>
        <w:t>Caye</w:t>
      </w:r>
      <w:proofErr w:type="spellEnd"/>
      <w:r w:rsidRPr="00A622B6">
        <w:rPr>
          <w:lang w:eastAsia="en-GB"/>
        </w:rPr>
        <w:t xml:space="preserve">, A., </w:t>
      </w:r>
      <w:proofErr w:type="spellStart"/>
      <w:r w:rsidRPr="00A622B6">
        <w:rPr>
          <w:lang w:eastAsia="en-GB"/>
        </w:rPr>
        <w:t>Silvani</w:t>
      </w:r>
      <w:proofErr w:type="spellEnd"/>
      <w:r w:rsidRPr="00A622B6">
        <w:rPr>
          <w:lang w:eastAsia="en-GB"/>
        </w:rPr>
        <w:t xml:space="preserve">, J., </w:t>
      </w:r>
      <w:proofErr w:type="spellStart"/>
      <w:r w:rsidRPr="00A622B6">
        <w:rPr>
          <w:lang w:eastAsia="en-GB"/>
        </w:rPr>
        <w:t>Ameis</w:t>
      </w:r>
      <w:proofErr w:type="spellEnd"/>
      <w:r w:rsidRPr="00A622B6">
        <w:rPr>
          <w:lang w:eastAsia="en-GB"/>
        </w:rPr>
        <w:t xml:space="preserve">, S.H., </w:t>
      </w:r>
      <w:proofErr w:type="spellStart"/>
      <w:r w:rsidRPr="00A622B6">
        <w:rPr>
          <w:lang w:eastAsia="en-GB"/>
        </w:rPr>
        <w:t>Brunoni</w:t>
      </w:r>
      <w:proofErr w:type="spellEnd"/>
      <w:r w:rsidRPr="00A622B6">
        <w:rPr>
          <w:lang w:eastAsia="en-GB"/>
        </w:rPr>
        <w:t xml:space="preserve">, A.R., Cost, K.T., Courtney, D.B., Georgiades, K., </w:t>
      </w:r>
      <w:proofErr w:type="spellStart"/>
      <w:r w:rsidRPr="00A622B6">
        <w:rPr>
          <w:lang w:eastAsia="en-GB"/>
        </w:rPr>
        <w:t>Merikangas</w:t>
      </w:r>
      <w:proofErr w:type="spellEnd"/>
      <w:r w:rsidRPr="00A622B6">
        <w:rPr>
          <w:lang w:eastAsia="en-GB"/>
        </w:rPr>
        <w:t xml:space="preserve">, K.R., Henderson, J.L., </w:t>
      </w:r>
      <w:proofErr w:type="spellStart"/>
      <w:r w:rsidRPr="00A622B6">
        <w:rPr>
          <w:lang w:eastAsia="en-GB"/>
        </w:rPr>
        <w:t>Polanczyk</w:t>
      </w:r>
      <w:proofErr w:type="spellEnd"/>
      <w:r w:rsidRPr="00A622B6">
        <w:rPr>
          <w:lang w:eastAsia="en-GB"/>
        </w:rPr>
        <w:t xml:space="preserve">, G.V., Rohde, L.A., </w:t>
      </w:r>
      <w:proofErr w:type="spellStart"/>
      <w:r w:rsidRPr="00A622B6">
        <w:rPr>
          <w:lang w:eastAsia="en-GB"/>
        </w:rPr>
        <w:t>Salum</w:t>
      </w:r>
      <w:proofErr w:type="spellEnd"/>
      <w:r w:rsidRPr="00A622B6">
        <w:rPr>
          <w:lang w:eastAsia="en-GB"/>
        </w:rPr>
        <w:t xml:space="preserve">, G.A. and </w:t>
      </w:r>
      <w:proofErr w:type="spellStart"/>
      <w:r w:rsidRPr="00A622B6">
        <w:rPr>
          <w:lang w:eastAsia="en-GB"/>
        </w:rPr>
        <w:t>Szatmari</w:t>
      </w:r>
      <w:proofErr w:type="spellEnd"/>
      <w:r w:rsidRPr="00A622B6">
        <w:rPr>
          <w:lang w:eastAsia="en-GB"/>
        </w:rPr>
        <w:t xml:space="preserve">, P. (2024). Worldwide Prevalence and Disability </w:t>
      </w:r>
      <w:proofErr w:type="gramStart"/>
      <w:r w:rsidRPr="00A622B6">
        <w:rPr>
          <w:lang w:eastAsia="en-GB"/>
        </w:rPr>
        <w:t>From</w:t>
      </w:r>
      <w:proofErr w:type="gramEnd"/>
      <w:r w:rsidRPr="00A622B6">
        <w:rPr>
          <w:lang w:eastAsia="en-GB"/>
        </w:rPr>
        <w:t xml:space="preserve"> Mental Disorders Across Childhood and Adolescence: Evidence From the Global Burden of Disease Study. </w:t>
      </w:r>
      <w:r w:rsidRPr="00A622B6">
        <w:rPr>
          <w:i/>
          <w:iCs/>
          <w:lang w:eastAsia="en-GB"/>
        </w:rPr>
        <w:t>JAMA Psychiatry</w:t>
      </w:r>
      <w:r w:rsidRPr="00A622B6">
        <w:rPr>
          <w:lang w:eastAsia="en-GB"/>
        </w:rPr>
        <w:t xml:space="preserve">, [online] 81(4), pp.347–356. doi: </w:t>
      </w:r>
      <w:hyperlink r:id="rId13" w:history="1">
        <w:r w:rsidRPr="005F01C9">
          <w:rPr>
            <w:rStyle w:val="Hyperlink"/>
            <w:lang w:eastAsia="en-GB"/>
          </w:rPr>
          <w:t>https://doi.org/10.1001/jamapsychiatry.2023.5051</w:t>
        </w:r>
      </w:hyperlink>
      <w:r w:rsidRPr="00A622B6">
        <w:rPr>
          <w:lang w:eastAsia="en-GB"/>
        </w:rPr>
        <w:t>.</w:t>
      </w:r>
    </w:p>
    <w:p w14:paraId="1404B416" w14:textId="77777777" w:rsidR="00E8377D" w:rsidRDefault="00E8377D" w:rsidP="00E8377D">
      <w:pPr>
        <w:pStyle w:val="NormalWeb"/>
        <w:spacing w:before="0" w:beforeAutospacing="0" w:after="240" w:afterAutospacing="0" w:line="360" w:lineRule="auto"/>
      </w:pPr>
      <w:proofErr w:type="spellStart"/>
      <w:r>
        <w:t>Olawade</w:t>
      </w:r>
      <w:proofErr w:type="spellEnd"/>
      <w:r>
        <w:t xml:space="preserve">, D.B., Wada, O.Z., </w:t>
      </w:r>
      <w:proofErr w:type="spellStart"/>
      <w:r>
        <w:t>Odetayo</w:t>
      </w:r>
      <w:proofErr w:type="spellEnd"/>
      <w:r>
        <w:t>, A., David-</w:t>
      </w:r>
      <w:proofErr w:type="spellStart"/>
      <w:r>
        <w:t>Olawade</w:t>
      </w:r>
      <w:proofErr w:type="spellEnd"/>
      <w:r>
        <w:t xml:space="preserve">, A.C., </w:t>
      </w:r>
      <w:proofErr w:type="spellStart"/>
      <w:r>
        <w:t>Asaolu</w:t>
      </w:r>
      <w:proofErr w:type="spellEnd"/>
      <w:r>
        <w:t xml:space="preserve">, F. and Eberhardt, J. (2024). Enhancing Mental Health with Artificial Intelligence: Current Trends and Future Prospects. </w:t>
      </w:r>
      <w:r>
        <w:rPr>
          <w:i/>
          <w:iCs/>
        </w:rPr>
        <w:t>Journal of medicine, surgery, and public health</w:t>
      </w:r>
      <w:r>
        <w:t xml:space="preserve">, [online] 3(3). doi: </w:t>
      </w:r>
      <w:hyperlink r:id="rId14" w:history="1">
        <w:r w:rsidRPr="00321E82">
          <w:rPr>
            <w:rStyle w:val="Hyperlink"/>
          </w:rPr>
          <w:t>https://doi.org/10.1016/j.glmedi.2024.100099</w:t>
        </w:r>
      </w:hyperlink>
      <w:r>
        <w:t>.</w:t>
      </w:r>
    </w:p>
    <w:p w14:paraId="137D7AB3" w14:textId="77777777" w:rsidR="00E8377D" w:rsidRDefault="00E8377D" w:rsidP="00AD39B0">
      <w:r>
        <w:t xml:space="preserve">Ritchie, H., </w:t>
      </w:r>
      <w:proofErr w:type="spellStart"/>
      <w:r>
        <w:t>Roser</w:t>
      </w:r>
      <w:proofErr w:type="spellEnd"/>
      <w:r>
        <w:t xml:space="preserve">, M., </w:t>
      </w:r>
      <w:proofErr w:type="spellStart"/>
      <w:r>
        <w:t>Dattani</w:t>
      </w:r>
      <w:proofErr w:type="spellEnd"/>
      <w:r>
        <w:t xml:space="preserve">, S. and </w:t>
      </w:r>
      <w:proofErr w:type="spellStart"/>
      <w:r>
        <w:t>Rodes-Guirao</w:t>
      </w:r>
      <w:proofErr w:type="spellEnd"/>
      <w:r>
        <w:t xml:space="preserve">, L. (2023). </w:t>
      </w:r>
      <w:r>
        <w:rPr>
          <w:i/>
          <w:iCs/>
        </w:rPr>
        <w:t>Mental health</w:t>
      </w:r>
      <w:r>
        <w:t xml:space="preserve">. [online] Our World in Data. Available at: </w:t>
      </w:r>
      <w:hyperlink r:id="rId15" w:history="1">
        <w:r w:rsidRPr="005F01C9">
          <w:rPr>
            <w:rStyle w:val="Hyperlink"/>
          </w:rPr>
          <w:t>https://ourworldindata.org/mental-health</w:t>
        </w:r>
      </w:hyperlink>
      <w:r>
        <w:t>.</w:t>
      </w:r>
    </w:p>
    <w:p w14:paraId="4FD8DC2D" w14:textId="77777777" w:rsidR="00E8377D" w:rsidRDefault="00E8377D" w:rsidP="005D41AD">
      <w:pPr>
        <w:rPr>
          <w:lang w:eastAsia="en-GB"/>
        </w:rPr>
      </w:pPr>
      <w:r w:rsidRPr="005D41AD">
        <w:rPr>
          <w:lang w:eastAsia="en-GB"/>
        </w:rPr>
        <w:t xml:space="preserve">Towards Healthcare (2025). </w:t>
      </w:r>
      <w:r w:rsidRPr="005D41AD">
        <w:rPr>
          <w:i/>
          <w:iCs/>
          <w:lang w:eastAsia="en-GB"/>
        </w:rPr>
        <w:t>AI in Mental Health Market Skyrockets 24.15% CAGR by 2034</w:t>
      </w:r>
      <w:r w:rsidRPr="005D41AD">
        <w:rPr>
          <w:lang w:eastAsia="en-GB"/>
        </w:rPr>
        <w:t xml:space="preserve">. [online] Towardshealthcare.com. Available at: </w:t>
      </w:r>
      <w:hyperlink r:id="rId16" w:history="1">
        <w:r w:rsidRPr="005D41AD">
          <w:rPr>
            <w:rStyle w:val="Hyperlink"/>
            <w:rFonts w:ascii="Times New Roman" w:eastAsia="Times New Roman" w:hAnsi="Times New Roman" w:cs="Times New Roman"/>
            <w:sz w:val="24"/>
            <w:szCs w:val="24"/>
            <w:lang w:eastAsia="en-GB"/>
          </w:rPr>
          <w:t>https://www.towardshealthcare.com/insights/ai-in-mental-health-market-sizing</w:t>
        </w:r>
      </w:hyperlink>
      <w:r w:rsidRPr="005D41AD">
        <w:rPr>
          <w:lang w:eastAsia="en-GB"/>
        </w:rPr>
        <w:t>.</w:t>
      </w:r>
    </w:p>
    <w:p w14:paraId="07FE35F4" w14:textId="47A70BCD" w:rsidR="005D41AD" w:rsidRPr="005D41AD" w:rsidRDefault="00E8377D" w:rsidP="00E8377D">
      <w:pPr>
        <w:rPr>
          <w:lang w:eastAsia="en-GB"/>
        </w:rPr>
      </w:pPr>
      <w:r w:rsidRPr="00A622B6">
        <w:rPr>
          <w:lang w:eastAsia="en-GB"/>
        </w:rPr>
        <w:t xml:space="preserve">World Health Organization (2025). </w:t>
      </w:r>
      <w:r w:rsidRPr="00A622B6">
        <w:rPr>
          <w:i/>
          <w:iCs/>
          <w:lang w:eastAsia="en-GB"/>
        </w:rPr>
        <w:t>Over a billion people living with mental health conditions – services require urgent scale-up</w:t>
      </w:r>
      <w:r w:rsidRPr="00A622B6">
        <w:rPr>
          <w:lang w:eastAsia="en-GB"/>
        </w:rPr>
        <w:t xml:space="preserve">. [online] Who.int. Available at: </w:t>
      </w:r>
      <w:hyperlink r:id="rId17" w:history="1">
        <w:r w:rsidRPr="005F01C9">
          <w:rPr>
            <w:rStyle w:val="Hyperlink"/>
            <w:lang w:eastAsia="en-GB"/>
          </w:rPr>
          <w:t>https://www.who.int/news/item/02-09-2025-over-a-billion-people-living-with-mental-health-conditions-services-require-urgent-scale-up</w:t>
        </w:r>
      </w:hyperlink>
      <w:r w:rsidRPr="00A622B6">
        <w:rPr>
          <w:lang w:eastAsia="en-GB"/>
        </w:rPr>
        <w:t>.</w:t>
      </w:r>
    </w:p>
    <w:p w14:paraId="2719A25C" w14:textId="3C7F07ED" w:rsidR="00AD39B0" w:rsidRDefault="00AD39B0" w:rsidP="00937ECA">
      <w:pPr>
        <w:rPr>
          <w:lang w:eastAsia="en-GB"/>
        </w:rPr>
      </w:pPr>
      <w:r>
        <w:rPr>
          <w:noProof/>
        </w:rPr>
        <w:br w:type="page"/>
      </w:r>
    </w:p>
    <w:p w14:paraId="6BEC8CD1" w14:textId="0EB5DF1D" w:rsidR="004B27D0" w:rsidRDefault="00AD39B0" w:rsidP="00AD39B0">
      <w:pPr>
        <w:jc w:val="center"/>
        <w:rPr>
          <w:b/>
          <w:bCs/>
          <w:noProof/>
          <w:sz w:val="24"/>
          <w:szCs w:val="24"/>
        </w:rPr>
      </w:pPr>
      <w:r w:rsidRPr="00AD39B0">
        <w:rPr>
          <w:b/>
          <w:bCs/>
          <w:noProof/>
          <w:sz w:val="24"/>
          <w:szCs w:val="24"/>
        </w:rPr>
        <w:lastRenderedPageBreak/>
        <w:t xml:space="preserve">Blog 2: </w:t>
      </w:r>
      <w:r w:rsidR="00A36DA2" w:rsidRPr="00A36DA2">
        <w:rPr>
          <w:b/>
          <w:bCs/>
          <w:noProof/>
          <w:sz w:val="24"/>
          <w:szCs w:val="24"/>
        </w:rPr>
        <w:t>“</w:t>
      </w:r>
      <w:r w:rsidR="00E8377D" w:rsidRPr="00E8377D">
        <w:rPr>
          <w:b/>
          <w:bCs/>
          <w:noProof/>
          <w:sz w:val="24"/>
          <w:szCs w:val="24"/>
        </w:rPr>
        <w:t>Creating an AI-Powered CBT Platform for Everyday Mental Wellbeing</w:t>
      </w:r>
      <w:r w:rsidR="00E8377D">
        <w:rPr>
          <w:b/>
          <w:bCs/>
          <w:noProof/>
          <w:sz w:val="24"/>
          <w:szCs w:val="24"/>
        </w:rPr>
        <w:t>”</w:t>
      </w:r>
    </w:p>
    <w:p w14:paraId="0D2F4E05" w14:textId="56C69DC6" w:rsidR="00AD39B0" w:rsidRDefault="002D0DE8" w:rsidP="00767B81">
      <w:pPr>
        <w:pStyle w:val="Heading2"/>
        <w:rPr>
          <w:noProof/>
        </w:rPr>
      </w:pPr>
      <w:r>
        <w:rPr>
          <w:noProof/>
        </w:rPr>
        <w:drawing>
          <wp:anchor distT="0" distB="0" distL="114300" distR="114300" simplePos="0" relativeHeight="251680768" behindDoc="0" locked="0" layoutInCell="1" allowOverlap="1" wp14:anchorId="0BC8CFF4" wp14:editId="4EC21EEA">
            <wp:simplePos x="0" y="0"/>
            <wp:positionH relativeFrom="column">
              <wp:posOffset>-552450</wp:posOffset>
            </wp:positionH>
            <wp:positionV relativeFrom="paragraph">
              <wp:posOffset>302260</wp:posOffset>
            </wp:positionV>
            <wp:extent cx="3974342" cy="1766570"/>
            <wp:effectExtent l="0" t="0" r="7620" b="5080"/>
            <wp:wrapThrough wrapText="bothSides">
              <wp:wrapPolygon edited="0">
                <wp:start x="0" y="0"/>
                <wp:lineTo x="0" y="21429"/>
                <wp:lineTo x="21538" y="21429"/>
                <wp:lineTo x="21538"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974342" cy="1766570"/>
                    </a:xfrm>
                    <a:prstGeom prst="rect">
                      <a:avLst/>
                    </a:prstGeom>
                  </pic:spPr>
                </pic:pic>
              </a:graphicData>
            </a:graphic>
          </wp:anchor>
        </w:drawing>
      </w:r>
      <w:r w:rsidR="00E8377D" w:rsidRPr="00E8377D">
        <w:rPr>
          <w:noProof/>
        </w:rPr>
        <w:t>Continuing Issue: Mental Health Care Deficits</w:t>
      </w:r>
    </w:p>
    <w:p w14:paraId="67D7FA6A" w14:textId="6B23F53F" w:rsidR="00A36DA2" w:rsidRDefault="002D0DE8" w:rsidP="00A36DA2">
      <w:pPr>
        <w:rPr>
          <w:noProof/>
        </w:rPr>
      </w:pPr>
      <w:r w:rsidRPr="00A87D57">
        <w:rPr>
          <w:b/>
          <w:bCs/>
          <w:i/>
          <w:iCs/>
          <w:noProof/>
          <w:sz w:val="18"/>
          <w:szCs w:val="18"/>
        </w:rPr>
        <mc:AlternateContent>
          <mc:Choice Requires="wps">
            <w:drawing>
              <wp:anchor distT="45720" distB="45720" distL="114300" distR="114300" simplePos="0" relativeHeight="251676672" behindDoc="0" locked="0" layoutInCell="1" allowOverlap="1" wp14:anchorId="5F0CA61F" wp14:editId="21FAEE57">
                <wp:simplePos x="0" y="0"/>
                <wp:positionH relativeFrom="column">
                  <wp:posOffset>-393700</wp:posOffset>
                </wp:positionH>
                <wp:positionV relativeFrom="paragraph">
                  <wp:posOffset>1697355</wp:posOffset>
                </wp:positionV>
                <wp:extent cx="1873250" cy="419100"/>
                <wp:effectExtent l="0" t="0" r="0" b="0"/>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3250" cy="419100"/>
                        </a:xfrm>
                        <a:prstGeom prst="rect">
                          <a:avLst/>
                        </a:prstGeom>
                        <a:solidFill>
                          <a:srgbClr val="FFFFFF"/>
                        </a:solidFill>
                        <a:ln w="9525">
                          <a:noFill/>
                          <a:miter lim="800000"/>
                          <a:headEnd/>
                          <a:tailEnd/>
                        </a:ln>
                      </wps:spPr>
                      <wps:txbx>
                        <w:txbxContent>
                          <w:p w14:paraId="63AE9E28" w14:textId="0629555D" w:rsidR="00A36DA2" w:rsidRPr="00A87D57" w:rsidRDefault="00A36DA2" w:rsidP="00A36DA2">
                            <w:pPr>
                              <w:rPr>
                                <w:b/>
                                <w:bCs/>
                                <w:i/>
                                <w:iCs/>
                                <w:sz w:val="18"/>
                                <w:szCs w:val="18"/>
                              </w:rPr>
                            </w:pPr>
                            <w:r w:rsidRPr="00A87D57">
                              <w:rPr>
                                <w:b/>
                                <w:bCs/>
                                <w:i/>
                                <w:iCs/>
                                <w:sz w:val="18"/>
                                <w:szCs w:val="18"/>
                              </w:rPr>
                              <w:t>(</w:t>
                            </w:r>
                            <w:r w:rsidR="002D0DE8" w:rsidRPr="002D0DE8">
                              <w:rPr>
                                <w:b/>
                                <w:bCs/>
                                <w:i/>
                                <w:iCs/>
                                <w:sz w:val="18"/>
                                <w:szCs w:val="18"/>
                              </w:rPr>
                              <w:t>National Institute of Mental Health, 2024)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0CA61F" id="_x0000_s1028" type="#_x0000_t202" style="position:absolute;left:0;text-align:left;margin-left:-31pt;margin-top:133.65pt;width:147.5pt;height:33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" stroked="f">
                <v:textbox>
                  <w:txbxContent>
                    <w:p w14:paraId="63AE9E28" w14:textId="0629555D" w:rsidR="00A36DA2" w:rsidRPr="00A87D57" w:rsidRDefault="00A36DA2" w:rsidP="00A36DA2">
                      <w:pPr>
                        <w:rPr>
                          <w:b/>
                          <w:bCs/>
                          <w:i/>
                          <w:iCs/>
                          <w:sz w:val="18"/>
                          <w:szCs w:val="18"/>
                        </w:rPr>
                      </w:pPr>
                      <w:r w:rsidRPr="00A87D57">
                        <w:rPr>
                          <w:b/>
                          <w:bCs/>
                          <w:i/>
                          <w:iCs/>
                          <w:sz w:val="18"/>
                          <w:szCs w:val="18"/>
                        </w:rPr>
                        <w:t>(</w:t>
                      </w:r>
                      <w:r w:rsidR="002D0DE8" w:rsidRPr="002D0DE8">
                        <w:rPr>
                          <w:b/>
                          <w:bCs/>
                          <w:i/>
                          <w:iCs/>
                          <w:sz w:val="18"/>
                          <w:szCs w:val="18"/>
                        </w:rPr>
                        <w:t>National Institute of Mental Health, 2024)</w:t>
                      </w:r>
                    </w:p>
                  </w:txbxContent>
                </v:textbox>
                <w10:wrap type="square"/>
              </v:shape>
            </w:pict>
          </mc:Fallback>
        </mc:AlternateContent>
      </w:r>
      <w:r w:rsidR="00A36DA2" w:rsidRPr="00A36DA2">
        <w:rPr>
          <w:noProof/>
        </w:rPr>
        <w:t>According to World Health Organisation (</w:t>
      </w:r>
      <w:r w:rsidR="00A622B6">
        <w:rPr>
          <w:noProof/>
        </w:rPr>
        <w:t>2025</w:t>
      </w:r>
      <w:r w:rsidR="00A36DA2" w:rsidRPr="00A36DA2">
        <w:rPr>
          <w:noProof/>
        </w:rPr>
        <w:t>),</w:t>
      </w:r>
      <w:r w:rsidRPr="002D0DE8">
        <w:rPr>
          <w:noProof/>
        </w:rPr>
        <w:t>Over 1 billion people, or approximately 13%–15% of the global population, live with a mental health disorder, with anxiety and depression being the most common.</w:t>
      </w:r>
      <w:r>
        <w:rPr>
          <w:noProof/>
        </w:rPr>
        <w:t xml:space="preserve"> In 2022, about 59.3 million individuals aged 18 and older in the United States had AMI</w:t>
      </w:r>
      <w:r w:rsidR="00767B81">
        <w:rPr>
          <w:noProof/>
        </w:rPr>
        <w:t xml:space="preserve"> </w:t>
      </w:r>
      <w:r>
        <w:rPr>
          <w:noProof/>
        </w:rPr>
        <w:t>. This figure constituted 23.1% of the total adult population in the United States</w:t>
      </w:r>
      <w:r w:rsidR="00767B81">
        <w:rPr>
          <w:noProof/>
        </w:rPr>
        <w:t xml:space="preserve"> </w:t>
      </w:r>
      <w:r w:rsidR="00767B81" w:rsidRPr="00767B81">
        <w:rPr>
          <w:noProof/>
        </w:rPr>
        <w:t>(National Institute of Mental Health, 2024)</w:t>
      </w:r>
      <w:r>
        <w:rPr>
          <w:noProof/>
        </w:rPr>
        <w:t>. The prevalence of AMI was greater in females (26.4%) compared to males (19.7%)</w:t>
      </w:r>
      <w:r w:rsidR="00767B81">
        <w:rPr>
          <w:noProof/>
        </w:rPr>
        <w:t>.</w:t>
      </w:r>
    </w:p>
    <w:p w14:paraId="12B54868" w14:textId="472B4B05" w:rsidR="008D2A27" w:rsidRDefault="002D0DE8" w:rsidP="00767B81">
      <w:pPr>
        <w:pStyle w:val="Heading2"/>
        <w:rPr>
          <w:noProof/>
        </w:rPr>
      </w:pPr>
      <w:r w:rsidRPr="002D0DE8">
        <w:rPr>
          <w:noProof/>
        </w:rPr>
        <w:t>Introducing MindfulAI Companion: A Novel Approach</w:t>
      </w:r>
    </w:p>
    <w:p w14:paraId="6CE297CE" w14:textId="51092D2A" w:rsidR="0016549B" w:rsidRDefault="002D0DE8" w:rsidP="00A622B6">
      <w:pPr>
        <w:rPr>
          <w:noProof/>
        </w:rPr>
      </w:pPr>
      <w:r>
        <w:rPr>
          <w:noProof/>
        </w:rPr>
        <w:drawing>
          <wp:anchor distT="0" distB="0" distL="114300" distR="114300" simplePos="0" relativeHeight="251681792" behindDoc="0" locked="0" layoutInCell="1" allowOverlap="1" wp14:anchorId="4D207A76" wp14:editId="538EDBFA">
            <wp:simplePos x="0" y="0"/>
            <wp:positionH relativeFrom="column">
              <wp:posOffset>3168650</wp:posOffset>
            </wp:positionH>
            <wp:positionV relativeFrom="paragraph">
              <wp:posOffset>480060</wp:posOffset>
            </wp:positionV>
            <wp:extent cx="3255010" cy="1696720"/>
            <wp:effectExtent l="0" t="0" r="2540" b="0"/>
            <wp:wrapThrough wrapText="bothSides">
              <wp:wrapPolygon edited="0">
                <wp:start x="0" y="0"/>
                <wp:lineTo x="0" y="21341"/>
                <wp:lineTo x="21490" y="21341"/>
                <wp:lineTo x="21490" y="0"/>
                <wp:lineTo x="0" y="0"/>
              </wp:wrapPolygon>
            </wp:wrapThrough>
            <wp:docPr id="11" name="Picture 11" descr="MindfulAI: The Wellness Advocate - AI Tool For Mindfulness gui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ndfulAI: The Wellness Advocate - AI Tool For Mindfulness guidance"/>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55010" cy="1696720"/>
                    </a:xfrm>
                    <a:prstGeom prst="rect">
                      <a:avLst/>
                    </a:prstGeom>
                    <a:noFill/>
                    <a:ln>
                      <a:noFill/>
                    </a:ln>
                  </pic:spPr>
                </pic:pic>
              </a:graphicData>
            </a:graphic>
          </wp:anchor>
        </w:drawing>
      </w:r>
      <w:r w:rsidRPr="002D0DE8">
        <w:rPr>
          <w:noProof/>
        </w:rPr>
        <w:t>To rectify such shortcomings,  propose the creation of MindfulAI Companion, an AI-driven digital platform that amalgamates cognitive behavioural therapy with advanced machine learning, real-time monitoring, and customised treatments (Torous et al., 2025).</w:t>
      </w:r>
      <w:r w:rsidRPr="002D0DE8">
        <w:t xml:space="preserve"> </w:t>
      </w:r>
    </w:p>
    <w:p w14:paraId="43428B8E" w14:textId="14BF93CA" w:rsidR="0016549B" w:rsidRDefault="00A36DA2" w:rsidP="00AD39B0">
      <w:pPr>
        <w:rPr>
          <w:b/>
          <w:bCs/>
          <w:noProof/>
        </w:rPr>
      </w:pPr>
      <w:r>
        <w:rPr>
          <w:b/>
          <w:bCs/>
          <w:noProof/>
        </w:rPr>
        <w:t xml:space="preserve">Key </w:t>
      </w:r>
      <w:r w:rsidR="0016549B" w:rsidRPr="0016549B">
        <w:rPr>
          <w:b/>
          <w:bCs/>
          <w:noProof/>
        </w:rPr>
        <w:t>Design Features and Architecture</w:t>
      </w:r>
    </w:p>
    <w:p w14:paraId="1F37C19D" w14:textId="531C1FC2" w:rsidR="002D0DE8" w:rsidRPr="00767B81" w:rsidRDefault="002D0DE8" w:rsidP="00A36DA2">
      <w:pPr>
        <w:rPr>
          <w:noProof/>
        </w:rPr>
      </w:pPr>
      <w:r w:rsidRPr="002D0DE8">
        <w:rPr>
          <w:noProof/>
        </w:rPr>
        <w:t>MindfulAI Companion uses cutting-edge technology and proven therapies:</w:t>
      </w:r>
    </w:p>
    <w:p w14:paraId="3CE8571D" w14:textId="2C9A7A96" w:rsidR="002D0DE8" w:rsidRDefault="002D0DE8" w:rsidP="002D0DE8">
      <w:pPr>
        <w:rPr>
          <w:lang w:eastAsia="en-GB"/>
        </w:rPr>
      </w:pPr>
      <w:r w:rsidRPr="00767B81">
        <w:rPr>
          <w:b/>
          <w:bCs/>
          <w:lang w:eastAsia="en-GB"/>
        </w:rPr>
        <w:t>AI-Driven Personalisation:</w:t>
      </w:r>
      <w:r>
        <w:rPr>
          <w:lang w:eastAsia="en-GB"/>
        </w:rPr>
        <w:t> Using advanced machine learning techniques, the program customises medication to user behaviour and symptoms. Artificial intelligence improves therapy scheduling, material selection, and delivery, and studies show that personalised therapies have more effect (Koh et al., 2021).</w:t>
      </w:r>
    </w:p>
    <w:p w14:paraId="405C99D5" w14:textId="3D5DA715" w:rsidR="002D0DE8" w:rsidRDefault="002D0DE8" w:rsidP="002D0DE8">
      <w:pPr>
        <w:rPr>
          <w:lang w:eastAsia="en-GB"/>
        </w:rPr>
      </w:pPr>
      <w:r w:rsidRPr="00767B81">
        <w:rPr>
          <w:b/>
          <w:bCs/>
          <w:lang w:eastAsia="en-GB"/>
        </w:rPr>
        <w:t>Instant Biometric Integration:</w:t>
      </w:r>
      <w:r>
        <w:rPr>
          <w:lang w:eastAsia="en-GB"/>
        </w:rPr>
        <w:t xml:space="preserve"> Unlike self-reported apps, </w:t>
      </w:r>
      <w:proofErr w:type="spellStart"/>
      <w:r>
        <w:rPr>
          <w:lang w:eastAsia="en-GB"/>
        </w:rPr>
        <w:t>MindfulAI</w:t>
      </w:r>
      <w:proofErr w:type="spellEnd"/>
      <w:r>
        <w:rPr>
          <w:lang w:eastAsia="en-GB"/>
        </w:rPr>
        <w:t xml:space="preserve"> Companion monitors mental health physiologically using wearable devices and smartphone sensors.</w:t>
      </w:r>
    </w:p>
    <w:p w14:paraId="2D5C7B37" w14:textId="4CDF9B42" w:rsidR="002D0DE8" w:rsidRDefault="002D0DE8" w:rsidP="002D0DE8">
      <w:pPr>
        <w:rPr>
          <w:lang w:eastAsia="en-GB"/>
        </w:rPr>
      </w:pPr>
      <w:r w:rsidRPr="00767B81">
        <w:rPr>
          <w:b/>
          <w:bCs/>
          <w:lang w:eastAsia="en-GB"/>
        </w:rPr>
        <w:t>ACBT Module System:</w:t>
      </w:r>
      <w:r>
        <w:rPr>
          <w:lang w:eastAsia="en-GB"/>
        </w:rPr>
        <w:t> Interactive modules offer evidence-based cognitive-</w:t>
      </w:r>
      <w:proofErr w:type="spellStart"/>
      <w:r>
        <w:rPr>
          <w:lang w:eastAsia="en-GB"/>
        </w:rPr>
        <w:t>behavioral</w:t>
      </w:r>
      <w:proofErr w:type="spellEnd"/>
      <w:r>
        <w:rPr>
          <w:lang w:eastAsia="en-GB"/>
        </w:rPr>
        <w:t xml:space="preserve"> treatment based on user progress and interaction.</w:t>
      </w:r>
    </w:p>
    <w:p w14:paraId="149579F0" w14:textId="39540985" w:rsidR="00A36DA2" w:rsidRPr="00937ECA" w:rsidRDefault="002D0DE8" w:rsidP="002D0DE8">
      <w:pPr>
        <w:rPr>
          <w:lang w:eastAsia="en-GB"/>
        </w:rPr>
      </w:pPr>
      <w:r w:rsidRPr="00767B81">
        <w:rPr>
          <w:b/>
          <w:bCs/>
          <w:lang w:eastAsia="en-GB"/>
        </w:rPr>
        <w:t>Digitised Therapy Assistant:</w:t>
      </w:r>
      <w:r>
        <w:rPr>
          <w:lang w:eastAsia="en-GB"/>
        </w:rPr>
        <w:t> An AI-driven conversational agent provides 24/7 therapeutic conversations, psychoeducational information, and intervention suggestions using natural language processing (</w:t>
      </w:r>
      <w:proofErr w:type="spellStart"/>
      <w:r>
        <w:rPr>
          <w:lang w:eastAsia="en-GB"/>
        </w:rPr>
        <w:t>Kieling</w:t>
      </w:r>
      <w:proofErr w:type="spellEnd"/>
      <w:r>
        <w:rPr>
          <w:lang w:eastAsia="en-GB"/>
        </w:rPr>
        <w:t xml:space="preserve"> et al., 2024).</w:t>
      </w:r>
    </w:p>
    <w:p w14:paraId="4B8910AA" w14:textId="5668FE1B" w:rsidR="0016549B" w:rsidRDefault="00767B81" w:rsidP="00767B81">
      <w:pPr>
        <w:pStyle w:val="Heading2"/>
        <w:rPr>
          <w:noProof/>
        </w:rPr>
      </w:pPr>
      <w:r w:rsidRPr="00767B81">
        <w:rPr>
          <w:noProof/>
        </w:rPr>
        <w:lastRenderedPageBreak/>
        <w:t>Daily Mental Health Challenges Made Smarter with MindfulAI Companion</w:t>
      </w:r>
    </w:p>
    <w:p w14:paraId="3FE9D0DB" w14:textId="77777777" w:rsidR="00767B81" w:rsidRPr="00767B81" w:rsidRDefault="00767B81" w:rsidP="00767B81">
      <w:pPr>
        <w:rPr>
          <w:b/>
          <w:bCs/>
          <w:noProof/>
          <w:u w:val="single"/>
        </w:rPr>
      </w:pPr>
      <w:r w:rsidRPr="00767B81">
        <w:rPr>
          <w:b/>
          <w:bCs/>
          <w:noProof/>
          <w:u w:val="single"/>
        </w:rPr>
        <w:t>Urgent Crisis Assistance</w:t>
      </w:r>
    </w:p>
    <w:p w14:paraId="16AD5471" w14:textId="78E68E30" w:rsidR="00767B81" w:rsidRDefault="00767B81" w:rsidP="00767B81">
      <w:pPr>
        <w:rPr>
          <w:noProof/>
        </w:rPr>
      </w:pPr>
      <w:r>
        <w:rPr>
          <w:noProof/>
        </w:rPr>
        <w:t>The platform employs sophisticated crisis detection algorithms that examine user inputs, behavioural patterns, and physiological data for signs of suicidal intent or substantial deterioration.</w:t>
      </w:r>
    </w:p>
    <w:p w14:paraId="39E36262" w14:textId="77777777" w:rsidR="00767B81" w:rsidRPr="00767B81" w:rsidRDefault="00767B81" w:rsidP="00767B81">
      <w:pPr>
        <w:rPr>
          <w:b/>
          <w:bCs/>
          <w:noProof/>
          <w:u w:val="single"/>
        </w:rPr>
      </w:pPr>
      <w:r w:rsidRPr="00767B81">
        <w:rPr>
          <w:b/>
          <w:bCs/>
          <w:noProof/>
          <w:u w:val="single"/>
        </w:rPr>
        <w:t>Tailored Therapeutic Strategies</w:t>
      </w:r>
    </w:p>
    <w:p w14:paraId="4C8D34E5" w14:textId="68199E86" w:rsidR="00767B81" w:rsidRDefault="00767B81" w:rsidP="00767B81">
      <w:pPr>
        <w:rPr>
          <w:noProof/>
        </w:rPr>
      </w:pPr>
      <w:r>
        <w:rPr>
          <w:noProof/>
        </w:rPr>
        <w:t>Investigations on the effectiveness of digital cognitive behavioural therapy inform the platform's customised treatment protocols that adapt based on user response patterns (The Lancet Digital Health, 2022).</w:t>
      </w:r>
    </w:p>
    <w:p w14:paraId="6F49759E" w14:textId="77777777" w:rsidR="00767B81" w:rsidRPr="00767B81" w:rsidRDefault="00767B81" w:rsidP="00767B81">
      <w:pPr>
        <w:rPr>
          <w:b/>
          <w:bCs/>
          <w:noProof/>
          <w:u w:val="single"/>
        </w:rPr>
      </w:pPr>
      <w:r w:rsidRPr="00767B81">
        <w:rPr>
          <w:b/>
          <w:bCs/>
          <w:noProof/>
          <w:u w:val="single"/>
        </w:rPr>
        <w:t>Confronting Healthcare Inequities</w:t>
      </w:r>
    </w:p>
    <w:p w14:paraId="01B85743" w14:textId="596ABFB5" w:rsidR="00F83C13" w:rsidRPr="00F83C13" w:rsidRDefault="00767B81" w:rsidP="00767B81">
      <w:pPr>
        <w:rPr>
          <w:noProof/>
        </w:rPr>
      </w:pPr>
      <w:r>
        <w:rPr>
          <w:noProof/>
        </w:rPr>
        <w:t>MindfulAI Companion provides evidence-based support to those on critical professional care waiting lists. Studies demonstrate that mobile apps used during waiting periods for psychiatric appointments significantly reduce symptoms of depression and anxiety (Martinengo et al., 2021).</w:t>
      </w:r>
    </w:p>
    <w:p w14:paraId="7871CECD" w14:textId="5ECB928B" w:rsidR="00F27512" w:rsidRDefault="00F27512" w:rsidP="00767B81">
      <w:pPr>
        <w:pStyle w:val="Heading2"/>
        <w:rPr>
          <w:noProof/>
        </w:rPr>
      </w:pPr>
      <w:r w:rsidRPr="00F27512">
        <w:rPr>
          <w:noProof/>
        </w:rPr>
        <w:t>Advantages</w:t>
      </w:r>
    </w:p>
    <w:p w14:paraId="4A3159ED" w14:textId="407B7581" w:rsidR="00767B81" w:rsidRDefault="00767B81" w:rsidP="00767B81">
      <w:pPr>
        <w:pStyle w:val="ListParagraph"/>
        <w:numPr>
          <w:ilvl w:val="0"/>
          <w:numId w:val="10"/>
        </w:numPr>
        <w:rPr>
          <w:lang w:eastAsia="en-GB"/>
        </w:rPr>
      </w:pPr>
      <w:r>
        <w:rPr>
          <w:lang w:eastAsia="en-GB"/>
        </w:rPr>
        <w:t>CBT, mindfulness, and behavioural activation may have a stronger effect on mental health than single therapies (</w:t>
      </w:r>
      <w:proofErr w:type="spellStart"/>
      <w:r>
        <w:rPr>
          <w:lang w:eastAsia="en-GB"/>
        </w:rPr>
        <w:t>Torous</w:t>
      </w:r>
      <w:proofErr w:type="spellEnd"/>
      <w:r>
        <w:rPr>
          <w:lang w:eastAsia="en-GB"/>
        </w:rPr>
        <w:t xml:space="preserve"> et al., 2025).</w:t>
      </w:r>
    </w:p>
    <w:p w14:paraId="3DCE2C56" w14:textId="1C994430" w:rsidR="00767B81" w:rsidRDefault="00767B81" w:rsidP="00767B81">
      <w:pPr>
        <w:pStyle w:val="ListParagraph"/>
        <w:numPr>
          <w:ilvl w:val="0"/>
          <w:numId w:val="10"/>
        </w:numPr>
        <w:rPr>
          <w:lang w:eastAsia="en-GB"/>
        </w:rPr>
      </w:pPr>
      <w:r>
        <w:rPr>
          <w:lang w:eastAsia="en-GB"/>
        </w:rPr>
        <w:t xml:space="preserve">Unlike standalone apps, </w:t>
      </w:r>
      <w:proofErr w:type="spellStart"/>
      <w:r>
        <w:rPr>
          <w:lang w:eastAsia="en-GB"/>
        </w:rPr>
        <w:t>MindfulAI</w:t>
      </w:r>
      <w:proofErr w:type="spellEnd"/>
      <w:r>
        <w:rPr>
          <w:lang w:eastAsia="en-GB"/>
        </w:rPr>
        <w:t xml:space="preserve"> Companion integrates professional supervision and escalation processes to ensure care continuity.</w:t>
      </w:r>
    </w:p>
    <w:p w14:paraId="654F2440" w14:textId="2987BEDA" w:rsidR="00E814F8" w:rsidRDefault="00767B81" w:rsidP="00767B81">
      <w:pPr>
        <w:pStyle w:val="ListParagraph"/>
        <w:numPr>
          <w:ilvl w:val="0"/>
          <w:numId w:val="10"/>
        </w:numPr>
        <w:rPr>
          <w:noProof/>
        </w:rPr>
      </w:pPr>
      <w:r>
        <w:rPr>
          <w:lang w:eastAsia="en-GB"/>
        </w:rPr>
        <w:t>Traditional mental health services struggle to scale, but the platform can serve an endless number of consumers with customised experiences.</w:t>
      </w:r>
    </w:p>
    <w:p w14:paraId="1A9D2787" w14:textId="3D77E4B6" w:rsidR="00E814F8" w:rsidRPr="00E814F8" w:rsidRDefault="00E814F8" w:rsidP="00767B81">
      <w:pPr>
        <w:pStyle w:val="Heading2"/>
        <w:rPr>
          <w:noProof/>
        </w:rPr>
      </w:pPr>
      <w:r w:rsidRPr="00E814F8">
        <w:rPr>
          <w:noProof/>
        </w:rPr>
        <w:t>Challenges</w:t>
      </w:r>
    </w:p>
    <w:p w14:paraId="101DEA67" w14:textId="77777777" w:rsidR="00767B81" w:rsidRDefault="00767B81" w:rsidP="00767B81">
      <w:pPr>
        <w:pStyle w:val="ListParagraph"/>
        <w:numPr>
          <w:ilvl w:val="0"/>
          <w:numId w:val="19"/>
        </w:numPr>
        <w:rPr>
          <w:noProof/>
        </w:rPr>
      </w:pPr>
      <w:r w:rsidRPr="00767B81">
        <w:rPr>
          <w:b/>
          <w:bCs/>
          <w:noProof/>
        </w:rPr>
        <w:t>Privacy and data protection concerns:</w:t>
      </w:r>
      <w:r>
        <w:rPr>
          <w:noProof/>
        </w:rPr>
        <w:t xml:space="preserve"> AI personalisation requires large amounts of data collection, which can create privacy risks.</w:t>
      </w:r>
    </w:p>
    <w:p w14:paraId="5BF45BEA" w14:textId="77777777" w:rsidR="00767B81" w:rsidRDefault="00767B81" w:rsidP="00767B81">
      <w:pPr>
        <w:pStyle w:val="ListParagraph"/>
        <w:numPr>
          <w:ilvl w:val="0"/>
          <w:numId w:val="19"/>
        </w:numPr>
        <w:rPr>
          <w:noProof/>
        </w:rPr>
      </w:pPr>
      <w:r w:rsidRPr="00767B81">
        <w:rPr>
          <w:b/>
          <w:bCs/>
          <w:noProof/>
        </w:rPr>
        <w:t>Over-reliance on technology:</w:t>
      </w:r>
      <w:r>
        <w:rPr>
          <w:noProof/>
        </w:rPr>
        <w:t xml:space="preserve"> Users might depend too much on apps instead of developing independent coping skills.</w:t>
      </w:r>
    </w:p>
    <w:p w14:paraId="678BBC77" w14:textId="13486917" w:rsidR="00E814F8" w:rsidRDefault="00767B81" w:rsidP="00767B81">
      <w:pPr>
        <w:pStyle w:val="ListParagraph"/>
        <w:numPr>
          <w:ilvl w:val="0"/>
          <w:numId w:val="19"/>
        </w:numPr>
        <w:rPr>
          <w:noProof/>
        </w:rPr>
      </w:pPr>
      <w:r w:rsidRPr="00767B81">
        <w:rPr>
          <w:b/>
          <w:bCs/>
          <w:noProof/>
        </w:rPr>
        <w:t>Need for clinical validation:</w:t>
      </w:r>
      <w:r>
        <w:rPr>
          <w:noProof/>
        </w:rPr>
        <w:t xml:space="preserve"> For serious mental health conditions, the platform requires long-term and costly research to prove effectiveness (Martinengo et al., 2021).</w:t>
      </w:r>
    </w:p>
    <w:p w14:paraId="5F82998B" w14:textId="5FCFA4D5" w:rsidR="00E814F8" w:rsidRDefault="00767B81" w:rsidP="00767B81">
      <w:pPr>
        <w:pStyle w:val="Heading2"/>
        <w:rPr>
          <w:noProof/>
        </w:rPr>
      </w:pPr>
      <w:r w:rsidRPr="00767B81">
        <w:rPr>
          <w:noProof/>
        </w:rPr>
        <w:t>Addressing the Gaps: Implementation Approaches</w:t>
      </w:r>
    </w:p>
    <w:p w14:paraId="0ACEC2BE" w14:textId="19D49C04" w:rsidR="00767B81" w:rsidRDefault="00767B81" w:rsidP="00767B81">
      <w:pPr>
        <w:pStyle w:val="ListParagraph"/>
        <w:numPr>
          <w:ilvl w:val="0"/>
          <w:numId w:val="20"/>
        </w:numPr>
        <w:rPr>
          <w:noProof/>
        </w:rPr>
      </w:pPr>
      <w:r>
        <w:rPr>
          <w:noProof/>
        </w:rPr>
        <w:t>Data protection and privacy framework</w:t>
      </w:r>
    </w:p>
    <w:p w14:paraId="2DE32D97" w14:textId="77777777" w:rsidR="00767B81" w:rsidRDefault="00767B81" w:rsidP="00767B81">
      <w:pPr>
        <w:pStyle w:val="ListParagraph"/>
        <w:numPr>
          <w:ilvl w:val="0"/>
          <w:numId w:val="20"/>
        </w:numPr>
        <w:rPr>
          <w:noProof/>
        </w:rPr>
      </w:pPr>
      <w:r>
        <w:rPr>
          <w:noProof/>
        </w:rPr>
        <w:t>Bias reduction and equity assurance</w:t>
      </w:r>
    </w:p>
    <w:p w14:paraId="2CA5B094" w14:textId="77777777" w:rsidR="00767B81" w:rsidRDefault="00767B81" w:rsidP="00767B81">
      <w:pPr>
        <w:pStyle w:val="ListParagraph"/>
        <w:numPr>
          <w:ilvl w:val="0"/>
          <w:numId w:val="20"/>
        </w:numPr>
        <w:rPr>
          <w:noProof/>
        </w:rPr>
      </w:pPr>
      <w:r>
        <w:rPr>
          <w:noProof/>
        </w:rPr>
        <w:lastRenderedPageBreak/>
        <w:t>Professional integration and training</w:t>
      </w:r>
    </w:p>
    <w:p w14:paraId="3354D4F5" w14:textId="77777777" w:rsidR="00767B81" w:rsidRDefault="00767B81" w:rsidP="00767B81">
      <w:pPr>
        <w:pStyle w:val="ListParagraph"/>
        <w:numPr>
          <w:ilvl w:val="0"/>
          <w:numId w:val="20"/>
        </w:numPr>
        <w:rPr>
          <w:noProof/>
        </w:rPr>
      </w:pPr>
      <w:r>
        <w:rPr>
          <w:noProof/>
        </w:rPr>
        <w:t>Clinical validation procedures</w:t>
      </w:r>
    </w:p>
    <w:p w14:paraId="4A7D9417" w14:textId="77777777" w:rsidR="00767B81" w:rsidRDefault="00767B81" w:rsidP="00767B81">
      <w:pPr>
        <w:pStyle w:val="ListParagraph"/>
        <w:numPr>
          <w:ilvl w:val="0"/>
          <w:numId w:val="20"/>
        </w:numPr>
        <w:rPr>
          <w:noProof/>
        </w:rPr>
      </w:pPr>
      <w:r>
        <w:rPr>
          <w:noProof/>
        </w:rPr>
        <w:t>Improvements in accessibility</w:t>
      </w:r>
    </w:p>
    <w:p w14:paraId="157BF0C2" w14:textId="3D719C15" w:rsidR="00A622B6" w:rsidRDefault="00767B81" w:rsidP="00767B81">
      <w:pPr>
        <w:pStyle w:val="ListParagraph"/>
        <w:numPr>
          <w:ilvl w:val="0"/>
          <w:numId w:val="20"/>
        </w:numPr>
        <w:rPr>
          <w:noProof/>
        </w:rPr>
      </w:pPr>
      <w:r>
        <w:rPr>
          <w:noProof/>
        </w:rPr>
        <w:t>Ethical oversight framework</w:t>
      </w:r>
    </w:p>
    <w:p w14:paraId="1F207504" w14:textId="77777777" w:rsidR="00A622B6" w:rsidRDefault="00A622B6" w:rsidP="00A622B6">
      <w:pPr>
        <w:rPr>
          <w:noProof/>
        </w:rPr>
      </w:pPr>
    </w:p>
    <w:p w14:paraId="176C57A7" w14:textId="6D5410FA" w:rsidR="00174D49" w:rsidRDefault="00174D49" w:rsidP="00A622B6">
      <w:pPr>
        <w:rPr>
          <w:noProof/>
        </w:rPr>
      </w:pPr>
      <w:r>
        <w:rPr>
          <w:noProof/>
        </w:rPr>
        <w:br w:type="page"/>
      </w:r>
    </w:p>
    <w:p w14:paraId="2D5797EB" w14:textId="540B1ABD" w:rsidR="00E814F8" w:rsidRDefault="00174D49" w:rsidP="00767B81">
      <w:pPr>
        <w:pStyle w:val="Heading2"/>
        <w:rPr>
          <w:noProof/>
        </w:rPr>
      </w:pPr>
      <w:r>
        <w:rPr>
          <w:noProof/>
        </w:rPr>
        <w:lastRenderedPageBreak/>
        <w:t>References</w:t>
      </w:r>
    </w:p>
    <w:p w14:paraId="588A3CAF" w14:textId="77777777" w:rsidR="00767B81" w:rsidRDefault="00767B81" w:rsidP="00937ECA">
      <w:proofErr w:type="spellStart"/>
      <w:r w:rsidRPr="00A622B6">
        <w:rPr>
          <w:lang w:eastAsia="en-GB"/>
        </w:rPr>
        <w:t>Kieling</w:t>
      </w:r>
      <w:proofErr w:type="spellEnd"/>
      <w:r w:rsidRPr="00A622B6">
        <w:rPr>
          <w:lang w:eastAsia="en-GB"/>
        </w:rPr>
        <w:t xml:space="preserve">, C., </w:t>
      </w:r>
      <w:proofErr w:type="spellStart"/>
      <w:r w:rsidRPr="00A622B6">
        <w:rPr>
          <w:lang w:eastAsia="en-GB"/>
        </w:rPr>
        <w:t>Buchweitz</w:t>
      </w:r>
      <w:proofErr w:type="spellEnd"/>
      <w:r w:rsidRPr="00A622B6">
        <w:rPr>
          <w:lang w:eastAsia="en-GB"/>
        </w:rPr>
        <w:t xml:space="preserve">, C., </w:t>
      </w:r>
      <w:proofErr w:type="spellStart"/>
      <w:r w:rsidRPr="00A622B6">
        <w:rPr>
          <w:lang w:eastAsia="en-GB"/>
        </w:rPr>
        <w:t>Caye</w:t>
      </w:r>
      <w:proofErr w:type="spellEnd"/>
      <w:r w:rsidRPr="00A622B6">
        <w:rPr>
          <w:lang w:eastAsia="en-GB"/>
        </w:rPr>
        <w:t xml:space="preserve">, A., </w:t>
      </w:r>
      <w:proofErr w:type="spellStart"/>
      <w:r w:rsidRPr="00A622B6">
        <w:rPr>
          <w:lang w:eastAsia="en-GB"/>
        </w:rPr>
        <w:t>Silvani</w:t>
      </w:r>
      <w:proofErr w:type="spellEnd"/>
      <w:r w:rsidRPr="00A622B6">
        <w:rPr>
          <w:lang w:eastAsia="en-GB"/>
        </w:rPr>
        <w:t xml:space="preserve">, J., </w:t>
      </w:r>
      <w:proofErr w:type="spellStart"/>
      <w:r w:rsidRPr="00A622B6">
        <w:rPr>
          <w:lang w:eastAsia="en-GB"/>
        </w:rPr>
        <w:t>Ameis</w:t>
      </w:r>
      <w:proofErr w:type="spellEnd"/>
      <w:r w:rsidRPr="00A622B6">
        <w:rPr>
          <w:lang w:eastAsia="en-GB"/>
        </w:rPr>
        <w:t xml:space="preserve">, S.H., </w:t>
      </w:r>
      <w:proofErr w:type="spellStart"/>
      <w:r w:rsidRPr="00A622B6">
        <w:rPr>
          <w:lang w:eastAsia="en-GB"/>
        </w:rPr>
        <w:t>Brunoni</w:t>
      </w:r>
      <w:proofErr w:type="spellEnd"/>
      <w:r w:rsidRPr="00A622B6">
        <w:rPr>
          <w:lang w:eastAsia="en-GB"/>
        </w:rPr>
        <w:t xml:space="preserve">, A.R., Cost, K.T., Courtney, D.B., Georgiades, K., </w:t>
      </w:r>
      <w:proofErr w:type="spellStart"/>
      <w:r w:rsidRPr="00A622B6">
        <w:rPr>
          <w:lang w:eastAsia="en-GB"/>
        </w:rPr>
        <w:t>Merikangas</w:t>
      </w:r>
      <w:proofErr w:type="spellEnd"/>
      <w:r w:rsidRPr="00A622B6">
        <w:rPr>
          <w:lang w:eastAsia="en-GB"/>
        </w:rPr>
        <w:t xml:space="preserve">, K.R., Henderson, J.L., </w:t>
      </w:r>
      <w:proofErr w:type="spellStart"/>
      <w:r w:rsidRPr="00A622B6">
        <w:rPr>
          <w:lang w:eastAsia="en-GB"/>
        </w:rPr>
        <w:t>Polanczyk</w:t>
      </w:r>
      <w:proofErr w:type="spellEnd"/>
      <w:r w:rsidRPr="00A622B6">
        <w:rPr>
          <w:lang w:eastAsia="en-GB"/>
        </w:rPr>
        <w:t xml:space="preserve">, G.V., Rohde, L.A., </w:t>
      </w:r>
      <w:proofErr w:type="spellStart"/>
      <w:r w:rsidRPr="00A622B6">
        <w:rPr>
          <w:lang w:eastAsia="en-GB"/>
        </w:rPr>
        <w:t>Salum</w:t>
      </w:r>
      <w:proofErr w:type="spellEnd"/>
      <w:r w:rsidRPr="00A622B6">
        <w:rPr>
          <w:lang w:eastAsia="en-GB"/>
        </w:rPr>
        <w:t xml:space="preserve">, G.A. and </w:t>
      </w:r>
      <w:proofErr w:type="spellStart"/>
      <w:r w:rsidRPr="00A622B6">
        <w:rPr>
          <w:lang w:eastAsia="en-GB"/>
        </w:rPr>
        <w:t>Szatmari</w:t>
      </w:r>
      <w:proofErr w:type="spellEnd"/>
      <w:r w:rsidRPr="00A622B6">
        <w:rPr>
          <w:lang w:eastAsia="en-GB"/>
        </w:rPr>
        <w:t xml:space="preserve">, P. (2024). Worldwide Prevalence and Disability </w:t>
      </w:r>
      <w:proofErr w:type="gramStart"/>
      <w:r w:rsidRPr="00A622B6">
        <w:rPr>
          <w:lang w:eastAsia="en-GB"/>
        </w:rPr>
        <w:t>From</w:t>
      </w:r>
      <w:proofErr w:type="gramEnd"/>
      <w:r w:rsidRPr="00A622B6">
        <w:rPr>
          <w:lang w:eastAsia="en-GB"/>
        </w:rPr>
        <w:t xml:space="preserve"> Mental Disorders Across Childhood and Adolescence: Evidence From the Global Burden of Disease Study. </w:t>
      </w:r>
      <w:r w:rsidRPr="00A622B6">
        <w:rPr>
          <w:i/>
          <w:iCs/>
          <w:lang w:eastAsia="en-GB"/>
        </w:rPr>
        <w:t>JAMA Psychiatry</w:t>
      </w:r>
      <w:r w:rsidRPr="00A622B6">
        <w:rPr>
          <w:lang w:eastAsia="en-GB"/>
        </w:rPr>
        <w:t xml:space="preserve">, [online] 81(4), pp.347–356. doi: </w:t>
      </w:r>
      <w:hyperlink r:id="rId20" w:history="1">
        <w:r w:rsidRPr="00937ECA">
          <w:t>https://doi.org/10.1001/jamapsychiatry.2023.5051</w:t>
        </w:r>
      </w:hyperlink>
      <w:r w:rsidRPr="00937ECA">
        <w:t>.</w:t>
      </w:r>
    </w:p>
    <w:p w14:paraId="4A46E688" w14:textId="77777777" w:rsidR="00767B81" w:rsidRDefault="00767B81" w:rsidP="00937ECA">
      <w:pPr>
        <w:rPr>
          <w:noProof/>
        </w:rPr>
      </w:pPr>
      <w:r w:rsidRPr="00174D49">
        <w:rPr>
          <w:noProof/>
        </w:rPr>
        <w:t>Koh, A., Swanepoel, D.W., Ling, A., Ho, B.L., Tan, S.Y. and Lim, J.</w:t>
      </w:r>
      <w:r>
        <w:rPr>
          <w:noProof/>
        </w:rPr>
        <w:t xml:space="preserve"> (</w:t>
      </w:r>
      <w:r w:rsidRPr="00174D49">
        <w:rPr>
          <w:noProof/>
        </w:rPr>
        <w:t>2021</w:t>
      </w:r>
      <w:r>
        <w:rPr>
          <w:noProof/>
        </w:rPr>
        <w:t>)</w:t>
      </w:r>
      <w:r w:rsidRPr="00174D49">
        <w:rPr>
          <w:noProof/>
        </w:rPr>
        <w:t>. Digital health promotion: promise and peril. Health Promotion International, 36(Supplement_1), pp.i70-i80.</w:t>
      </w:r>
    </w:p>
    <w:p w14:paraId="1D06CAE5" w14:textId="77777777" w:rsidR="00767B81" w:rsidRDefault="00767B81" w:rsidP="00937ECA">
      <w:proofErr w:type="spellStart"/>
      <w:r>
        <w:t>Martinengo</w:t>
      </w:r>
      <w:proofErr w:type="spellEnd"/>
      <w:r>
        <w:t xml:space="preserve">, L., </w:t>
      </w:r>
      <w:proofErr w:type="spellStart"/>
      <w:r>
        <w:t>Stona</w:t>
      </w:r>
      <w:proofErr w:type="spellEnd"/>
      <w:r>
        <w:t xml:space="preserve">, A.-C., </w:t>
      </w:r>
      <w:proofErr w:type="spellStart"/>
      <w:r>
        <w:t>Griva</w:t>
      </w:r>
      <w:proofErr w:type="spellEnd"/>
      <w:r>
        <w:t xml:space="preserve">, K., </w:t>
      </w:r>
      <w:proofErr w:type="spellStart"/>
      <w:r>
        <w:t>Dazzan</w:t>
      </w:r>
      <w:proofErr w:type="spellEnd"/>
      <w:r>
        <w:t xml:space="preserve">, P., </w:t>
      </w:r>
      <w:proofErr w:type="spellStart"/>
      <w:r>
        <w:t>Pariante</w:t>
      </w:r>
      <w:proofErr w:type="spellEnd"/>
      <w:r>
        <w:t xml:space="preserve">, C.M., von </w:t>
      </w:r>
      <w:proofErr w:type="spellStart"/>
      <w:r>
        <w:t>Wangenheim</w:t>
      </w:r>
      <w:proofErr w:type="spellEnd"/>
      <w:r>
        <w:t xml:space="preserve">, F. and Car, J. (2021). Self-guided Cognitive Behavioral Therapy Apps for Depression: Systematic Assessment of Features, Functionality, and Congruence </w:t>
      </w:r>
      <w:proofErr w:type="gramStart"/>
      <w:r>
        <w:t>With</w:t>
      </w:r>
      <w:proofErr w:type="gramEnd"/>
      <w:r>
        <w:t xml:space="preserve"> Evidence. </w:t>
      </w:r>
      <w:r>
        <w:rPr>
          <w:i/>
          <w:iCs/>
        </w:rPr>
        <w:t>Journal of Medical Internet Research</w:t>
      </w:r>
      <w:r>
        <w:t xml:space="preserve">, 23(7), p.e27619. doi: </w:t>
      </w:r>
      <w:hyperlink r:id="rId21" w:history="1">
        <w:r w:rsidRPr="005F01C9">
          <w:rPr>
            <w:rStyle w:val="Hyperlink"/>
          </w:rPr>
          <w:t>https://doi.org/10.2196/27619</w:t>
        </w:r>
      </w:hyperlink>
      <w:r>
        <w:t>.</w:t>
      </w:r>
    </w:p>
    <w:p w14:paraId="28A284B7" w14:textId="77777777" w:rsidR="00767B81" w:rsidRDefault="00767B81" w:rsidP="00767B81">
      <w:pPr>
        <w:pStyle w:val="NormalWeb"/>
        <w:spacing w:before="0" w:beforeAutospacing="0" w:after="240" w:afterAutospacing="0" w:line="360" w:lineRule="auto"/>
      </w:pPr>
      <w:r>
        <w:t xml:space="preserve">National Institute of Mental Health (2024). </w:t>
      </w:r>
      <w:r>
        <w:rPr>
          <w:i/>
          <w:iCs/>
        </w:rPr>
        <w:t>Mental Illness</w:t>
      </w:r>
      <w:r>
        <w:t xml:space="preserve">. [online] National Institute of Mental Health. Available at: </w:t>
      </w:r>
      <w:hyperlink r:id="rId22" w:history="1">
        <w:r w:rsidRPr="00321E82">
          <w:rPr>
            <w:rStyle w:val="Hyperlink"/>
          </w:rPr>
          <w:t>https://www.nimh.nih.gov/health/statistics/mental-illness</w:t>
        </w:r>
      </w:hyperlink>
      <w:r>
        <w:t>.</w:t>
      </w:r>
    </w:p>
    <w:p w14:paraId="7DCA2BEE" w14:textId="77777777" w:rsidR="00767B81" w:rsidRDefault="00767B81" w:rsidP="00937ECA">
      <w:pPr>
        <w:rPr>
          <w:lang w:eastAsia="en-GB"/>
        </w:rPr>
      </w:pPr>
      <w:r w:rsidRPr="00A622B6">
        <w:rPr>
          <w:lang w:eastAsia="en-GB"/>
        </w:rPr>
        <w:t xml:space="preserve">The Lancet Digital Health (2022). Mental health in the digital age. </w:t>
      </w:r>
      <w:r w:rsidRPr="00A622B6">
        <w:rPr>
          <w:i/>
          <w:iCs/>
          <w:lang w:eastAsia="en-GB"/>
        </w:rPr>
        <w:t>The Lancet Digital Health</w:t>
      </w:r>
      <w:r w:rsidRPr="00A622B6">
        <w:rPr>
          <w:lang w:eastAsia="en-GB"/>
        </w:rPr>
        <w:t xml:space="preserve">, 4(11). doi: </w:t>
      </w:r>
      <w:hyperlink r:id="rId23" w:history="1">
        <w:r w:rsidRPr="005F01C9">
          <w:rPr>
            <w:rStyle w:val="Hyperlink"/>
            <w:lang w:eastAsia="en-GB"/>
          </w:rPr>
          <w:t>https://doi.org/10.1016/s2589-7500(22)00191-1</w:t>
        </w:r>
      </w:hyperlink>
      <w:r w:rsidRPr="00A622B6">
        <w:rPr>
          <w:lang w:eastAsia="en-GB"/>
        </w:rPr>
        <w:t>.</w:t>
      </w:r>
    </w:p>
    <w:p w14:paraId="5004464A" w14:textId="77777777" w:rsidR="00767B81" w:rsidRDefault="00767B81" w:rsidP="00937ECA">
      <w:pPr>
        <w:rPr>
          <w:lang w:eastAsia="en-GB"/>
        </w:rPr>
      </w:pPr>
      <w:bookmarkStart w:id="0" w:name="_Hlk214637571"/>
      <w:proofErr w:type="spellStart"/>
      <w:r w:rsidRPr="00A622B6">
        <w:rPr>
          <w:lang w:eastAsia="en-GB"/>
        </w:rPr>
        <w:t>Torous</w:t>
      </w:r>
      <w:proofErr w:type="spellEnd"/>
      <w:r w:rsidRPr="00A622B6">
        <w:rPr>
          <w:lang w:eastAsia="en-GB"/>
        </w:rPr>
        <w:t xml:space="preserve">, J., </w:t>
      </w:r>
      <w:proofErr w:type="spellStart"/>
      <w:r w:rsidRPr="00A622B6">
        <w:rPr>
          <w:lang w:eastAsia="en-GB"/>
        </w:rPr>
        <w:t>Linardon</w:t>
      </w:r>
      <w:proofErr w:type="spellEnd"/>
      <w:r w:rsidRPr="00A622B6">
        <w:rPr>
          <w:lang w:eastAsia="en-GB"/>
        </w:rPr>
        <w:t xml:space="preserve">, J., Goldberg, S.B., Sun, S., Bell, I., Nicholas, J., Hassan, L., Hua, Y., Milton, A. and Firth, J. (2025). The evolving field of digital mental health: current evidence and implementation issues for smartphone apps, generative artificial intelligence, and virtual reality. </w:t>
      </w:r>
      <w:r w:rsidRPr="00A622B6">
        <w:rPr>
          <w:i/>
          <w:iCs/>
          <w:lang w:eastAsia="en-GB"/>
        </w:rPr>
        <w:t>World Psychiatry</w:t>
      </w:r>
      <w:r w:rsidRPr="00A622B6">
        <w:rPr>
          <w:lang w:eastAsia="en-GB"/>
        </w:rPr>
        <w:t xml:space="preserve">, [online] 24(2), pp.156–174. doi: </w:t>
      </w:r>
      <w:hyperlink r:id="rId24" w:history="1">
        <w:r w:rsidRPr="005F01C9">
          <w:rPr>
            <w:rStyle w:val="Hyperlink"/>
            <w:lang w:eastAsia="en-GB"/>
          </w:rPr>
          <w:t>https://doi.org/10.1002/wps.21299</w:t>
        </w:r>
      </w:hyperlink>
      <w:r w:rsidRPr="00A622B6">
        <w:rPr>
          <w:lang w:eastAsia="en-GB"/>
        </w:rPr>
        <w:t>.</w:t>
      </w:r>
    </w:p>
    <w:bookmarkEnd w:id="0"/>
    <w:p w14:paraId="4F097666" w14:textId="77777777" w:rsidR="00767B81" w:rsidRDefault="00767B81" w:rsidP="00174D49">
      <w:pPr>
        <w:rPr>
          <w:lang w:eastAsia="en-GB"/>
        </w:rPr>
      </w:pPr>
      <w:r w:rsidRPr="00A622B6">
        <w:rPr>
          <w:lang w:eastAsia="en-GB"/>
        </w:rPr>
        <w:t xml:space="preserve">World Health Organization (2025). </w:t>
      </w:r>
      <w:r w:rsidRPr="00A622B6">
        <w:rPr>
          <w:i/>
          <w:iCs/>
          <w:lang w:eastAsia="en-GB"/>
        </w:rPr>
        <w:t>Over a billion people living with mental health conditions – services require urgent scale-up</w:t>
      </w:r>
      <w:r w:rsidRPr="00A622B6">
        <w:rPr>
          <w:lang w:eastAsia="en-GB"/>
        </w:rPr>
        <w:t xml:space="preserve">. [online] Who.int. Available at: </w:t>
      </w:r>
      <w:hyperlink r:id="rId25" w:history="1">
        <w:r w:rsidRPr="005F01C9">
          <w:rPr>
            <w:rStyle w:val="Hyperlink"/>
            <w:lang w:eastAsia="en-GB"/>
          </w:rPr>
          <w:t>https://www.who.int/news/item/02-09-2025-over-a-billion-people-living-with-mental-health-conditions-services-require-urgent-scale-up</w:t>
        </w:r>
      </w:hyperlink>
      <w:r w:rsidRPr="00A622B6">
        <w:rPr>
          <w:lang w:eastAsia="en-GB"/>
        </w:rPr>
        <w:t>.</w:t>
      </w:r>
    </w:p>
    <w:p w14:paraId="6B178453" w14:textId="77777777" w:rsidR="00767B81" w:rsidRPr="00B92747" w:rsidRDefault="00767B81" w:rsidP="00767B81">
      <w:pPr>
        <w:pStyle w:val="NormalWeb"/>
        <w:spacing w:before="0" w:beforeAutospacing="0" w:after="240" w:afterAutospacing="0" w:line="360" w:lineRule="auto"/>
      </w:pPr>
    </w:p>
    <w:sectPr w:rsidR="00767B81" w:rsidRPr="00B92747">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17F80" w14:textId="77777777" w:rsidR="007C26F2" w:rsidRDefault="007C26F2" w:rsidP="002710FB">
      <w:pPr>
        <w:spacing w:after="0" w:line="240" w:lineRule="auto"/>
      </w:pPr>
      <w:r>
        <w:separator/>
      </w:r>
    </w:p>
  </w:endnote>
  <w:endnote w:type="continuationSeparator" w:id="0">
    <w:p w14:paraId="6F8DF590" w14:textId="77777777" w:rsidR="007C26F2" w:rsidRDefault="007C26F2" w:rsidP="00271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136728"/>
      <w:docPartObj>
        <w:docPartGallery w:val="Page Numbers (Bottom of Page)"/>
        <w:docPartUnique/>
      </w:docPartObj>
    </w:sdtPr>
    <w:sdtEndPr>
      <w:rPr>
        <w:color w:val="7F7F7F" w:themeColor="background1" w:themeShade="7F"/>
        <w:spacing w:val="60"/>
      </w:rPr>
    </w:sdtEndPr>
    <w:sdtContent>
      <w:p w14:paraId="6C805518" w14:textId="3E5A065D" w:rsidR="00871D73" w:rsidRDefault="00871D73">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43D635B" w14:textId="77777777" w:rsidR="00871D73" w:rsidRDefault="00871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92E83B" w14:textId="77777777" w:rsidR="007C26F2" w:rsidRDefault="007C26F2" w:rsidP="002710FB">
      <w:pPr>
        <w:spacing w:after="0" w:line="240" w:lineRule="auto"/>
      </w:pPr>
      <w:r>
        <w:separator/>
      </w:r>
    </w:p>
  </w:footnote>
  <w:footnote w:type="continuationSeparator" w:id="0">
    <w:p w14:paraId="7B494AD3" w14:textId="77777777" w:rsidR="007C26F2" w:rsidRDefault="007C26F2" w:rsidP="00271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0.5pt;height:10.5pt" o:bullet="t">
        <v:imagedata r:id="rId1" o:title="msoBDD3"/>
      </v:shape>
    </w:pict>
  </w:numPicBullet>
  <w:abstractNum w:abstractNumId="0" w15:restartNumberingAfterBreak="0">
    <w:nsid w:val="0A4643B6"/>
    <w:multiLevelType w:val="hybridMultilevel"/>
    <w:tmpl w:val="C742C564"/>
    <w:lvl w:ilvl="0" w:tplc="4C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077D39"/>
    <w:multiLevelType w:val="hybridMultilevel"/>
    <w:tmpl w:val="A322FACC"/>
    <w:lvl w:ilvl="0" w:tplc="4C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016B0"/>
    <w:multiLevelType w:val="hybridMultilevel"/>
    <w:tmpl w:val="72523C54"/>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33582B"/>
    <w:multiLevelType w:val="hybridMultilevel"/>
    <w:tmpl w:val="5E2C5B68"/>
    <w:lvl w:ilvl="0" w:tplc="4C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725FFC"/>
    <w:multiLevelType w:val="hybridMultilevel"/>
    <w:tmpl w:val="296EBF32"/>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A16FD8"/>
    <w:multiLevelType w:val="hybridMultilevel"/>
    <w:tmpl w:val="EF7E3352"/>
    <w:lvl w:ilvl="0" w:tplc="4C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A3982"/>
    <w:multiLevelType w:val="hybridMultilevel"/>
    <w:tmpl w:val="C5C24A9C"/>
    <w:lvl w:ilvl="0" w:tplc="4C09000B">
      <w:start w:val="1"/>
      <w:numFmt w:val="bullet"/>
      <w:lvlText w:val=""/>
      <w:lvlPicBulletId w:val="0"/>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BB5289"/>
    <w:multiLevelType w:val="hybridMultilevel"/>
    <w:tmpl w:val="056C6068"/>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853DD"/>
    <w:multiLevelType w:val="hybridMultilevel"/>
    <w:tmpl w:val="33AA6DEC"/>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32F2855"/>
    <w:multiLevelType w:val="hybridMultilevel"/>
    <w:tmpl w:val="0FF6CF7A"/>
    <w:lvl w:ilvl="0" w:tplc="4C09000B">
      <w:start w:val="1"/>
      <w:numFmt w:val="bullet"/>
      <w:lvlText w:val=""/>
      <w:lvlPicBulletId w:val="0"/>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AF462A"/>
    <w:multiLevelType w:val="hybridMultilevel"/>
    <w:tmpl w:val="F4CCFB0A"/>
    <w:lvl w:ilvl="0" w:tplc="4C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2D0229"/>
    <w:multiLevelType w:val="hybridMultilevel"/>
    <w:tmpl w:val="FA8C4E6A"/>
    <w:lvl w:ilvl="0" w:tplc="4C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8B28CB"/>
    <w:multiLevelType w:val="hybridMultilevel"/>
    <w:tmpl w:val="6D4C9550"/>
    <w:lvl w:ilvl="0" w:tplc="4C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B830A1"/>
    <w:multiLevelType w:val="hybridMultilevel"/>
    <w:tmpl w:val="96A81B3A"/>
    <w:lvl w:ilvl="0" w:tplc="4C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093C63"/>
    <w:multiLevelType w:val="hybridMultilevel"/>
    <w:tmpl w:val="C778EC8A"/>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0C753A"/>
    <w:multiLevelType w:val="hybridMultilevel"/>
    <w:tmpl w:val="25884682"/>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4D2AF9"/>
    <w:multiLevelType w:val="hybridMultilevel"/>
    <w:tmpl w:val="9196A8AA"/>
    <w:lvl w:ilvl="0" w:tplc="4C090009">
      <w:start w:val="1"/>
      <w:numFmt w:val="bullet"/>
      <w:lvlText w:val=""/>
      <w:lvlPicBulletId w:val="0"/>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DB25BD4"/>
    <w:multiLevelType w:val="hybridMultilevel"/>
    <w:tmpl w:val="4B88FA56"/>
    <w:lvl w:ilvl="0" w:tplc="4C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6A7D1C"/>
    <w:multiLevelType w:val="hybridMultilevel"/>
    <w:tmpl w:val="017C3EEA"/>
    <w:lvl w:ilvl="0" w:tplc="4C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F3313AA"/>
    <w:multiLevelType w:val="hybridMultilevel"/>
    <w:tmpl w:val="2CC295EE"/>
    <w:lvl w:ilvl="0" w:tplc="4C09000B">
      <w:start w:val="1"/>
      <w:numFmt w:val="bullet"/>
      <w:lvlText w:val=""/>
      <w:lvlPicBulletId w:val="0"/>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2"/>
  </w:num>
  <w:num w:numId="4">
    <w:abstractNumId w:val="0"/>
  </w:num>
  <w:num w:numId="5">
    <w:abstractNumId w:val="1"/>
  </w:num>
  <w:num w:numId="6">
    <w:abstractNumId w:val="2"/>
  </w:num>
  <w:num w:numId="7">
    <w:abstractNumId w:val="14"/>
  </w:num>
  <w:num w:numId="8">
    <w:abstractNumId w:val="4"/>
  </w:num>
  <w:num w:numId="9">
    <w:abstractNumId w:val="5"/>
  </w:num>
  <w:num w:numId="10">
    <w:abstractNumId w:val="11"/>
  </w:num>
  <w:num w:numId="11">
    <w:abstractNumId w:val="13"/>
  </w:num>
  <w:num w:numId="12">
    <w:abstractNumId w:val="10"/>
  </w:num>
  <w:num w:numId="13">
    <w:abstractNumId w:val="15"/>
  </w:num>
  <w:num w:numId="14">
    <w:abstractNumId w:val="8"/>
  </w:num>
  <w:num w:numId="15">
    <w:abstractNumId w:val="19"/>
  </w:num>
  <w:num w:numId="16">
    <w:abstractNumId w:val="6"/>
  </w:num>
  <w:num w:numId="17">
    <w:abstractNumId w:val="9"/>
  </w:num>
  <w:num w:numId="18">
    <w:abstractNumId w:val="16"/>
  </w:num>
  <w:num w:numId="19">
    <w:abstractNumId w:val="1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4F7"/>
    <w:rsid w:val="00027576"/>
    <w:rsid w:val="000D7C08"/>
    <w:rsid w:val="000E66B6"/>
    <w:rsid w:val="00145339"/>
    <w:rsid w:val="0016549B"/>
    <w:rsid w:val="00174D49"/>
    <w:rsid w:val="00194F74"/>
    <w:rsid w:val="001F05E8"/>
    <w:rsid w:val="002710FB"/>
    <w:rsid w:val="002D0DE8"/>
    <w:rsid w:val="003B1019"/>
    <w:rsid w:val="00466630"/>
    <w:rsid w:val="004B27D0"/>
    <w:rsid w:val="004D1013"/>
    <w:rsid w:val="004D2B43"/>
    <w:rsid w:val="005017E4"/>
    <w:rsid w:val="00511564"/>
    <w:rsid w:val="005D41AD"/>
    <w:rsid w:val="00697877"/>
    <w:rsid w:val="006B6BB0"/>
    <w:rsid w:val="00717DB7"/>
    <w:rsid w:val="00744A38"/>
    <w:rsid w:val="00767B81"/>
    <w:rsid w:val="007A7C7A"/>
    <w:rsid w:val="007C0748"/>
    <w:rsid w:val="007C26F2"/>
    <w:rsid w:val="007D22A4"/>
    <w:rsid w:val="00817A88"/>
    <w:rsid w:val="00871D73"/>
    <w:rsid w:val="008D2A27"/>
    <w:rsid w:val="009304C7"/>
    <w:rsid w:val="00937ECA"/>
    <w:rsid w:val="0099446A"/>
    <w:rsid w:val="00A324F7"/>
    <w:rsid w:val="00A36DA2"/>
    <w:rsid w:val="00A622B6"/>
    <w:rsid w:val="00A87D57"/>
    <w:rsid w:val="00AD39B0"/>
    <w:rsid w:val="00AE6C4E"/>
    <w:rsid w:val="00B92747"/>
    <w:rsid w:val="00E075B4"/>
    <w:rsid w:val="00E814F8"/>
    <w:rsid w:val="00E8377D"/>
    <w:rsid w:val="00F27512"/>
    <w:rsid w:val="00F83C13"/>
    <w:rsid w:val="00FC1166"/>
    <w:rsid w:val="00FE5D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976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ECA"/>
    <w:pPr>
      <w:spacing w:line="360" w:lineRule="auto"/>
      <w:jc w:val="both"/>
    </w:pPr>
    <w:rPr>
      <w:rFonts w:ascii="Arial" w:hAnsi="Arial"/>
    </w:rPr>
  </w:style>
  <w:style w:type="paragraph" w:styleId="Heading1">
    <w:name w:val="heading 1"/>
    <w:basedOn w:val="Normal"/>
    <w:next w:val="Normal"/>
    <w:link w:val="Heading1Char"/>
    <w:autoRedefine/>
    <w:uiPriority w:val="9"/>
    <w:qFormat/>
    <w:rsid w:val="00B92747"/>
    <w:pPr>
      <w:keepNext/>
      <w:keepLines/>
      <w:spacing w:before="240" w:after="0"/>
      <w:jc w:val="center"/>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67B81"/>
    <w:pPr>
      <w:keepNext/>
      <w:keepLines/>
      <w:spacing w:before="40" w:after="0"/>
      <w:outlineLvl w:val="1"/>
    </w:pPr>
    <w:rPr>
      <w:rFonts w:eastAsiaTheme="majorEastAsia" w:cstheme="majorBidi"/>
      <w:color w:val="F4B083" w:themeColor="accent2" w:themeTint="99"/>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2747"/>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767B81"/>
    <w:rPr>
      <w:rFonts w:ascii="Arial" w:eastAsiaTheme="majorEastAsia" w:hAnsi="Arial" w:cstheme="majorBidi"/>
      <w:color w:val="F4B083" w:themeColor="accent2" w:themeTint="99"/>
      <w:sz w:val="28"/>
      <w:szCs w:val="26"/>
    </w:rPr>
  </w:style>
  <w:style w:type="table" w:styleId="GridTable4-Accent2">
    <w:name w:val="Grid Table 4 Accent 2"/>
    <w:basedOn w:val="TableNormal"/>
    <w:uiPriority w:val="49"/>
    <w:rsid w:val="00B9274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ListParagraph">
    <w:name w:val="List Paragraph"/>
    <w:basedOn w:val="Normal"/>
    <w:uiPriority w:val="34"/>
    <w:qFormat/>
    <w:rsid w:val="007D22A4"/>
    <w:pPr>
      <w:ind w:left="720"/>
      <w:contextualSpacing/>
    </w:pPr>
  </w:style>
  <w:style w:type="paragraph" w:styleId="NormalWeb">
    <w:name w:val="Normal (Web)"/>
    <w:basedOn w:val="Normal"/>
    <w:uiPriority w:val="99"/>
    <w:unhideWhenUsed/>
    <w:rsid w:val="00AD39B0"/>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71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10FB"/>
    <w:rPr>
      <w:rFonts w:ascii="Arial" w:hAnsi="Arial"/>
    </w:rPr>
  </w:style>
  <w:style w:type="paragraph" w:styleId="Footer">
    <w:name w:val="footer"/>
    <w:basedOn w:val="Normal"/>
    <w:link w:val="FooterChar"/>
    <w:uiPriority w:val="99"/>
    <w:unhideWhenUsed/>
    <w:rsid w:val="00271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10FB"/>
    <w:rPr>
      <w:rFonts w:ascii="Arial" w:hAnsi="Arial"/>
    </w:rPr>
  </w:style>
  <w:style w:type="table" w:styleId="GridTable4-Accent1">
    <w:name w:val="Grid Table 4 Accent 1"/>
    <w:basedOn w:val="TableNormal"/>
    <w:uiPriority w:val="49"/>
    <w:rsid w:val="00A87D5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DefaultParagraphFont"/>
    <w:uiPriority w:val="99"/>
    <w:unhideWhenUsed/>
    <w:rsid w:val="00A622B6"/>
    <w:rPr>
      <w:color w:val="0563C1" w:themeColor="hyperlink"/>
      <w:u w:val="single"/>
    </w:rPr>
  </w:style>
  <w:style w:type="character" w:styleId="UnresolvedMention">
    <w:name w:val="Unresolved Mention"/>
    <w:basedOn w:val="DefaultParagraphFont"/>
    <w:uiPriority w:val="99"/>
    <w:semiHidden/>
    <w:unhideWhenUsed/>
    <w:rsid w:val="00A622B6"/>
    <w:rPr>
      <w:color w:val="605E5C"/>
      <w:shd w:val="clear" w:color="auto" w:fill="E1DFDD"/>
    </w:rPr>
  </w:style>
  <w:style w:type="table" w:styleId="GridTable4-Accent6">
    <w:name w:val="Grid Table 4 Accent 6"/>
    <w:basedOn w:val="TableNormal"/>
    <w:uiPriority w:val="49"/>
    <w:rsid w:val="0046663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7Colorful-Accent2">
    <w:name w:val="Grid Table 7 Colorful Accent 2"/>
    <w:basedOn w:val="TableNormal"/>
    <w:uiPriority w:val="52"/>
    <w:rsid w:val="00466630"/>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818743">
      <w:bodyDiv w:val="1"/>
      <w:marLeft w:val="0"/>
      <w:marRight w:val="0"/>
      <w:marTop w:val="0"/>
      <w:marBottom w:val="0"/>
      <w:divBdr>
        <w:top w:val="none" w:sz="0" w:space="0" w:color="auto"/>
        <w:left w:val="none" w:sz="0" w:space="0" w:color="auto"/>
        <w:bottom w:val="none" w:sz="0" w:space="0" w:color="auto"/>
        <w:right w:val="none" w:sz="0" w:space="0" w:color="auto"/>
      </w:divBdr>
      <w:divsChild>
        <w:div w:id="1405950606">
          <w:marLeft w:val="0"/>
          <w:marRight w:val="0"/>
          <w:marTop w:val="0"/>
          <w:marBottom w:val="0"/>
          <w:divBdr>
            <w:top w:val="none" w:sz="0" w:space="0" w:color="auto"/>
            <w:left w:val="none" w:sz="0" w:space="0" w:color="auto"/>
            <w:bottom w:val="none" w:sz="0" w:space="0" w:color="auto"/>
            <w:right w:val="none" w:sz="0" w:space="0" w:color="auto"/>
          </w:divBdr>
        </w:div>
      </w:divsChild>
    </w:div>
    <w:div w:id="991955415">
      <w:bodyDiv w:val="1"/>
      <w:marLeft w:val="0"/>
      <w:marRight w:val="0"/>
      <w:marTop w:val="0"/>
      <w:marBottom w:val="0"/>
      <w:divBdr>
        <w:top w:val="none" w:sz="0" w:space="0" w:color="auto"/>
        <w:left w:val="none" w:sz="0" w:space="0" w:color="auto"/>
        <w:bottom w:val="none" w:sz="0" w:space="0" w:color="auto"/>
        <w:right w:val="none" w:sz="0" w:space="0" w:color="auto"/>
      </w:divBdr>
      <w:divsChild>
        <w:div w:id="269750264">
          <w:marLeft w:val="0"/>
          <w:marRight w:val="0"/>
          <w:marTop w:val="0"/>
          <w:marBottom w:val="0"/>
          <w:divBdr>
            <w:top w:val="none" w:sz="0" w:space="0" w:color="auto"/>
            <w:left w:val="none" w:sz="0" w:space="0" w:color="auto"/>
            <w:bottom w:val="none" w:sz="0" w:space="0" w:color="auto"/>
            <w:right w:val="none" w:sz="0" w:space="0" w:color="auto"/>
          </w:divBdr>
        </w:div>
      </w:divsChild>
    </w:div>
    <w:div w:id="1310523740">
      <w:bodyDiv w:val="1"/>
      <w:marLeft w:val="0"/>
      <w:marRight w:val="0"/>
      <w:marTop w:val="0"/>
      <w:marBottom w:val="0"/>
      <w:divBdr>
        <w:top w:val="none" w:sz="0" w:space="0" w:color="auto"/>
        <w:left w:val="none" w:sz="0" w:space="0" w:color="auto"/>
        <w:bottom w:val="none" w:sz="0" w:space="0" w:color="auto"/>
        <w:right w:val="none" w:sz="0" w:space="0" w:color="auto"/>
      </w:divBdr>
    </w:div>
    <w:div w:id="1396466352">
      <w:bodyDiv w:val="1"/>
      <w:marLeft w:val="0"/>
      <w:marRight w:val="0"/>
      <w:marTop w:val="0"/>
      <w:marBottom w:val="0"/>
      <w:divBdr>
        <w:top w:val="none" w:sz="0" w:space="0" w:color="auto"/>
        <w:left w:val="none" w:sz="0" w:space="0" w:color="auto"/>
        <w:bottom w:val="none" w:sz="0" w:space="0" w:color="auto"/>
        <w:right w:val="none" w:sz="0" w:space="0" w:color="auto"/>
      </w:divBdr>
      <w:divsChild>
        <w:div w:id="814641919">
          <w:marLeft w:val="0"/>
          <w:marRight w:val="0"/>
          <w:marTop w:val="0"/>
          <w:marBottom w:val="0"/>
          <w:divBdr>
            <w:top w:val="none" w:sz="0" w:space="0" w:color="auto"/>
            <w:left w:val="none" w:sz="0" w:space="0" w:color="auto"/>
            <w:bottom w:val="none" w:sz="0" w:space="0" w:color="auto"/>
            <w:right w:val="none" w:sz="0" w:space="0" w:color="auto"/>
          </w:divBdr>
        </w:div>
      </w:divsChild>
    </w:div>
    <w:div w:id="1408501656">
      <w:bodyDiv w:val="1"/>
      <w:marLeft w:val="0"/>
      <w:marRight w:val="0"/>
      <w:marTop w:val="0"/>
      <w:marBottom w:val="0"/>
      <w:divBdr>
        <w:top w:val="none" w:sz="0" w:space="0" w:color="auto"/>
        <w:left w:val="none" w:sz="0" w:space="0" w:color="auto"/>
        <w:bottom w:val="none" w:sz="0" w:space="0" w:color="auto"/>
        <w:right w:val="none" w:sz="0" w:space="0" w:color="auto"/>
      </w:divBdr>
    </w:div>
    <w:div w:id="1411124937">
      <w:bodyDiv w:val="1"/>
      <w:marLeft w:val="0"/>
      <w:marRight w:val="0"/>
      <w:marTop w:val="0"/>
      <w:marBottom w:val="0"/>
      <w:divBdr>
        <w:top w:val="none" w:sz="0" w:space="0" w:color="auto"/>
        <w:left w:val="none" w:sz="0" w:space="0" w:color="auto"/>
        <w:bottom w:val="none" w:sz="0" w:space="0" w:color="auto"/>
        <w:right w:val="none" w:sz="0" w:space="0" w:color="auto"/>
      </w:divBdr>
      <w:divsChild>
        <w:div w:id="641809965">
          <w:marLeft w:val="0"/>
          <w:marRight w:val="0"/>
          <w:marTop w:val="0"/>
          <w:marBottom w:val="0"/>
          <w:divBdr>
            <w:top w:val="none" w:sz="0" w:space="0" w:color="auto"/>
            <w:left w:val="none" w:sz="0" w:space="0" w:color="auto"/>
            <w:bottom w:val="none" w:sz="0" w:space="0" w:color="auto"/>
            <w:right w:val="none" w:sz="0" w:space="0" w:color="auto"/>
          </w:divBdr>
        </w:div>
      </w:divsChild>
    </w:div>
    <w:div w:id="1484811856">
      <w:bodyDiv w:val="1"/>
      <w:marLeft w:val="0"/>
      <w:marRight w:val="0"/>
      <w:marTop w:val="0"/>
      <w:marBottom w:val="0"/>
      <w:divBdr>
        <w:top w:val="none" w:sz="0" w:space="0" w:color="auto"/>
        <w:left w:val="none" w:sz="0" w:space="0" w:color="auto"/>
        <w:bottom w:val="none" w:sz="0" w:space="0" w:color="auto"/>
        <w:right w:val="none" w:sz="0" w:space="0" w:color="auto"/>
      </w:divBdr>
      <w:divsChild>
        <w:div w:id="1381324932">
          <w:marLeft w:val="0"/>
          <w:marRight w:val="0"/>
          <w:marTop w:val="0"/>
          <w:marBottom w:val="0"/>
          <w:divBdr>
            <w:top w:val="none" w:sz="0" w:space="0" w:color="auto"/>
            <w:left w:val="none" w:sz="0" w:space="0" w:color="auto"/>
            <w:bottom w:val="none" w:sz="0" w:space="0" w:color="auto"/>
            <w:right w:val="none" w:sz="0" w:space="0" w:color="auto"/>
          </w:divBdr>
        </w:div>
      </w:divsChild>
    </w:div>
    <w:div w:id="1632665483">
      <w:bodyDiv w:val="1"/>
      <w:marLeft w:val="0"/>
      <w:marRight w:val="0"/>
      <w:marTop w:val="0"/>
      <w:marBottom w:val="0"/>
      <w:divBdr>
        <w:top w:val="none" w:sz="0" w:space="0" w:color="auto"/>
        <w:left w:val="none" w:sz="0" w:space="0" w:color="auto"/>
        <w:bottom w:val="none" w:sz="0" w:space="0" w:color="auto"/>
        <w:right w:val="none" w:sz="0" w:space="0" w:color="auto"/>
      </w:divBdr>
      <w:divsChild>
        <w:div w:id="994065772">
          <w:marLeft w:val="0"/>
          <w:marRight w:val="0"/>
          <w:marTop w:val="0"/>
          <w:marBottom w:val="0"/>
          <w:divBdr>
            <w:top w:val="none" w:sz="0" w:space="0" w:color="auto"/>
            <w:left w:val="none" w:sz="0" w:space="0" w:color="auto"/>
            <w:bottom w:val="none" w:sz="0" w:space="0" w:color="auto"/>
            <w:right w:val="none" w:sz="0" w:space="0" w:color="auto"/>
          </w:divBdr>
        </w:div>
      </w:divsChild>
    </w:div>
    <w:div w:id="1780446615">
      <w:bodyDiv w:val="1"/>
      <w:marLeft w:val="0"/>
      <w:marRight w:val="0"/>
      <w:marTop w:val="0"/>
      <w:marBottom w:val="0"/>
      <w:divBdr>
        <w:top w:val="none" w:sz="0" w:space="0" w:color="auto"/>
        <w:left w:val="none" w:sz="0" w:space="0" w:color="auto"/>
        <w:bottom w:val="none" w:sz="0" w:space="0" w:color="auto"/>
        <w:right w:val="none" w:sz="0" w:space="0" w:color="auto"/>
      </w:divBdr>
      <w:divsChild>
        <w:div w:id="1016542938">
          <w:marLeft w:val="0"/>
          <w:marRight w:val="0"/>
          <w:marTop w:val="0"/>
          <w:marBottom w:val="0"/>
          <w:divBdr>
            <w:top w:val="none" w:sz="0" w:space="0" w:color="auto"/>
            <w:left w:val="none" w:sz="0" w:space="0" w:color="auto"/>
            <w:bottom w:val="none" w:sz="0" w:space="0" w:color="auto"/>
            <w:right w:val="none" w:sz="0" w:space="0" w:color="auto"/>
          </w:divBdr>
        </w:div>
      </w:divsChild>
    </w:div>
    <w:div w:id="1954357506">
      <w:bodyDiv w:val="1"/>
      <w:marLeft w:val="0"/>
      <w:marRight w:val="0"/>
      <w:marTop w:val="0"/>
      <w:marBottom w:val="0"/>
      <w:divBdr>
        <w:top w:val="none" w:sz="0" w:space="0" w:color="auto"/>
        <w:left w:val="none" w:sz="0" w:space="0" w:color="auto"/>
        <w:bottom w:val="none" w:sz="0" w:space="0" w:color="auto"/>
        <w:right w:val="none" w:sz="0" w:space="0" w:color="auto"/>
      </w:divBdr>
      <w:divsChild>
        <w:div w:id="2060670301">
          <w:marLeft w:val="0"/>
          <w:marRight w:val="0"/>
          <w:marTop w:val="0"/>
          <w:marBottom w:val="0"/>
          <w:divBdr>
            <w:top w:val="none" w:sz="0" w:space="0" w:color="auto"/>
            <w:left w:val="none" w:sz="0" w:space="0" w:color="auto"/>
            <w:bottom w:val="none" w:sz="0" w:space="0" w:color="auto"/>
            <w:right w:val="none" w:sz="0" w:space="0" w:color="auto"/>
          </w:divBdr>
        </w:div>
      </w:divsChild>
    </w:div>
    <w:div w:id="2007853540">
      <w:bodyDiv w:val="1"/>
      <w:marLeft w:val="0"/>
      <w:marRight w:val="0"/>
      <w:marTop w:val="0"/>
      <w:marBottom w:val="0"/>
      <w:divBdr>
        <w:top w:val="none" w:sz="0" w:space="0" w:color="auto"/>
        <w:left w:val="none" w:sz="0" w:space="0" w:color="auto"/>
        <w:bottom w:val="none" w:sz="0" w:space="0" w:color="auto"/>
        <w:right w:val="none" w:sz="0" w:space="0" w:color="auto"/>
      </w:divBdr>
      <w:divsChild>
        <w:div w:id="1673021601">
          <w:marLeft w:val="0"/>
          <w:marRight w:val="0"/>
          <w:marTop w:val="0"/>
          <w:marBottom w:val="0"/>
          <w:divBdr>
            <w:top w:val="none" w:sz="0" w:space="0" w:color="auto"/>
            <w:left w:val="none" w:sz="0" w:space="0" w:color="auto"/>
            <w:bottom w:val="none" w:sz="0" w:space="0" w:color="auto"/>
            <w:right w:val="none" w:sz="0" w:space="0" w:color="auto"/>
          </w:divBdr>
        </w:div>
      </w:divsChild>
    </w:div>
    <w:div w:id="2028019171">
      <w:bodyDiv w:val="1"/>
      <w:marLeft w:val="0"/>
      <w:marRight w:val="0"/>
      <w:marTop w:val="0"/>
      <w:marBottom w:val="0"/>
      <w:divBdr>
        <w:top w:val="none" w:sz="0" w:space="0" w:color="auto"/>
        <w:left w:val="none" w:sz="0" w:space="0" w:color="auto"/>
        <w:bottom w:val="none" w:sz="0" w:space="0" w:color="auto"/>
        <w:right w:val="none" w:sz="0" w:space="0" w:color="auto"/>
      </w:divBdr>
      <w:divsChild>
        <w:div w:id="533544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i.org/10.1001/jamapsychiatry.2023.5051" TargetMode="External"/><Relationship Id="rId18" Type="http://schemas.openxmlformats.org/officeDocument/2006/relationships/image" Target="media/image4.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doi.org/10.2196/27619" TargetMode="External"/><Relationship Id="rId7" Type="http://schemas.openxmlformats.org/officeDocument/2006/relationships/image" Target="media/image2.png"/><Relationship Id="rId12" Type="http://schemas.openxmlformats.org/officeDocument/2006/relationships/hyperlink" Target="https://doi.org/10.1007/s12671-023-02214-4" TargetMode="External"/><Relationship Id="rId17" Type="http://schemas.openxmlformats.org/officeDocument/2006/relationships/hyperlink" Target="https://www.who.int/news/item/02-09-2025-over-a-billion-people-living-with-mental-health-conditions-services-require-urgent-scale-up" TargetMode="External"/><Relationship Id="rId25" Type="http://schemas.openxmlformats.org/officeDocument/2006/relationships/hyperlink" Target="https://www.who.int/news/item/02-09-2025-over-a-billion-people-living-with-mental-health-conditions-services-require-urgent-scale-up" TargetMode="External"/><Relationship Id="rId2" Type="http://schemas.openxmlformats.org/officeDocument/2006/relationships/styles" Target="styles.xml"/><Relationship Id="rId16" Type="http://schemas.openxmlformats.org/officeDocument/2006/relationships/hyperlink" Target="https://www.towardshealthcare.com/insights/ai-in-mental-health-market-sizing" TargetMode="External"/><Relationship Id="rId20" Type="http://schemas.openxmlformats.org/officeDocument/2006/relationships/hyperlink" Target="https://doi.org/10.1001/jamapsychiatry.2023.505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7/s0033291724003295" TargetMode="External"/><Relationship Id="rId24" Type="http://schemas.openxmlformats.org/officeDocument/2006/relationships/hyperlink" Target="https://doi.org/10.1002/wps.21299" TargetMode="External"/><Relationship Id="rId5" Type="http://schemas.openxmlformats.org/officeDocument/2006/relationships/footnotes" Target="footnotes.xml"/><Relationship Id="rId15" Type="http://schemas.openxmlformats.org/officeDocument/2006/relationships/hyperlink" Target="https://ourworldindata.org/mental-health" TargetMode="External"/><Relationship Id="rId23" Type="http://schemas.openxmlformats.org/officeDocument/2006/relationships/hyperlink" Target="https://doi.org/10.1016/s2589-7500(22)00191-1" TargetMode="External"/><Relationship Id="rId28" Type="http://schemas.openxmlformats.org/officeDocument/2006/relationships/theme" Target="theme/theme1.xml"/><Relationship Id="rId10" Type="http://schemas.openxmlformats.org/officeDocument/2006/relationships/hyperlink" Target="https://www.healthline.com/health/mental-health/calm-app-reviews" TargetMode="Externa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healthline.com/health/mental-health/calm-app-reviews" TargetMode="External"/><Relationship Id="rId14" Type="http://schemas.openxmlformats.org/officeDocument/2006/relationships/hyperlink" Target="https://doi.org/10.1016/j.glmedi.2024.100099" TargetMode="External"/><Relationship Id="rId22" Type="http://schemas.openxmlformats.org/officeDocument/2006/relationships/hyperlink" Target="https://www.nimh.nih.gov/health/statistics/mental-illness" TargetMode="Externa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2025-07-27T15:53:00Z</dcterms:created>
  <dcterms:modified xsi:type="dcterms:W3CDTF">2026-03-30T08:21:00Z</dcterms:modified>
</cp:coreProperties>
</file>