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1382298">
      <w:pPr>
        <w:spacing w:before="212"/>
        <w:jc w:val="center"/>
        <w:rPr>
          <w:rFonts w:ascii="Arial"/>
          <w:b/>
          <w:sz w:val="56"/>
        </w:rPr>
      </w:pPr>
      <w:r>
        <w:rPr>
          <w:rFonts w:ascii="Arial"/>
          <w:b/>
          <w:sz w:val="56"/>
        </w:rPr>
        <w:drawing>
          <wp:inline distT="0" distB="0" distL="0" distR="0">
            <wp:extent cx="3524250" cy="1404620"/>
            <wp:effectExtent l="0" t="0" r="6350" b="177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3535284" cy="1409307"/>
                    </a:xfrm>
                    <a:prstGeom prst="rect">
                      <a:avLst/>
                    </a:prstGeom>
                    <a:noFill/>
                  </pic:spPr>
                </pic:pic>
              </a:graphicData>
            </a:graphic>
          </wp:inline>
        </w:drawing>
      </w:r>
    </w:p>
    <w:p w14:paraId="6193D1EC">
      <w:pPr>
        <w:spacing w:before="212"/>
        <w:jc w:val="center"/>
        <w:rPr>
          <w:rFonts w:ascii="Arial"/>
          <w:b/>
          <w:sz w:val="36"/>
          <w:szCs w:val="36"/>
        </w:rPr>
      </w:pPr>
    </w:p>
    <w:p w14:paraId="5B9AE89A">
      <w:pPr>
        <w:spacing w:before="212"/>
        <w:rPr>
          <w:rFonts w:ascii="Arial"/>
          <w:b/>
          <w:sz w:val="56"/>
        </w:rPr>
      </w:pPr>
    </w:p>
    <w:p w14:paraId="7EE9271E">
      <w:pPr>
        <w:spacing w:before="212"/>
        <w:rPr>
          <w:rFonts w:hint="default" w:ascii="Arial"/>
          <w:b w:val="0"/>
          <w:bCs/>
          <w:sz w:val="48"/>
          <w:szCs w:val="48"/>
          <w:lang w:val="en-US"/>
        </w:rPr>
      </w:pPr>
      <w:r>
        <w:rPr>
          <w:rFonts w:ascii="Arial"/>
          <w:b/>
          <w:sz w:val="48"/>
          <w:szCs w:val="48"/>
        </w:rPr>
        <w:t>MODULE CODE:</w:t>
      </w:r>
      <w:r>
        <w:rPr>
          <w:rFonts w:hint="default" w:ascii="Arial"/>
          <w:b/>
          <w:sz w:val="48"/>
          <w:szCs w:val="48"/>
          <w:lang w:val="en-US"/>
        </w:rPr>
        <w:t xml:space="preserve"> </w:t>
      </w:r>
      <w:r>
        <w:rPr>
          <w:rFonts w:hint="default" w:ascii="Arial"/>
          <w:b w:val="0"/>
          <w:bCs/>
          <w:sz w:val="48"/>
          <w:szCs w:val="48"/>
          <w:lang w:val="en-US"/>
        </w:rPr>
        <w:t>EDUC 7020</w:t>
      </w:r>
    </w:p>
    <w:p w14:paraId="5051A2D5">
      <w:pPr>
        <w:spacing w:before="212"/>
        <w:rPr>
          <w:rFonts w:ascii="Arial"/>
          <w:b/>
          <w:sz w:val="48"/>
          <w:szCs w:val="48"/>
        </w:rPr>
      </w:pPr>
    </w:p>
    <w:p w14:paraId="52D012F0">
      <w:pPr>
        <w:spacing w:before="212"/>
        <w:rPr>
          <w:rFonts w:hint="default" w:ascii="Arial"/>
          <w:b w:val="0"/>
          <w:bCs/>
          <w:sz w:val="48"/>
          <w:szCs w:val="48"/>
          <w:lang w:val="en-US"/>
        </w:rPr>
      </w:pPr>
      <w:r>
        <w:rPr>
          <w:rFonts w:ascii="Arial"/>
          <w:b/>
          <w:sz w:val="48"/>
          <w:szCs w:val="48"/>
        </w:rPr>
        <w:t>ASSESSMENT COMPONENT:</w:t>
      </w:r>
      <w:r>
        <w:rPr>
          <w:rFonts w:hint="default" w:ascii="Arial"/>
          <w:b/>
          <w:sz w:val="48"/>
          <w:szCs w:val="48"/>
          <w:lang w:val="en-US"/>
        </w:rPr>
        <w:t xml:space="preserve"> </w:t>
      </w:r>
      <w:r>
        <w:rPr>
          <w:rFonts w:hint="default" w:ascii="Arial"/>
          <w:b w:val="0"/>
          <w:bCs/>
          <w:sz w:val="48"/>
          <w:szCs w:val="48"/>
          <w:lang w:val="en-US"/>
        </w:rPr>
        <w:t>2</w:t>
      </w:r>
    </w:p>
    <w:p w14:paraId="6AA1A7DC">
      <w:pPr>
        <w:spacing w:before="7"/>
        <w:jc w:val="center"/>
        <w:rPr>
          <w:rFonts w:ascii="Arial"/>
          <w:b/>
          <w:sz w:val="44"/>
        </w:rPr>
      </w:pPr>
    </w:p>
    <w:p w14:paraId="7681432B">
      <w:pPr>
        <w:spacing w:before="3"/>
        <w:rPr>
          <w:rFonts w:hint="default" w:ascii="Arial"/>
          <w:b/>
          <w:sz w:val="48"/>
          <w:szCs w:val="48"/>
          <w:lang w:val="en-US"/>
        </w:rPr>
      </w:pPr>
      <w:r>
        <w:rPr>
          <w:rFonts w:ascii="Arial"/>
          <w:b/>
          <w:sz w:val="48"/>
          <w:szCs w:val="48"/>
        </w:rPr>
        <w:t>STUDENT NAME:</w:t>
      </w:r>
      <w:r>
        <w:rPr>
          <w:rFonts w:hint="default" w:ascii="Arial"/>
          <w:b/>
          <w:sz w:val="48"/>
          <w:szCs w:val="48"/>
          <w:lang w:val="en-US"/>
        </w:rPr>
        <w:t xml:space="preserve"> </w:t>
      </w:r>
      <w:r>
        <w:rPr>
          <w:rFonts w:hint="default" w:ascii="Arial"/>
          <w:b w:val="0"/>
          <w:bCs/>
          <w:sz w:val="48"/>
          <w:szCs w:val="48"/>
          <w:lang w:val="en-US"/>
        </w:rPr>
        <w:t>Luyao Huang</w:t>
      </w:r>
    </w:p>
    <w:p w14:paraId="0D16D138">
      <w:pPr>
        <w:spacing w:before="3"/>
        <w:rPr>
          <w:rFonts w:ascii="Arial"/>
          <w:b/>
          <w:sz w:val="48"/>
          <w:szCs w:val="48"/>
        </w:rPr>
      </w:pPr>
    </w:p>
    <w:p w14:paraId="18107AFF">
      <w:pPr>
        <w:spacing w:before="3"/>
        <w:rPr>
          <w:rFonts w:hint="default" w:ascii="Arial"/>
          <w:b w:val="0"/>
          <w:bCs/>
          <w:sz w:val="48"/>
          <w:szCs w:val="48"/>
          <w:lang w:val="en-US"/>
        </w:rPr>
      </w:pPr>
      <w:r>
        <w:rPr>
          <w:rFonts w:ascii="Arial"/>
          <w:b/>
          <w:sz w:val="48"/>
          <w:szCs w:val="48"/>
        </w:rPr>
        <w:t>STUDENT NUMBER:</w:t>
      </w:r>
      <w:r>
        <w:rPr>
          <w:rFonts w:hint="default" w:ascii="Arial"/>
          <w:b/>
          <w:sz w:val="48"/>
          <w:szCs w:val="48"/>
          <w:lang w:val="en-US"/>
        </w:rPr>
        <w:t xml:space="preserve"> </w:t>
      </w:r>
      <w:r>
        <w:rPr>
          <w:rFonts w:hint="default" w:ascii="Arial"/>
          <w:b w:val="0"/>
          <w:bCs/>
          <w:sz w:val="48"/>
          <w:szCs w:val="48"/>
          <w:lang w:val="en-US"/>
        </w:rPr>
        <w:t>2406840</w:t>
      </w:r>
    </w:p>
    <w:p w14:paraId="4FD52B0A">
      <w:pPr>
        <w:rPr>
          <w:rFonts w:ascii="Arial"/>
          <w:b/>
          <w:sz w:val="47"/>
        </w:rPr>
      </w:pPr>
    </w:p>
    <w:p w14:paraId="33AC1703">
      <w:pPr>
        <w:ind w:left="100"/>
        <w:jc w:val="center"/>
        <w:rPr>
          <w:rFonts w:ascii="Arial"/>
          <w:b/>
          <w:sz w:val="47"/>
        </w:rPr>
      </w:pPr>
    </w:p>
    <w:p w14:paraId="274DD003">
      <w:pPr>
        <w:rPr>
          <w:rFonts w:ascii="Arial"/>
          <w:b/>
          <w:sz w:val="47"/>
        </w:rPr>
      </w:pPr>
    </w:p>
    <w:p w14:paraId="467BE871">
      <w:pPr>
        <w:ind w:left="100"/>
        <w:rPr>
          <w:rFonts w:ascii="Arial"/>
          <w:b/>
          <w:sz w:val="47"/>
        </w:rPr>
      </w:pPr>
    </w:p>
    <w:p w14:paraId="742D110B">
      <w:pPr>
        <w:ind w:left="100"/>
        <w:rPr>
          <w:rFonts w:ascii="Arial"/>
          <w:b/>
          <w:sz w:val="47"/>
        </w:rPr>
      </w:pPr>
    </w:p>
    <w:p w14:paraId="524DF6BD">
      <w:pPr>
        <w:ind w:left="100"/>
        <w:rPr>
          <w:rFonts w:ascii="Arial"/>
          <w:b/>
          <w:sz w:val="47"/>
        </w:rPr>
      </w:pPr>
    </w:p>
    <w:p w14:paraId="472E640F">
      <w:pPr>
        <w:ind w:left="100"/>
        <w:rPr>
          <w:rFonts w:ascii="Arial"/>
          <w:b/>
          <w:sz w:val="47"/>
        </w:rPr>
      </w:pPr>
      <w:r>
        <w:rPr>
          <w:rFonts w:ascii="Arial"/>
          <w:b/>
          <w:sz w:val="47"/>
        </w:rPr>
        <w:t>Doctorate in Education (EdD)</w:t>
      </w:r>
    </w:p>
    <w:p w14:paraId="69F83F2B">
      <w:pPr>
        <w:jc w:val="center"/>
        <w:rPr>
          <w:rFonts w:ascii="Arial"/>
          <w:b/>
          <w:sz w:val="40"/>
        </w:rPr>
      </w:pPr>
    </w:p>
    <w:p w14:paraId="4C9C9B74">
      <w:pPr>
        <w:rPr>
          <w:b/>
          <w:bCs/>
          <w:sz w:val="32"/>
          <w:szCs w:val="32"/>
          <w:u w:val="single"/>
        </w:rPr>
      </w:pPr>
      <w:r>
        <w:rPr>
          <w:b/>
          <w:bCs/>
          <w:sz w:val="32"/>
          <w:szCs w:val="32"/>
          <w:u w:val="single"/>
        </w:rPr>
        <w:t>AI Acknowledgement</w:t>
      </w:r>
    </w:p>
    <w:p w14:paraId="5A38292B"/>
    <w:p w14:paraId="4EE20A6B">
      <w:r>
        <w:t xml:space="preserve">I confirm that I have not used any AI tools in the research and creation of this assignment. </w:t>
      </w:r>
    </w:p>
    <w:p w14:paraId="768557CB">
      <w:r>
        <w:t xml:space="preserve">I confirm that I have not presented any AI generated materials as my own work. </w:t>
      </w:r>
    </w:p>
    <w:p w14:paraId="719FEFC2">
      <w:pPr>
        <w:rPr>
          <w:rFonts w:hint="eastAsia"/>
          <w:b/>
          <w:bCs/>
          <w:i w:val="0"/>
          <w:iCs w:val="0"/>
          <w:caps w:val="0"/>
          <w:color w:val="000000"/>
          <w:spacing w:val="0"/>
          <w:sz w:val="28"/>
          <w:szCs w:val="28"/>
          <w:u w:val="none"/>
          <w:lang w:val="en-US" w:eastAsia="zh-CN"/>
        </w:rPr>
      </w:pPr>
      <w:r>
        <w:t>I confirm that I have copies of my drafts, notes, and other resources I used, which I may be asked to provide in evidence.</w:t>
      </w:r>
    </w:p>
    <w:p w14:paraId="7BC70BB8">
      <w:pPr>
        <w:keepNext w:val="0"/>
        <w:keepLines w:val="0"/>
        <w:pageBreakBefore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jc w:val="center"/>
        <w:textAlignment w:val="auto"/>
        <w:rPr>
          <w:rFonts w:hint="eastAsia"/>
          <w:b/>
          <w:bCs/>
          <w:sz w:val="30"/>
          <w:szCs w:val="30"/>
          <w:lang w:val="en-US" w:eastAsia="zh-CN"/>
        </w:rPr>
      </w:pPr>
    </w:p>
    <w:p w14:paraId="6CE1ED7F">
      <w:pPr>
        <w:keepNext w:val="0"/>
        <w:keepLines w:val="0"/>
        <w:pageBreakBefore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jc w:val="center"/>
        <w:textAlignment w:val="auto"/>
        <w:rPr>
          <w:rFonts w:hint="default"/>
          <w:b/>
          <w:bCs/>
          <w:sz w:val="30"/>
          <w:szCs w:val="30"/>
          <w:lang w:val="en-US" w:eastAsia="zh-CN"/>
        </w:rPr>
      </w:pPr>
      <w:r>
        <w:rPr>
          <w:rFonts w:hint="eastAsia"/>
          <w:b/>
          <w:bCs/>
          <w:sz w:val="30"/>
          <w:szCs w:val="30"/>
          <w:lang w:val="en-US" w:eastAsia="zh-CN"/>
        </w:rPr>
        <w:t>7020 Co</w:t>
      </w:r>
      <w:r>
        <w:rPr>
          <w:rFonts w:hint="default"/>
          <w:b/>
          <w:bCs/>
          <w:sz w:val="30"/>
          <w:szCs w:val="30"/>
          <w:lang w:val="en-US" w:eastAsia="zh-CN"/>
        </w:rPr>
        <w:t xml:space="preserve">mponent </w:t>
      </w:r>
      <w:r>
        <w:rPr>
          <w:rFonts w:hint="eastAsia"/>
          <w:b/>
          <w:bCs/>
          <w:sz w:val="30"/>
          <w:szCs w:val="30"/>
          <w:lang w:val="en-US" w:eastAsia="zh-CN"/>
        </w:rPr>
        <w:t>2</w:t>
      </w:r>
    </w:p>
    <w:p w14:paraId="174DD2C1">
      <w:pPr>
        <w:keepNext w:val="0"/>
        <w:keepLines w:val="0"/>
        <w:pageBreakBefore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jc w:val="center"/>
        <w:textAlignment w:val="auto"/>
        <w:rPr>
          <w:rFonts w:hint="default"/>
          <w:sz w:val="28"/>
          <w:szCs w:val="36"/>
          <w:lang w:val="en-US" w:eastAsia="zh-CN"/>
        </w:rPr>
      </w:pPr>
    </w:p>
    <w:p w14:paraId="15774AFA">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i w:val="0"/>
          <w:iCs w:val="0"/>
          <w:caps w:val="0"/>
          <w:color w:val="000000"/>
          <w:spacing w:val="0"/>
          <w:sz w:val="28"/>
          <w:szCs w:val="28"/>
          <w:u w:val="none"/>
        </w:rPr>
      </w:pPr>
      <w:r>
        <w:rPr>
          <w:rStyle w:val="6"/>
          <w:i w:val="0"/>
          <w:iCs w:val="0"/>
          <w:caps w:val="0"/>
          <w:color w:val="000000"/>
          <w:spacing w:val="0"/>
          <w:sz w:val="28"/>
          <w:szCs w:val="28"/>
          <w:u w:val="none"/>
        </w:rPr>
        <w:t>Introduction</w:t>
      </w:r>
    </w:p>
    <w:p w14:paraId="4D1E1267">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i w:val="0"/>
          <w:iCs w:val="0"/>
          <w:caps w:val="0"/>
          <w:color w:val="000000"/>
          <w:spacing w:val="0"/>
          <w:u w:val="none"/>
        </w:rPr>
      </w:pPr>
      <w:r>
        <w:rPr>
          <w:i w:val="0"/>
          <w:iCs w:val="0"/>
          <w:caps w:val="0"/>
          <w:color w:val="000000"/>
          <w:spacing w:val="0"/>
          <w:u w:val="none"/>
        </w:rPr>
        <w:t>The flipped classroom has emerged as a transformative pedagogical model in higher education, particularly in English language learning contexts. By shifting the delivery of instructional content to pre-class materials and using in-class time for active learning, the flipped model aims to foster deeper student engagement. However, despite its potential benefits, students often face challenges during the pre-class section, especially in terms of emotional and cognitive engagement. This research explores these challenges specifically among English-majored university students in China, whose academic success heavily relies on their engagement with English-language content and learning strategies.</w:t>
      </w:r>
    </w:p>
    <w:p w14:paraId="1F9A594B">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i w:val="0"/>
          <w:iCs w:val="0"/>
          <w:caps w:val="0"/>
          <w:color w:val="000000"/>
          <w:spacing w:val="0"/>
          <w:u w:val="none"/>
        </w:rPr>
      </w:pPr>
    </w:p>
    <w:p w14:paraId="66E83E75">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i w:val="0"/>
          <w:iCs w:val="0"/>
          <w:caps w:val="0"/>
          <w:color w:val="000000"/>
          <w:spacing w:val="0"/>
          <w:u w:val="none"/>
        </w:rPr>
      </w:pPr>
      <w:r>
        <w:rPr>
          <w:i w:val="0"/>
          <w:iCs w:val="0"/>
          <w:caps w:val="0"/>
          <w:color w:val="000000"/>
          <w:spacing w:val="0"/>
          <w:u w:val="none"/>
        </w:rPr>
        <w:t>The primary aim of this study is to investigate the specific difficulties students encounter when engaging with flipped classroom pre-class materials and how these challenges affect their emotional and cognitive engagement.</w:t>
      </w:r>
      <w:r>
        <w:rPr>
          <w:rFonts w:hint="default"/>
          <w:i w:val="0"/>
          <w:iCs w:val="0"/>
          <w:caps w:val="0"/>
          <w:color w:val="000000"/>
          <w:spacing w:val="0"/>
          <w:u w:val="none"/>
          <w:lang w:val="en-US"/>
        </w:rPr>
        <w:t xml:space="preserve"> </w:t>
      </w:r>
      <w:r>
        <w:rPr>
          <w:i w:val="0"/>
          <w:iCs w:val="0"/>
          <w:caps w:val="0"/>
          <w:color w:val="000000"/>
          <w:spacing w:val="0"/>
          <w:u w:val="none"/>
        </w:rPr>
        <w:t>Furthermore, the study seeks to understand students' perceptions of how the flipped classroom impacts their active participation and learning during in-class activities. By focusing exclusively on students’ perspectives, this study aims to contribute to the existing literature on learner engagement in flipped learning environments and inform future instructional design. The findings of this study may help educators develop more supportive pre-class materials and strategies to enhance engagement and overall learning outcomes in flipped classroom settings.</w:t>
      </w:r>
    </w:p>
    <w:p w14:paraId="2473E8E6">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eastAsia"/>
          <w:b/>
          <w:bCs/>
          <w:i w:val="0"/>
          <w:iCs w:val="0"/>
          <w:caps w:val="0"/>
          <w:color w:val="000000"/>
          <w:spacing w:val="0"/>
          <w:u w:val="none"/>
        </w:rPr>
      </w:pPr>
    </w:p>
    <w:p w14:paraId="0088016B">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eastAsia"/>
          <w:i w:val="0"/>
          <w:iCs w:val="0"/>
          <w:caps w:val="0"/>
          <w:color w:val="000000"/>
          <w:spacing w:val="0"/>
          <w:sz w:val="28"/>
          <w:szCs w:val="28"/>
          <w:u w:val="none"/>
        </w:rPr>
      </w:pPr>
      <w:r>
        <w:rPr>
          <w:rFonts w:hint="eastAsia"/>
          <w:b/>
          <w:bCs/>
          <w:i w:val="0"/>
          <w:iCs w:val="0"/>
          <w:caps w:val="0"/>
          <w:color w:val="000000"/>
          <w:spacing w:val="0"/>
          <w:sz w:val="28"/>
          <w:szCs w:val="28"/>
          <w:u w:val="none"/>
        </w:rPr>
        <w:t>Chosen Method</w:t>
      </w:r>
    </w:p>
    <w:p w14:paraId="65C4ADFB">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eastAsia"/>
          <w:i w:val="0"/>
          <w:iCs w:val="0"/>
          <w:caps w:val="0"/>
          <w:color w:val="000000"/>
          <w:spacing w:val="0"/>
          <w:u w:val="none"/>
        </w:rPr>
      </w:pPr>
      <w:r>
        <w:rPr>
          <w:rFonts w:hint="eastAsia"/>
          <w:i w:val="0"/>
          <w:iCs w:val="0"/>
          <w:caps w:val="0"/>
          <w:color w:val="000000"/>
          <w:spacing w:val="0"/>
          <w:u w:val="none"/>
        </w:rPr>
        <w:t xml:space="preserve">This study adopts a </w:t>
      </w:r>
      <w:r>
        <w:rPr>
          <w:rFonts w:hint="eastAsia"/>
          <w:b/>
          <w:bCs/>
          <w:i w:val="0"/>
          <w:iCs w:val="0"/>
          <w:caps w:val="0"/>
          <w:color w:val="000000"/>
          <w:spacing w:val="0"/>
          <w:u w:val="none"/>
        </w:rPr>
        <w:t>qualitative research approach</w:t>
      </w:r>
      <w:r>
        <w:rPr>
          <w:rFonts w:hint="eastAsia"/>
          <w:i w:val="0"/>
          <w:iCs w:val="0"/>
          <w:caps w:val="0"/>
          <w:color w:val="000000"/>
          <w:spacing w:val="0"/>
          <w:u w:val="none"/>
        </w:rPr>
        <w:t xml:space="preserve"> to explore Chinese English-majored students’ engagement with pre-class materials in a flipped classroom and the challenges they face, especially in terms of emotional and cognitive engagement. The rationale for selecting a qualitative methodology lies in its suitability for exploring perceptions, experiences, and meanings that participants ascribe to specific educational practices (Dörnyei, 2007). Since the current research aims to understand students’ lived experiences and personal views on flipped classroom learning, qualitative methods provide the necessary depth and flexibility.</w:t>
      </w:r>
    </w:p>
    <w:p w14:paraId="3F4CF1CF">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eastAsia"/>
          <w:i w:val="0"/>
          <w:iCs w:val="0"/>
          <w:caps w:val="0"/>
          <w:color w:val="000000"/>
          <w:spacing w:val="0"/>
          <w:u w:val="none"/>
        </w:rPr>
      </w:pPr>
    </w:p>
    <w:p w14:paraId="6DAFA9FE">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eastAsia"/>
          <w:i w:val="0"/>
          <w:iCs w:val="0"/>
          <w:caps w:val="0"/>
          <w:color w:val="000000"/>
          <w:spacing w:val="0"/>
          <w:u w:val="none"/>
        </w:rPr>
      </w:pPr>
      <w:r>
        <w:rPr>
          <w:rFonts w:hint="eastAsia"/>
          <w:i w:val="0"/>
          <w:iCs w:val="0"/>
          <w:caps w:val="0"/>
          <w:color w:val="000000"/>
          <w:spacing w:val="0"/>
          <w:u w:val="none"/>
        </w:rPr>
        <w:t>Qualitative research enables a nuanced understanding of complex social phenomena by focusing on participants’ perspectives in natural settings (Creswell, 2014). This is particularly important in educational research, where student engagement is influenced by diverse cognitive, emotional, and contextual factors. Unlike quantitative approaches that emphasize numerical measurement and generalization, qualitative inquiry allows the researcher to explore how and why certain experiences occur (Braun &amp; Clarke, 2013).</w:t>
      </w:r>
    </w:p>
    <w:p w14:paraId="2DE39597">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eastAsia"/>
          <w:i w:val="0"/>
          <w:iCs w:val="0"/>
          <w:caps w:val="0"/>
          <w:color w:val="000000"/>
          <w:spacing w:val="0"/>
          <w:u w:val="none"/>
        </w:rPr>
      </w:pPr>
    </w:p>
    <w:p w14:paraId="590341E2">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eastAsia"/>
          <w:i w:val="0"/>
          <w:iCs w:val="0"/>
          <w:caps w:val="0"/>
          <w:color w:val="000000"/>
          <w:spacing w:val="0"/>
          <w:u w:val="none"/>
        </w:rPr>
      </w:pPr>
      <w:r>
        <w:rPr>
          <w:rFonts w:hint="eastAsia"/>
          <w:i w:val="0"/>
          <w:iCs w:val="0"/>
          <w:caps w:val="0"/>
          <w:color w:val="000000"/>
          <w:spacing w:val="0"/>
          <w:u w:val="none"/>
        </w:rPr>
        <w:t>In the context of flipped classrooms, where learning occurs both asynchronously (pre-class) and synchronously (in-class), emotional and cognitive engagement is often shaped by students’ attitudes, motivation, prior knowledge, and interaction with learning materials (Bergmann &amp; Sams, 2012). These factors are deeply personal and subjective, and thus best explored through open-ended, narrative-based methods rather than closed survey instruments.</w:t>
      </w:r>
    </w:p>
    <w:p w14:paraId="35A3ED75">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eastAsia"/>
          <w:i w:val="0"/>
          <w:iCs w:val="0"/>
          <w:caps w:val="0"/>
          <w:color w:val="000000"/>
          <w:spacing w:val="0"/>
          <w:u w:val="none"/>
        </w:rPr>
      </w:pPr>
      <w:r>
        <w:rPr>
          <w:rFonts w:hint="eastAsia"/>
          <w:i w:val="0"/>
          <w:iCs w:val="0"/>
          <w:caps w:val="0"/>
          <w:color w:val="000000"/>
          <w:spacing w:val="0"/>
          <w:u w:val="none"/>
        </w:rPr>
        <w:t>Moreover, recent studies in flipped learning highlight the need for learner-centered evaluations that go beyond performance metrics to include perceptions, preferences, and challenges (Lo &amp; Hew, 2017). By focusing exclusively on students’ voices, the current research aligns with this learner-centered orientation and contributes to a more comprehensive understanding of the flipped learning experience in Chinese higher education.</w:t>
      </w:r>
    </w:p>
    <w:p w14:paraId="34432E0A">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eastAsia"/>
          <w:i w:val="0"/>
          <w:iCs w:val="0"/>
          <w:caps w:val="0"/>
          <w:color w:val="000000"/>
          <w:spacing w:val="0"/>
          <w:u w:val="none"/>
        </w:rPr>
      </w:pPr>
    </w:p>
    <w:p w14:paraId="7718CD48">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eastAsia"/>
          <w:i w:val="0"/>
          <w:iCs w:val="0"/>
          <w:caps w:val="0"/>
          <w:color w:val="000000"/>
          <w:spacing w:val="0"/>
          <w:u w:val="none"/>
        </w:rPr>
      </w:pPr>
      <w:r>
        <w:rPr>
          <w:rFonts w:hint="eastAsia"/>
          <w:i w:val="0"/>
          <w:iCs w:val="0"/>
          <w:caps w:val="0"/>
          <w:color w:val="000000"/>
          <w:spacing w:val="0"/>
          <w:u w:val="none"/>
        </w:rPr>
        <w:t xml:space="preserve">The research is grounded in an </w:t>
      </w:r>
      <w:r>
        <w:rPr>
          <w:rFonts w:hint="eastAsia"/>
          <w:b/>
          <w:bCs/>
          <w:i w:val="0"/>
          <w:iCs w:val="0"/>
          <w:caps w:val="0"/>
          <w:color w:val="000000"/>
          <w:spacing w:val="0"/>
          <w:u w:val="none"/>
        </w:rPr>
        <w:t>interpretivist paradigm</w:t>
      </w:r>
      <w:r>
        <w:rPr>
          <w:rFonts w:hint="eastAsia"/>
          <w:i w:val="0"/>
          <w:iCs w:val="0"/>
          <w:caps w:val="0"/>
          <w:color w:val="000000"/>
          <w:spacing w:val="0"/>
          <w:u w:val="none"/>
        </w:rPr>
        <w:t>, which emphasizes the importance of understanding the social world from the point of view of those who live in it (Schwandt, 2015). In line with this paradigm, the researcher acknowledges that knowledge is socially constructed and that meaning is co-produced through interaction between the researcher and participants. The interpretivist stance is particularly appropriate for exploring individual perceptions of engagement and the perceived effectiveness of flipped classrooms.</w:t>
      </w:r>
      <w:r>
        <w:rPr>
          <w:rFonts w:hint="default"/>
          <w:i w:val="0"/>
          <w:iCs w:val="0"/>
          <w:caps w:val="0"/>
          <w:color w:val="000000"/>
          <w:spacing w:val="0"/>
          <w:u w:val="none"/>
          <w:lang w:val="en-US"/>
        </w:rPr>
        <w:t xml:space="preserve"> </w:t>
      </w:r>
      <w:r>
        <w:rPr>
          <w:rFonts w:hint="eastAsia"/>
          <w:i w:val="0"/>
          <w:iCs w:val="0"/>
          <w:caps w:val="0"/>
          <w:color w:val="000000"/>
          <w:spacing w:val="0"/>
          <w:u w:val="none"/>
        </w:rPr>
        <w:t xml:space="preserve">In addition, this research takes a </w:t>
      </w:r>
      <w:r>
        <w:rPr>
          <w:rFonts w:hint="eastAsia"/>
          <w:b/>
          <w:bCs/>
          <w:i w:val="0"/>
          <w:iCs w:val="0"/>
          <w:caps w:val="0"/>
          <w:color w:val="000000"/>
          <w:spacing w:val="0"/>
          <w:u w:val="none"/>
        </w:rPr>
        <w:t>constructivist epistemological stance</w:t>
      </w:r>
      <w:r>
        <w:rPr>
          <w:rFonts w:hint="eastAsia"/>
          <w:i w:val="0"/>
          <w:iCs w:val="0"/>
          <w:caps w:val="0"/>
          <w:color w:val="000000"/>
          <w:spacing w:val="0"/>
          <w:u w:val="none"/>
        </w:rPr>
        <w:t>, assuming that learners actively construct knowledge based on their interactions with content and context (Vygotsky, 1978). This is especially relevant when investigating flipped learning environments, where students are expected to engage with content independently before class. Understanding how they make sense of these experiences, and the cognitive or emotional barriers they face, necessitates a constructivist inquiry.</w:t>
      </w:r>
    </w:p>
    <w:p w14:paraId="76361378">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eastAsia"/>
          <w:i w:val="0"/>
          <w:iCs w:val="0"/>
          <w:caps w:val="0"/>
          <w:color w:val="000000"/>
          <w:spacing w:val="0"/>
          <w:u w:val="none"/>
        </w:rPr>
      </w:pPr>
    </w:p>
    <w:p w14:paraId="336BB552">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eastAsia"/>
          <w:i w:val="0"/>
          <w:iCs w:val="0"/>
          <w:caps w:val="0"/>
          <w:color w:val="000000"/>
          <w:spacing w:val="0"/>
          <w:u w:val="none"/>
        </w:rPr>
      </w:pPr>
      <w:r>
        <w:rPr>
          <w:rFonts w:hint="eastAsia"/>
          <w:i w:val="0"/>
          <w:iCs w:val="0"/>
          <w:caps w:val="0"/>
          <w:color w:val="000000"/>
          <w:spacing w:val="0"/>
          <w:u w:val="none"/>
        </w:rPr>
        <w:t xml:space="preserve">To operationalize the qualitative research approach, this study will employ </w:t>
      </w:r>
      <w:r>
        <w:rPr>
          <w:rFonts w:hint="eastAsia"/>
          <w:b/>
          <w:bCs/>
          <w:i w:val="0"/>
          <w:iCs w:val="0"/>
          <w:caps w:val="0"/>
          <w:color w:val="000000"/>
          <w:spacing w:val="0"/>
          <w:u w:val="none"/>
        </w:rPr>
        <w:t>semi-structured interviews</w:t>
      </w:r>
      <w:r>
        <w:rPr>
          <w:rFonts w:hint="eastAsia"/>
          <w:i w:val="0"/>
          <w:iCs w:val="0"/>
          <w:caps w:val="0"/>
          <w:color w:val="000000"/>
          <w:spacing w:val="0"/>
          <w:u w:val="none"/>
        </w:rPr>
        <w:t xml:space="preserve"> and </w:t>
      </w:r>
      <w:r>
        <w:rPr>
          <w:rFonts w:hint="eastAsia"/>
          <w:b/>
          <w:bCs/>
          <w:i w:val="0"/>
          <w:iCs w:val="0"/>
          <w:caps w:val="0"/>
          <w:color w:val="000000"/>
          <w:spacing w:val="0"/>
          <w:u w:val="none"/>
        </w:rPr>
        <w:t>open-ended questionnaires</w:t>
      </w:r>
      <w:r>
        <w:rPr>
          <w:rFonts w:hint="eastAsia"/>
          <w:i w:val="0"/>
          <w:iCs w:val="0"/>
          <w:caps w:val="0"/>
          <w:color w:val="000000"/>
          <w:spacing w:val="0"/>
          <w:u w:val="none"/>
        </w:rPr>
        <w:t xml:space="preserve"> as primary data collection tools. These tools are designed to elicit in-depth insights into students’ emotional and cognitive engagement with pre-class learning materials and their in-class participation experiences.</w:t>
      </w:r>
      <w:r>
        <w:rPr>
          <w:rFonts w:hint="default"/>
          <w:i w:val="0"/>
          <w:iCs w:val="0"/>
          <w:caps w:val="0"/>
          <w:color w:val="000000"/>
          <w:spacing w:val="0"/>
          <w:u w:val="none"/>
          <w:lang w:val="en-US"/>
        </w:rPr>
        <w:t xml:space="preserve"> </w:t>
      </w:r>
      <w:r>
        <w:rPr>
          <w:rFonts w:hint="eastAsia"/>
          <w:i w:val="0"/>
          <w:iCs w:val="0"/>
          <w:caps w:val="0"/>
          <w:color w:val="000000"/>
          <w:spacing w:val="0"/>
          <w:u w:val="none"/>
        </w:rPr>
        <w:t>Semi-structured interviews allow for the exploration of key themes while also providing flexibility for participants to elaborate on their responses (Kvale &amp; Brinkmann, 2009). This balance between structure and openness makes them ideal for investigating both expected and emergent issues related to flipped classroom engagement.</w:t>
      </w:r>
      <w:r>
        <w:rPr>
          <w:rFonts w:hint="default"/>
          <w:i w:val="0"/>
          <w:iCs w:val="0"/>
          <w:caps w:val="0"/>
          <w:color w:val="000000"/>
          <w:spacing w:val="0"/>
          <w:u w:val="none"/>
          <w:lang w:val="en-US"/>
        </w:rPr>
        <w:t xml:space="preserve"> </w:t>
      </w:r>
      <w:r>
        <w:rPr>
          <w:rFonts w:hint="eastAsia"/>
          <w:i w:val="0"/>
          <w:iCs w:val="0"/>
          <w:caps w:val="0"/>
          <w:color w:val="000000"/>
          <w:spacing w:val="0"/>
          <w:u w:val="none"/>
        </w:rPr>
        <w:t>Open-ended questionnaires, meanwhile, offer an efficient way to collect qualitative data from a broader sample of students. They enable participants to reflect on their experiences in their own words, without the constraints of fixed response options. When used in combination, these tools provide both depth and breadth of insight, which enhances the richness and trustworthiness of the findings (Patton, 2015).</w:t>
      </w:r>
    </w:p>
    <w:p w14:paraId="6248D051">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eastAsia"/>
          <w:i w:val="0"/>
          <w:iCs w:val="0"/>
          <w:caps w:val="0"/>
          <w:color w:val="000000"/>
          <w:spacing w:val="0"/>
          <w:u w:val="none"/>
        </w:rPr>
      </w:pPr>
    </w:p>
    <w:p w14:paraId="20BDF46D">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eastAsia"/>
          <w:i w:val="0"/>
          <w:iCs w:val="0"/>
          <w:caps w:val="0"/>
          <w:color w:val="000000"/>
          <w:spacing w:val="0"/>
          <w:u w:val="none"/>
        </w:rPr>
      </w:pPr>
      <w:r>
        <w:rPr>
          <w:rFonts w:hint="default"/>
          <w:i w:val="0"/>
          <w:iCs w:val="0"/>
          <w:caps w:val="0"/>
          <w:color w:val="000000"/>
          <w:spacing w:val="0"/>
          <w:u w:val="none"/>
          <w:lang w:val="en-US"/>
        </w:rPr>
        <w:t>My</w:t>
      </w:r>
      <w:r>
        <w:rPr>
          <w:rFonts w:hint="eastAsia"/>
          <w:i w:val="0"/>
          <w:iCs w:val="0"/>
          <w:caps w:val="0"/>
          <w:color w:val="000000"/>
          <w:spacing w:val="0"/>
          <w:u w:val="none"/>
        </w:rPr>
        <w:t xml:space="preserve"> first research question—</w:t>
      </w:r>
      <w:r>
        <w:rPr>
          <w:rFonts w:hint="eastAsia"/>
          <w:b/>
          <w:bCs/>
          <w:i w:val="0"/>
          <w:iCs w:val="0"/>
          <w:caps w:val="0"/>
          <w:color w:val="000000"/>
          <w:spacing w:val="0"/>
          <w:u w:val="none"/>
        </w:rPr>
        <w:t>What specific challenges do students encounter when engaging with pre-class materials in a flipped classroom setting, particularly in terms of emotional and cognitive engagement?</w:t>
      </w:r>
      <w:r>
        <w:rPr>
          <w:rFonts w:hint="eastAsia"/>
          <w:i w:val="0"/>
          <w:iCs w:val="0"/>
          <w:caps w:val="0"/>
          <w:color w:val="000000"/>
          <w:spacing w:val="0"/>
          <w:u w:val="none"/>
        </w:rPr>
        <w:t>—requires an exploration of students' internal states, study habits, and emotional responses to self-directed learning. Semi-structured interviews are particularly effective for this purpose, as they allow students to articulate their frustrations, motivations, or disengagement in their own words.</w:t>
      </w:r>
      <w:r>
        <w:rPr>
          <w:rFonts w:hint="default"/>
          <w:i w:val="0"/>
          <w:iCs w:val="0"/>
          <w:caps w:val="0"/>
          <w:color w:val="000000"/>
          <w:spacing w:val="0"/>
          <w:u w:val="none"/>
          <w:lang w:val="en-US"/>
        </w:rPr>
        <w:t xml:space="preserve"> </w:t>
      </w:r>
      <w:r>
        <w:rPr>
          <w:rFonts w:hint="eastAsia"/>
          <w:i w:val="0"/>
          <w:iCs w:val="0"/>
          <w:caps w:val="0"/>
          <w:color w:val="000000"/>
          <w:spacing w:val="0"/>
          <w:u w:val="none"/>
        </w:rPr>
        <w:t>The second question—</w:t>
      </w:r>
      <w:r>
        <w:rPr>
          <w:rFonts w:hint="eastAsia"/>
          <w:b/>
          <w:bCs/>
          <w:i w:val="0"/>
          <w:iCs w:val="0"/>
          <w:caps w:val="0"/>
          <w:color w:val="000000"/>
          <w:spacing w:val="0"/>
          <w:u w:val="none"/>
        </w:rPr>
        <w:t>How does the flipped classroom model improve students' active learning and participation during class time?</w:t>
      </w:r>
      <w:r>
        <w:rPr>
          <w:rFonts w:hint="eastAsia"/>
          <w:i w:val="0"/>
          <w:iCs w:val="0"/>
          <w:caps w:val="0"/>
          <w:color w:val="000000"/>
          <w:spacing w:val="0"/>
          <w:u w:val="none"/>
        </w:rPr>
        <w:t>—focuses on perceived benefits. By exploring students’ narratives about their classroom participation, collaborative learning, and sense of agency, the study can uncover the mechanisms through which flipped learning influences engagement.</w:t>
      </w:r>
    </w:p>
    <w:p w14:paraId="479F1964">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eastAsia"/>
          <w:i w:val="0"/>
          <w:iCs w:val="0"/>
          <w:caps w:val="0"/>
          <w:color w:val="000000"/>
          <w:spacing w:val="0"/>
          <w:u w:val="none"/>
        </w:rPr>
      </w:pPr>
    </w:p>
    <w:p w14:paraId="38C806A6">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eastAsia"/>
          <w:i w:val="0"/>
          <w:iCs w:val="0"/>
          <w:caps w:val="0"/>
          <w:color w:val="000000"/>
          <w:spacing w:val="0"/>
          <w:u w:val="none"/>
        </w:rPr>
      </w:pPr>
      <w:r>
        <w:rPr>
          <w:rFonts w:hint="eastAsia"/>
          <w:i w:val="0"/>
          <w:iCs w:val="0"/>
          <w:caps w:val="0"/>
          <w:color w:val="000000"/>
          <w:spacing w:val="0"/>
          <w:u w:val="none"/>
        </w:rPr>
        <w:t>This approach aligns with findings from existing research. Hao (2016) found that students in flipped classrooms experienced both increased engagement and considerable emotional stress related to the preparation workload. Similarly, Abeysekera and Dawson (2015) argue that student engagement in flipped classrooms must be understood holistically, accounting for motivation, autonomy, and emotional responses—all of which are best accessed through qualitative inquiry.</w:t>
      </w:r>
    </w:p>
    <w:p w14:paraId="58275750">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eastAsia"/>
          <w:i w:val="0"/>
          <w:iCs w:val="0"/>
          <w:caps w:val="0"/>
          <w:color w:val="000000"/>
          <w:spacing w:val="0"/>
          <w:u w:val="none"/>
        </w:rPr>
      </w:pPr>
    </w:p>
    <w:p w14:paraId="043B89C7">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eastAsia"/>
          <w:i w:val="0"/>
          <w:iCs w:val="0"/>
          <w:caps w:val="0"/>
          <w:color w:val="000000"/>
          <w:spacing w:val="0"/>
          <w:highlight w:val="none"/>
          <w:u w:val="none"/>
        </w:rPr>
      </w:pPr>
      <w:r>
        <w:rPr>
          <w:rFonts w:hint="eastAsia"/>
          <w:i w:val="0"/>
          <w:iCs w:val="0"/>
          <w:caps w:val="0"/>
          <w:color w:val="000000"/>
          <w:spacing w:val="0"/>
          <w:u w:val="none"/>
        </w:rPr>
        <w:t xml:space="preserve">While qualitative methods offer rich, contextual insights, they are not without limitations. One major concern is </w:t>
      </w:r>
      <w:r>
        <w:rPr>
          <w:rFonts w:hint="eastAsia"/>
          <w:b/>
          <w:bCs/>
          <w:i w:val="0"/>
          <w:iCs w:val="0"/>
          <w:caps w:val="0"/>
          <w:color w:val="000000"/>
          <w:spacing w:val="0"/>
          <w:u w:val="none"/>
        </w:rPr>
        <w:t>generalizability</w:t>
      </w:r>
      <w:r>
        <w:rPr>
          <w:rFonts w:hint="eastAsia"/>
          <w:i w:val="0"/>
          <w:iCs w:val="0"/>
          <w:caps w:val="0"/>
          <w:color w:val="000000"/>
          <w:spacing w:val="0"/>
          <w:u w:val="none"/>
        </w:rPr>
        <w:t>. Since qualitative research typically involves small, purposively selected samples, the findings may not be representative of all English majors or all Chinese universities (Silverman, 2013). However, the goal of this research is not to generalize but to</w:t>
      </w:r>
      <w:r>
        <w:rPr>
          <w:rFonts w:hint="default"/>
          <w:b/>
          <w:bCs/>
          <w:i w:val="0"/>
          <w:iCs w:val="0"/>
          <w:caps w:val="0"/>
          <w:color w:val="000000"/>
          <w:spacing w:val="0"/>
          <w:u w:val="none"/>
          <w:lang w:val="en-US"/>
        </w:rPr>
        <w:t xml:space="preserve"> </w:t>
      </w:r>
      <w:r>
        <w:rPr>
          <w:rFonts w:hint="eastAsia"/>
          <w:b/>
          <w:bCs/>
          <w:i w:val="0"/>
          <w:iCs w:val="0"/>
          <w:caps w:val="0"/>
          <w:color w:val="000000"/>
          <w:spacing w:val="0"/>
          <w:u w:val="none"/>
        </w:rPr>
        <w:t>illuminate</w:t>
      </w:r>
      <w:r>
        <w:rPr>
          <w:rFonts w:hint="eastAsia"/>
          <w:i w:val="0"/>
          <w:iCs w:val="0"/>
          <w:caps w:val="0"/>
          <w:color w:val="000000"/>
          <w:spacing w:val="0"/>
          <w:u w:val="none"/>
        </w:rPr>
        <w:t xml:space="preserve"> student experiences and generate insights that can inform practice.</w:t>
      </w:r>
      <w:r>
        <w:rPr>
          <w:rFonts w:hint="default"/>
          <w:i w:val="0"/>
          <w:iCs w:val="0"/>
          <w:caps w:val="0"/>
          <w:color w:val="000000"/>
          <w:spacing w:val="0"/>
          <w:u w:val="none"/>
          <w:lang w:val="en-US"/>
        </w:rPr>
        <w:t xml:space="preserve"> Besides, t</w:t>
      </w:r>
      <w:r>
        <w:rPr>
          <w:rFonts w:hint="eastAsia"/>
          <w:i w:val="0"/>
          <w:iCs w:val="0"/>
          <w:caps w:val="0"/>
          <w:color w:val="000000"/>
          <w:spacing w:val="0"/>
          <w:highlight w:val="none"/>
          <w:u w:val="none"/>
        </w:rPr>
        <w:t>ime and resource constraints may also impact the depth of data collection. Conducting and analyzing interviews is time-consuming, particularly when dealing with multiple participants. The researcher must balance the desire for depth with practical considerations of scope and feasibility.</w:t>
      </w:r>
    </w:p>
    <w:p w14:paraId="129480D8">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eastAsia"/>
          <w:i w:val="0"/>
          <w:iCs w:val="0"/>
          <w:caps w:val="0"/>
          <w:color w:val="000000"/>
          <w:spacing w:val="0"/>
          <w:u w:val="none"/>
        </w:rPr>
      </w:pPr>
    </w:p>
    <w:p w14:paraId="75FCD057">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eastAsia"/>
          <w:i w:val="0"/>
          <w:iCs w:val="0"/>
          <w:caps w:val="0"/>
          <w:color w:val="000000"/>
          <w:spacing w:val="0"/>
          <w:u w:val="none"/>
        </w:rPr>
      </w:pPr>
      <w:r>
        <w:rPr>
          <w:rFonts w:hint="eastAsia"/>
          <w:i w:val="0"/>
          <w:iCs w:val="0"/>
          <w:caps w:val="0"/>
          <w:color w:val="000000"/>
          <w:spacing w:val="0"/>
          <w:u w:val="none"/>
        </w:rPr>
        <w:t xml:space="preserve">Despite these limitations, the qualitative approach offers several strengths. It allows for </w:t>
      </w:r>
      <w:r>
        <w:rPr>
          <w:rFonts w:hint="eastAsia"/>
          <w:b/>
          <w:bCs/>
          <w:i w:val="0"/>
          <w:iCs w:val="0"/>
          <w:caps w:val="0"/>
          <w:color w:val="000000"/>
          <w:spacing w:val="0"/>
          <w:u w:val="none"/>
        </w:rPr>
        <w:t>contextual richness</w:t>
      </w:r>
      <w:r>
        <w:rPr>
          <w:rFonts w:hint="eastAsia"/>
          <w:i w:val="0"/>
          <w:iCs w:val="0"/>
          <w:caps w:val="0"/>
          <w:color w:val="000000"/>
          <w:spacing w:val="0"/>
          <w:u w:val="none"/>
        </w:rPr>
        <w:t xml:space="preserve">, </w:t>
      </w:r>
      <w:r>
        <w:rPr>
          <w:rFonts w:hint="eastAsia"/>
          <w:b/>
          <w:bCs/>
          <w:i w:val="0"/>
          <w:iCs w:val="0"/>
          <w:caps w:val="0"/>
          <w:color w:val="000000"/>
          <w:spacing w:val="0"/>
          <w:u w:val="none"/>
        </w:rPr>
        <w:t>participant-centered inquiry</w:t>
      </w:r>
      <w:r>
        <w:rPr>
          <w:rFonts w:hint="eastAsia"/>
          <w:i w:val="0"/>
          <w:iCs w:val="0"/>
          <w:caps w:val="0"/>
          <w:color w:val="000000"/>
          <w:spacing w:val="0"/>
          <w:u w:val="none"/>
        </w:rPr>
        <w:t xml:space="preserve">, and </w:t>
      </w:r>
      <w:r>
        <w:rPr>
          <w:rFonts w:hint="eastAsia"/>
          <w:b/>
          <w:bCs/>
          <w:i w:val="0"/>
          <w:iCs w:val="0"/>
          <w:caps w:val="0"/>
          <w:color w:val="000000"/>
          <w:spacing w:val="0"/>
          <w:u w:val="none"/>
        </w:rPr>
        <w:t xml:space="preserve">flexibility </w:t>
      </w:r>
      <w:r>
        <w:rPr>
          <w:rFonts w:hint="eastAsia"/>
          <w:i w:val="0"/>
          <w:iCs w:val="0"/>
          <w:caps w:val="0"/>
          <w:color w:val="000000"/>
          <w:spacing w:val="0"/>
          <w:u w:val="none"/>
        </w:rPr>
        <w:t>in adapting to emergent themes. Given the exploratory nature of the research and the subjective focus on emotional and cognitive engagement, qualitative methods are not only appropriate but essential.</w:t>
      </w:r>
      <w:r>
        <w:rPr>
          <w:rFonts w:hint="default"/>
          <w:i w:val="0"/>
          <w:iCs w:val="0"/>
          <w:caps w:val="0"/>
          <w:color w:val="000000"/>
          <w:spacing w:val="0"/>
          <w:u w:val="none"/>
          <w:lang w:val="en-US"/>
        </w:rPr>
        <w:t xml:space="preserve"> </w:t>
      </w:r>
      <w:r>
        <w:rPr>
          <w:rFonts w:hint="eastAsia"/>
          <w:i w:val="0"/>
          <w:iCs w:val="0"/>
          <w:caps w:val="0"/>
          <w:color w:val="000000"/>
          <w:spacing w:val="0"/>
          <w:u w:val="none"/>
        </w:rPr>
        <w:t xml:space="preserve">Furthermore, the combined use of interviews and open-ended questionnaires ensures that different levels of student engagement—both deeply personal and commonly shared—are adequately captured. This methodological pluralism enhances the </w:t>
      </w:r>
      <w:r>
        <w:rPr>
          <w:rFonts w:hint="eastAsia"/>
          <w:b/>
          <w:bCs/>
          <w:i w:val="0"/>
          <w:iCs w:val="0"/>
          <w:caps w:val="0"/>
          <w:color w:val="000000"/>
          <w:spacing w:val="0"/>
          <w:u w:val="none"/>
        </w:rPr>
        <w:t>validity</w:t>
      </w:r>
      <w:r>
        <w:rPr>
          <w:rFonts w:hint="eastAsia"/>
          <w:i w:val="0"/>
          <w:iCs w:val="0"/>
          <w:caps w:val="0"/>
          <w:color w:val="000000"/>
          <w:spacing w:val="0"/>
          <w:u w:val="none"/>
        </w:rPr>
        <w:t xml:space="preserve"> and </w:t>
      </w:r>
      <w:r>
        <w:rPr>
          <w:rFonts w:hint="eastAsia"/>
          <w:b/>
          <w:bCs/>
          <w:i w:val="0"/>
          <w:iCs w:val="0"/>
          <w:caps w:val="0"/>
          <w:color w:val="000000"/>
          <w:spacing w:val="0"/>
          <w:u w:val="none"/>
        </w:rPr>
        <w:t xml:space="preserve">transferability </w:t>
      </w:r>
      <w:r>
        <w:rPr>
          <w:rFonts w:hint="eastAsia"/>
          <w:i w:val="0"/>
          <w:iCs w:val="0"/>
          <w:caps w:val="0"/>
          <w:color w:val="000000"/>
          <w:spacing w:val="0"/>
          <w:u w:val="none"/>
        </w:rPr>
        <w:t>of the findings within similar educational contexts.</w:t>
      </w:r>
    </w:p>
    <w:p w14:paraId="35B6AB26">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p>
    <w:p w14:paraId="335F3F03">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b/>
          <w:bCs/>
          <w:i w:val="0"/>
          <w:iCs w:val="0"/>
          <w:caps w:val="0"/>
          <w:color w:val="000000"/>
          <w:spacing w:val="0"/>
          <w:sz w:val="28"/>
          <w:szCs w:val="28"/>
          <w:u w:val="none"/>
          <w:lang w:val="en-US" w:eastAsia="zh-CN"/>
        </w:rPr>
      </w:pPr>
      <w:r>
        <w:rPr>
          <w:rFonts w:hint="default"/>
          <w:b/>
          <w:bCs/>
          <w:i w:val="0"/>
          <w:iCs w:val="0"/>
          <w:caps w:val="0"/>
          <w:color w:val="000000"/>
          <w:spacing w:val="0"/>
          <w:sz w:val="28"/>
          <w:szCs w:val="28"/>
          <w:u w:val="none"/>
          <w:lang w:val="en-US" w:eastAsia="zh-CN"/>
        </w:rPr>
        <w:t>Sampling</w:t>
      </w:r>
    </w:p>
    <w:p w14:paraId="51CEC8C6">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 xml:space="preserve">Sampling is a critical element in qualitative research, as it directly influences the richness and credibility of the collected data. This study investigates English-majored students’ engagement in flipped classrooms and the specific challenges they encounter in the pre-class section. To ensure relevance and contextual depth, criterion-based </w:t>
      </w:r>
      <w:r>
        <w:rPr>
          <w:rFonts w:hint="default"/>
          <w:b/>
          <w:bCs/>
          <w:i w:val="0"/>
          <w:iCs w:val="0"/>
          <w:caps w:val="0"/>
          <w:color w:val="000000"/>
          <w:spacing w:val="0"/>
          <w:u w:val="none"/>
          <w:lang w:val="en-US" w:eastAsia="zh-CN"/>
        </w:rPr>
        <w:t>purposive sampling</w:t>
      </w:r>
      <w:r>
        <w:rPr>
          <w:rFonts w:hint="default"/>
          <w:i w:val="0"/>
          <w:iCs w:val="0"/>
          <w:caps w:val="0"/>
          <w:color w:val="000000"/>
          <w:spacing w:val="0"/>
          <w:u w:val="none"/>
          <w:lang w:val="en-US" w:eastAsia="zh-CN"/>
        </w:rPr>
        <w:t xml:space="preserve"> will be adopted. This method enables the selection of participants who have direct and relevant experience with the flipped classroom model, especially in the context of English language education.</w:t>
      </w:r>
    </w:p>
    <w:p w14:paraId="34183766">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p>
    <w:p w14:paraId="35457B1C">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 xml:space="preserve">Purposive sampling, particularly the </w:t>
      </w:r>
      <w:r>
        <w:rPr>
          <w:rFonts w:hint="default"/>
          <w:b/>
          <w:bCs/>
          <w:i w:val="0"/>
          <w:iCs w:val="0"/>
          <w:caps w:val="0"/>
          <w:color w:val="000000"/>
          <w:spacing w:val="0"/>
          <w:u w:val="none"/>
          <w:lang w:val="en-US" w:eastAsia="zh-CN"/>
        </w:rPr>
        <w:t>criterion-based approach</w:t>
      </w:r>
      <w:r>
        <w:rPr>
          <w:rFonts w:hint="default"/>
          <w:i w:val="0"/>
          <w:iCs w:val="0"/>
          <w:caps w:val="0"/>
          <w:color w:val="000000"/>
          <w:spacing w:val="0"/>
          <w:u w:val="none"/>
          <w:lang w:val="en-US" w:eastAsia="zh-CN"/>
        </w:rPr>
        <w:t>, is a widely accepted method in qualitative research when researchers seek to gain insights from individuals who meet specific criteria relevant to the research questions (Patton, 2015). In this study, participants will be selected based on three essential criteria: (1) they are undergraduate English majors, (2) they are currently enrolled in or have completed a course delivered in a flipped classroom format, and (3) they have engaged with the pre-class learning materials required in such courses.</w:t>
      </w:r>
    </w:p>
    <w:p w14:paraId="6C8C02B9">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p>
    <w:p w14:paraId="6BBC2C03">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This approach is appropriate given the study's focus on understanding cognitive and emotional engagement with flipped learning. Rather than aiming for generalisability, qualitative research aims for in-depth understanding of participants’ lived experiences (Silverman, 2013). As such, selecting participants who have direct experience with flipped instruction is essential to ensure the data is meaningful and relevant.</w:t>
      </w:r>
    </w:p>
    <w:p w14:paraId="71959C60">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p>
    <w:p w14:paraId="75C476E7">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 xml:space="preserve">Purposive sampling allows the researcher to deliberately choose individuals who are best positioned to provide rich and detailed accounts of the phenomenon under study. Etikan, Musa and Alkassim (2016) argue that purposive sampling is particularly effective in educational research where the aim is to explore complex behaviors, attitudes, or perceptions that are best understood through the voices of those directly involved. This sampling strategy aligns with the </w:t>
      </w:r>
      <w:r>
        <w:rPr>
          <w:rFonts w:hint="default"/>
          <w:b w:val="0"/>
          <w:bCs w:val="0"/>
          <w:i w:val="0"/>
          <w:iCs w:val="0"/>
          <w:caps w:val="0"/>
          <w:color w:val="auto"/>
          <w:spacing w:val="0"/>
          <w:u w:val="none"/>
          <w:lang w:val="en-US" w:eastAsia="zh-CN"/>
        </w:rPr>
        <w:t>constructivist and interpretivist paradigms</w:t>
      </w:r>
      <w:r>
        <w:rPr>
          <w:rFonts w:hint="default"/>
          <w:b/>
          <w:bCs/>
          <w:i w:val="0"/>
          <w:iCs w:val="0"/>
          <w:caps w:val="0"/>
          <w:color w:val="000000"/>
          <w:spacing w:val="0"/>
          <w:u w:val="none"/>
          <w:lang w:val="en-US" w:eastAsia="zh-CN"/>
        </w:rPr>
        <w:t>,</w:t>
      </w:r>
      <w:r>
        <w:rPr>
          <w:rFonts w:hint="default"/>
          <w:i w:val="0"/>
          <w:iCs w:val="0"/>
          <w:caps w:val="0"/>
          <w:color w:val="000000"/>
          <w:spacing w:val="0"/>
          <w:u w:val="none"/>
          <w:lang w:val="en-US" w:eastAsia="zh-CN"/>
        </w:rPr>
        <w:t xml:space="preserve"> which underpin this study. These paradigms emphasize the subjective meanings and experiences constructed by individuals in particular social contexts (Creswell, 2014). Therefore, recruiting students who have personally experienced flipped classrooms at the university level ensures that the data reflects authentic perspectives on engagement and challenges.</w:t>
      </w:r>
    </w:p>
    <w:p w14:paraId="7CCF11AD">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p>
    <w:p w14:paraId="5AEE7E91">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 xml:space="preserve">The research will be conducted exclusively at Fuzhou University of International Studies and Trade, where English-majored students are regularly exposed to flipped classroom teaching strategies as part of their curriculum. This university context is well-suited to the research aims, as several English courses incorporate pre-class video lectures, online activities, and in-class discussion-based learning—hallmarks of the flipped classroom model. A sample of </w:t>
      </w:r>
      <w:r>
        <w:rPr>
          <w:rFonts w:hint="default"/>
          <w:b/>
          <w:bCs/>
          <w:i w:val="0"/>
          <w:iCs w:val="0"/>
          <w:caps w:val="0"/>
          <w:color w:val="000000"/>
          <w:spacing w:val="0"/>
          <w:u w:val="none"/>
          <w:lang w:val="en-US" w:eastAsia="zh-CN"/>
        </w:rPr>
        <w:t>15–20 undergraduate students</w:t>
      </w:r>
      <w:r>
        <w:rPr>
          <w:rFonts w:hint="default"/>
          <w:i w:val="0"/>
          <w:iCs w:val="0"/>
          <w:caps w:val="0"/>
          <w:color w:val="000000"/>
          <w:spacing w:val="0"/>
          <w:u w:val="none"/>
          <w:lang w:val="en-US" w:eastAsia="zh-CN"/>
        </w:rPr>
        <w:t xml:space="preserve"> will be selected from this institution. This number is sufficient for qualitative research using interviews and open-ended questionnaires, where the goal is not statistical saturation but thematic depth (Guest, Bunce and Johnson, 2006). The selection will aim to include students across different academic years and courses to ensure a diversity of experiences and viewpoints.</w:t>
      </w:r>
    </w:p>
    <w:p w14:paraId="10F34CEB">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p>
    <w:p w14:paraId="0C01D49A">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The primary strength of criterion-based purposive sampling lies in its targeted relevance—it allows for the identification of participants who can provide detailed, first-hand insights into the research focus (Palinkas et al., 2015). In the context of flipped classrooms, where internal factors such as motivation, anxiety, and self-directed learning are significant, such specificity is vital. Additionally, this method allows for flexibility, permitting the researcher to refine participant criteria if needed as themes emerge during early stages of data collection (Miles, Huberman and Saldaña, 2014).</w:t>
      </w:r>
    </w:p>
    <w:p w14:paraId="153B87ED">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p>
    <w:p w14:paraId="44D529B8">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One notable limitation of purposive sampling is the lack of statistical representativeness, which limits generalisability to other populations (Dörnyei, 2007). However, this is acceptable in qualitative inquiry, where transferability rather than generalisability is the primary concern (Yin, 2018). Findings may still offer valuable insights applicable to similar educational contexts in China or beyond. Another limitation involves potential selection bias, especially when recruitment is conducted within a single institution. To mitigate this, efforts will be made to include a diverse range of participants—not only high-performing or enthusiastic students, but also those who may have struggled with flipped learning. This balanced representation will ensure that a wide spectrum of experiences is captured.</w:t>
      </w:r>
    </w:p>
    <w:p w14:paraId="2B3A1FE4">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p>
    <w:p w14:paraId="2F5899C8">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bookmarkStart w:id="0" w:name="_GoBack"/>
      <w:bookmarkEnd w:id="0"/>
    </w:p>
    <w:p w14:paraId="1030E708">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sz w:val="28"/>
          <w:szCs w:val="28"/>
          <w:u w:val="none"/>
          <w:lang w:val="en-US" w:eastAsia="zh-CN"/>
        </w:rPr>
      </w:pPr>
      <w:r>
        <w:rPr>
          <w:rFonts w:hint="default"/>
          <w:b/>
          <w:bCs/>
          <w:i w:val="0"/>
          <w:iCs w:val="0"/>
          <w:caps w:val="0"/>
          <w:color w:val="000000"/>
          <w:spacing w:val="0"/>
          <w:sz w:val="28"/>
          <w:szCs w:val="28"/>
          <w:u w:val="none"/>
          <w:lang w:val="en-US" w:eastAsia="zh-CN"/>
        </w:rPr>
        <w:t>Ethics</w:t>
      </w:r>
    </w:p>
    <w:p w14:paraId="483BF091">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Ethical considerations are central to the integrity and credibility of any research project, especially those involving human participants. Given the qualitative nature of this study—exploring Chinese English-majored students’ engagement in flipped classrooms through interviews and questionnaires—it is essential to safeguard participants’ rights, promote voluntary involvement, and uphold confidentiality throughout the research process (BERA, 2018).</w:t>
      </w:r>
    </w:p>
    <w:p w14:paraId="333473F4">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p>
    <w:p w14:paraId="10243050">
      <w:pPr>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jc w:val="both"/>
        <w:textAlignment w:val="auto"/>
        <w:rPr>
          <w:rFonts w:hint="default" w:asciiTheme="minorHAnsi" w:hAnsiTheme="minorHAnsi" w:eastAsiaTheme="minorEastAsia" w:cstheme="minorBidi"/>
          <w:i w:val="0"/>
          <w:iCs w:val="0"/>
          <w:caps w:val="0"/>
          <w:color w:val="000000"/>
          <w:spacing w:val="0"/>
          <w:kern w:val="0"/>
          <w:sz w:val="24"/>
          <w:szCs w:val="24"/>
          <w:u w:val="none"/>
          <w:lang w:val="en-US" w:eastAsia="zh-CN" w:bidi="ar"/>
        </w:rPr>
      </w:pPr>
      <w:r>
        <w:rPr>
          <w:rFonts w:hint="default" w:asciiTheme="minorHAnsi" w:hAnsiTheme="minorHAnsi" w:eastAsiaTheme="minorEastAsia" w:cstheme="minorBidi"/>
          <w:i w:val="0"/>
          <w:iCs w:val="0"/>
          <w:caps w:val="0"/>
          <w:color w:val="000000"/>
          <w:spacing w:val="0"/>
          <w:kern w:val="0"/>
          <w:sz w:val="24"/>
          <w:szCs w:val="24"/>
          <w:u w:val="none"/>
          <w:lang w:val="en-US" w:eastAsia="zh-CN" w:bidi="ar"/>
        </w:rPr>
        <w:t>Participants will be fully informed about the aims, procedures, potential risks, and benefits of the study prior to their participation. A written informed consent form will be distributed, which clearly states that participation is voluntary, and that individuals have the right to withdraw from the study at any point prior to the commencement of the data analysis phase, without penalty or need for explanation.</w:t>
      </w:r>
      <w:r>
        <w:rPr>
          <w:rFonts w:hint="eastAsia" w:asciiTheme="minorHAnsi" w:hAnsiTheme="minorHAnsi" w:eastAsiaTheme="minorEastAsia" w:cstheme="minorBidi"/>
          <w:i w:val="0"/>
          <w:iCs w:val="0"/>
          <w:caps w:val="0"/>
          <w:color w:val="000000"/>
          <w:spacing w:val="0"/>
          <w:kern w:val="0"/>
          <w:sz w:val="24"/>
          <w:szCs w:val="24"/>
          <w:u w:val="none"/>
          <w:lang w:val="en-US" w:eastAsia="zh-CN" w:bidi="ar"/>
        </w:rPr>
        <w:t xml:space="preserve"> </w:t>
      </w:r>
      <w:r>
        <w:rPr>
          <w:rFonts w:hint="default" w:asciiTheme="minorHAnsi" w:hAnsiTheme="minorHAnsi" w:eastAsiaTheme="minorEastAsia" w:cstheme="minorBidi"/>
          <w:i w:val="0"/>
          <w:iCs w:val="0"/>
          <w:caps w:val="0"/>
          <w:color w:val="000000"/>
          <w:spacing w:val="0"/>
          <w:kern w:val="0"/>
          <w:sz w:val="24"/>
          <w:szCs w:val="24"/>
          <w:u w:val="none"/>
          <w:lang w:val="en-US" w:eastAsia="zh-CN" w:bidi="ar"/>
        </w:rPr>
        <w:t>According to Cohen, Manion and Morrison (2018), informed consent is not only a legal necessity but also a moral one, ensuring transparency between the researcher and participants. The consent form will be written in Chinese to ensure full comprehension and avoid any linguistic barriers.</w:t>
      </w:r>
      <w:r>
        <w:rPr>
          <w:rFonts w:hint="eastAsia" w:asciiTheme="minorHAnsi" w:hAnsiTheme="minorHAnsi" w:eastAsiaTheme="minorEastAsia" w:cstheme="minorBidi"/>
          <w:i w:val="0"/>
          <w:iCs w:val="0"/>
          <w:caps w:val="0"/>
          <w:color w:val="000000"/>
          <w:spacing w:val="0"/>
          <w:kern w:val="0"/>
          <w:sz w:val="24"/>
          <w:szCs w:val="24"/>
          <w:u w:val="none"/>
          <w:lang w:val="en-US" w:eastAsia="zh-CN" w:bidi="ar"/>
        </w:rPr>
        <w:t xml:space="preserve"> </w:t>
      </w:r>
      <w:r>
        <w:rPr>
          <w:rFonts w:hint="default" w:asciiTheme="minorHAnsi" w:hAnsiTheme="minorHAnsi" w:eastAsiaTheme="minorEastAsia" w:cstheme="minorBidi"/>
          <w:i w:val="0"/>
          <w:iCs w:val="0"/>
          <w:caps w:val="0"/>
          <w:color w:val="000000"/>
          <w:spacing w:val="0"/>
          <w:kern w:val="0"/>
          <w:sz w:val="24"/>
          <w:szCs w:val="24"/>
          <w:u w:val="none"/>
          <w:lang w:val="en-US" w:eastAsia="zh-CN" w:bidi="ar"/>
        </w:rPr>
        <w:t>Participants’ anonymity will be preserved by assigning pseudonyms during transcription and analysis. Identifying information, including names, student numbers, and specific class identifiers, will be removed or coded. Digital recordings and transcripts will be stored in encrypted folders accessible only to the researcher. As Flick (2014) notes, confidentiality is a key ethical standard in qualitative research, especially when the research deals with students’ emotional and cognitive challenges, which may be sensitive in nature.</w:t>
      </w:r>
    </w:p>
    <w:p w14:paraId="10806FE4">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p>
    <w:p w14:paraId="44FF048C">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In the context of a Chinese university setting, where students may feel cautious about expressing critical views on pedagogical approaches or instructors, maintaining strict confidentiality is particularly important to reduce response bias and build trust (Wang and Liu, 2021).</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To ensure voluntariness, no form of academic reward, pressure, or incentive will be offered for participation. According to Israel and Hay (2006), ethical research must ensure that participants do not feel coerced, especially in institutional settings where hierarchical structures exist.</w:t>
      </w:r>
    </w:p>
    <w:p w14:paraId="4D3FCE1F">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p>
    <w:p w14:paraId="59CA6CCB">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Ethical research in the Chinese educational context also requires cultural sensitivity. The study will respect local norms regarding teacher–student relationships and group harmony (Zhou and Brown, 2015). The interview questions will be designed with sensitivity to students’ comfort levels, avoiding direct criticism of teachers or curricula while still encouraging honest reflections about their engagement and learning challenges.</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Before commencing data collection, ethical approval will be sought from the relevant ethics committee at the researcher’s university. A comprehensive ethics application will be submitted, including copies of consent forms, interview protocols, and participant information sheets. All research activities will adhere to the ethical guidelines of the British Educational Research Association (BERA, 2018) and align with local university standards for academic research.</w:t>
      </w:r>
    </w:p>
    <w:p w14:paraId="6488D1D9">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p>
    <w:p w14:paraId="3168AFDE">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sz w:val="28"/>
          <w:szCs w:val="28"/>
          <w:u w:val="none"/>
          <w:lang w:val="en-US" w:eastAsia="zh-CN"/>
        </w:rPr>
      </w:pPr>
      <w:r>
        <w:rPr>
          <w:rFonts w:hint="default"/>
          <w:b/>
          <w:bCs/>
          <w:i w:val="0"/>
          <w:iCs w:val="0"/>
          <w:caps w:val="0"/>
          <w:color w:val="000000"/>
          <w:spacing w:val="0"/>
          <w:sz w:val="28"/>
          <w:szCs w:val="28"/>
          <w:u w:val="none"/>
          <w:lang w:val="en-US" w:eastAsia="zh-CN"/>
        </w:rPr>
        <w:t>Research Tools</w:t>
      </w:r>
    </w:p>
    <w:p w14:paraId="48142B36">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In qualitative research, the selection of appropriate tools is crucial for capturing the depth and complexity of participants' experiences. For this study, which investigates Chinese English-majored students' engagement in flipped classrooms and the challenges they face with pre-class materials, two primary data collection tools have been chosen: semi-structured interviews and open-ended questionnaires. These tools are designed to elicit rich, detailed accounts of students' perceptions, aligning with the interpretivist paradigm that underpins this research.</w:t>
      </w:r>
    </w:p>
    <w:p w14:paraId="4B0F1383">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p>
    <w:p w14:paraId="07963ED3">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Semi-structured interviews are a widely used qualitative research tool that allows for in-depth exploration of participants' experiences while providing the flexibility to probe further into emerging topics (Cohen, Manion, &amp; Morrison, 2018). This method is particularly suitable for understanding the nuanced emotional and cognitive engagement of students in flipped classroom settings.</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In this study, semi-structured interviews will be conducted with a purposive sample of English-majored students at Fuzhou University of International Studies and Trade. The interview guide will include open-ended questions focusing on students' experiences with pre-class materials, their emotional responses, cognitive engagement, and perceptions of in-class activities. For example, questions may include:</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"Can you describe your experience with the pre-class materials provided in the flipped classroom?"</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"How do these materials affect your motivation and understanding of the course content?"</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These interviews will be conducted in a quiet, comfortable setting to encourage openness and honesty. Each interview is expected to last approximately 45–60 minutes and will be audio-recorded with participants' consent for accurate transcription and analysis.</w:t>
      </w:r>
    </w:p>
    <w:p w14:paraId="0F514B5E">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p>
    <w:p w14:paraId="4A2D83C9">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The strength of semi-structured interviews lies in their ability to uncover deep insights into participants' thoughts and feelings, which are often inaccessible through other methods (Kvale &amp; Brinkmann, 2009). However, they also present challenges, such as the potential for interviewer bias and the time-consuming nature of data collection and analysis. To mitigate these issues, the interviewer will undergo training to ensure neutrality and consistency, and a pilot interview will be conducted to refine the interview guide.</w:t>
      </w:r>
    </w:p>
    <w:p w14:paraId="24ED913C">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p>
    <w:p w14:paraId="2C928747">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Open-ended questionnaires complement interviews by allowing participants to express their thoughts in writing, providing an additional layer of data for analysis. This method is particularly useful for reaching a broader sample and capturing a wider range of experiences (O'Leary, 2014).</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In this study, an open-ended questionnaire will be distributed to a larger group of English-majored students who have experienced flipped classrooms. The questionnaire will include prompts such as:</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"What challenges have you encountered when engaging with pre-class materials?"</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"How has the flipped classroom model influenced your participation during class time?"</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These questions are designed to elicit detailed responses that reflect students' personal experiences and perceptions. The questionnaires will be administered online to ensure accessibility and convenience for participants.</w:t>
      </w:r>
    </w:p>
    <w:p w14:paraId="34389903">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p>
    <w:p w14:paraId="37C913E2">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The advantage of open-ended questionnaires is their ability to gather diverse perspectives and identify common themes across a larger sample. However, they may also result in varied response lengths and depths, and the lack of opportunity for follow-up questions can limit the richness of the data. To address this, the questionnaire will be carefully designed to encourage detailed responses, and participants will be informed about the importance of providing comprehensive answers.</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Using both semi-structured interviews and open-ended questionnaires allows for methodological triangulation, enhancing the credibility and validity of the research findings (Patton, 2015). While interviews provide deep, contextual insights into individual experiences, questionnaires offer a broader overview of common challenges and perceptions among the student population.</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 xml:space="preserve">This combination of tools is particularly effective in exploring the emotional and cognitive engagement of students in flipped classrooms. </w:t>
      </w:r>
      <w:r>
        <w:rPr>
          <w:rFonts w:hint="eastAsia"/>
          <w:i w:val="0"/>
          <w:iCs w:val="0"/>
          <w:caps w:val="0"/>
          <w:color w:val="000000"/>
          <w:spacing w:val="0"/>
          <w:u w:val="none"/>
          <w:lang w:val="en-US" w:eastAsia="zh-CN"/>
        </w:rPr>
        <w:t>I</w:t>
      </w:r>
      <w:r>
        <w:rPr>
          <w:rFonts w:hint="default"/>
          <w:i w:val="0"/>
          <w:iCs w:val="0"/>
          <w:caps w:val="0"/>
          <w:color w:val="000000"/>
          <w:spacing w:val="0"/>
          <w:u w:val="none"/>
          <w:lang w:val="en-US" w:eastAsia="zh-CN"/>
        </w:rPr>
        <w:t>nterviews can delve into the emotional aspects of engagement, such as feelings of motivation or frustration, while questionnaires can capture cognitive aspects, such as understanding and retention of pre-class materials.</w:t>
      </w:r>
    </w:p>
    <w:p w14:paraId="6B754064">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p>
    <w:p w14:paraId="7E215FB4">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The choice of semi-structured interviews and open-ended questionnaires is informed by existing literature on student engagement in flipped classrooms. Steen-Utheim and Foldnes (2018) conducted a qualitative study using interviews to explore student engagement in a flipped classroom, highlighting the importance of understanding students' emotional and cognitive responses. Similarly, Alebrahim and Ku (2020) used interviews and questionnaires to examine perceptions of student engagement, demonstrating the effectiveness of these tools in capturing nuanced experiences.</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Furthermore, the use of these tools aligns with the interpretivist approach of this study, which seeks to understand the subjective meanings that students assign to their experiences in flipped classrooms (Bryman, 2016). By allowing students to articulate their thoughts and feelings in their own words, these tools facilitate a deeper understanding of the complexities of student engagement.</w:t>
      </w:r>
    </w:p>
    <w:p w14:paraId="17C6177E">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p>
    <w:p w14:paraId="112D1AFC">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While the selected research tools offer significant advantages, they also present limitations. Semi-structured interviews are time-intensive and may be influenced by interviewer bias. To mitigate this, the interviewer will follow a standardized protocol and maintain reflexivity throughout the research process.</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Open-ended questionnaires may result in varied response quality and lack the opportunity for clarification. To address this, clear instructions and prompts will be provided to encourage detailed responses, and follow-up interviews may be conducted with selected participants to explore their responses further.</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Additionally, cultural factors may influence students' willingness to share their experiences openly. To create a safe and supportive environment, participants will be assured of confidentiality and anonymity, and the research will be conducted with cultural sensitivity and respect.</w:t>
      </w:r>
    </w:p>
    <w:p w14:paraId="175E5577">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p>
    <w:p w14:paraId="58700EF5">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 xml:space="preserve">Given the qualitative nature of this study, the data collected through semi-structured interviews and open-ended questionnaires will be analysed using </w:t>
      </w:r>
      <w:r>
        <w:rPr>
          <w:rFonts w:hint="default"/>
          <w:b/>
          <w:bCs/>
          <w:i w:val="0"/>
          <w:iCs w:val="0"/>
          <w:caps w:val="0"/>
          <w:color w:val="000000"/>
          <w:spacing w:val="0"/>
          <w:u w:val="none"/>
          <w:lang w:val="en-US" w:eastAsia="zh-CN"/>
        </w:rPr>
        <w:t>thematic analysis</w:t>
      </w:r>
      <w:r>
        <w:rPr>
          <w:rFonts w:hint="default"/>
          <w:i w:val="0"/>
          <w:iCs w:val="0"/>
          <w:caps w:val="0"/>
          <w:color w:val="000000"/>
          <w:spacing w:val="0"/>
          <w:u w:val="none"/>
          <w:lang w:val="en-US" w:eastAsia="zh-CN"/>
        </w:rPr>
        <w:t>, a flexible and rigorous approach for identifying and interpreting patterns of meaning across qualitative data (Braun &amp; Clarke, 2006). This method is especially effective in exploring complex phenomena such as students' emotional and cognitive engagement, and the challenges they experience with pre-class materials in a flipped classroom setting.</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 xml:space="preserve">Thematic analysis will be conducted using Braun and Clarke’s (2006) six-phase framework: familiarisation with the data, generating initial codes, searching for themes, reviewing themes, defining and naming themes, and producing the final report. Both </w:t>
      </w:r>
      <w:r>
        <w:rPr>
          <w:rFonts w:hint="default"/>
          <w:b/>
          <w:bCs/>
          <w:i w:val="0"/>
          <w:iCs w:val="0"/>
          <w:caps w:val="0"/>
          <w:color w:val="000000"/>
          <w:spacing w:val="0"/>
          <w:u w:val="none"/>
          <w:lang w:val="en-US" w:eastAsia="zh-CN"/>
        </w:rPr>
        <w:t>inductive</w:t>
      </w:r>
      <w:r>
        <w:rPr>
          <w:rFonts w:hint="default"/>
          <w:i w:val="0"/>
          <w:iCs w:val="0"/>
          <w:caps w:val="0"/>
          <w:color w:val="000000"/>
          <w:spacing w:val="0"/>
          <w:u w:val="none"/>
          <w:lang w:val="en-US" w:eastAsia="zh-CN"/>
        </w:rPr>
        <w:t xml:space="preserve"> and </w:t>
      </w:r>
      <w:r>
        <w:rPr>
          <w:rFonts w:hint="default"/>
          <w:b/>
          <w:bCs/>
          <w:i w:val="0"/>
          <w:iCs w:val="0"/>
          <w:caps w:val="0"/>
          <w:color w:val="000000"/>
          <w:spacing w:val="0"/>
          <w:u w:val="none"/>
          <w:lang w:val="en-US" w:eastAsia="zh-CN"/>
        </w:rPr>
        <w:t xml:space="preserve">deductive </w:t>
      </w:r>
      <w:r>
        <w:rPr>
          <w:rFonts w:hint="default"/>
          <w:i w:val="0"/>
          <w:iCs w:val="0"/>
          <w:caps w:val="0"/>
          <w:color w:val="000000"/>
          <w:spacing w:val="0"/>
          <w:u w:val="none"/>
          <w:lang w:val="en-US" w:eastAsia="zh-CN"/>
        </w:rPr>
        <w:t>coding strategies will be applied. Inductive coding will allow for the emergence of unexpected themes directly from the data, while deductive coding will be guided by existing theoretical frameworks, such as Fredricks et al.'s (2004) model of student engagement, which includes behavioural, emotional, and cognitive dimensions.</w:t>
      </w:r>
    </w:p>
    <w:p w14:paraId="3F75AA81">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p>
    <w:p w14:paraId="2610C4BA">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To manage and organise the data systematically, qualitative data analysis software such as NVivo or MAXQDA will be used. These tools assist in data categorisation, retrieval, and thematic mapping, enhancing the overall transparency and organisation of the analysis process (Bazeley &amp; Jackson, 2013). However, it is important to emphasise that these tools do not perform analysis themselves; rather, the interpretation and meaning-making remain firmly grounded in the researcher’s critical judgement (Silver &amp; Lewins, 2014).</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 xml:space="preserve">A key strength of thematic analysis is its flexibility and adaptability to various epistemological positions. In this study, a </w:t>
      </w:r>
      <w:r>
        <w:rPr>
          <w:rFonts w:hint="default"/>
          <w:b/>
          <w:bCs/>
          <w:i w:val="0"/>
          <w:iCs w:val="0"/>
          <w:caps w:val="0"/>
          <w:color w:val="000000"/>
          <w:spacing w:val="0"/>
          <w:u w:val="none"/>
          <w:lang w:val="en-US" w:eastAsia="zh-CN"/>
        </w:rPr>
        <w:t xml:space="preserve">constructivist approach </w:t>
      </w:r>
      <w:r>
        <w:rPr>
          <w:rFonts w:hint="default"/>
          <w:i w:val="0"/>
          <w:iCs w:val="0"/>
          <w:caps w:val="0"/>
          <w:color w:val="000000"/>
          <w:spacing w:val="0"/>
          <w:u w:val="none"/>
          <w:lang w:val="en-US" w:eastAsia="zh-CN"/>
        </w:rPr>
        <w:t>will be adopted, recognising that students’ experiences are contextually situated and socially constructed. This perspective is appropriate given the study’s aim to explore perceptions rather than measurable outcomes. Additionally, thematic analysis supports both surface-level (semantic) and deeper (latent) meaning analysis, which is especially relevant when exploring emotional and cognitive aspects of engagement that may not always be explicitly expressed (Guest, MacQueen &amp; Namey, 2012).</w:t>
      </w:r>
    </w:p>
    <w:p w14:paraId="30A12FB2">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p>
    <w:p w14:paraId="7C35C268">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 xml:space="preserve">Nonetheless, one limitation of thematic analysis is its reliance on the researcher's interpretative lens, which can introduce subjectivity. To address this, the researcher will engage in </w:t>
      </w:r>
      <w:r>
        <w:rPr>
          <w:rFonts w:hint="default"/>
          <w:b/>
          <w:bCs/>
          <w:i w:val="0"/>
          <w:iCs w:val="0"/>
          <w:caps w:val="0"/>
          <w:color w:val="000000"/>
          <w:spacing w:val="0"/>
          <w:u w:val="none"/>
          <w:lang w:val="en-US" w:eastAsia="zh-CN"/>
        </w:rPr>
        <w:t>reflexive practices</w:t>
      </w:r>
      <w:r>
        <w:rPr>
          <w:rFonts w:hint="default"/>
          <w:i w:val="0"/>
          <w:iCs w:val="0"/>
          <w:caps w:val="0"/>
          <w:color w:val="000000"/>
          <w:spacing w:val="0"/>
          <w:u w:val="none"/>
          <w:lang w:val="en-US" w:eastAsia="zh-CN"/>
        </w:rPr>
        <w:t xml:space="preserve"> throughout the process, documenting decisions and maintaining transparency in the development of codes and themes (Nowell et al., 2017). This self-awareness contributes to the credibility and trustworthiness of the findings.</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In sum, thematic analysis provides a robust and flexible tool for interpreting rich qualitative data and is well suited to this study’s focus on students’ perspectives in a flipped learning environment.</w:t>
      </w:r>
    </w:p>
    <w:p w14:paraId="2E530984">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p>
    <w:p w14:paraId="752EB595">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sz w:val="28"/>
          <w:szCs w:val="28"/>
          <w:u w:val="none"/>
          <w:lang w:val="en-US" w:eastAsia="zh-CN"/>
        </w:rPr>
      </w:pPr>
      <w:r>
        <w:rPr>
          <w:rFonts w:hint="default"/>
          <w:b/>
          <w:bCs/>
          <w:i w:val="0"/>
          <w:iCs w:val="0"/>
          <w:caps w:val="0"/>
          <w:color w:val="000000"/>
          <w:spacing w:val="0"/>
          <w:sz w:val="28"/>
          <w:szCs w:val="28"/>
          <w:u w:val="none"/>
          <w:lang w:val="en-US" w:eastAsia="zh-CN"/>
        </w:rPr>
        <w:t>Conclusion</w:t>
      </w:r>
    </w:p>
    <w:p w14:paraId="6C3AC88D">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This study adopts a qualitative approach to explore Chinese English-major students’ perceptions of flipped classroom engagement and pre-class challenges. Through student-centered tools and thematic analysis, it aims to provide deeper insights into how flipped learning enhances engagement, supporting pedagogical refinement (Braun &amp; Clarke, 2006; Fredricks, Blumenfeld &amp; Paris, 2004).</w:t>
      </w:r>
    </w:p>
    <w:p w14:paraId="19D715C4">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p>
    <w:p w14:paraId="08D2EB8A">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p>
    <w:p w14:paraId="71A6A569">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p>
    <w:p w14:paraId="58C41228">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p>
    <w:p w14:paraId="7F62E06D">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left"/>
        <w:textAlignment w:val="auto"/>
        <w:rPr>
          <w:rFonts w:hint="eastAsia"/>
          <w:b/>
          <w:bCs/>
          <w:i w:val="0"/>
          <w:iCs w:val="0"/>
          <w:caps w:val="0"/>
          <w:color w:val="000000"/>
          <w:spacing w:val="0"/>
          <w:sz w:val="28"/>
          <w:szCs w:val="28"/>
          <w:u w:val="none"/>
          <w:lang w:val="en-US" w:eastAsia="zh-CN"/>
        </w:rPr>
      </w:pPr>
      <w:r>
        <w:rPr>
          <w:rFonts w:hint="default"/>
          <w:b/>
          <w:bCs/>
          <w:i w:val="0"/>
          <w:iCs w:val="0"/>
          <w:caps w:val="0"/>
          <w:color w:val="000000"/>
          <w:spacing w:val="0"/>
          <w:sz w:val="28"/>
          <w:szCs w:val="28"/>
          <w:u w:val="none"/>
          <w:lang w:val="en-US" w:eastAsia="zh-CN"/>
        </w:rPr>
        <w:t>References</w:t>
      </w:r>
    </w:p>
    <w:p w14:paraId="4F248EB5">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rPr>
        <w:t xml:space="preserve">Abeysekera, L. and Dawson, P. (2015) ‘Motivation and cognitive load in the flipped classroom: definition, rationale and a call for research’, </w:t>
      </w:r>
      <w:r>
        <w:rPr>
          <w:rFonts w:hint="default" w:asciiTheme="minorAscii" w:hAnsiTheme="minorAscii"/>
          <w:i/>
          <w:iCs/>
          <w:caps w:val="0"/>
          <w:color w:val="000000"/>
          <w:spacing w:val="0"/>
          <w:u w:val="none"/>
        </w:rPr>
        <w:t>Higher Education Research &amp; Development</w:t>
      </w:r>
      <w:r>
        <w:rPr>
          <w:rFonts w:hint="default" w:asciiTheme="minorAscii" w:hAnsiTheme="minorAscii"/>
          <w:i w:val="0"/>
          <w:iCs w:val="0"/>
          <w:caps w:val="0"/>
          <w:color w:val="000000"/>
          <w:spacing w:val="0"/>
          <w:u w:val="none"/>
        </w:rPr>
        <w:t>, 34(1), pp. 1–14.</w:t>
      </w:r>
    </w:p>
    <w:p w14:paraId="14B57ED7">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lang w:val="en-US" w:eastAsia="zh-CN"/>
        </w:rPr>
      </w:pPr>
      <w:r>
        <w:rPr>
          <w:rFonts w:hint="default" w:asciiTheme="minorAscii" w:hAnsiTheme="minorAscii"/>
          <w:i w:val="0"/>
          <w:iCs w:val="0"/>
          <w:caps w:val="0"/>
          <w:color w:val="000000"/>
          <w:spacing w:val="0"/>
          <w:u w:val="none"/>
          <w:lang w:val="en-US" w:eastAsia="zh-CN"/>
        </w:rPr>
        <w:t xml:space="preserve">Alebrahim, F. and Ku, H.Y. (2020) 'Perceptions of student engagement in the flipped classroom: a case study', </w:t>
      </w:r>
      <w:r>
        <w:rPr>
          <w:rFonts w:hint="default" w:asciiTheme="minorAscii" w:hAnsiTheme="minorAscii"/>
          <w:i/>
          <w:iCs/>
          <w:caps w:val="0"/>
          <w:color w:val="000000"/>
          <w:spacing w:val="0"/>
          <w:u w:val="none"/>
          <w:lang w:val="en-US" w:eastAsia="zh-CN"/>
        </w:rPr>
        <w:t>Educational Media International</w:t>
      </w:r>
      <w:r>
        <w:rPr>
          <w:rFonts w:hint="default" w:asciiTheme="minorAscii" w:hAnsiTheme="minorAscii"/>
          <w:i w:val="0"/>
          <w:iCs w:val="0"/>
          <w:caps w:val="0"/>
          <w:color w:val="000000"/>
          <w:spacing w:val="0"/>
          <w:u w:val="none"/>
          <w:lang w:val="en-US" w:eastAsia="zh-CN"/>
        </w:rPr>
        <w:t>, 57(2), pp. 128–147. https://doi.org/10.1080/09523987.2020.1786776</w:t>
      </w:r>
    </w:p>
    <w:p w14:paraId="55264EF6">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lang w:val="en-US" w:eastAsia="zh-CN"/>
        </w:rPr>
        <w:t xml:space="preserve">Bazeley, P. and Jackson, K. (2013) </w:t>
      </w:r>
      <w:r>
        <w:rPr>
          <w:rFonts w:hint="default" w:asciiTheme="minorAscii" w:hAnsiTheme="minorAscii"/>
          <w:i/>
          <w:iCs/>
          <w:caps w:val="0"/>
          <w:color w:val="000000"/>
          <w:spacing w:val="0"/>
          <w:u w:val="none"/>
          <w:lang w:val="en-US" w:eastAsia="zh-CN"/>
        </w:rPr>
        <w:t>Qualitative data analysis with NVivo</w:t>
      </w:r>
      <w:r>
        <w:rPr>
          <w:rFonts w:hint="default" w:asciiTheme="minorAscii" w:hAnsiTheme="minorAscii"/>
          <w:i w:val="0"/>
          <w:iCs w:val="0"/>
          <w:caps w:val="0"/>
          <w:color w:val="000000"/>
          <w:spacing w:val="0"/>
          <w:u w:val="none"/>
          <w:lang w:val="en-US" w:eastAsia="zh-CN"/>
        </w:rPr>
        <w:t>. 2nd edn. London: SAGE Publications.</w:t>
      </w:r>
    </w:p>
    <w:p w14:paraId="44D8D6E5">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lang w:val="en-US" w:eastAsia="zh-CN"/>
        </w:rPr>
        <w:t xml:space="preserve">BERA (2018) </w:t>
      </w:r>
      <w:r>
        <w:rPr>
          <w:rFonts w:hint="default" w:asciiTheme="minorAscii" w:hAnsiTheme="minorAscii"/>
          <w:i/>
          <w:iCs/>
          <w:caps w:val="0"/>
          <w:color w:val="000000"/>
          <w:spacing w:val="0"/>
          <w:u w:val="none"/>
          <w:lang w:val="en-US" w:eastAsia="zh-CN"/>
        </w:rPr>
        <w:t>Ethical guidelines for educational research</w:t>
      </w:r>
      <w:r>
        <w:rPr>
          <w:rFonts w:hint="default" w:asciiTheme="minorAscii" w:hAnsiTheme="minorAscii"/>
          <w:i w:val="0"/>
          <w:iCs w:val="0"/>
          <w:caps w:val="0"/>
          <w:color w:val="000000"/>
          <w:spacing w:val="0"/>
          <w:u w:val="none"/>
          <w:lang w:val="en-US" w:eastAsia="zh-CN"/>
        </w:rPr>
        <w:t>. 4th edn. London: British Educational Research Association. Available at: https://www.bera.ac.uk/publication/ethical-guidelines-for-educational-research-2018</w:t>
      </w:r>
    </w:p>
    <w:p w14:paraId="098BAA3A">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rPr>
        <w:t xml:space="preserve">Bergmann, J. and Sams, A. (2012) </w:t>
      </w:r>
      <w:r>
        <w:rPr>
          <w:rFonts w:hint="default" w:asciiTheme="minorAscii" w:hAnsiTheme="minorAscii"/>
          <w:i/>
          <w:iCs/>
          <w:caps w:val="0"/>
          <w:color w:val="000000"/>
          <w:spacing w:val="0"/>
          <w:u w:val="none"/>
        </w:rPr>
        <w:t>Flip your classroom: Reach every student in every class every day</w:t>
      </w:r>
      <w:r>
        <w:rPr>
          <w:rFonts w:hint="default" w:asciiTheme="minorAscii" w:hAnsiTheme="minorAscii"/>
          <w:i w:val="0"/>
          <w:iCs w:val="0"/>
          <w:caps w:val="0"/>
          <w:color w:val="000000"/>
          <w:spacing w:val="0"/>
          <w:u w:val="none"/>
        </w:rPr>
        <w:t>. Alexandria, VA: ISTE.</w:t>
      </w:r>
    </w:p>
    <w:p w14:paraId="76EE2413">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lang w:val="en-US" w:eastAsia="zh-CN"/>
        </w:rPr>
        <w:t xml:space="preserve">Braun, V. and Clarke, V. (2006) 'Using thematic analysis in psychology', </w:t>
      </w:r>
      <w:r>
        <w:rPr>
          <w:rFonts w:hint="default" w:asciiTheme="minorAscii" w:hAnsiTheme="minorAscii"/>
          <w:i/>
          <w:iCs/>
          <w:caps w:val="0"/>
          <w:color w:val="000000"/>
          <w:spacing w:val="0"/>
          <w:u w:val="none"/>
          <w:lang w:val="en-US" w:eastAsia="zh-CN"/>
        </w:rPr>
        <w:t>Qualitative Research in Psychology</w:t>
      </w:r>
      <w:r>
        <w:rPr>
          <w:rFonts w:hint="default" w:asciiTheme="minorAscii" w:hAnsiTheme="minorAscii"/>
          <w:i w:val="0"/>
          <w:iCs w:val="0"/>
          <w:caps w:val="0"/>
          <w:color w:val="000000"/>
          <w:spacing w:val="0"/>
          <w:u w:val="none"/>
          <w:lang w:val="en-US" w:eastAsia="zh-CN"/>
        </w:rPr>
        <w:t>, 3(2), pp. 77–101. https://doi.org/10.1191/1478088706qp063oa</w:t>
      </w:r>
    </w:p>
    <w:p w14:paraId="3E824E2C">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rPr>
        <w:t xml:space="preserve">Braun, V. and Clarke, V. (2013) </w:t>
      </w:r>
      <w:r>
        <w:rPr>
          <w:rFonts w:hint="default" w:asciiTheme="minorAscii" w:hAnsiTheme="minorAscii"/>
          <w:i/>
          <w:iCs/>
          <w:caps w:val="0"/>
          <w:color w:val="000000"/>
          <w:spacing w:val="0"/>
          <w:u w:val="none"/>
        </w:rPr>
        <w:t>Successful qualitative research: A practical guide for beginners</w:t>
      </w:r>
      <w:r>
        <w:rPr>
          <w:rFonts w:hint="default" w:asciiTheme="minorAscii" w:hAnsiTheme="minorAscii"/>
          <w:i w:val="0"/>
          <w:iCs w:val="0"/>
          <w:caps w:val="0"/>
          <w:color w:val="000000"/>
          <w:spacing w:val="0"/>
          <w:u w:val="none"/>
        </w:rPr>
        <w:t>. London: SAGE.</w:t>
      </w:r>
    </w:p>
    <w:p w14:paraId="38BAA6D3">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lang w:val="en-US" w:eastAsia="zh-CN"/>
        </w:rPr>
        <w:t xml:space="preserve">Bryman, A. (2016) </w:t>
      </w:r>
      <w:r>
        <w:rPr>
          <w:rFonts w:hint="default" w:asciiTheme="minorAscii" w:hAnsiTheme="minorAscii"/>
          <w:i/>
          <w:iCs/>
          <w:caps w:val="0"/>
          <w:color w:val="000000"/>
          <w:spacing w:val="0"/>
          <w:u w:val="none"/>
          <w:lang w:val="en-US" w:eastAsia="zh-CN"/>
        </w:rPr>
        <w:t>Social research methods</w:t>
      </w:r>
      <w:r>
        <w:rPr>
          <w:rFonts w:hint="default" w:asciiTheme="minorAscii" w:hAnsiTheme="minorAscii"/>
          <w:i w:val="0"/>
          <w:iCs w:val="0"/>
          <w:caps w:val="0"/>
          <w:color w:val="000000"/>
          <w:spacing w:val="0"/>
          <w:u w:val="none"/>
          <w:lang w:val="en-US" w:eastAsia="zh-CN"/>
        </w:rPr>
        <w:t>. 5th edn. Oxford: Oxford University Press.</w:t>
      </w:r>
    </w:p>
    <w:p w14:paraId="7ADE176D">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lang w:val="en-US" w:eastAsia="zh-CN"/>
        </w:rPr>
        <w:t xml:space="preserve">Cohen, L., Manion, L. and Morrison, K. (2018) </w:t>
      </w:r>
      <w:r>
        <w:rPr>
          <w:rFonts w:hint="default" w:asciiTheme="minorAscii" w:hAnsiTheme="minorAscii"/>
          <w:i/>
          <w:iCs/>
          <w:caps w:val="0"/>
          <w:color w:val="000000"/>
          <w:spacing w:val="0"/>
          <w:u w:val="none"/>
          <w:lang w:val="en-US" w:eastAsia="zh-CN"/>
        </w:rPr>
        <w:t>Research methods in education</w:t>
      </w:r>
      <w:r>
        <w:rPr>
          <w:rFonts w:hint="default" w:asciiTheme="minorAscii" w:hAnsiTheme="minorAscii"/>
          <w:i w:val="0"/>
          <w:iCs w:val="0"/>
          <w:caps w:val="0"/>
          <w:color w:val="000000"/>
          <w:spacing w:val="0"/>
          <w:u w:val="none"/>
          <w:lang w:val="en-US" w:eastAsia="zh-CN"/>
        </w:rPr>
        <w:t>. 8th edn. London: Routledge.</w:t>
      </w:r>
    </w:p>
    <w:p w14:paraId="1B31605B">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rPr>
        <w:t xml:space="preserve">Creswell, J.W. (2014) </w:t>
      </w:r>
      <w:r>
        <w:rPr>
          <w:rFonts w:hint="default" w:asciiTheme="minorAscii" w:hAnsiTheme="minorAscii"/>
          <w:i/>
          <w:iCs/>
          <w:caps w:val="0"/>
          <w:color w:val="000000"/>
          <w:spacing w:val="0"/>
          <w:u w:val="none"/>
        </w:rPr>
        <w:t>Research design: Qualitative, quantitative, and mixed methods approaches</w:t>
      </w:r>
      <w:r>
        <w:rPr>
          <w:rFonts w:hint="default" w:asciiTheme="minorAscii" w:hAnsiTheme="minorAscii"/>
          <w:i w:val="0"/>
          <w:iCs w:val="0"/>
          <w:caps w:val="0"/>
          <w:color w:val="000000"/>
          <w:spacing w:val="0"/>
          <w:u w:val="none"/>
        </w:rPr>
        <w:t>. 4th edn. Thousand Oaks, CA: SAGE.</w:t>
      </w:r>
    </w:p>
    <w:p w14:paraId="31C51845">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rPr>
        <w:t xml:space="preserve">Dörnyei, Z. (2007) </w:t>
      </w:r>
      <w:r>
        <w:rPr>
          <w:rFonts w:hint="default" w:asciiTheme="minorAscii" w:hAnsiTheme="minorAscii"/>
          <w:i/>
          <w:iCs/>
          <w:caps w:val="0"/>
          <w:color w:val="000000"/>
          <w:spacing w:val="0"/>
          <w:u w:val="none"/>
        </w:rPr>
        <w:t>Research methods in applied linguistics: Quantitative, qualitative, and mixed methodologies</w:t>
      </w:r>
      <w:r>
        <w:rPr>
          <w:rFonts w:hint="default" w:asciiTheme="minorAscii" w:hAnsiTheme="minorAscii"/>
          <w:i w:val="0"/>
          <w:iCs w:val="0"/>
          <w:caps w:val="0"/>
          <w:color w:val="000000"/>
          <w:spacing w:val="0"/>
          <w:u w:val="none"/>
        </w:rPr>
        <w:t>. Oxford: Oxford University Press.</w:t>
      </w:r>
    </w:p>
    <w:p w14:paraId="48A6F43E">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lang w:val="en-US" w:eastAsia="zh-CN"/>
        </w:rPr>
        <w:t xml:space="preserve">Etikan, I., Musa, S.A. and Alkassim, R.S. (2016) ‘Comparison of convenience sampling and purposive sampling’, </w:t>
      </w:r>
      <w:r>
        <w:rPr>
          <w:rFonts w:hint="default" w:asciiTheme="minorAscii" w:hAnsiTheme="minorAscii"/>
          <w:i/>
          <w:iCs/>
          <w:caps w:val="0"/>
          <w:color w:val="000000"/>
          <w:spacing w:val="0"/>
          <w:u w:val="none"/>
          <w:lang w:val="en-US" w:eastAsia="zh-CN"/>
        </w:rPr>
        <w:t>American Journal of Theoretical and Applied Statistics</w:t>
      </w:r>
      <w:r>
        <w:rPr>
          <w:rFonts w:hint="default" w:asciiTheme="minorAscii" w:hAnsiTheme="minorAscii"/>
          <w:i w:val="0"/>
          <w:iCs w:val="0"/>
          <w:caps w:val="0"/>
          <w:color w:val="000000"/>
          <w:spacing w:val="0"/>
          <w:u w:val="none"/>
          <w:lang w:val="en-US" w:eastAsia="zh-CN"/>
        </w:rPr>
        <w:t>, 5(1), pp. 1–4.</w:t>
      </w:r>
    </w:p>
    <w:p w14:paraId="70DAB8A8">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lang w:val="en-US" w:eastAsia="zh-CN"/>
        </w:rPr>
      </w:pPr>
      <w:r>
        <w:rPr>
          <w:rFonts w:hint="default" w:asciiTheme="minorAscii" w:hAnsiTheme="minorAscii"/>
          <w:i w:val="0"/>
          <w:iCs w:val="0"/>
          <w:caps w:val="0"/>
          <w:color w:val="000000"/>
          <w:spacing w:val="0"/>
          <w:u w:val="none"/>
          <w:lang w:val="en-US" w:eastAsia="zh-CN"/>
        </w:rPr>
        <w:t xml:space="preserve">Flick, U. (2014) </w:t>
      </w:r>
      <w:r>
        <w:rPr>
          <w:rFonts w:hint="default" w:asciiTheme="minorAscii" w:hAnsiTheme="minorAscii"/>
          <w:i/>
          <w:iCs/>
          <w:caps w:val="0"/>
          <w:color w:val="000000"/>
          <w:spacing w:val="0"/>
          <w:u w:val="none"/>
          <w:lang w:val="en-US" w:eastAsia="zh-CN"/>
        </w:rPr>
        <w:t>An introduction to qualitative research</w:t>
      </w:r>
      <w:r>
        <w:rPr>
          <w:rFonts w:hint="default" w:asciiTheme="minorAscii" w:hAnsiTheme="minorAscii"/>
          <w:i w:val="0"/>
          <w:iCs w:val="0"/>
          <w:caps w:val="0"/>
          <w:color w:val="000000"/>
          <w:spacing w:val="0"/>
          <w:u w:val="none"/>
          <w:lang w:val="en-US" w:eastAsia="zh-CN"/>
        </w:rPr>
        <w:t>. 5th edn. London: SAGE.</w:t>
      </w:r>
    </w:p>
    <w:p w14:paraId="4E28C653">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lang w:val="en-US" w:eastAsia="zh-CN"/>
        </w:rPr>
      </w:pPr>
      <w:r>
        <w:rPr>
          <w:rFonts w:hint="default" w:asciiTheme="minorAscii" w:hAnsiTheme="minorAscii"/>
          <w:i w:val="0"/>
          <w:iCs w:val="0"/>
          <w:caps w:val="0"/>
          <w:color w:val="000000"/>
          <w:spacing w:val="0"/>
          <w:u w:val="none"/>
          <w:lang w:val="en-US" w:eastAsia="zh-CN"/>
        </w:rPr>
        <w:t xml:space="preserve">Fredricks, J.A., Blumenfeld, P.C. and Paris, A.H. (2004) 'School engagement: potential of the concept, state of the evidence', </w:t>
      </w:r>
      <w:r>
        <w:rPr>
          <w:rFonts w:hint="default" w:asciiTheme="minorAscii" w:hAnsiTheme="minorAscii"/>
          <w:i/>
          <w:iCs/>
          <w:caps w:val="0"/>
          <w:color w:val="000000"/>
          <w:spacing w:val="0"/>
          <w:u w:val="none"/>
          <w:lang w:val="en-US" w:eastAsia="zh-CN"/>
        </w:rPr>
        <w:t>Review of Educational Research</w:t>
      </w:r>
      <w:r>
        <w:rPr>
          <w:rFonts w:hint="default" w:asciiTheme="minorAscii" w:hAnsiTheme="minorAscii"/>
          <w:i w:val="0"/>
          <w:iCs w:val="0"/>
          <w:caps w:val="0"/>
          <w:color w:val="000000"/>
          <w:spacing w:val="0"/>
          <w:u w:val="none"/>
          <w:lang w:val="en-US" w:eastAsia="zh-CN"/>
        </w:rPr>
        <w:t>, 74(1), pp. 59–109.</w:t>
      </w:r>
    </w:p>
    <w:p w14:paraId="1DCA6AD4">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lang w:val="en-US" w:eastAsia="zh-CN"/>
        </w:rPr>
      </w:pPr>
      <w:r>
        <w:rPr>
          <w:rFonts w:hint="default" w:asciiTheme="minorAscii" w:hAnsiTheme="minorAscii"/>
          <w:i w:val="0"/>
          <w:iCs w:val="0"/>
          <w:caps w:val="0"/>
          <w:color w:val="000000"/>
          <w:spacing w:val="0"/>
          <w:u w:val="none"/>
          <w:lang w:val="en-US" w:eastAsia="zh-CN"/>
        </w:rPr>
        <w:t xml:space="preserve">Guest, G., Bunce, A. and Johnson, L. (2006) ‘How many interviews are enough? An experiment with data saturation and variability’, </w:t>
      </w:r>
      <w:r>
        <w:rPr>
          <w:rFonts w:hint="default" w:asciiTheme="minorAscii" w:hAnsiTheme="minorAscii"/>
          <w:i/>
          <w:iCs/>
          <w:caps w:val="0"/>
          <w:color w:val="000000"/>
          <w:spacing w:val="0"/>
          <w:u w:val="none"/>
          <w:lang w:val="en-US" w:eastAsia="zh-CN"/>
        </w:rPr>
        <w:t>Field Methods</w:t>
      </w:r>
      <w:r>
        <w:rPr>
          <w:rFonts w:hint="default" w:asciiTheme="minorAscii" w:hAnsiTheme="minorAscii"/>
          <w:i w:val="0"/>
          <w:iCs w:val="0"/>
          <w:caps w:val="0"/>
          <w:color w:val="000000"/>
          <w:spacing w:val="0"/>
          <w:u w:val="none"/>
          <w:lang w:val="en-US" w:eastAsia="zh-CN"/>
        </w:rPr>
        <w:t>, 18(1), pp. 59–82.</w:t>
      </w:r>
    </w:p>
    <w:p w14:paraId="01901332">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lang w:val="en-US" w:eastAsia="zh-CN"/>
        </w:rPr>
      </w:pPr>
      <w:r>
        <w:rPr>
          <w:rFonts w:hint="default" w:asciiTheme="minorAscii" w:hAnsiTheme="minorAscii"/>
          <w:i w:val="0"/>
          <w:iCs w:val="0"/>
          <w:caps w:val="0"/>
          <w:color w:val="000000"/>
          <w:spacing w:val="0"/>
          <w:u w:val="none"/>
          <w:lang w:val="en-US" w:eastAsia="zh-CN"/>
        </w:rPr>
        <w:t xml:space="preserve">Guest, G., MacQueen, K.M. and Namey, E.E. (2012) </w:t>
      </w:r>
      <w:r>
        <w:rPr>
          <w:rFonts w:hint="default" w:asciiTheme="minorAscii" w:hAnsiTheme="minorAscii"/>
          <w:i/>
          <w:iCs/>
          <w:caps w:val="0"/>
          <w:color w:val="000000"/>
          <w:spacing w:val="0"/>
          <w:u w:val="none"/>
          <w:lang w:val="en-US" w:eastAsia="zh-CN"/>
        </w:rPr>
        <w:t>Applied thematic analysis</w:t>
      </w:r>
      <w:r>
        <w:rPr>
          <w:rFonts w:hint="default" w:asciiTheme="minorAscii" w:hAnsiTheme="minorAscii"/>
          <w:i w:val="0"/>
          <w:iCs w:val="0"/>
          <w:caps w:val="0"/>
          <w:color w:val="000000"/>
          <w:spacing w:val="0"/>
          <w:u w:val="none"/>
          <w:lang w:val="en-US" w:eastAsia="zh-CN"/>
        </w:rPr>
        <w:t>. Thousand Oaks, CA: SAGE Publications.</w:t>
      </w:r>
    </w:p>
    <w:p w14:paraId="750DD292">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rPr>
        <w:t xml:space="preserve">Hao, Y. (2016) ‘Teachers’ concerns about the flipped classroom model: A cross-cultural study’, </w:t>
      </w:r>
      <w:r>
        <w:rPr>
          <w:rFonts w:hint="default" w:asciiTheme="minorAscii" w:hAnsiTheme="minorAscii"/>
          <w:i/>
          <w:iCs/>
          <w:caps w:val="0"/>
          <w:color w:val="000000"/>
          <w:spacing w:val="0"/>
          <w:u w:val="none"/>
        </w:rPr>
        <w:t>British Journal of Educational Technology</w:t>
      </w:r>
      <w:r>
        <w:rPr>
          <w:rFonts w:hint="default" w:asciiTheme="minorAscii" w:hAnsiTheme="minorAscii"/>
          <w:i w:val="0"/>
          <w:iCs w:val="0"/>
          <w:caps w:val="0"/>
          <w:color w:val="000000"/>
          <w:spacing w:val="0"/>
          <w:u w:val="none"/>
        </w:rPr>
        <w:t>, 47(4), pp. 735–747.</w:t>
      </w:r>
    </w:p>
    <w:p w14:paraId="1583DED3">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lang w:val="en-US" w:eastAsia="zh-CN"/>
        </w:rPr>
        <w:t xml:space="preserve">Israel, M. and Hay, I. (2006) </w:t>
      </w:r>
      <w:r>
        <w:rPr>
          <w:rFonts w:hint="default" w:asciiTheme="minorAscii" w:hAnsiTheme="minorAscii"/>
          <w:i/>
          <w:iCs/>
          <w:caps w:val="0"/>
          <w:color w:val="000000"/>
          <w:spacing w:val="0"/>
          <w:u w:val="none"/>
          <w:lang w:val="en-US" w:eastAsia="zh-CN"/>
        </w:rPr>
        <w:t>Research ethics for social scientists</w:t>
      </w:r>
      <w:r>
        <w:rPr>
          <w:rFonts w:hint="default" w:asciiTheme="minorAscii" w:hAnsiTheme="minorAscii"/>
          <w:i w:val="0"/>
          <w:iCs w:val="0"/>
          <w:caps w:val="0"/>
          <w:color w:val="000000"/>
          <w:spacing w:val="0"/>
          <w:u w:val="none"/>
          <w:lang w:val="en-US" w:eastAsia="zh-CN"/>
        </w:rPr>
        <w:t>. London: SAGE.</w:t>
      </w:r>
    </w:p>
    <w:p w14:paraId="0B15945D">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rPr>
        <w:t xml:space="preserve">Kvale, S. and Brinkmann, S. (2009) </w:t>
      </w:r>
      <w:r>
        <w:rPr>
          <w:rFonts w:hint="default" w:asciiTheme="minorAscii" w:hAnsiTheme="minorAscii"/>
          <w:i/>
          <w:iCs/>
          <w:caps w:val="0"/>
          <w:color w:val="000000"/>
          <w:spacing w:val="0"/>
          <w:u w:val="none"/>
        </w:rPr>
        <w:t>InterViews: Learning the craft of qualitative research interviewing</w:t>
      </w:r>
      <w:r>
        <w:rPr>
          <w:rFonts w:hint="default" w:asciiTheme="minorAscii" w:hAnsiTheme="minorAscii"/>
          <w:i w:val="0"/>
          <w:iCs w:val="0"/>
          <w:caps w:val="0"/>
          <w:color w:val="000000"/>
          <w:spacing w:val="0"/>
          <w:u w:val="none"/>
        </w:rPr>
        <w:t>. 2nd edn. Thousand Oaks, CA: SAGE.</w:t>
      </w:r>
    </w:p>
    <w:p w14:paraId="31A7D2F3">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rPr>
        <w:t xml:space="preserve">Lo, C.K. and Hew, K.F. (2017) ‘A critical review of flipped classroom challenges in K–12 education: possible solutions and recommendations for future research’, </w:t>
      </w:r>
      <w:r>
        <w:rPr>
          <w:rFonts w:hint="default" w:asciiTheme="minorAscii" w:hAnsiTheme="minorAscii"/>
          <w:i/>
          <w:iCs/>
          <w:caps w:val="0"/>
          <w:color w:val="000000"/>
          <w:spacing w:val="0"/>
          <w:u w:val="none"/>
        </w:rPr>
        <w:t>Research and Practice in Technology Enhanced Learning</w:t>
      </w:r>
      <w:r>
        <w:rPr>
          <w:rFonts w:hint="default" w:asciiTheme="minorAscii" w:hAnsiTheme="minorAscii"/>
          <w:i w:val="0"/>
          <w:iCs w:val="0"/>
          <w:caps w:val="0"/>
          <w:color w:val="000000"/>
          <w:spacing w:val="0"/>
          <w:u w:val="none"/>
        </w:rPr>
        <w:t>, 12(1), pp. 1–22.</w:t>
      </w:r>
    </w:p>
    <w:p w14:paraId="3A79DD37">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lang w:val="en-US" w:eastAsia="zh-CN"/>
        </w:rPr>
      </w:pPr>
      <w:r>
        <w:rPr>
          <w:rFonts w:hint="default" w:asciiTheme="minorAscii" w:hAnsiTheme="minorAscii"/>
          <w:i w:val="0"/>
          <w:iCs w:val="0"/>
          <w:caps w:val="0"/>
          <w:color w:val="000000"/>
          <w:spacing w:val="0"/>
          <w:u w:val="none"/>
          <w:lang w:val="en-US" w:eastAsia="zh-CN"/>
        </w:rPr>
        <w:t xml:space="preserve">Miles, M.B., Huberman, A.M. and Saldaña, J. (2014) </w:t>
      </w:r>
      <w:r>
        <w:rPr>
          <w:rFonts w:hint="default" w:asciiTheme="minorAscii" w:hAnsiTheme="minorAscii"/>
          <w:i/>
          <w:iCs/>
          <w:caps w:val="0"/>
          <w:color w:val="000000"/>
          <w:spacing w:val="0"/>
          <w:u w:val="none"/>
          <w:lang w:val="en-US" w:eastAsia="zh-CN"/>
        </w:rPr>
        <w:t>Qualitative data analysis: A methods sourcebook</w:t>
      </w:r>
      <w:r>
        <w:rPr>
          <w:rFonts w:hint="default" w:asciiTheme="minorAscii" w:hAnsiTheme="minorAscii"/>
          <w:i w:val="0"/>
          <w:iCs w:val="0"/>
          <w:caps w:val="0"/>
          <w:color w:val="000000"/>
          <w:spacing w:val="0"/>
          <w:u w:val="none"/>
          <w:lang w:val="en-US" w:eastAsia="zh-CN"/>
        </w:rPr>
        <w:t>. 3rd edn. Thousand Oaks, CA: SAGE.</w:t>
      </w:r>
    </w:p>
    <w:p w14:paraId="2F5A22B9">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lang w:val="en-US" w:eastAsia="zh-CN"/>
        </w:rPr>
      </w:pPr>
      <w:r>
        <w:rPr>
          <w:rFonts w:hint="default" w:asciiTheme="minorAscii" w:hAnsiTheme="minorAscii"/>
          <w:i w:val="0"/>
          <w:iCs w:val="0"/>
          <w:caps w:val="0"/>
          <w:color w:val="000000"/>
          <w:spacing w:val="0"/>
          <w:u w:val="none"/>
          <w:lang w:val="en-US" w:eastAsia="zh-CN"/>
        </w:rPr>
        <w:t xml:space="preserve">Nowell, L.S., Norris, J.M., White, D.E. and Moules, N.J. (2017) 'Thematic analysis: striving to meet the trustworthiness criteria', </w:t>
      </w:r>
      <w:r>
        <w:rPr>
          <w:rFonts w:hint="default" w:asciiTheme="minorAscii" w:hAnsiTheme="minorAscii"/>
          <w:i/>
          <w:iCs/>
          <w:caps w:val="0"/>
          <w:color w:val="000000"/>
          <w:spacing w:val="0"/>
          <w:u w:val="none"/>
          <w:lang w:val="en-US" w:eastAsia="zh-CN"/>
        </w:rPr>
        <w:t>International Journal of Qualitative Methods</w:t>
      </w:r>
      <w:r>
        <w:rPr>
          <w:rFonts w:hint="default" w:asciiTheme="minorAscii" w:hAnsiTheme="minorAscii"/>
          <w:i w:val="0"/>
          <w:iCs w:val="0"/>
          <w:caps w:val="0"/>
          <w:color w:val="000000"/>
          <w:spacing w:val="0"/>
          <w:u w:val="none"/>
          <w:lang w:val="en-US" w:eastAsia="zh-CN"/>
        </w:rPr>
        <w:t>, 16(1), pp. 1–13. https://doi.org/10.1177/1609406917733847</w:t>
      </w:r>
    </w:p>
    <w:p w14:paraId="33651FD1">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lang w:val="en-US" w:eastAsia="zh-CN"/>
        </w:rPr>
      </w:pPr>
      <w:r>
        <w:rPr>
          <w:rFonts w:hint="default" w:asciiTheme="minorAscii" w:hAnsiTheme="minorAscii"/>
          <w:i w:val="0"/>
          <w:iCs w:val="0"/>
          <w:caps w:val="0"/>
          <w:color w:val="000000"/>
          <w:spacing w:val="0"/>
          <w:u w:val="none"/>
          <w:lang w:val="en-US" w:eastAsia="zh-CN"/>
        </w:rPr>
        <w:t xml:space="preserve">O'Leary, Z. (2014) </w:t>
      </w:r>
      <w:r>
        <w:rPr>
          <w:rFonts w:hint="default" w:asciiTheme="minorAscii" w:hAnsiTheme="minorAscii"/>
          <w:i/>
          <w:iCs/>
          <w:caps w:val="0"/>
          <w:color w:val="000000"/>
          <w:spacing w:val="0"/>
          <w:u w:val="none"/>
          <w:lang w:val="en-US" w:eastAsia="zh-CN"/>
        </w:rPr>
        <w:t>The essential guide to doing your research project</w:t>
      </w:r>
      <w:r>
        <w:rPr>
          <w:rFonts w:hint="default" w:asciiTheme="minorAscii" w:hAnsiTheme="minorAscii"/>
          <w:i w:val="0"/>
          <w:iCs w:val="0"/>
          <w:caps w:val="0"/>
          <w:color w:val="000000"/>
          <w:spacing w:val="0"/>
          <w:u w:val="none"/>
          <w:lang w:val="en-US" w:eastAsia="zh-CN"/>
        </w:rPr>
        <w:t>. 2nd edn. London: Sage.</w:t>
      </w:r>
    </w:p>
    <w:p w14:paraId="734F6350">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lang w:val="en-US" w:eastAsia="zh-CN"/>
        </w:rPr>
        <w:t xml:space="preserve">Palinkas, L.A., Horwitz, S.M., Green, C.A., Wisdom, J.P., Duan, N. and Hoagwood, K. (2015) ‘Purposeful sampling for qualitative data collection and analysis in mixed method implementation research’, </w:t>
      </w:r>
      <w:r>
        <w:rPr>
          <w:rFonts w:hint="default" w:asciiTheme="minorAscii" w:hAnsiTheme="minorAscii"/>
          <w:i/>
          <w:iCs/>
          <w:caps w:val="0"/>
          <w:color w:val="000000"/>
          <w:spacing w:val="0"/>
          <w:u w:val="none"/>
          <w:lang w:val="en-US" w:eastAsia="zh-CN"/>
        </w:rPr>
        <w:t>Administration and Policy in Mental Health and Mental Health Services Research</w:t>
      </w:r>
      <w:r>
        <w:rPr>
          <w:rFonts w:hint="default" w:asciiTheme="minorAscii" w:hAnsiTheme="minorAscii"/>
          <w:i w:val="0"/>
          <w:iCs w:val="0"/>
          <w:caps w:val="0"/>
          <w:color w:val="000000"/>
          <w:spacing w:val="0"/>
          <w:u w:val="none"/>
          <w:lang w:val="en-US" w:eastAsia="zh-CN"/>
        </w:rPr>
        <w:t>, 42(5), pp. 533–544.</w:t>
      </w:r>
    </w:p>
    <w:p w14:paraId="5DBE589A">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lang w:val="en-US" w:eastAsia="zh-CN"/>
        </w:rPr>
        <w:t xml:space="preserve">Patton, M.Q. (2015) </w:t>
      </w:r>
      <w:r>
        <w:rPr>
          <w:rFonts w:hint="default" w:asciiTheme="minorAscii" w:hAnsiTheme="minorAscii"/>
          <w:i/>
          <w:iCs/>
          <w:caps w:val="0"/>
          <w:color w:val="000000"/>
          <w:spacing w:val="0"/>
          <w:u w:val="none"/>
          <w:lang w:val="en-US" w:eastAsia="zh-CN"/>
        </w:rPr>
        <w:t>Qualitative research &amp; evaluation methods: integrating theory and practice</w:t>
      </w:r>
      <w:r>
        <w:rPr>
          <w:rFonts w:hint="default" w:asciiTheme="minorAscii" w:hAnsiTheme="minorAscii"/>
          <w:i w:val="0"/>
          <w:iCs w:val="0"/>
          <w:caps w:val="0"/>
          <w:color w:val="000000"/>
          <w:spacing w:val="0"/>
          <w:u w:val="none"/>
          <w:lang w:val="en-US" w:eastAsia="zh-CN"/>
        </w:rPr>
        <w:t>. 4th edn. Thousand Oaks, CA: Sage.</w:t>
      </w:r>
    </w:p>
    <w:p w14:paraId="6EF5BC4D">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rPr>
        <w:t xml:space="preserve">Schwandt, T.A. (2015) </w:t>
      </w:r>
      <w:r>
        <w:rPr>
          <w:rFonts w:hint="default" w:asciiTheme="minorAscii" w:hAnsiTheme="minorAscii"/>
          <w:i/>
          <w:iCs/>
          <w:caps w:val="0"/>
          <w:color w:val="000000"/>
          <w:spacing w:val="0"/>
          <w:u w:val="none"/>
        </w:rPr>
        <w:t>The Sage dictionary of qualitative inquiry</w:t>
      </w:r>
      <w:r>
        <w:rPr>
          <w:rFonts w:hint="default" w:asciiTheme="minorAscii" w:hAnsiTheme="minorAscii"/>
          <w:i w:val="0"/>
          <w:iCs w:val="0"/>
          <w:caps w:val="0"/>
          <w:color w:val="000000"/>
          <w:spacing w:val="0"/>
          <w:u w:val="none"/>
        </w:rPr>
        <w:t>. 4th edn. Thousand Oaks, CA: SAGE.</w:t>
      </w:r>
    </w:p>
    <w:p w14:paraId="06CFC2A4">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lang w:val="en-US" w:eastAsia="zh-CN"/>
        </w:rPr>
        <w:t xml:space="preserve">Silver, C. and Lewins, A. (2014) </w:t>
      </w:r>
      <w:r>
        <w:rPr>
          <w:rFonts w:hint="default" w:asciiTheme="minorAscii" w:hAnsiTheme="minorAscii"/>
          <w:i/>
          <w:iCs/>
          <w:caps w:val="0"/>
          <w:color w:val="000000"/>
          <w:spacing w:val="0"/>
          <w:u w:val="none"/>
          <w:lang w:val="en-US" w:eastAsia="zh-CN"/>
        </w:rPr>
        <w:t>Using software in qualitative research: a step-by-step guide</w:t>
      </w:r>
      <w:r>
        <w:rPr>
          <w:rFonts w:hint="default" w:asciiTheme="minorAscii" w:hAnsiTheme="minorAscii"/>
          <w:i w:val="0"/>
          <w:iCs w:val="0"/>
          <w:caps w:val="0"/>
          <w:color w:val="000000"/>
          <w:spacing w:val="0"/>
          <w:u w:val="none"/>
          <w:lang w:val="en-US" w:eastAsia="zh-CN"/>
        </w:rPr>
        <w:t>. 2nd edn. London: SAGE Publications.</w:t>
      </w:r>
    </w:p>
    <w:p w14:paraId="4292A442">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rPr>
        <w:t xml:space="preserve">Silverman, D. (2013) </w:t>
      </w:r>
      <w:r>
        <w:rPr>
          <w:rFonts w:hint="default" w:asciiTheme="minorAscii" w:hAnsiTheme="minorAscii"/>
          <w:i/>
          <w:iCs/>
          <w:caps w:val="0"/>
          <w:color w:val="000000"/>
          <w:spacing w:val="0"/>
          <w:u w:val="none"/>
        </w:rPr>
        <w:t>Doing qualitative research</w:t>
      </w:r>
      <w:r>
        <w:rPr>
          <w:rFonts w:hint="default" w:asciiTheme="minorAscii" w:hAnsiTheme="minorAscii"/>
          <w:i w:val="0"/>
          <w:iCs w:val="0"/>
          <w:caps w:val="0"/>
          <w:color w:val="000000"/>
          <w:spacing w:val="0"/>
          <w:u w:val="none"/>
        </w:rPr>
        <w:t>. 4th edn. London: SAGE.</w:t>
      </w:r>
    </w:p>
    <w:p w14:paraId="7C9183A4">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lang w:val="en-US" w:eastAsia="zh-CN"/>
        </w:rPr>
        <w:t xml:space="preserve">Steen-Utheim, A.T. and Foldnes, N. (2018) 'A qualitative investigation of student engagement in a flipped classroom', </w:t>
      </w:r>
      <w:r>
        <w:rPr>
          <w:rFonts w:hint="default" w:asciiTheme="minorAscii" w:hAnsiTheme="minorAscii"/>
          <w:i/>
          <w:iCs/>
          <w:caps w:val="0"/>
          <w:color w:val="000000"/>
          <w:spacing w:val="0"/>
          <w:u w:val="none"/>
          <w:lang w:val="en-US" w:eastAsia="zh-CN"/>
        </w:rPr>
        <w:t>Teaching in Higher Education</w:t>
      </w:r>
      <w:r>
        <w:rPr>
          <w:rFonts w:hint="default" w:asciiTheme="minorAscii" w:hAnsiTheme="minorAscii"/>
          <w:i w:val="0"/>
          <w:iCs w:val="0"/>
          <w:caps w:val="0"/>
          <w:color w:val="000000"/>
          <w:spacing w:val="0"/>
          <w:u w:val="none"/>
          <w:lang w:val="en-US" w:eastAsia="zh-CN"/>
        </w:rPr>
        <w:t xml:space="preserve">, 23(3), pp. 307–324. </w:t>
      </w:r>
      <w:r>
        <w:rPr>
          <w:rFonts w:hint="default" w:asciiTheme="minorAscii" w:hAnsiTheme="minorAscii"/>
          <w:i w:val="0"/>
          <w:iCs w:val="0"/>
          <w:caps w:val="0"/>
          <w:color w:val="000000"/>
          <w:spacing w:val="0"/>
          <w:u w:val="none"/>
          <w:lang w:val="en-US" w:eastAsia="zh-CN"/>
        </w:rPr>
        <w:fldChar w:fldCharType="begin"/>
      </w:r>
      <w:r>
        <w:rPr>
          <w:rFonts w:hint="default" w:asciiTheme="minorAscii" w:hAnsiTheme="minorAscii"/>
          <w:i w:val="0"/>
          <w:iCs w:val="0"/>
          <w:caps w:val="0"/>
          <w:color w:val="000000"/>
          <w:spacing w:val="0"/>
          <w:u w:val="none"/>
          <w:lang w:val="en-US" w:eastAsia="zh-CN"/>
        </w:rPr>
        <w:instrText xml:space="preserve"> HYPERLINK "https://doi.org/10.1080/13562517.2017.1379481" </w:instrText>
      </w:r>
      <w:r>
        <w:rPr>
          <w:rFonts w:hint="default" w:asciiTheme="minorAscii" w:hAnsiTheme="minorAscii"/>
          <w:i w:val="0"/>
          <w:iCs w:val="0"/>
          <w:caps w:val="0"/>
          <w:color w:val="000000"/>
          <w:spacing w:val="0"/>
          <w:u w:val="none"/>
          <w:lang w:val="en-US" w:eastAsia="zh-CN"/>
        </w:rPr>
        <w:fldChar w:fldCharType="separate"/>
      </w:r>
      <w:r>
        <w:rPr>
          <w:rStyle w:val="7"/>
          <w:rFonts w:hint="default" w:asciiTheme="minorAscii" w:hAnsiTheme="minorAscii"/>
          <w:i w:val="0"/>
          <w:iCs w:val="0"/>
          <w:caps w:val="0"/>
          <w:spacing w:val="0"/>
          <w:lang w:val="en-US" w:eastAsia="zh-CN"/>
        </w:rPr>
        <w:t>https://doi.org/10.1080/13562517.2017.1379481</w:t>
      </w:r>
      <w:r>
        <w:rPr>
          <w:rFonts w:hint="default" w:asciiTheme="minorAscii" w:hAnsiTheme="minorAscii"/>
          <w:i w:val="0"/>
          <w:iCs w:val="0"/>
          <w:caps w:val="0"/>
          <w:color w:val="000000"/>
          <w:spacing w:val="0"/>
          <w:u w:val="none"/>
          <w:lang w:val="en-US" w:eastAsia="zh-CN"/>
        </w:rPr>
        <w:fldChar w:fldCharType="end"/>
      </w:r>
    </w:p>
    <w:p w14:paraId="35CC33BA">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rPr>
        <w:t xml:space="preserve">Vygotsky, L.S. (1978) </w:t>
      </w:r>
      <w:r>
        <w:rPr>
          <w:rFonts w:hint="default" w:asciiTheme="minorAscii" w:hAnsiTheme="minorAscii"/>
          <w:i/>
          <w:iCs/>
          <w:caps w:val="0"/>
          <w:color w:val="000000"/>
          <w:spacing w:val="0"/>
          <w:u w:val="none"/>
        </w:rPr>
        <w:t>Mind in society: The development of higher psychological processes</w:t>
      </w:r>
      <w:r>
        <w:rPr>
          <w:rFonts w:hint="default" w:asciiTheme="minorAscii" w:hAnsiTheme="minorAscii"/>
          <w:i w:val="0"/>
          <w:iCs w:val="0"/>
          <w:caps w:val="0"/>
          <w:color w:val="000000"/>
          <w:spacing w:val="0"/>
          <w:u w:val="none"/>
        </w:rPr>
        <w:t>. Cambridge, MA: Harvard University Press.</w:t>
      </w:r>
    </w:p>
    <w:p w14:paraId="30499BE6">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lang w:val="en-US" w:eastAsia="zh-CN"/>
        </w:rPr>
        <w:t xml:space="preserve">Wang, Y. and Liu, H. (2021) ‘Reconsidering the student voice in Chinese higher education: Ethics, trust, and voice in student engagement research’, </w:t>
      </w:r>
      <w:r>
        <w:rPr>
          <w:rFonts w:hint="default" w:asciiTheme="minorAscii" w:hAnsiTheme="minorAscii"/>
          <w:i/>
          <w:iCs/>
          <w:caps w:val="0"/>
          <w:color w:val="000000"/>
          <w:spacing w:val="0"/>
          <w:u w:val="none"/>
          <w:lang w:val="en-US" w:eastAsia="zh-CN"/>
        </w:rPr>
        <w:t>Asia Pacific Education Review</w:t>
      </w:r>
      <w:r>
        <w:rPr>
          <w:rFonts w:hint="default" w:asciiTheme="minorAscii" w:hAnsiTheme="minorAscii"/>
          <w:i w:val="0"/>
          <w:iCs w:val="0"/>
          <w:caps w:val="0"/>
          <w:color w:val="000000"/>
          <w:spacing w:val="0"/>
          <w:u w:val="none"/>
          <w:lang w:val="en-US" w:eastAsia="zh-CN"/>
        </w:rPr>
        <w:t>, 22(3), pp. 477–488.</w:t>
      </w:r>
    </w:p>
    <w:p w14:paraId="2234EFE9">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lang w:val="en-US" w:eastAsia="zh-CN"/>
        </w:rPr>
      </w:pPr>
      <w:r>
        <w:rPr>
          <w:rFonts w:hint="default" w:asciiTheme="minorAscii" w:hAnsiTheme="minorAscii"/>
          <w:i w:val="0"/>
          <w:iCs w:val="0"/>
          <w:caps w:val="0"/>
          <w:color w:val="000000"/>
          <w:spacing w:val="0"/>
          <w:u w:val="none"/>
          <w:lang w:val="en-US" w:eastAsia="zh-CN"/>
        </w:rPr>
        <w:t xml:space="preserve">Yin, R.K. (2018) </w:t>
      </w:r>
      <w:r>
        <w:rPr>
          <w:rFonts w:hint="default" w:asciiTheme="minorAscii" w:hAnsiTheme="minorAscii"/>
          <w:i/>
          <w:iCs/>
          <w:caps w:val="0"/>
          <w:color w:val="000000"/>
          <w:spacing w:val="0"/>
          <w:u w:val="none"/>
          <w:lang w:val="en-US" w:eastAsia="zh-CN"/>
        </w:rPr>
        <w:t>Case study research and applications: Design and methods</w:t>
      </w:r>
      <w:r>
        <w:rPr>
          <w:rFonts w:hint="default" w:asciiTheme="minorAscii" w:hAnsiTheme="minorAscii"/>
          <w:i w:val="0"/>
          <w:iCs w:val="0"/>
          <w:caps w:val="0"/>
          <w:color w:val="000000"/>
          <w:spacing w:val="0"/>
          <w:u w:val="none"/>
          <w:lang w:val="en-US" w:eastAsia="zh-CN"/>
        </w:rPr>
        <w:t>. 6th edn. Thousand Oaks, CA: SAGE.</w:t>
      </w:r>
    </w:p>
    <w:p w14:paraId="0E4365E9">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lang w:val="en-US" w:eastAsia="zh-CN"/>
        </w:rPr>
      </w:pPr>
      <w:r>
        <w:rPr>
          <w:rFonts w:hint="default" w:asciiTheme="minorAscii" w:hAnsiTheme="minorAscii"/>
          <w:i w:val="0"/>
          <w:iCs w:val="0"/>
          <w:caps w:val="0"/>
          <w:color w:val="000000"/>
          <w:spacing w:val="0"/>
          <w:u w:val="none"/>
          <w:lang w:val="en-US" w:eastAsia="zh-CN"/>
        </w:rPr>
        <w:t>Zhou, M. and Brown, D. (2015)</w:t>
      </w:r>
      <w:r>
        <w:rPr>
          <w:rFonts w:hint="default" w:asciiTheme="minorAscii" w:hAnsiTheme="minorAscii"/>
          <w:i/>
          <w:iCs/>
          <w:caps w:val="0"/>
          <w:color w:val="000000"/>
          <w:spacing w:val="0"/>
          <w:u w:val="none"/>
          <w:lang w:val="en-US" w:eastAsia="zh-CN"/>
        </w:rPr>
        <w:t xml:space="preserve"> Educational learning theories: 2nd edition</w:t>
      </w:r>
      <w:r>
        <w:rPr>
          <w:rFonts w:hint="default" w:asciiTheme="minorAscii" w:hAnsiTheme="minorAscii"/>
          <w:i w:val="0"/>
          <w:iCs w:val="0"/>
          <w:caps w:val="0"/>
          <w:color w:val="000000"/>
          <w:spacing w:val="0"/>
          <w:u w:val="none"/>
          <w:lang w:val="en-US" w:eastAsia="zh-CN"/>
        </w:rPr>
        <w:t>. Charlotte, NC: Information Age Publishing.</w:t>
      </w:r>
    </w:p>
    <w:p w14:paraId="0EDE2B47">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p>
    <w:p w14:paraId="5680A894">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66"/>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C7FDAB81"/>
    <w:rsid w:val="1BB65AF7"/>
    <w:rsid w:val="2CEF6805"/>
    <w:rsid w:val="2FB798C2"/>
    <w:rsid w:val="2FB9DD17"/>
    <w:rsid w:val="2FD5623B"/>
    <w:rsid w:val="37DDBFA2"/>
    <w:rsid w:val="3D2C93EB"/>
    <w:rsid w:val="3EFF0729"/>
    <w:rsid w:val="3FF31F32"/>
    <w:rsid w:val="3FFBA649"/>
    <w:rsid w:val="4F73C979"/>
    <w:rsid w:val="51FE5E2A"/>
    <w:rsid w:val="579FD765"/>
    <w:rsid w:val="57EE7890"/>
    <w:rsid w:val="5DBA9FB1"/>
    <w:rsid w:val="5F1680D1"/>
    <w:rsid w:val="5F3F471F"/>
    <w:rsid w:val="5FA38032"/>
    <w:rsid w:val="5FDFD52B"/>
    <w:rsid w:val="5FF79FA6"/>
    <w:rsid w:val="5FFF42B7"/>
    <w:rsid w:val="61FFEC5E"/>
    <w:rsid w:val="63BB7B46"/>
    <w:rsid w:val="66332943"/>
    <w:rsid w:val="665DE046"/>
    <w:rsid w:val="6773A8D1"/>
    <w:rsid w:val="67BCC477"/>
    <w:rsid w:val="67FFAA10"/>
    <w:rsid w:val="69AF6498"/>
    <w:rsid w:val="6B369C40"/>
    <w:rsid w:val="6FBDA234"/>
    <w:rsid w:val="6FFF86B6"/>
    <w:rsid w:val="73FFFF22"/>
    <w:rsid w:val="766BA7CC"/>
    <w:rsid w:val="779709FF"/>
    <w:rsid w:val="77B7F0A3"/>
    <w:rsid w:val="7B3319BA"/>
    <w:rsid w:val="7B7B2941"/>
    <w:rsid w:val="7B93B71B"/>
    <w:rsid w:val="7B9FDA59"/>
    <w:rsid w:val="7BBD3056"/>
    <w:rsid w:val="7DEFEFE7"/>
    <w:rsid w:val="7EB483D1"/>
    <w:rsid w:val="7EF7B944"/>
    <w:rsid w:val="7F134F4D"/>
    <w:rsid w:val="7F5BD4F2"/>
    <w:rsid w:val="7F77049E"/>
    <w:rsid w:val="7F7F557F"/>
    <w:rsid w:val="7F9E0030"/>
    <w:rsid w:val="7FDE529E"/>
    <w:rsid w:val="7FF0D5A3"/>
    <w:rsid w:val="8D5FECF4"/>
    <w:rsid w:val="9CF8BD43"/>
    <w:rsid w:val="9FAA4CE6"/>
    <w:rsid w:val="A57D4258"/>
    <w:rsid w:val="A79B04C3"/>
    <w:rsid w:val="B77FA3DF"/>
    <w:rsid w:val="B7FBFEE5"/>
    <w:rsid w:val="BA7DD791"/>
    <w:rsid w:val="BD4F83BB"/>
    <w:rsid w:val="BD5D0DFA"/>
    <w:rsid w:val="BDF5F394"/>
    <w:rsid w:val="BF3B8888"/>
    <w:rsid w:val="BFADD72C"/>
    <w:rsid w:val="BFCF3A12"/>
    <w:rsid w:val="C7FDAB81"/>
    <w:rsid w:val="CBFBDD7F"/>
    <w:rsid w:val="CDAF9BA2"/>
    <w:rsid w:val="D8DD9572"/>
    <w:rsid w:val="DF38A2C3"/>
    <w:rsid w:val="DF3CBC55"/>
    <w:rsid w:val="DFBF62F0"/>
    <w:rsid w:val="E7FBFB9C"/>
    <w:rsid w:val="EDD74835"/>
    <w:rsid w:val="EDFFECC2"/>
    <w:rsid w:val="EECFE2F3"/>
    <w:rsid w:val="EFAF17F8"/>
    <w:rsid w:val="F1DDB179"/>
    <w:rsid w:val="F4FD1F1A"/>
    <w:rsid w:val="F55F2B26"/>
    <w:rsid w:val="F626AA3A"/>
    <w:rsid w:val="F6FB6A31"/>
    <w:rsid w:val="F6FE3A50"/>
    <w:rsid w:val="F749EDD0"/>
    <w:rsid w:val="F79E2785"/>
    <w:rsid w:val="F8FB0583"/>
    <w:rsid w:val="F9E4797C"/>
    <w:rsid w:val="FCF7542A"/>
    <w:rsid w:val="FD76BD0E"/>
    <w:rsid w:val="FEDF637E"/>
    <w:rsid w:val="FEEB969E"/>
    <w:rsid w:val="FEF5680F"/>
    <w:rsid w:val="FEFFCC13"/>
    <w:rsid w:val="FF3BBA62"/>
    <w:rsid w:val="FF8DE209"/>
    <w:rsid w:val="FFB75AF9"/>
    <w:rsid w:val="FFC7D088"/>
    <w:rsid w:val="FFDB94FA"/>
    <w:rsid w:val="FFEF7097"/>
    <w:rsid w:val="FFFBCAD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qFormat/>
    <w:uiPriority w:val="0"/>
    <w:pPr>
      <w:spacing w:before="0" w:beforeAutospacing="1" w:after="0" w:afterAutospacing="1"/>
      <w:ind w:left="0" w:right="0"/>
      <w:jc w:val="left"/>
    </w:pPr>
    <w:rPr>
      <w:kern w:val="0"/>
      <w:sz w:val="24"/>
      <w:lang w:val="en-US" w:eastAsia="zh-CN" w:bidi="ar"/>
    </w:rPr>
  </w:style>
  <w:style w:type="table" w:styleId="4">
    <w:name w:val="Table Grid"/>
    <w:basedOn w:val="3"/>
    <w:qFormat/>
    <w:uiPriority w:val="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6">
    <w:name w:val="Strong"/>
    <w:basedOn w:val="5"/>
    <w:qFormat/>
    <w:uiPriority w:val="0"/>
    <w:rPr>
      <w:b/>
    </w:rPr>
  </w:style>
  <w:style w:type="character" w:styleId="7">
    <w:name w:val="Hyperlink"/>
    <w:basedOn w:val="5"/>
    <w:qFormat/>
    <w:uiPriority w:val="0"/>
    <w:rPr>
      <w:color w:val="0000FF"/>
      <w:u w:val="single"/>
    </w:rPr>
  </w:style>
  <w:style w:type="paragraph" w:styleId="8">
    <w:name w:val="List Paragraph"/>
    <w:basedOn w:val="1"/>
    <w:qFormat/>
    <w:uiPriority w:val="99"/>
    <w:pPr>
      <w:widowControl w:val="0"/>
      <w:autoSpaceDE w:val="0"/>
      <w:autoSpaceDN w:val="0"/>
      <w:spacing w:after="0" w:line="240" w:lineRule="auto"/>
      <w:ind w:left="1653" w:hanging="343"/>
    </w:pPr>
    <w:rPr>
      <w:rFonts w:ascii="Arial" w:hAnsi="Arial" w:eastAsia="Arial" w:cs="Arial"/>
      <w:kern w:val="0"/>
      <w:lang w:val="en-US" w:eastAsia="en-US"/>
      <w14:ligatures w14:val="non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20</Pages>
  <Words>0</Words>
  <Characters>0</Characters>
  <Lines>0</Lines>
  <Paragraphs>0</Paragraphs>
  <TotalTime>1</TotalTime>
  <ScaleCrop>false</ScaleCrop>
  <LinksUpToDate>false</LinksUpToDate>
  <CharactersWithSpaces>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2025-04-15T16:04:00Z</dcterms:created>
  <dc:creator>oops</dc:creator>
  <cp:lastModifiedBy>oops</cp:lastModifiedBy>
  <dcterms:modified xsi:type="dcterms:W3CDTF">2025-04-19T17:16:11Z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2BD63FC2674232726467FE6712764064_41</vt:lpwstr>
  </property>
</Properties>
</file>