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47A45" w14:textId="18650CAF" w:rsidR="006E65E0" w:rsidRPr="006E65E0" w:rsidRDefault="006E65E0" w:rsidP="006E65E0">
      <w:pPr>
        <w:suppressAutoHyphens/>
        <w:spacing w:after="0" w:line="240" w:lineRule="auto"/>
        <w:ind w:left="-180" w:right="-334"/>
        <w:rPr>
          <w:rFonts w:ascii="Georgia" w:eastAsia="SimSun" w:hAnsi="Georgia" w:cs="Georgia"/>
          <w:color w:val="000000"/>
          <w:sz w:val="21"/>
          <w:szCs w:val="21"/>
          <w:lang w:val="cy-GB" w:eastAsia="zh-CN"/>
        </w:rPr>
      </w:pPr>
      <w:bookmarkStart w:id="0" w:name="_Hlk510436441"/>
      <w:bookmarkStart w:id="1" w:name="_Hlk510457755"/>
      <w:r w:rsidRPr="006E65E0">
        <w:rPr>
          <w:rFonts w:ascii="Georgia" w:eastAsia="SimSun" w:hAnsi="Georgia" w:cs="Georgia"/>
          <w:noProof/>
          <w:color w:val="000000"/>
          <w:sz w:val="21"/>
          <w:szCs w:val="21"/>
          <w:lang w:eastAsia="zh-CN"/>
        </w:rPr>
        <w:drawing>
          <wp:inline distT="0" distB="0" distL="0" distR="0" wp14:anchorId="13E051F2" wp14:editId="4D2B7CF1">
            <wp:extent cx="2837815" cy="1009015"/>
            <wp:effectExtent l="19050" t="19050" r="19685"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37815" cy="1009015"/>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14:paraId="69C37C3C" w14:textId="77777777" w:rsidR="006E65E0" w:rsidRPr="006E65E0" w:rsidRDefault="006E65E0" w:rsidP="006E65E0">
      <w:pPr>
        <w:keepNext/>
        <w:tabs>
          <w:tab w:val="num" w:pos="0"/>
        </w:tabs>
        <w:suppressAutoHyphens/>
        <w:spacing w:before="240" w:after="60" w:line="240" w:lineRule="auto"/>
        <w:jc w:val="center"/>
        <w:outlineLvl w:val="0"/>
        <w:rPr>
          <w:rFonts w:ascii="Arial" w:eastAsia="SimSun" w:hAnsi="Arial" w:cs="Arial"/>
          <w:b/>
          <w:bCs/>
          <w:kern w:val="1"/>
          <w:sz w:val="32"/>
          <w:szCs w:val="32"/>
          <w:lang w:eastAsia="zh-CN"/>
        </w:rPr>
      </w:pPr>
      <w:r w:rsidRPr="006E65E0">
        <w:rPr>
          <w:rFonts w:ascii="Arial" w:eastAsia="SimSun" w:hAnsi="Arial" w:cs="Arial"/>
          <w:b/>
          <w:bCs/>
          <w:kern w:val="1"/>
          <w:sz w:val="32"/>
          <w:szCs w:val="32"/>
          <w:lang w:val="cy-GB" w:eastAsia="zh-CN"/>
        </w:rPr>
        <w:t>Undergraduate assignment feedback form</w:t>
      </w:r>
    </w:p>
    <w:p w14:paraId="0B81FB77" w14:textId="77777777" w:rsidR="006E65E0" w:rsidRPr="006E65E0" w:rsidRDefault="006E65E0" w:rsidP="006E65E0">
      <w:pPr>
        <w:suppressAutoHyphens/>
        <w:spacing w:after="0" w:line="240" w:lineRule="auto"/>
        <w:jc w:val="center"/>
        <w:rPr>
          <w:rFonts w:ascii="Times New Roman" w:eastAsia="SimSun" w:hAnsi="Times New Roman" w:cs="Times New Roman"/>
          <w:sz w:val="24"/>
          <w:szCs w:val="24"/>
          <w:lang w:eastAsia="zh-CN"/>
        </w:rPr>
      </w:pPr>
      <w:r w:rsidRPr="006E65E0">
        <w:rPr>
          <w:rFonts w:ascii="Arial" w:eastAsia="SimSun" w:hAnsi="Arial" w:cs="Arial"/>
          <w:b/>
          <w:sz w:val="24"/>
          <w:szCs w:val="24"/>
          <w:lang w:val="cy-GB" w:eastAsia="zh-CN"/>
        </w:rPr>
        <w:t>(to be completed by marker)</w:t>
      </w:r>
    </w:p>
    <w:p w14:paraId="1498CCC4" w14:textId="77777777" w:rsidR="006E65E0" w:rsidRPr="006E65E0" w:rsidRDefault="006E65E0" w:rsidP="006E65E0">
      <w:pPr>
        <w:suppressAutoHyphens/>
        <w:spacing w:after="0" w:line="240" w:lineRule="auto"/>
        <w:jc w:val="center"/>
        <w:rPr>
          <w:rFonts w:ascii="Arial" w:eastAsia="SimSun" w:hAnsi="Arial" w:cs="Arial"/>
          <w:b/>
          <w:sz w:val="24"/>
          <w:szCs w:val="24"/>
          <w:lang w:val="cy-GB" w:eastAsia="zh-CN"/>
        </w:rPr>
      </w:pPr>
    </w:p>
    <w:p w14:paraId="44F42816" w14:textId="77777777" w:rsidR="006E65E0" w:rsidRPr="006E65E0" w:rsidRDefault="006E65E0" w:rsidP="006E65E0">
      <w:pPr>
        <w:keepNext/>
        <w:numPr>
          <w:ilvl w:val="2"/>
          <w:numId w:val="0"/>
        </w:numPr>
        <w:tabs>
          <w:tab w:val="num" w:pos="0"/>
        </w:tabs>
        <w:suppressAutoHyphens/>
        <w:spacing w:after="0" w:line="240" w:lineRule="auto"/>
        <w:ind w:left="720"/>
        <w:jc w:val="both"/>
        <w:outlineLvl w:val="2"/>
        <w:rPr>
          <w:rFonts w:ascii="Trebuchet MS" w:eastAsia="SimSun" w:hAnsi="Trebuchet MS" w:cs="Trebuchet MS"/>
          <w:bCs/>
          <w:sz w:val="20"/>
          <w:szCs w:val="20"/>
          <w:lang w:val="cy-GB" w:eastAsia="zh-CN"/>
        </w:rPr>
      </w:pPr>
    </w:p>
    <w:tbl>
      <w:tblPr>
        <w:tblW w:w="0" w:type="auto"/>
        <w:tblInd w:w="-5" w:type="dxa"/>
        <w:tblLayout w:type="fixed"/>
        <w:tblLook w:val="0000" w:firstRow="0" w:lastRow="0" w:firstColumn="0" w:lastColumn="0" w:noHBand="0" w:noVBand="0"/>
      </w:tblPr>
      <w:tblGrid>
        <w:gridCol w:w="4788"/>
        <w:gridCol w:w="1980"/>
        <w:gridCol w:w="1997"/>
      </w:tblGrid>
      <w:tr w:rsidR="006E65E0" w:rsidRPr="006E65E0" w14:paraId="72988327" w14:textId="77777777" w:rsidTr="00721919">
        <w:trPr>
          <w:trHeight w:val="718"/>
        </w:trPr>
        <w:tc>
          <w:tcPr>
            <w:tcW w:w="8765"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5B2A643" w14:textId="77777777" w:rsidR="006E65E0" w:rsidRPr="006E65E0" w:rsidRDefault="006E65E0" w:rsidP="006E65E0">
            <w:pPr>
              <w:suppressAutoHyphens/>
              <w:spacing w:after="0" w:line="240" w:lineRule="auto"/>
              <w:ind w:right="34"/>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Student Name:</w:t>
            </w:r>
          </w:p>
          <w:p w14:paraId="11A1431E" w14:textId="77777777" w:rsidR="006E65E0" w:rsidRPr="006E65E0" w:rsidRDefault="006E65E0" w:rsidP="006E65E0">
            <w:pPr>
              <w:suppressAutoHyphens/>
              <w:spacing w:after="0" w:line="240" w:lineRule="auto"/>
              <w:ind w:right="34"/>
              <w:rPr>
                <w:rFonts w:ascii="Calibri" w:eastAsia="SimSun" w:hAnsi="Calibri" w:cs="Tahoma"/>
                <w:i/>
                <w:color w:val="000000"/>
                <w:sz w:val="24"/>
                <w:szCs w:val="24"/>
                <w:lang w:eastAsia="zh-CN"/>
              </w:rPr>
            </w:pPr>
          </w:p>
        </w:tc>
      </w:tr>
      <w:tr w:rsidR="006E65E0" w:rsidRPr="006E65E0" w14:paraId="66DFC984" w14:textId="77777777" w:rsidTr="00721919">
        <w:trPr>
          <w:trHeight w:val="849"/>
        </w:trPr>
        <w:tc>
          <w:tcPr>
            <w:tcW w:w="4788" w:type="dxa"/>
            <w:tcBorders>
              <w:top w:val="single" w:sz="4" w:space="0" w:color="000000"/>
              <w:left w:val="single" w:sz="4" w:space="0" w:color="000000"/>
              <w:bottom w:val="single" w:sz="4" w:space="0" w:color="000000"/>
            </w:tcBorders>
            <w:shd w:val="clear" w:color="auto" w:fill="auto"/>
            <w:vAlign w:val="center"/>
          </w:tcPr>
          <w:p w14:paraId="5FEC6447" w14:textId="77777777" w:rsidR="006E65E0" w:rsidRPr="006E65E0" w:rsidRDefault="006E65E0" w:rsidP="006E65E0">
            <w:pPr>
              <w:suppressAutoHyphens/>
              <w:spacing w:after="0" w:line="240" w:lineRule="auto"/>
              <w:ind w:right="34"/>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Module title:</w:t>
            </w:r>
          </w:p>
        </w:tc>
        <w:tc>
          <w:tcPr>
            <w:tcW w:w="3977" w:type="dxa"/>
            <w:gridSpan w:val="2"/>
            <w:tcBorders>
              <w:top w:val="single" w:sz="4" w:space="0" w:color="000000"/>
              <w:left w:val="single" w:sz="4" w:space="0" w:color="000000"/>
              <w:bottom w:val="single" w:sz="4" w:space="0" w:color="000000"/>
              <w:right w:val="single" w:sz="4" w:space="0" w:color="000000"/>
            </w:tcBorders>
            <w:shd w:val="clear" w:color="auto" w:fill="auto"/>
          </w:tcPr>
          <w:p w14:paraId="0ACFF467" w14:textId="77777777" w:rsidR="006E65E0" w:rsidRPr="006E65E0" w:rsidRDefault="006E65E0" w:rsidP="006E65E0">
            <w:pPr>
              <w:suppressAutoHyphens/>
              <w:spacing w:after="0" w:line="240" w:lineRule="auto"/>
              <w:ind w:right="34"/>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Student number:</w:t>
            </w:r>
          </w:p>
        </w:tc>
      </w:tr>
      <w:tr w:rsidR="006E65E0" w:rsidRPr="006E65E0" w14:paraId="5385918E" w14:textId="77777777" w:rsidTr="00721919">
        <w:trPr>
          <w:trHeight w:val="3972"/>
        </w:trPr>
        <w:tc>
          <w:tcPr>
            <w:tcW w:w="8765" w:type="dxa"/>
            <w:gridSpan w:val="3"/>
            <w:tcBorders>
              <w:top w:val="single" w:sz="4" w:space="0" w:color="000000"/>
              <w:left w:val="single" w:sz="4" w:space="0" w:color="000000"/>
              <w:bottom w:val="single" w:sz="4" w:space="0" w:color="000000"/>
              <w:right w:val="single" w:sz="4" w:space="0" w:color="000000"/>
            </w:tcBorders>
            <w:shd w:val="clear" w:color="auto" w:fill="auto"/>
          </w:tcPr>
          <w:p w14:paraId="3242AC57" w14:textId="77777777" w:rsidR="006E65E0" w:rsidRPr="006E65E0" w:rsidRDefault="006E65E0" w:rsidP="006E65E0">
            <w:pPr>
              <w:suppressAutoHyphens/>
              <w:spacing w:after="0" w:line="240" w:lineRule="auto"/>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For completion by marker:</w:t>
            </w:r>
          </w:p>
          <w:p w14:paraId="42DA41D9" w14:textId="77777777" w:rsidR="006E65E0" w:rsidRPr="006E65E0" w:rsidRDefault="006E65E0" w:rsidP="006E65E0">
            <w:pPr>
              <w:suppressAutoHyphens/>
              <w:spacing w:before="280" w:after="280" w:line="240" w:lineRule="auto"/>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Comments:</w:t>
            </w:r>
          </w:p>
          <w:p w14:paraId="4A1CFD2B"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55294492"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2B3868BC"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2E16CA04"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3B50CD80"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25E87D5F"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631E5F21"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1F3468FB"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38AC1F8E"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3E43512B" w14:textId="77777777" w:rsidR="006E65E0" w:rsidRPr="006E65E0" w:rsidRDefault="006E65E0" w:rsidP="006E65E0">
            <w:pPr>
              <w:suppressAutoHyphens/>
              <w:spacing w:before="280" w:after="280" w:line="240" w:lineRule="auto"/>
              <w:rPr>
                <w:rFonts w:ascii="Calibri" w:eastAsia="SimSun" w:hAnsi="Calibri" w:cs="Tahoma"/>
                <w:i/>
                <w:color w:val="000000"/>
                <w:sz w:val="24"/>
                <w:szCs w:val="24"/>
                <w:lang w:eastAsia="zh-CN"/>
              </w:rPr>
            </w:pPr>
          </w:p>
          <w:p w14:paraId="378DBC82" w14:textId="77777777" w:rsidR="006E65E0" w:rsidRPr="006E65E0" w:rsidRDefault="006E65E0" w:rsidP="006E65E0">
            <w:pPr>
              <w:suppressAutoHyphens/>
              <w:spacing w:before="280" w:after="0" w:line="240" w:lineRule="auto"/>
              <w:rPr>
                <w:rFonts w:ascii="Calibri" w:eastAsia="SimSun" w:hAnsi="Calibri" w:cs="Tahoma"/>
                <w:i/>
                <w:color w:val="000000"/>
                <w:sz w:val="24"/>
                <w:szCs w:val="24"/>
                <w:lang w:eastAsia="zh-CN"/>
              </w:rPr>
            </w:pPr>
          </w:p>
        </w:tc>
      </w:tr>
      <w:tr w:rsidR="006E65E0" w:rsidRPr="006E65E0" w14:paraId="3FECCEF6" w14:textId="77777777" w:rsidTr="00721919">
        <w:trPr>
          <w:trHeight w:val="492"/>
        </w:trPr>
        <w:tc>
          <w:tcPr>
            <w:tcW w:w="6768" w:type="dxa"/>
            <w:gridSpan w:val="2"/>
            <w:tcBorders>
              <w:top w:val="single" w:sz="4" w:space="0" w:color="000000"/>
              <w:left w:val="single" w:sz="4" w:space="0" w:color="000000"/>
              <w:bottom w:val="single" w:sz="4" w:space="0" w:color="000000"/>
            </w:tcBorders>
            <w:shd w:val="clear" w:color="auto" w:fill="auto"/>
            <w:vAlign w:val="center"/>
          </w:tcPr>
          <w:p w14:paraId="462DD59E" w14:textId="77777777" w:rsidR="006E65E0" w:rsidRPr="006E65E0" w:rsidRDefault="006E65E0" w:rsidP="006E65E0">
            <w:pPr>
              <w:suppressAutoHyphens/>
              <w:spacing w:before="280" w:after="0" w:line="240" w:lineRule="auto"/>
              <w:ind w:left="142" w:right="34"/>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Marker’s signature:</w:t>
            </w:r>
          </w:p>
        </w:tc>
        <w:tc>
          <w:tcPr>
            <w:tcW w:w="19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768F0DA" w14:textId="77777777" w:rsidR="006E65E0" w:rsidRPr="006E65E0" w:rsidRDefault="006E65E0" w:rsidP="006E65E0">
            <w:pPr>
              <w:suppressAutoHyphens/>
              <w:spacing w:before="280" w:after="0" w:line="240" w:lineRule="auto"/>
              <w:ind w:left="142" w:right="34"/>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Date:</w:t>
            </w:r>
          </w:p>
        </w:tc>
      </w:tr>
      <w:tr w:rsidR="006E65E0" w:rsidRPr="006E65E0" w14:paraId="1ACB3303" w14:textId="77777777" w:rsidTr="00721919">
        <w:tc>
          <w:tcPr>
            <w:tcW w:w="8765"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ACC7F31" w14:textId="77777777" w:rsidR="006E65E0" w:rsidRPr="006E65E0" w:rsidRDefault="006E65E0" w:rsidP="006E65E0">
            <w:pPr>
              <w:suppressAutoHyphens/>
              <w:spacing w:after="0" w:line="240" w:lineRule="auto"/>
              <w:ind w:left="142" w:right="34"/>
              <w:rPr>
                <w:rFonts w:ascii="Georgia" w:eastAsia="SimSun" w:hAnsi="Georgia" w:cs="Georgia"/>
                <w:color w:val="000000"/>
                <w:sz w:val="21"/>
                <w:szCs w:val="21"/>
                <w:lang w:eastAsia="zh-CN"/>
              </w:rPr>
            </w:pPr>
            <w:r w:rsidRPr="006E65E0">
              <w:rPr>
                <w:rFonts w:ascii="Calibri" w:eastAsia="SimSun" w:hAnsi="Calibri" w:cs="Tahoma"/>
                <w:i/>
                <w:color w:val="000000"/>
                <w:sz w:val="24"/>
                <w:szCs w:val="24"/>
                <w:lang w:eastAsia="zh-CN"/>
              </w:rPr>
              <w:t xml:space="preserve">Provisional mark: </w:t>
            </w:r>
          </w:p>
          <w:p w14:paraId="1238741D" w14:textId="77777777" w:rsidR="006E65E0" w:rsidRPr="006E65E0" w:rsidRDefault="006E65E0" w:rsidP="006E65E0">
            <w:pPr>
              <w:suppressAutoHyphens/>
              <w:spacing w:after="0" w:line="240" w:lineRule="auto"/>
              <w:ind w:left="142" w:right="34"/>
              <w:rPr>
                <w:rFonts w:ascii="Georgia" w:eastAsia="SimSun" w:hAnsi="Georgia" w:cs="Georgia"/>
                <w:color w:val="000000"/>
                <w:sz w:val="21"/>
                <w:szCs w:val="21"/>
                <w:lang w:eastAsia="zh-CN"/>
              </w:rPr>
            </w:pPr>
            <w:r w:rsidRPr="006E65E0">
              <w:rPr>
                <w:rFonts w:ascii="Calibri" w:eastAsia="SimSun" w:hAnsi="Calibri" w:cs="Tahoma"/>
                <w:b/>
                <w:i/>
                <w:color w:val="000000"/>
                <w:sz w:val="24"/>
                <w:szCs w:val="24"/>
                <w:lang w:eastAsia="zh-CN"/>
              </w:rPr>
              <w:t>NB.</w:t>
            </w:r>
            <w:r w:rsidRPr="006E65E0">
              <w:rPr>
                <w:rFonts w:ascii="Calibri" w:eastAsia="SimSun" w:hAnsi="Calibri" w:cs="Tahoma"/>
                <w:i/>
                <w:color w:val="000000"/>
                <w:sz w:val="24"/>
                <w:szCs w:val="24"/>
                <w:lang w:eastAsia="zh-CN"/>
              </w:rPr>
              <w:t xml:space="preserve">  All marks are provisional until confirmed by the final examination board. </w:t>
            </w:r>
          </w:p>
        </w:tc>
      </w:tr>
    </w:tbl>
    <w:p w14:paraId="0070AF98" w14:textId="77777777" w:rsidR="006E65E0" w:rsidRPr="006E65E0" w:rsidRDefault="006E65E0" w:rsidP="006E65E0">
      <w:pPr>
        <w:suppressAutoHyphens/>
        <w:spacing w:after="0" w:line="240" w:lineRule="auto"/>
        <w:rPr>
          <w:rFonts w:ascii="Times New Roman" w:eastAsia="SimSun" w:hAnsi="Times New Roman" w:cs="Times New Roman"/>
          <w:sz w:val="24"/>
          <w:szCs w:val="24"/>
          <w:lang w:eastAsia="zh-CN"/>
        </w:rPr>
      </w:pPr>
    </w:p>
    <w:p w14:paraId="7E0D01DA" w14:textId="77777777" w:rsidR="006E65E0" w:rsidRPr="006E65E0" w:rsidRDefault="006E65E0" w:rsidP="006E65E0">
      <w:pPr>
        <w:suppressAutoHyphens/>
        <w:spacing w:after="0" w:line="240" w:lineRule="auto"/>
        <w:rPr>
          <w:rFonts w:ascii="Times New Roman" w:eastAsia="SimSun" w:hAnsi="Times New Roman" w:cs="Times New Roman"/>
          <w:sz w:val="24"/>
          <w:szCs w:val="24"/>
          <w:lang w:eastAsia="zh-CN"/>
        </w:rPr>
      </w:pPr>
    </w:p>
    <w:p w14:paraId="540D0BC5" w14:textId="77777777" w:rsidR="006E65E0" w:rsidRPr="006E65E0" w:rsidRDefault="006E65E0" w:rsidP="006E65E0">
      <w:pPr>
        <w:suppressAutoHyphens/>
        <w:spacing w:after="0" w:line="240" w:lineRule="auto"/>
        <w:rPr>
          <w:rFonts w:ascii="Times New Roman" w:eastAsia="SimSun" w:hAnsi="Times New Roman" w:cs="Times New Roman"/>
          <w:sz w:val="24"/>
          <w:szCs w:val="24"/>
          <w:lang w:eastAsia="zh-CN"/>
        </w:rPr>
      </w:pPr>
    </w:p>
    <w:p w14:paraId="13896873" w14:textId="77777777" w:rsidR="006E65E0" w:rsidRPr="006E65E0" w:rsidRDefault="006E65E0" w:rsidP="006E65E0">
      <w:pPr>
        <w:suppressAutoHyphens/>
        <w:spacing w:after="0" w:line="240" w:lineRule="auto"/>
        <w:rPr>
          <w:rFonts w:ascii="Times New Roman" w:eastAsia="SimSun" w:hAnsi="Times New Roman" w:cs="Times New Roman"/>
          <w:sz w:val="24"/>
          <w:szCs w:val="24"/>
          <w:lang w:eastAsia="zh-CN"/>
        </w:rPr>
      </w:pPr>
    </w:p>
    <w:p w14:paraId="5D9755A5" w14:textId="5F765EC9" w:rsidR="002F3FA0" w:rsidRDefault="00AD3477" w:rsidP="00E47026">
      <w:pPr>
        <w:pStyle w:val="NoSpacing"/>
        <w:ind w:firstLine="720"/>
        <w:jc w:val="center"/>
        <w:rPr>
          <w:rFonts w:ascii="Times New Roman" w:hAnsi="Times New Roman" w:cs="Times New Roman"/>
          <w:sz w:val="36"/>
        </w:rPr>
      </w:pPr>
      <w:r w:rsidRPr="00AD3477">
        <w:rPr>
          <w:rFonts w:ascii="Times New Roman" w:hAnsi="Times New Roman" w:cs="Times New Roman"/>
          <w:sz w:val="36"/>
        </w:rPr>
        <w:t>Jonathan Jones has written that “</w:t>
      </w:r>
      <w:r>
        <w:rPr>
          <w:rFonts w:ascii="Times New Roman" w:hAnsi="Times New Roman" w:cs="Times New Roman"/>
          <w:sz w:val="36"/>
        </w:rPr>
        <w:t>an adequate</w:t>
      </w:r>
      <w:r w:rsidR="00BE286A">
        <w:rPr>
          <w:rFonts w:ascii="Times New Roman" w:hAnsi="Times New Roman" w:cs="Times New Roman"/>
          <w:sz w:val="36"/>
        </w:rPr>
        <w:t xml:space="preserve"> </w:t>
      </w:r>
      <w:r w:rsidR="009D0BB8">
        <w:rPr>
          <w:rFonts w:ascii="Times New Roman" w:hAnsi="Times New Roman" w:cs="Times New Roman"/>
          <w:sz w:val="36"/>
        </w:rPr>
        <w:t xml:space="preserve">work of art </w:t>
      </w:r>
      <w:r w:rsidR="00F2732E" w:rsidRPr="00F2732E">
        <w:rPr>
          <w:rFonts w:ascii="Times New Roman" w:hAnsi="Times New Roman" w:cs="Times New Roman"/>
          <w:sz w:val="36"/>
        </w:rPr>
        <w:t xml:space="preserve">about war has to show its horror.” </w:t>
      </w:r>
      <w:bookmarkEnd w:id="0"/>
      <w:r w:rsidR="00F2732E" w:rsidRPr="00F2732E">
        <w:rPr>
          <w:rFonts w:ascii="Times New Roman" w:hAnsi="Times New Roman" w:cs="Times New Roman"/>
          <w:sz w:val="36"/>
        </w:rPr>
        <w:t>Choose an artist (or small group of artists) whose output has concentrated on war and conflict and assess the extent to which Jones’s ideas are applicable to their output.</w:t>
      </w:r>
      <w:r w:rsidR="0019177E">
        <w:rPr>
          <w:rFonts w:ascii="Times New Roman" w:hAnsi="Times New Roman" w:cs="Times New Roman"/>
          <w:sz w:val="36"/>
        </w:rPr>
        <w:t xml:space="preserve"> </w:t>
      </w:r>
    </w:p>
    <w:p w14:paraId="72CB70AB" w14:textId="2841547A" w:rsidR="00CE4512" w:rsidRDefault="00CE4512" w:rsidP="00F2732E">
      <w:pPr>
        <w:pStyle w:val="NoSpacing"/>
        <w:jc w:val="center"/>
        <w:rPr>
          <w:rFonts w:ascii="Times New Roman" w:hAnsi="Times New Roman" w:cs="Times New Roman"/>
          <w:sz w:val="36"/>
        </w:rPr>
      </w:pPr>
    </w:p>
    <w:bookmarkEnd w:id="1"/>
    <w:p w14:paraId="3DD1A1E7" w14:textId="77777777" w:rsidR="002B1BAB" w:rsidRDefault="002B1BAB" w:rsidP="002B1BAB">
      <w:pPr>
        <w:pStyle w:val="NoSpacing"/>
        <w:rPr>
          <w:rFonts w:ascii="Times New Roman" w:hAnsi="Times New Roman" w:cs="Times New Roman"/>
          <w:sz w:val="24"/>
        </w:rPr>
      </w:pPr>
    </w:p>
    <w:p w14:paraId="3CE6AB7E" w14:textId="0071CBE2" w:rsidR="007D463E" w:rsidRDefault="002B1BAB" w:rsidP="008C1849">
      <w:pPr>
        <w:pStyle w:val="NoSpacing"/>
        <w:rPr>
          <w:rFonts w:ascii="Times New Roman" w:hAnsi="Times New Roman" w:cs="Times New Roman"/>
          <w:sz w:val="24"/>
        </w:rPr>
      </w:pPr>
      <w:r>
        <w:rPr>
          <w:rFonts w:ascii="Times New Roman" w:hAnsi="Times New Roman" w:cs="Times New Roman"/>
          <w:sz w:val="24"/>
        </w:rPr>
        <w:t xml:space="preserve">In 2014 Jonathan Jones wrote an article in The Guardian in which he argued that </w:t>
      </w:r>
      <w:r w:rsidRPr="002B1BAB">
        <w:rPr>
          <w:rFonts w:ascii="Times New Roman" w:hAnsi="Times New Roman" w:cs="Times New Roman"/>
          <w:sz w:val="24"/>
        </w:rPr>
        <w:t>“an adequate work of art about war has to show its horror.</w:t>
      </w:r>
      <w:r w:rsidR="00FA5F28">
        <w:rPr>
          <w:rStyle w:val="FootnoteReference"/>
          <w:rFonts w:ascii="Times New Roman" w:hAnsi="Times New Roman" w:cs="Times New Roman"/>
          <w:sz w:val="24"/>
        </w:rPr>
        <w:footnoteReference w:id="1"/>
      </w:r>
      <w:r w:rsidRPr="002B1BAB">
        <w:rPr>
          <w:rFonts w:ascii="Times New Roman" w:hAnsi="Times New Roman" w:cs="Times New Roman"/>
          <w:sz w:val="24"/>
        </w:rPr>
        <w:t>”</w:t>
      </w:r>
      <w:r>
        <w:rPr>
          <w:rFonts w:ascii="Times New Roman" w:hAnsi="Times New Roman" w:cs="Times New Roman"/>
          <w:sz w:val="24"/>
        </w:rPr>
        <w:t xml:space="preserve"> In his argument Jones ma</w:t>
      </w:r>
      <w:r w:rsidR="00FD414C">
        <w:rPr>
          <w:rFonts w:ascii="Times New Roman" w:hAnsi="Times New Roman" w:cs="Times New Roman"/>
          <w:sz w:val="24"/>
        </w:rPr>
        <w:t>k</w:t>
      </w:r>
      <w:r>
        <w:rPr>
          <w:rFonts w:ascii="Times New Roman" w:hAnsi="Times New Roman" w:cs="Times New Roman"/>
          <w:sz w:val="24"/>
        </w:rPr>
        <w:t>e</w:t>
      </w:r>
      <w:r w:rsidR="00FD414C">
        <w:rPr>
          <w:rFonts w:ascii="Times New Roman" w:hAnsi="Times New Roman" w:cs="Times New Roman"/>
          <w:sz w:val="24"/>
        </w:rPr>
        <w:t>s</w:t>
      </w:r>
      <w:r>
        <w:rPr>
          <w:rFonts w:ascii="Times New Roman" w:hAnsi="Times New Roman" w:cs="Times New Roman"/>
          <w:sz w:val="24"/>
        </w:rPr>
        <w:t xml:space="preserve"> the case that for art about war to be ‘adequate’ it </w:t>
      </w:r>
      <w:r w:rsidR="00FD414C">
        <w:rPr>
          <w:rFonts w:ascii="Times New Roman" w:hAnsi="Times New Roman" w:cs="Times New Roman"/>
          <w:sz w:val="24"/>
        </w:rPr>
        <w:t>must</w:t>
      </w:r>
      <w:r>
        <w:rPr>
          <w:rFonts w:ascii="Times New Roman" w:hAnsi="Times New Roman" w:cs="Times New Roman"/>
          <w:sz w:val="24"/>
        </w:rPr>
        <w:t xml:space="preserve"> show the horrors of war and</w:t>
      </w:r>
      <w:r w:rsidR="00FD414C">
        <w:rPr>
          <w:rFonts w:ascii="Times New Roman" w:hAnsi="Times New Roman" w:cs="Times New Roman"/>
          <w:sz w:val="24"/>
        </w:rPr>
        <w:t xml:space="preserve"> only the horrors.</w:t>
      </w:r>
      <w:r w:rsidR="00FA5F28">
        <w:rPr>
          <w:rStyle w:val="FootnoteReference"/>
          <w:rFonts w:ascii="Times New Roman" w:hAnsi="Times New Roman" w:cs="Times New Roman"/>
          <w:sz w:val="24"/>
        </w:rPr>
        <w:footnoteReference w:id="2"/>
      </w:r>
      <w:r w:rsidR="00FD414C">
        <w:rPr>
          <w:rFonts w:ascii="Times New Roman" w:hAnsi="Times New Roman" w:cs="Times New Roman"/>
          <w:sz w:val="24"/>
        </w:rPr>
        <w:t xml:space="preserve"> He also insinuates that pieces of art about war that do not represent the horrors are inadequate since they do not truly convey the themes, consequences, and </w:t>
      </w:r>
      <w:r w:rsidR="0050232E">
        <w:rPr>
          <w:rFonts w:ascii="Times New Roman" w:hAnsi="Times New Roman" w:cs="Times New Roman"/>
          <w:sz w:val="24"/>
        </w:rPr>
        <w:t xml:space="preserve">the </w:t>
      </w:r>
      <w:r w:rsidR="009A176B">
        <w:rPr>
          <w:rFonts w:ascii="Times New Roman" w:hAnsi="Times New Roman" w:cs="Times New Roman"/>
          <w:sz w:val="24"/>
        </w:rPr>
        <w:t xml:space="preserve">true </w:t>
      </w:r>
      <w:r w:rsidR="00FD414C">
        <w:rPr>
          <w:rFonts w:ascii="Times New Roman" w:hAnsi="Times New Roman" w:cs="Times New Roman"/>
          <w:sz w:val="24"/>
        </w:rPr>
        <w:t>nature of war and conflict.</w:t>
      </w:r>
      <w:r w:rsidR="00E32905">
        <w:rPr>
          <w:rStyle w:val="FootnoteReference"/>
          <w:rFonts w:ascii="Times New Roman" w:hAnsi="Times New Roman" w:cs="Times New Roman"/>
          <w:sz w:val="24"/>
        </w:rPr>
        <w:footnoteReference w:id="3"/>
      </w:r>
      <w:r w:rsidR="00A80892">
        <w:rPr>
          <w:rFonts w:ascii="Times New Roman" w:hAnsi="Times New Roman" w:cs="Times New Roman"/>
          <w:sz w:val="24"/>
        </w:rPr>
        <w:t xml:space="preserve"> </w:t>
      </w:r>
      <w:r w:rsidR="00E80CB0">
        <w:rPr>
          <w:rFonts w:ascii="Times New Roman" w:hAnsi="Times New Roman" w:cs="Times New Roman"/>
          <w:sz w:val="24"/>
        </w:rPr>
        <w:t xml:space="preserve">He made his argument after the government installed ceramic poppies at the </w:t>
      </w:r>
      <w:r w:rsidR="008002BE">
        <w:rPr>
          <w:rFonts w:ascii="Times New Roman" w:hAnsi="Times New Roman" w:cs="Times New Roman"/>
          <w:sz w:val="24"/>
        </w:rPr>
        <w:t>T</w:t>
      </w:r>
      <w:r w:rsidR="00E80CB0">
        <w:rPr>
          <w:rFonts w:ascii="Times New Roman" w:hAnsi="Times New Roman" w:cs="Times New Roman"/>
          <w:sz w:val="24"/>
        </w:rPr>
        <w:t>ower of the London to both commemorate the</w:t>
      </w:r>
      <w:r w:rsidR="002A26D2">
        <w:rPr>
          <w:rFonts w:ascii="Times New Roman" w:hAnsi="Times New Roman" w:cs="Times New Roman"/>
          <w:sz w:val="24"/>
        </w:rPr>
        <w:t xml:space="preserve"> First World War and the soldiers who died in that conflict.</w:t>
      </w:r>
      <w:r w:rsidR="00E32905">
        <w:rPr>
          <w:rStyle w:val="FootnoteReference"/>
          <w:rFonts w:ascii="Times New Roman" w:hAnsi="Times New Roman" w:cs="Times New Roman"/>
          <w:sz w:val="24"/>
        </w:rPr>
        <w:footnoteReference w:id="4"/>
      </w:r>
      <w:r w:rsidR="002A26D2">
        <w:rPr>
          <w:rFonts w:ascii="Times New Roman" w:hAnsi="Times New Roman" w:cs="Times New Roman"/>
          <w:sz w:val="24"/>
        </w:rPr>
        <w:t xml:space="preserve"> Jones however took issue with this memorial and wrote the above</w:t>
      </w:r>
      <w:r w:rsidR="00BA23BB">
        <w:rPr>
          <w:rFonts w:ascii="Times New Roman" w:hAnsi="Times New Roman" w:cs="Times New Roman"/>
          <w:sz w:val="24"/>
        </w:rPr>
        <w:t xml:space="preserve"> </w:t>
      </w:r>
      <w:r w:rsidR="00F02E85">
        <w:rPr>
          <w:rFonts w:ascii="Times New Roman" w:hAnsi="Times New Roman" w:cs="Times New Roman"/>
          <w:sz w:val="24"/>
        </w:rPr>
        <w:t>article as he believed that this display was artistically meaningless as it failed to show the true nature of the First World War.</w:t>
      </w:r>
      <w:r w:rsidR="00BA23BB">
        <w:rPr>
          <w:rStyle w:val="FootnoteReference"/>
          <w:rFonts w:ascii="Times New Roman" w:hAnsi="Times New Roman" w:cs="Times New Roman"/>
          <w:sz w:val="24"/>
        </w:rPr>
        <w:footnoteReference w:id="5"/>
      </w:r>
      <w:r w:rsidR="005D1A24">
        <w:rPr>
          <w:rFonts w:ascii="Times New Roman" w:hAnsi="Times New Roman" w:cs="Times New Roman"/>
          <w:sz w:val="24"/>
        </w:rPr>
        <w:t xml:space="preserve"> This essay however is not concerned with Jones’ application of his argument to the First World War. This paper instead is more interested in investigating whether Jones’ argument can be applied to other examples </w:t>
      </w:r>
      <w:r w:rsidR="00540A45">
        <w:rPr>
          <w:rFonts w:ascii="Times New Roman" w:hAnsi="Times New Roman" w:cs="Times New Roman"/>
          <w:sz w:val="24"/>
        </w:rPr>
        <w:t>of artistic output about war and conflict that are not associated with the First World War</w:t>
      </w:r>
      <w:r w:rsidR="00496722">
        <w:rPr>
          <w:rFonts w:ascii="Times New Roman" w:hAnsi="Times New Roman" w:cs="Times New Roman"/>
          <w:sz w:val="24"/>
        </w:rPr>
        <w:t xml:space="preserve"> and if it can be applied to what extent can </w:t>
      </w:r>
      <w:r w:rsidR="004D5188">
        <w:rPr>
          <w:rFonts w:ascii="Times New Roman" w:hAnsi="Times New Roman" w:cs="Times New Roman"/>
          <w:sz w:val="24"/>
        </w:rPr>
        <w:t>this be d</w:t>
      </w:r>
      <w:r w:rsidR="009E19CC">
        <w:rPr>
          <w:rFonts w:ascii="Times New Roman" w:hAnsi="Times New Roman" w:cs="Times New Roman"/>
          <w:sz w:val="24"/>
        </w:rPr>
        <w:t xml:space="preserve">one. </w:t>
      </w:r>
      <w:r w:rsidR="001A3A5C">
        <w:rPr>
          <w:rFonts w:ascii="Times New Roman" w:hAnsi="Times New Roman" w:cs="Times New Roman"/>
          <w:sz w:val="24"/>
        </w:rPr>
        <w:t xml:space="preserve">The works chosen for this investigation are the works by the Spanish artist </w:t>
      </w:r>
      <w:r w:rsidR="001A3A5C" w:rsidRPr="001A3A5C">
        <w:rPr>
          <w:rFonts w:ascii="Times New Roman" w:hAnsi="Times New Roman" w:cs="Times New Roman"/>
          <w:sz w:val="24"/>
        </w:rPr>
        <w:t>Francisco Goya</w:t>
      </w:r>
      <w:r w:rsidR="001A3A5C">
        <w:rPr>
          <w:rFonts w:ascii="Times New Roman" w:hAnsi="Times New Roman" w:cs="Times New Roman"/>
          <w:sz w:val="24"/>
        </w:rPr>
        <w:t xml:space="preserve"> with an emphasis on his two paintings, </w:t>
      </w:r>
      <w:r w:rsidR="001A3A5C">
        <w:rPr>
          <w:rFonts w:ascii="Times New Roman" w:hAnsi="Times New Roman" w:cs="Times New Roman"/>
          <w:i/>
          <w:sz w:val="24"/>
        </w:rPr>
        <w:t>The Second of May 1808</w:t>
      </w:r>
      <w:r w:rsidR="001A3A5C">
        <w:rPr>
          <w:rFonts w:ascii="Times New Roman" w:hAnsi="Times New Roman" w:cs="Times New Roman"/>
          <w:sz w:val="24"/>
        </w:rPr>
        <w:t xml:space="preserve">, and </w:t>
      </w:r>
      <w:r w:rsidR="001A3A5C">
        <w:rPr>
          <w:rFonts w:ascii="Times New Roman" w:hAnsi="Times New Roman" w:cs="Times New Roman"/>
          <w:i/>
          <w:sz w:val="24"/>
        </w:rPr>
        <w:t>The Third of May 1808</w:t>
      </w:r>
      <w:r w:rsidR="001A3A5C">
        <w:rPr>
          <w:rFonts w:ascii="Times New Roman" w:hAnsi="Times New Roman" w:cs="Times New Roman"/>
          <w:sz w:val="24"/>
        </w:rPr>
        <w:t xml:space="preserve">, and his series of prints known as </w:t>
      </w:r>
      <w:r w:rsidR="001A3A5C">
        <w:rPr>
          <w:rFonts w:ascii="Times New Roman" w:hAnsi="Times New Roman" w:cs="Times New Roman"/>
          <w:i/>
          <w:sz w:val="24"/>
        </w:rPr>
        <w:t>The Disasters of War</w:t>
      </w:r>
      <w:r w:rsidR="001A3A5C">
        <w:rPr>
          <w:rFonts w:ascii="Times New Roman" w:hAnsi="Times New Roman" w:cs="Times New Roman"/>
          <w:sz w:val="24"/>
        </w:rPr>
        <w:t>.</w:t>
      </w:r>
      <w:r w:rsidR="0039732C">
        <w:rPr>
          <w:rStyle w:val="FootnoteReference"/>
          <w:rFonts w:ascii="Times New Roman" w:hAnsi="Times New Roman" w:cs="Times New Roman"/>
          <w:sz w:val="24"/>
        </w:rPr>
        <w:footnoteReference w:id="6"/>
      </w:r>
      <w:r w:rsidR="001A3A5C">
        <w:rPr>
          <w:rFonts w:ascii="Times New Roman" w:hAnsi="Times New Roman" w:cs="Times New Roman"/>
          <w:sz w:val="24"/>
        </w:rPr>
        <w:t xml:space="preserve"> </w:t>
      </w:r>
      <w:r w:rsidR="00727A65">
        <w:rPr>
          <w:rFonts w:ascii="Times New Roman" w:hAnsi="Times New Roman" w:cs="Times New Roman"/>
          <w:sz w:val="24"/>
        </w:rPr>
        <w:t>These examples will be examined to find if Jones’ idea</w:t>
      </w:r>
      <w:r w:rsidR="00F21ED8">
        <w:rPr>
          <w:rFonts w:ascii="Times New Roman" w:hAnsi="Times New Roman" w:cs="Times New Roman"/>
          <w:sz w:val="24"/>
        </w:rPr>
        <w:t>s</w:t>
      </w:r>
      <w:r w:rsidR="00727A65">
        <w:rPr>
          <w:rFonts w:ascii="Times New Roman" w:hAnsi="Times New Roman" w:cs="Times New Roman"/>
          <w:sz w:val="24"/>
        </w:rPr>
        <w:t xml:space="preserve"> can be applied to Goya’s work and how far this can be done.</w:t>
      </w:r>
      <w:r w:rsidR="00EE0003">
        <w:rPr>
          <w:rFonts w:ascii="Times New Roman" w:hAnsi="Times New Roman" w:cs="Times New Roman"/>
          <w:sz w:val="24"/>
        </w:rPr>
        <w:t xml:space="preserve">  </w:t>
      </w:r>
    </w:p>
    <w:p w14:paraId="5FAE54D9" w14:textId="77777777" w:rsidR="007D463E" w:rsidRDefault="007D463E" w:rsidP="008C1849">
      <w:pPr>
        <w:pStyle w:val="NoSpacing"/>
        <w:rPr>
          <w:rFonts w:ascii="Times New Roman" w:hAnsi="Times New Roman" w:cs="Times New Roman"/>
          <w:sz w:val="24"/>
        </w:rPr>
      </w:pPr>
    </w:p>
    <w:p w14:paraId="62FDC9FC" w14:textId="2ED94761" w:rsidR="001036D3" w:rsidRDefault="006C2C7E" w:rsidP="008C1849">
      <w:pPr>
        <w:pStyle w:val="NoSpacing"/>
        <w:rPr>
          <w:rFonts w:ascii="Times New Roman" w:hAnsi="Times New Roman" w:cs="Times New Roman"/>
          <w:sz w:val="24"/>
        </w:rPr>
      </w:pPr>
      <w:r>
        <w:rPr>
          <w:rFonts w:ascii="Times New Roman" w:hAnsi="Times New Roman" w:cs="Times New Roman"/>
          <w:sz w:val="24"/>
        </w:rPr>
        <w:t>Before Jones’ ideas can be applied to Goya it is necessary to establish how they can be. Jones’ arguments and ideas in their original form cannot be directly applied to Goya as they are ro</w:t>
      </w:r>
      <w:r w:rsidR="00A92EFD">
        <w:rPr>
          <w:rFonts w:ascii="Times New Roman" w:hAnsi="Times New Roman" w:cs="Times New Roman"/>
          <w:sz w:val="24"/>
        </w:rPr>
        <w:t>o</w:t>
      </w:r>
      <w:r>
        <w:rPr>
          <w:rFonts w:ascii="Times New Roman" w:hAnsi="Times New Roman" w:cs="Times New Roman"/>
          <w:sz w:val="24"/>
        </w:rPr>
        <w:t xml:space="preserve">ted in his beliefs about art </w:t>
      </w:r>
      <w:r w:rsidR="009E204F">
        <w:rPr>
          <w:rFonts w:ascii="Times New Roman" w:hAnsi="Times New Roman" w:cs="Times New Roman"/>
          <w:sz w:val="24"/>
        </w:rPr>
        <w:t xml:space="preserve">regarding </w:t>
      </w:r>
      <w:r>
        <w:rPr>
          <w:rFonts w:ascii="Times New Roman" w:hAnsi="Times New Roman" w:cs="Times New Roman"/>
          <w:sz w:val="24"/>
        </w:rPr>
        <w:t>the First World War.</w:t>
      </w:r>
      <w:r w:rsidR="00A92EFD">
        <w:rPr>
          <w:rStyle w:val="FootnoteReference"/>
          <w:rFonts w:ascii="Times New Roman" w:hAnsi="Times New Roman" w:cs="Times New Roman"/>
          <w:sz w:val="24"/>
        </w:rPr>
        <w:footnoteReference w:id="7"/>
      </w:r>
      <w:r>
        <w:rPr>
          <w:rFonts w:ascii="Times New Roman" w:hAnsi="Times New Roman" w:cs="Times New Roman"/>
          <w:sz w:val="24"/>
        </w:rPr>
        <w:t xml:space="preserve"> </w:t>
      </w:r>
      <w:r w:rsidR="00764677">
        <w:rPr>
          <w:rFonts w:ascii="Times New Roman" w:hAnsi="Times New Roman" w:cs="Times New Roman"/>
          <w:sz w:val="24"/>
        </w:rPr>
        <w:t>It</w:t>
      </w:r>
      <w:r w:rsidR="009E204F">
        <w:rPr>
          <w:rFonts w:ascii="Times New Roman" w:hAnsi="Times New Roman" w:cs="Times New Roman"/>
          <w:sz w:val="24"/>
        </w:rPr>
        <w:t xml:space="preserve"> is possible </w:t>
      </w:r>
      <w:r w:rsidR="00764677">
        <w:rPr>
          <w:rFonts w:ascii="Times New Roman" w:hAnsi="Times New Roman" w:cs="Times New Roman"/>
          <w:sz w:val="24"/>
        </w:rPr>
        <w:t xml:space="preserve">though </w:t>
      </w:r>
      <w:r w:rsidR="009E204F">
        <w:rPr>
          <w:rFonts w:ascii="Times New Roman" w:hAnsi="Times New Roman" w:cs="Times New Roman"/>
          <w:sz w:val="24"/>
        </w:rPr>
        <w:t>to apply his ideas once the core principles of his arguments have been moulded into a framework that can be applied to Goya’s</w:t>
      </w:r>
      <w:r w:rsidR="00F41872">
        <w:rPr>
          <w:rFonts w:ascii="Times New Roman" w:hAnsi="Times New Roman" w:cs="Times New Roman"/>
          <w:sz w:val="24"/>
        </w:rPr>
        <w:t xml:space="preserve"> art</w:t>
      </w:r>
      <w:r w:rsidR="009E204F">
        <w:rPr>
          <w:rFonts w:ascii="Times New Roman" w:hAnsi="Times New Roman" w:cs="Times New Roman"/>
          <w:sz w:val="24"/>
        </w:rPr>
        <w:t>.</w:t>
      </w:r>
      <w:r w:rsidR="00F41872">
        <w:rPr>
          <w:rFonts w:ascii="Times New Roman" w:hAnsi="Times New Roman" w:cs="Times New Roman"/>
          <w:sz w:val="24"/>
        </w:rPr>
        <w:t xml:space="preserve"> </w:t>
      </w:r>
      <w:r w:rsidR="00764677">
        <w:rPr>
          <w:rFonts w:ascii="Times New Roman" w:hAnsi="Times New Roman" w:cs="Times New Roman"/>
          <w:sz w:val="24"/>
        </w:rPr>
        <w:t>So, what are these key principles? The most obvious one as described by Jones himself in his article is that “a</w:t>
      </w:r>
      <w:r w:rsidR="00764677" w:rsidRPr="00764677">
        <w:rPr>
          <w:rFonts w:ascii="Times New Roman" w:hAnsi="Times New Roman" w:cs="Times New Roman"/>
          <w:sz w:val="24"/>
        </w:rPr>
        <w:t>n adequate work of art about the war has to show its horro</w:t>
      </w:r>
      <w:r w:rsidR="00764677">
        <w:rPr>
          <w:rFonts w:ascii="Times New Roman" w:hAnsi="Times New Roman" w:cs="Times New Roman"/>
          <w:sz w:val="24"/>
        </w:rPr>
        <w:t>r”.</w:t>
      </w:r>
      <w:r w:rsidR="00F55B5E">
        <w:rPr>
          <w:rStyle w:val="FootnoteReference"/>
          <w:rFonts w:ascii="Times New Roman" w:hAnsi="Times New Roman" w:cs="Times New Roman"/>
          <w:sz w:val="24"/>
        </w:rPr>
        <w:footnoteReference w:id="8"/>
      </w:r>
      <w:r w:rsidR="00764677">
        <w:rPr>
          <w:rFonts w:ascii="Times New Roman" w:hAnsi="Times New Roman" w:cs="Times New Roman"/>
          <w:sz w:val="24"/>
        </w:rPr>
        <w:t xml:space="preserve"> Simply put it must show the grisly side of war such the destruction brought by it and any other harmful effects. The second principle idea is that </w:t>
      </w:r>
      <w:r w:rsidR="00764677">
        <w:rPr>
          <w:rFonts w:ascii="Times New Roman" w:hAnsi="Times New Roman" w:cs="Times New Roman"/>
          <w:sz w:val="24"/>
        </w:rPr>
        <w:lastRenderedPageBreak/>
        <w:t>‘adequate’ art about war also must be historically accurate.</w:t>
      </w:r>
      <w:r w:rsidR="00F55B5E">
        <w:rPr>
          <w:rStyle w:val="FootnoteReference"/>
          <w:rFonts w:ascii="Times New Roman" w:hAnsi="Times New Roman" w:cs="Times New Roman"/>
          <w:sz w:val="24"/>
        </w:rPr>
        <w:footnoteReference w:id="9"/>
      </w:r>
      <w:r w:rsidR="00764677">
        <w:rPr>
          <w:rFonts w:ascii="Times New Roman" w:hAnsi="Times New Roman" w:cs="Times New Roman"/>
          <w:sz w:val="24"/>
        </w:rPr>
        <w:t xml:space="preserve"> One of the continuous themes </w:t>
      </w:r>
      <w:r w:rsidR="005C546A">
        <w:rPr>
          <w:rFonts w:ascii="Times New Roman" w:hAnsi="Times New Roman" w:cs="Times New Roman"/>
          <w:sz w:val="24"/>
        </w:rPr>
        <w:t>throughout the</w:t>
      </w:r>
      <w:r w:rsidR="00764677">
        <w:rPr>
          <w:rFonts w:ascii="Times New Roman" w:hAnsi="Times New Roman" w:cs="Times New Roman"/>
          <w:sz w:val="24"/>
        </w:rPr>
        <w:t xml:space="preserve"> article is that art must show the true historical record</w:t>
      </w:r>
      <w:r w:rsidR="000666AE">
        <w:rPr>
          <w:rFonts w:ascii="Times New Roman" w:hAnsi="Times New Roman" w:cs="Times New Roman"/>
          <w:sz w:val="24"/>
        </w:rPr>
        <w:t xml:space="preserve"> and </w:t>
      </w:r>
      <w:r w:rsidR="00764677">
        <w:rPr>
          <w:rFonts w:ascii="Times New Roman" w:hAnsi="Times New Roman" w:cs="Times New Roman"/>
          <w:sz w:val="24"/>
        </w:rPr>
        <w:t>not distort actual histor</w:t>
      </w:r>
      <w:r w:rsidR="005C546A">
        <w:rPr>
          <w:rFonts w:ascii="Times New Roman" w:hAnsi="Times New Roman" w:cs="Times New Roman"/>
          <w:sz w:val="24"/>
        </w:rPr>
        <w:t>y.</w:t>
      </w:r>
      <w:r w:rsidR="00F55B5E">
        <w:rPr>
          <w:rStyle w:val="FootnoteReference"/>
          <w:rFonts w:ascii="Times New Roman" w:hAnsi="Times New Roman" w:cs="Times New Roman"/>
          <w:sz w:val="24"/>
        </w:rPr>
        <w:footnoteReference w:id="10"/>
      </w:r>
      <w:r w:rsidR="005C546A">
        <w:rPr>
          <w:rFonts w:ascii="Times New Roman" w:hAnsi="Times New Roman" w:cs="Times New Roman"/>
          <w:sz w:val="24"/>
        </w:rPr>
        <w:t xml:space="preserve"> </w:t>
      </w:r>
      <w:r w:rsidR="004E34EF">
        <w:rPr>
          <w:rFonts w:ascii="Times New Roman" w:hAnsi="Times New Roman" w:cs="Times New Roman"/>
          <w:sz w:val="24"/>
        </w:rPr>
        <w:t>When considering these ideas, it appears that for art about war to be ‘adequate’ in Jones’ view</w:t>
      </w:r>
      <w:r w:rsidR="000666AE">
        <w:rPr>
          <w:rFonts w:ascii="Times New Roman" w:hAnsi="Times New Roman" w:cs="Times New Roman"/>
          <w:sz w:val="24"/>
        </w:rPr>
        <w:t xml:space="preserve"> i</w:t>
      </w:r>
      <w:r w:rsidR="004E34EF">
        <w:rPr>
          <w:rFonts w:ascii="Times New Roman" w:hAnsi="Times New Roman" w:cs="Times New Roman"/>
          <w:sz w:val="24"/>
        </w:rPr>
        <w:t xml:space="preserve">t must be a piece of work that both </w:t>
      </w:r>
      <w:r w:rsidR="003F7B86">
        <w:rPr>
          <w:rFonts w:ascii="Times New Roman" w:hAnsi="Times New Roman" w:cs="Times New Roman"/>
          <w:sz w:val="24"/>
        </w:rPr>
        <w:t xml:space="preserve">conveys </w:t>
      </w:r>
      <w:r w:rsidR="004E34EF">
        <w:rPr>
          <w:rFonts w:ascii="Times New Roman" w:hAnsi="Times New Roman" w:cs="Times New Roman"/>
          <w:sz w:val="24"/>
        </w:rPr>
        <w:t>the true horrors of war an</w:t>
      </w:r>
      <w:r w:rsidR="000666AE">
        <w:rPr>
          <w:rFonts w:ascii="Times New Roman" w:hAnsi="Times New Roman" w:cs="Times New Roman"/>
          <w:sz w:val="24"/>
        </w:rPr>
        <w:t>d an accurate representation of History.</w:t>
      </w:r>
      <w:r w:rsidR="00C25BBE">
        <w:rPr>
          <w:rStyle w:val="FootnoteReference"/>
          <w:rFonts w:ascii="Times New Roman" w:hAnsi="Times New Roman" w:cs="Times New Roman"/>
          <w:sz w:val="24"/>
        </w:rPr>
        <w:footnoteReference w:id="11"/>
      </w:r>
      <w:r w:rsidR="00B414EF">
        <w:rPr>
          <w:rFonts w:ascii="Times New Roman" w:hAnsi="Times New Roman" w:cs="Times New Roman"/>
          <w:sz w:val="24"/>
        </w:rPr>
        <w:t xml:space="preserve"> </w:t>
      </w:r>
    </w:p>
    <w:p w14:paraId="10C47B7D" w14:textId="77777777" w:rsidR="001036D3" w:rsidRDefault="001036D3" w:rsidP="008C1849">
      <w:pPr>
        <w:pStyle w:val="NoSpacing"/>
        <w:rPr>
          <w:rFonts w:ascii="Times New Roman" w:hAnsi="Times New Roman" w:cs="Times New Roman"/>
          <w:sz w:val="24"/>
        </w:rPr>
      </w:pPr>
    </w:p>
    <w:p w14:paraId="0D365FDF" w14:textId="7790BF93" w:rsidR="0005518C" w:rsidRDefault="00E8357C" w:rsidP="008C1849">
      <w:pPr>
        <w:pStyle w:val="NoSpacing"/>
        <w:rPr>
          <w:rFonts w:ascii="Times New Roman" w:hAnsi="Times New Roman" w:cs="Times New Roman"/>
          <w:sz w:val="24"/>
        </w:rPr>
      </w:pPr>
      <w:r>
        <w:rPr>
          <w:rFonts w:ascii="Times New Roman" w:hAnsi="Times New Roman" w:cs="Times New Roman"/>
          <w:sz w:val="24"/>
        </w:rPr>
        <w:t xml:space="preserve">When examining Goya’s artistic output about war and conflict it appears most of his work meets </w:t>
      </w:r>
      <w:r w:rsidR="00440C9D">
        <w:rPr>
          <w:rFonts w:ascii="Times New Roman" w:hAnsi="Times New Roman" w:cs="Times New Roman"/>
          <w:sz w:val="24"/>
        </w:rPr>
        <w:t>the first</w:t>
      </w:r>
      <w:r>
        <w:rPr>
          <w:rFonts w:ascii="Times New Roman" w:hAnsi="Times New Roman" w:cs="Times New Roman"/>
          <w:sz w:val="24"/>
        </w:rPr>
        <w:t xml:space="preserve"> of the </w:t>
      </w:r>
      <w:r w:rsidR="005A6838">
        <w:rPr>
          <w:rFonts w:ascii="Times New Roman" w:hAnsi="Times New Roman" w:cs="Times New Roman"/>
          <w:sz w:val="24"/>
        </w:rPr>
        <w:t xml:space="preserve">above </w:t>
      </w:r>
      <w:r>
        <w:rPr>
          <w:rFonts w:ascii="Times New Roman" w:hAnsi="Times New Roman" w:cs="Times New Roman"/>
          <w:sz w:val="24"/>
        </w:rPr>
        <w:t>qualifying conditions to be considered ‘adequate’.</w:t>
      </w:r>
      <w:r w:rsidR="00700A13">
        <w:rPr>
          <w:rStyle w:val="FootnoteReference"/>
          <w:rFonts w:ascii="Times New Roman" w:hAnsi="Times New Roman" w:cs="Times New Roman"/>
          <w:sz w:val="24"/>
        </w:rPr>
        <w:footnoteReference w:id="12"/>
      </w:r>
      <w:r>
        <w:rPr>
          <w:rFonts w:ascii="Times New Roman" w:hAnsi="Times New Roman" w:cs="Times New Roman"/>
          <w:sz w:val="24"/>
        </w:rPr>
        <w:t xml:space="preserve"> Most of Goya’s most famous artworks about war come from his series of prints known as </w:t>
      </w:r>
      <w:r>
        <w:rPr>
          <w:rFonts w:ascii="Times New Roman" w:hAnsi="Times New Roman" w:cs="Times New Roman"/>
          <w:i/>
          <w:sz w:val="24"/>
        </w:rPr>
        <w:t>The Disasters of War.</w:t>
      </w:r>
      <w:r w:rsidR="00700A13">
        <w:rPr>
          <w:rStyle w:val="FootnoteReference"/>
          <w:rFonts w:ascii="Times New Roman" w:hAnsi="Times New Roman" w:cs="Times New Roman"/>
          <w:i/>
          <w:sz w:val="24"/>
        </w:rPr>
        <w:footnoteReference w:id="13"/>
      </w:r>
      <w:r w:rsidR="00BA18DF">
        <w:rPr>
          <w:rFonts w:ascii="Times New Roman" w:hAnsi="Times New Roman" w:cs="Times New Roman"/>
          <w:i/>
          <w:sz w:val="24"/>
        </w:rPr>
        <w:t xml:space="preserve"> </w:t>
      </w:r>
      <w:r w:rsidR="00BA18DF">
        <w:rPr>
          <w:rFonts w:ascii="Times New Roman" w:hAnsi="Times New Roman" w:cs="Times New Roman"/>
          <w:sz w:val="24"/>
        </w:rPr>
        <w:t>This series is composed of eighty different prints that provide different portrayals of various disasters of war</w:t>
      </w:r>
      <w:r w:rsidR="00C937FA">
        <w:rPr>
          <w:rFonts w:ascii="Times New Roman" w:hAnsi="Times New Roman" w:cs="Times New Roman"/>
          <w:sz w:val="24"/>
        </w:rPr>
        <w:t xml:space="preserve"> which include women being raped, civilians being killed, and a famine that struck Madrid between 1811 and 1812.</w:t>
      </w:r>
      <w:r w:rsidR="00A17EF3">
        <w:rPr>
          <w:rStyle w:val="FootnoteReference"/>
          <w:rFonts w:ascii="Times New Roman" w:hAnsi="Times New Roman" w:cs="Times New Roman"/>
          <w:sz w:val="24"/>
        </w:rPr>
        <w:footnoteReference w:id="14"/>
      </w:r>
      <w:r w:rsidR="00C937FA">
        <w:rPr>
          <w:rFonts w:ascii="Times New Roman" w:hAnsi="Times New Roman" w:cs="Times New Roman"/>
          <w:sz w:val="24"/>
        </w:rPr>
        <w:t xml:space="preserve"> The reason that these prints seem to meet the first condition is that they were made in response to the tragedies that resulted from the Peninsula</w:t>
      </w:r>
      <w:r w:rsidR="001267D7">
        <w:rPr>
          <w:rFonts w:ascii="Times New Roman" w:hAnsi="Times New Roman" w:cs="Times New Roman"/>
          <w:sz w:val="24"/>
        </w:rPr>
        <w:t>r</w:t>
      </w:r>
      <w:r w:rsidR="002E0880">
        <w:rPr>
          <w:rFonts w:ascii="Times New Roman" w:hAnsi="Times New Roman" w:cs="Times New Roman"/>
          <w:sz w:val="24"/>
        </w:rPr>
        <w:t xml:space="preserve"> </w:t>
      </w:r>
      <w:r w:rsidR="00C937FA">
        <w:rPr>
          <w:rFonts w:ascii="Times New Roman" w:hAnsi="Times New Roman" w:cs="Times New Roman"/>
          <w:sz w:val="24"/>
        </w:rPr>
        <w:t>War.</w:t>
      </w:r>
      <w:r w:rsidR="00A17EF3">
        <w:rPr>
          <w:rStyle w:val="FootnoteReference"/>
          <w:rFonts w:ascii="Times New Roman" w:hAnsi="Times New Roman" w:cs="Times New Roman"/>
          <w:sz w:val="24"/>
        </w:rPr>
        <w:footnoteReference w:id="15"/>
      </w:r>
      <w:r w:rsidR="00C937FA">
        <w:rPr>
          <w:rFonts w:ascii="Times New Roman" w:hAnsi="Times New Roman" w:cs="Times New Roman"/>
          <w:sz w:val="24"/>
        </w:rPr>
        <w:t xml:space="preserve"> According to Philip Hoffer Goya created the prints </w:t>
      </w:r>
      <w:r w:rsidR="005A1B3F">
        <w:rPr>
          <w:rFonts w:ascii="Times New Roman" w:hAnsi="Times New Roman" w:cs="Times New Roman"/>
          <w:sz w:val="24"/>
        </w:rPr>
        <w:t xml:space="preserve">to </w:t>
      </w:r>
      <w:r w:rsidR="00DE1E2A">
        <w:rPr>
          <w:rFonts w:ascii="Times New Roman" w:hAnsi="Times New Roman" w:cs="Times New Roman"/>
          <w:sz w:val="24"/>
        </w:rPr>
        <w:t>protest</w:t>
      </w:r>
      <w:r w:rsidR="005A1B3F">
        <w:rPr>
          <w:rFonts w:ascii="Times New Roman" w:hAnsi="Times New Roman" w:cs="Times New Roman"/>
          <w:sz w:val="24"/>
        </w:rPr>
        <w:t xml:space="preserve"> the brutal French occupation of Spain and the many atrocities that the French carried out against Spanish civilians and </w:t>
      </w:r>
      <w:r w:rsidR="008002BE">
        <w:rPr>
          <w:rFonts w:ascii="Times New Roman" w:hAnsi="Times New Roman" w:cs="Times New Roman"/>
          <w:sz w:val="24"/>
        </w:rPr>
        <w:t>g</w:t>
      </w:r>
      <w:r w:rsidR="005A1B3F">
        <w:rPr>
          <w:rFonts w:ascii="Times New Roman" w:hAnsi="Times New Roman" w:cs="Times New Roman"/>
          <w:sz w:val="24"/>
        </w:rPr>
        <w:t>uerrillas.</w:t>
      </w:r>
      <w:r w:rsidR="00A17EF3">
        <w:rPr>
          <w:rStyle w:val="FootnoteReference"/>
          <w:rFonts w:ascii="Times New Roman" w:hAnsi="Times New Roman" w:cs="Times New Roman"/>
          <w:sz w:val="24"/>
        </w:rPr>
        <w:footnoteReference w:id="16"/>
      </w:r>
      <w:r w:rsidR="005A1B3F">
        <w:rPr>
          <w:rFonts w:ascii="Times New Roman" w:hAnsi="Times New Roman" w:cs="Times New Roman"/>
          <w:sz w:val="24"/>
        </w:rPr>
        <w:t xml:space="preserve"> </w:t>
      </w:r>
      <w:r w:rsidR="00DE1E2A">
        <w:rPr>
          <w:rFonts w:ascii="Times New Roman" w:hAnsi="Times New Roman" w:cs="Times New Roman"/>
          <w:sz w:val="24"/>
        </w:rPr>
        <w:t>Since the primary purpose of these prints was too protest the atrocities it is logical to conclude that Goya would create prints that accurately portray the atrocities that were committed by the French and the horrors of the Peninsula</w:t>
      </w:r>
      <w:r w:rsidR="001267D7">
        <w:rPr>
          <w:rFonts w:ascii="Times New Roman" w:hAnsi="Times New Roman" w:cs="Times New Roman"/>
          <w:sz w:val="24"/>
        </w:rPr>
        <w:t>r</w:t>
      </w:r>
      <w:r w:rsidR="00DE1E2A">
        <w:rPr>
          <w:rFonts w:ascii="Times New Roman" w:hAnsi="Times New Roman" w:cs="Times New Roman"/>
          <w:sz w:val="24"/>
        </w:rPr>
        <w:t xml:space="preserve"> War.  </w:t>
      </w:r>
      <w:r w:rsidR="001267D7">
        <w:rPr>
          <w:rFonts w:ascii="Times New Roman" w:hAnsi="Times New Roman" w:cs="Times New Roman"/>
          <w:sz w:val="24"/>
        </w:rPr>
        <w:t>Considering that there are over eight</w:t>
      </w:r>
      <w:r w:rsidR="008002BE">
        <w:rPr>
          <w:rFonts w:ascii="Times New Roman" w:hAnsi="Times New Roman" w:cs="Times New Roman"/>
          <w:sz w:val="24"/>
        </w:rPr>
        <w:t>y</w:t>
      </w:r>
      <w:r w:rsidR="001267D7">
        <w:rPr>
          <w:rFonts w:ascii="Times New Roman" w:hAnsi="Times New Roman" w:cs="Times New Roman"/>
          <w:sz w:val="24"/>
        </w:rPr>
        <w:t xml:space="preserve"> prints this paper cannot examine all examples, but it can analyse a small number including the prints numbered as ten, thirty, and </w:t>
      </w:r>
      <w:r w:rsidR="007A0EB0">
        <w:rPr>
          <w:rFonts w:ascii="Times New Roman" w:hAnsi="Times New Roman" w:cs="Times New Roman"/>
          <w:sz w:val="24"/>
        </w:rPr>
        <w:t>eight.</w:t>
      </w:r>
      <w:r w:rsidR="008F6CD0">
        <w:rPr>
          <w:rStyle w:val="FootnoteReference"/>
          <w:rFonts w:ascii="Times New Roman" w:hAnsi="Times New Roman" w:cs="Times New Roman"/>
          <w:sz w:val="24"/>
        </w:rPr>
        <w:footnoteReference w:id="17"/>
      </w:r>
      <w:r w:rsidR="007A0EB0">
        <w:rPr>
          <w:rFonts w:ascii="Times New Roman" w:hAnsi="Times New Roman" w:cs="Times New Roman"/>
          <w:sz w:val="24"/>
        </w:rPr>
        <w:t xml:space="preserve"> </w:t>
      </w:r>
    </w:p>
    <w:p w14:paraId="08E0A148" w14:textId="2C98098B" w:rsidR="007A0EB0" w:rsidRDefault="007A0EB0" w:rsidP="008C1849">
      <w:pPr>
        <w:pStyle w:val="NoSpacing"/>
        <w:rPr>
          <w:rFonts w:ascii="Times New Roman" w:hAnsi="Times New Roman" w:cs="Times New Roman"/>
          <w:sz w:val="24"/>
        </w:rPr>
      </w:pPr>
    </w:p>
    <w:p w14:paraId="05543BB8" w14:textId="2BF7D102" w:rsidR="00D36E2B" w:rsidRDefault="007A0EB0" w:rsidP="008C1849">
      <w:pPr>
        <w:pStyle w:val="NoSpacing"/>
        <w:rPr>
          <w:rFonts w:ascii="Times New Roman" w:hAnsi="Times New Roman" w:cs="Times New Roman"/>
          <w:sz w:val="24"/>
        </w:rPr>
      </w:pPr>
      <w:r>
        <w:rPr>
          <w:rFonts w:ascii="Times New Roman" w:hAnsi="Times New Roman" w:cs="Times New Roman"/>
          <w:sz w:val="24"/>
        </w:rPr>
        <w:t xml:space="preserve">The first to be examined is plate eight </w:t>
      </w:r>
      <w:r w:rsidR="000C5865">
        <w:rPr>
          <w:rFonts w:ascii="Times New Roman" w:hAnsi="Times New Roman" w:cs="Times New Roman"/>
          <w:sz w:val="24"/>
        </w:rPr>
        <w:t>which</w:t>
      </w:r>
      <w:r>
        <w:rPr>
          <w:rFonts w:ascii="Times New Roman" w:hAnsi="Times New Roman" w:cs="Times New Roman"/>
          <w:sz w:val="24"/>
        </w:rPr>
        <w:t xml:space="preserve"> is titled </w:t>
      </w:r>
      <w:bookmarkStart w:id="2" w:name="_Hlk514029689"/>
      <w:proofErr w:type="spellStart"/>
      <w:r>
        <w:rPr>
          <w:rFonts w:ascii="Times New Roman" w:hAnsi="Times New Roman" w:cs="Times New Roman"/>
          <w:i/>
          <w:sz w:val="24"/>
        </w:rPr>
        <w:t>Siempre</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Sucede</w:t>
      </w:r>
      <w:proofErr w:type="spellEnd"/>
      <w:r>
        <w:rPr>
          <w:rFonts w:ascii="Times New Roman" w:hAnsi="Times New Roman" w:cs="Times New Roman"/>
          <w:i/>
          <w:sz w:val="24"/>
        </w:rPr>
        <w:t xml:space="preserve"> </w:t>
      </w:r>
      <w:bookmarkEnd w:id="2"/>
      <w:r w:rsidR="00A372BD">
        <w:rPr>
          <w:rFonts w:ascii="Times New Roman" w:hAnsi="Times New Roman" w:cs="Times New Roman"/>
          <w:sz w:val="24"/>
        </w:rPr>
        <w:t xml:space="preserve">which </w:t>
      </w:r>
      <w:r w:rsidR="000C5865">
        <w:rPr>
          <w:rFonts w:ascii="Times New Roman" w:hAnsi="Times New Roman" w:cs="Times New Roman"/>
          <w:sz w:val="24"/>
        </w:rPr>
        <w:t xml:space="preserve">when translated into </w:t>
      </w:r>
      <w:r w:rsidR="00E74AD2">
        <w:rPr>
          <w:rFonts w:ascii="Times New Roman" w:hAnsi="Times New Roman" w:cs="Times New Roman"/>
          <w:sz w:val="24"/>
        </w:rPr>
        <w:t xml:space="preserve">English </w:t>
      </w:r>
      <w:r w:rsidR="000C5865">
        <w:rPr>
          <w:rFonts w:ascii="Times New Roman" w:hAnsi="Times New Roman" w:cs="Times New Roman"/>
          <w:sz w:val="24"/>
        </w:rPr>
        <w:t>reads “This always happen</w:t>
      </w:r>
      <w:r w:rsidR="00954FF8">
        <w:rPr>
          <w:rFonts w:ascii="Times New Roman" w:hAnsi="Times New Roman" w:cs="Times New Roman"/>
          <w:sz w:val="24"/>
        </w:rPr>
        <w:t>”.</w:t>
      </w:r>
      <w:r w:rsidR="00A8673B">
        <w:rPr>
          <w:rStyle w:val="FootnoteReference"/>
          <w:rFonts w:ascii="Times New Roman" w:hAnsi="Times New Roman" w:cs="Times New Roman"/>
          <w:sz w:val="24"/>
        </w:rPr>
        <w:footnoteReference w:id="18"/>
      </w:r>
      <w:r w:rsidR="00954FF8">
        <w:rPr>
          <w:rFonts w:ascii="Times New Roman" w:hAnsi="Times New Roman" w:cs="Times New Roman"/>
          <w:sz w:val="24"/>
        </w:rPr>
        <w:t xml:space="preserve"> The reason that this plate has this tit</w:t>
      </w:r>
      <w:r w:rsidR="00764A43">
        <w:rPr>
          <w:rFonts w:ascii="Times New Roman" w:hAnsi="Times New Roman" w:cs="Times New Roman"/>
          <w:sz w:val="24"/>
        </w:rPr>
        <w:t xml:space="preserve">le is because of what </w:t>
      </w:r>
      <w:r w:rsidR="00CC0D2A">
        <w:rPr>
          <w:rFonts w:ascii="Times New Roman" w:hAnsi="Times New Roman" w:cs="Times New Roman"/>
          <w:sz w:val="24"/>
        </w:rPr>
        <w:t xml:space="preserve">it </w:t>
      </w:r>
      <w:r w:rsidR="00764A43">
        <w:rPr>
          <w:rFonts w:ascii="Times New Roman" w:hAnsi="Times New Roman" w:cs="Times New Roman"/>
          <w:sz w:val="24"/>
        </w:rPr>
        <w:t xml:space="preserve">portrays which is </w:t>
      </w:r>
      <w:r w:rsidR="00004BE8">
        <w:rPr>
          <w:rFonts w:ascii="Times New Roman" w:hAnsi="Times New Roman" w:cs="Times New Roman"/>
          <w:sz w:val="24"/>
        </w:rPr>
        <w:t xml:space="preserve">a </w:t>
      </w:r>
      <w:r w:rsidR="00764A43">
        <w:rPr>
          <w:rFonts w:ascii="Times New Roman" w:hAnsi="Times New Roman" w:cs="Times New Roman"/>
          <w:sz w:val="24"/>
        </w:rPr>
        <w:t>cavalryman and his horse lying on the ground with other soldiers charging behind them.</w:t>
      </w:r>
      <w:r w:rsidR="00A8673B">
        <w:rPr>
          <w:rStyle w:val="FootnoteReference"/>
          <w:rFonts w:ascii="Times New Roman" w:hAnsi="Times New Roman" w:cs="Times New Roman"/>
          <w:sz w:val="24"/>
        </w:rPr>
        <w:footnoteReference w:id="19"/>
      </w:r>
      <w:r w:rsidR="00F83D06">
        <w:rPr>
          <w:rFonts w:ascii="Times New Roman" w:hAnsi="Times New Roman" w:cs="Times New Roman"/>
          <w:sz w:val="24"/>
        </w:rPr>
        <w:t xml:space="preserve"> </w:t>
      </w:r>
      <w:r w:rsidR="00A14F03">
        <w:rPr>
          <w:rFonts w:ascii="Times New Roman" w:hAnsi="Times New Roman" w:cs="Times New Roman"/>
          <w:sz w:val="24"/>
        </w:rPr>
        <w:t>The image coupled to the ti</w:t>
      </w:r>
      <w:r w:rsidR="00E77B77">
        <w:rPr>
          <w:rFonts w:ascii="Times New Roman" w:hAnsi="Times New Roman" w:cs="Times New Roman"/>
          <w:sz w:val="24"/>
        </w:rPr>
        <w:t>tl</w:t>
      </w:r>
      <w:r w:rsidR="00A14F03">
        <w:rPr>
          <w:rFonts w:ascii="Times New Roman" w:hAnsi="Times New Roman" w:cs="Times New Roman"/>
          <w:sz w:val="24"/>
        </w:rPr>
        <w:t>e is alluding to the fac</w:t>
      </w:r>
      <w:r w:rsidR="00773563">
        <w:rPr>
          <w:rFonts w:ascii="Times New Roman" w:hAnsi="Times New Roman" w:cs="Times New Roman"/>
          <w:sz w:val="24"/>
        </w:rPr>
        <w:t>t that when cavalry performed a charge they would always lose men even before they engaged the enemy. The main point simply put is that war will always bring death or as the title states “this always happens”.</w:t>
      </w:r>
      <w:r w:rsidR="009D357F">
        <w:rPr>
          <w:rStyle w:val="FootnoteReference"/>
          <w:rFonts w:ascii="Times New Roman" w:hAnsi="Times New Roman" w:cs="Times New Roman"/>
          <w:sz w:val="24"/>
        </w:rPr>
        <w:footnoteReference w:id="20"/>
      </w:r>
      <w:r w:rsidR="00773563">
        <w:rPr>
          <w:rFonts w:ascii="Times New Roman" w:hAnsi="Times New Roman" w:cs="Times New Roman"/>
          <w:sz w:val="24"/>
        </w:rPr>
        <w:t xml:space="preserve"> Print number ten on the other hand does not show a soldier who has lost his life in combat.</w:t>
      </w:r>
      <w:r w:rsidR="009D357F">
        <w:rPr>
          <w:rStyle w:val="FootnoteReference"/>
          <w:rFonts w:ascii="Times New Roman" w:hAnsi="Times New Roman" w:cs="Times New Roman"/>
          <w:sz w:val="24"/>
        </w:rPr>
        <w:footnoteReference w:id="21"/>
      </w:r>
      <w:r w:rsidR="00773563">
        <w:rPr>
          <w:rFonts w:ascii="Times New Roman" w:hAnsi="Times New Roman" w:cs="Times New Roman"/>
          <w:sz w:val="24"/>
        </w:rPr>
        <w:t xml:space="preserve"> The print is titled </w:t>
      </w:r>
      <w:proofErr w:type="spellStart"/>
      <w:r w:rsidR="00773563">
        <w:rPr>
          <w:rFonts w:ascii="Times New Roman" w:hAnsi="Times New Roman" w:cs="Times New Roman"/>
          <w:i/>
          <w:sz w:val="24"/>
        </w:rPr>
        <w:t>Tampoco</w:t>
      </w:r>
      <w:proofErr w:type="spellEnd"/>
      <w:r w:rsidR="00773563">
        <w:rPr>
          <w:rFonts w:ascii="Times New Roman" w:hAnsi="Times New Roman" w:cs="Times New Roman"/>
          <w:i/>
          <w:sz w:val="24"/>
        </w:rPr>
        <w:t xml:space="preserve"> </w:t>
      </w:r>
      <w:r w:rsidR="00773563">
        <w:rPr>
          <w:rFonts w:ascii="Times New Roman" w:hAnsi="Times New Roman" w:cs="Times New Roman"/>
          <w:sz w:val="24"/>
        </w:rPr>
        <w:t>or in English ‘Nor do these’</w:t>
      </w:r>
      <w:r w:rsidR="007A59E6">
        <w:rPr>
          <w:rFonts w:ascii="Times New Roman" w:hAnsi="Times New Roman" w:cs="Times New Roman"/>
          <w:sz w:val="24"/>
        </w:rPr>
        <w:t xml:space="preserve"> and it shows women being raped by soldiers although it isn’t clear if these soldiers are French or if the print is just portraying an unfortunate</w:t>
      </w:r>
      <w:r w:rsidR="00734CA5">
        <w:rPr>
          <w:rFonts w:ascii="Times New Roman" w:hAnsi="Times New Roman" w:cs="Times New Roman"/>
          <w:sz w:val="24"/>
        </w:rPr>
        <w:t>ly</w:t>
      </w:r>
      <w:r w:rsidR="007A59E6">
        <w:rPr>
          <w:rFonts w:ascii="Times New Roman" w:hAnsi="Times New Roman" w:cs="Times New Roman"/>
          <w:sz w:val="24"/>
        </w:rPr>
        <w:t xml:space="preserve"> common </w:t>
      </w:r>
      <w:r w:rsidR="001226DD">
        <w:rPr>
          <w:rFonts w:ascii="Times New Roman" w:hAnsi="Times New Roman" w:cs="Times New Roman"/>
          <w:sz w:val="24"/>
        </w:rPr>
        <w:t xml:space="preserve">consequence </w:t>
      </w:r>
      <w:r w:rsidR="007A59E6">
        <w:rPr>
          <w:rFonts w:ascii="Times New Roman" w:hAnsi="Times New Roman" w:cs="Times New Roman"/>
          <w:sz w:val="24"/>
        </w:rPr>
        <w:t>of war.</w:t>
      </w:r>
      <w:r w:rsidR="009D357F">
        <w:rPr>
          <w:rStyle w:val="FootnoteReference"/>
          <w:rFonts w:ascii="Times New Roman" w:hAnsi="Times New Roman" w:cs="Times New Roman"/>
          <w:sz w:val="24"/>
        </w:rPr>
        <w:footnoteReference w:id="22"/>
      </w:r>
      <w:r w:rsidR="007A59E6">
        <w:rPr>
          <w:rFonts w:ascii="Times New Roman" w:hAnsi="Times New Roman" w:cs="Times New Roman"/>
          <w:sz w:val="24"/>
        </w:rPr>
        <w:t xml:space="preserve"> </w:t>
      </w:r>
      <w:r w:rsidR="001226DD">
        <w:rPr>
          <w:rFonts w:ascii="Times New Roman" w:hAnsi="Times New Roman" w:cs="Times New Roman"/>
          <w:sz w:val="24"/>
        </w:rPr>
        <w:t>There are plenty of instances during the Peninsular War w</w:t>
      </w:r>
      <w:r w:rsidR="00117CC6">
        <w:rPr>
          <w:rFonts w:ascii="Times New Roman" w:hAnsi="Times New Roman" w:cs="Times New Roman"/>
          <w:sz w:val="24"/>
        </w:rPr>
        <w:t>h</w:t>
      </w:r>
      <w:r w:rsidR="001226DD">
        <w:rPr>
          <w:rFonts w:ascii="Times New Roman" w:hAnsi="Times New Roman" w:cs="Times New Roman"/>
          <w:sz w:val="24"/>
        </w:rPr>
        <w:t>ere soldiers raped and performed other atrocities against civilians.</w:t>
      </w:r>
      <w:r w:rsidR="00F7598E">
        <w:rPr>
          <w:rStyle w:val="FootnoteReference"/>
          <w:rFonts w:ascii="Times New Roman" w:hAnsi="Times New Roman" w:cs="Times New Roman"/>
          <w:sz w:val="24"/>
        </w:rPr>
        <w:footnoteReference w:id="23"/>
      </w:r>
      <w:r w:rsidR="001226DD">
        <w:rPr>
          <w:rFonts w:ascii="Times New Roman" w:hAnsi="Times New Roman" w:cs="Times New Roman"/>
          <w:sz w:val="24"/>
        </w:rPr>
        <w:t xml:space="preserve"> One of the most famous examples happened in 1812 after the Anglo-</w:t>
      </w:r>
      <w:r w:rsidR="001226DD">
        <w:rPr>
          <w:rFonts w:ascii="Times New Roman" w:hAnsi="Times New Roman" w:cs="Times New Roman"/>
          <w:sz w:val="24"/>
        </w:rPr>
        <w:lastRenderedPageBreak/>
        <w:t>Portuguese Army took the city of Badajoz from the French.</w:t>
      </w:r>
      <w:r w:rsidR="00F7598E">
        <w:rPr>
          <w:rStyle w:val="FootnoteReference"/>
          <w:rFonts w:ascii="Times New Roman" w:hAnsi="Times New Roman" w:cs="Times New Roman"/>
          <w:sz w:val="24"/>
        </w:rPr>
        <w:footnoteReference w:id="24"/>
      </w:r>
      <w:r w:rsidR="001226DD">
        <w:rPr>
          <w:rFonts w:ascii="Times New Roman" w:hAnsi="Times New Roman" w:cs="Times New Roman"/>
          <w:sz w:val="24"/>
        </w:rPr>
        <w:t xml:space="preserve"> After capturing the </w:t>
      </w:r>
      <w:r w:rsidR="00EC1E4A">
        <w:rPr>
          <w:rFonts w:ascii="Times New Roman" w:hAnsi="Times New Roman" w:cs="Times New Roman"/>
          <w:sz w:val="24"/>
        </w:rPr>
        <w:t>city,</w:t>
      </w:r>
      <w:r w:rsidR="001226DD">
        <w:rPr>
          <w:rFonts w:ascii="Times New Roman" w:hAnsi="Times New Roman" w:cs="Times New Roman"/>
          <w:sz w:val="24"/>
        </w:rPr>
        <w:t xml:space="preserve"> the British then pillaged the city and terrorised the city’s population for three days</w:t>
      </w:r>
      <w:r w:rsidR="00117CC6">
        <w:rPr>
          <w:rFonts w:ascii="Times New Roman" w:hAnsi="Times New Roman" w:cs="Times New Roman"/>
          <w:sz w:val="24"/>
        </w:rPr>
        <w:t>,</w:t>
      </w:r>
      <w:r w:rsidR="001226DD">
        <w:rPr>
          <w:rFonts w:ascii="Times New Roman" w:hAnsi="Times New Roman" w:cs="Times New Roman"/>
          <w:sz w:val="24"/>
        </w:rPr>
        <w:t xml:space="preserve"> which cost the lives of four thousand civilians.</w:t>
      </w:r>
      <w:r w:rsidR="0059182D">
        <w:rPr>
          <w:rStyle w:val="FootnoteReference"/>
          <w:rFonts w:ascii="Times New Roman" w:hAnsi="Times New Roman" w:cs="Times New Roman"/>
          <w:sz w:val="24"/>
        </w:rPr>
        <w:footnoteReference w:id="25"/>
      </w:r>
      <w:r w:rsidR="003D20E2">
        <w:rPr>
          <w:rFonts w:ascii="Times New Roman" w:hAnsi="Times New Roman" w:cs="Times New Roman"/>
          <w:sz w:val="24"/>
        </w:rPr>
        <w:t xml:space="preserve"> The final plate that will be examined</w:t>
      </w:r>
      <w:r w:rsidR="0002154F">
        <w:rPr>
          <w:rFonts w:ascii="Times New Roman" w:hAnsi="Times New Roman" w:cs="Times New Roman"/>
          <w:sz w:val="24"/>
        </w:rPr>
        <w:t xml:space="preserve"> is called </w:t>
      </w:r>
      <w:proofErr w:type="spellStart"/>
      <w:r w:rsidR="0002154F">
        <w:rPr>
          <w:rFonts w:ascii="Times New Roman" w:hAnsi="Times New Roman" w:cs="Times New Roman"/>
          <w:i/>
          <w:sz w:val="24"/>
        </w:rPr>
        <w:t>Estragos</w:t>
      </w:r>
      <w:proofErr w:type="spellEnd"/>
      <w:r w:rsidR="0002154F">
        <w:rPr>
          <w:rFonts w:ascii="Times New Roman" w:hAnsi="Times New Roman" w:cs="Times New Roman"/>
          <w:i/>
          <w:sz w:val="24"/>
        </w:rPr>
        <w:t xml:space="preserve"> de la Guerra</w:t>
      </w:r>
      <w:r w:rsidR="0002154F">
        <w:rPr>
          <w:rFonts w:ascii="Times New Roman" w:hAnsi="Times New Roman" w:cs="Times New Roman"/>
          <w:sz w:val="24"/>
        </w:rPr>
        <w:t>, title</w:t>
      </w:r>
      <w:r w:rsidR="00D56F84">
        <w:rPr>
          <w:rFonts w:ascii="Times New Roman" w:hAnsi="Times New Roman" w:cs="Times New Roman"/>
          <w:sz w:val="24"/>
        </w:rPr>
        <w:t>d</w:t>
      </w:r>
      <w:r w:rsidR="0002154F">
        <w:rPr>
          <w:rFonts w:ascii="Times New Roman" w:hAnsi="Times New Roman" w:cs="Times New Roman"/>
          <w:sz w:val="24"/>
        </w:rPr>
        <w:t xml:space="preserve"> as ‘Ravages of War’ in English</w:t>
      </w:r>
      <w:r w:rsidR="00D56F84">
        <w:rPr>
          <w:rFonts w:ascii="Times New Roman" w:hAnsi="Times New Roman" w:cs="Times New Roman"/>
          <w:sz w:val="24"/>
        </w:rPr>
        <w:t>, i</w:t>
      </w:r>
      <w:r w:rsidR="0002154F">
        <w:rPr>
          <w:rFonts w:ascii="Times New Roman" w:hAnsi="Times New Roman" w:cs="Times New Roman"/>
          <w:sz w:val="24"/>
        </w:rPr>
        <w:t xml:space="preserve">t is perhaps one of the most graphic pieces from </w:t>
      </w:r>
      <w:r w:rsidR="0002154F">
        <w:rPr>
          <w:rFonts w:ascii="Times New Roman" w:hAnsi="Times New Roman" w:cs="Times New Roman"/>
          <w:i/>
          <w:sz w:val="24"/>
        </w:rPr>
        <w:t xml:space="preserve">The Disasters of War </w:t>
      </w:r>
      <w:r w:rsidR="00D56F84" w:rsidRPr="00D56F84">
        <w:rPr>
          <w:rFonts w:ascii="Times New Roman" w:hAnsi="Times New Roman" w:cs="Times New Roman"/>
          <w:sz w:val="24"/>
        </w:rPr>
        <w:t>prints</w:t>
      </w:r>
      <w:r w:rsidR="00D56F84">
        <w:rPr>
          <w:rFonts w:ascii="Times New Roman" w:hAnsi="Times New Roman" w:cs="Times New Roman"/>
          <w:sz w:val="24"/>
        </w:rPr>
        <w:t>.</w:t>
      </w:r>
      <w:r w:rsidR="0059182D">
        <w:rPr>
          <w:rStyle w:val="FootnoteReference"/>
          <w:rFonts w:ascii="Times New Roman" w:hAnsi="Times New Roman" w:cs="Times New Roman"/>
          <w:sz w:val="24"/>
        </w:rPr>
        <w:footnoteReference w:id="26"/>
      </w:r>
      <w:r w:rsidR="00D56F84">
        <w:rPr>
          <w:rFonts w:ascii="Times New Roman" w:hAnsi="Times New Roman" w:cs="Times New Roman"/>
          <w:sz w:val="24"/>
        </w:rPr>
        <w:t xml:space="preserve"> It shows four dead bodies i</w:t>
      </w:r>
      <w:r w:rsidR="00B96988">
        <w:rPr>
          <w:rFonts w:ascii="Times New Roman" w:hAnsi="Times New Roman" w:cs="Times New Roman"/>
          <w:sz w:val="24"/>
        </w:rPr>
        <w:t>nside</w:t>
      </w:r>
      <w:r w:rsidR="00D56F84">
        <w:rPr>
          <w:rFonts w:ascii="Times New Roman" w:hAnsi="Times New Roman" w:cs="Times New Roman"/>
          <w:sz w:val="24"/>
        </w:rPr>
        <w:t xml:space="preserve"> a building which has possibly been ransacked since there </w:t>
      </w:r>
      <w:r w:rsidR="00B96988">
        <w:rPr>
          <w:rFonts w:ascii="Times New Roman" w:hAnsi="Times New Roman" w:cs="Times New Roman"/>
          <w:sz w:val="24"/>
        </w:rPr>
        <w:t xml:space="preserve">is </w:t>
      </w:r>
      <w:r w:rsidR="00D56F84">
        <w:rPr>
          <w:rFonts w:ascii="Times New Roman" w:hAnsi="Times New Roman" w:cs="Times New Roman"/>
          <w:sz w:val="24"/>
        </w:rPr>
        <w:t>scattered debris including a piece of furniture in the background.</w:t>
      </w:r>
      <w:r w:rsidR="0059182D">
        <w:rPr>
          <w:rStyle w:val="FootnoteReference"/>
          <w:rFonts w:ascii="Times New Roman" w:hAnsi="Times New Roman" w:cs="Times New Roman"/>
          <w:sz w:val="24"/>
        </w:rPr>
        <w:footnoteReference w:id="27"/>
      </w:r>
      <w:r w:rsidR="00D56F84">
        <w:rPr>
          <w:rFonts w:ascii="Times New Roman" w:hAnsi="Times New Roman" w:cs="Times New Roman"/>
          <w:sz w:val="24"/>
        </w:rPr>
        <w:t xml:space="preserve"> </w:t>
      </w:r>
      <w:r w:rsidR="00B96988">
        <w:rPr>
          <w:rFonts w:ascii="Times New Roman" w:hAnsi="Times New Roman" w:cs="Times New Roman"/>
          <w:sz w:val="24"/>
        </w:rPr>
        <w:t>The dead bodies take centre stage as it looks like they have been attacked as their bodies are strewn all over the floor and their clothes have been shredded.</w:t>
      </w:r>
      <w:r w:rsidR="00B85EEF">
        <w:rPr>
          <w:rStyle w:val="FootnoteReference"/>
          <w:rFonts w:ascii="Times New Roman" w:hAnsi="Times New Roman" w:cs="Times New Roman"/>
          <w:sz w:val="24"/>
        </w:rPr>
        <w:footnoteReference w:id="28"/>
      </w:r>
      <w:r w:rsidR="00B96988">
        <w:rPr>
          <w:rFonts w:ascii="Times New Roman" w:hAnsi="Times New Roman" w:cs="Times New Roman"/>
          <w:sz w:val="24"/>
        </w:rPr>
        <w:t xml:space="preserve"> The most notable aspect of this though is that one of the dead bodies </w:t>
      </w:r>
      <w:r w:rsidR="00272AF6">
        <w:rPr>
          <w:rFonts w:ascii="Times New Roman" w:hAnsi="Times New Roman" w:cs="Times New Roman"/>
          <w:sz w:val="24"/>
        </w:rPr>
        <w:t xml:space="preserve">is that of a baby </w:t>
      </w:r>
      <w:r w:rsidR="004D4ECD">
        <w:rPr>
          <w:rFonts w:ascii="Times New Roman" w:hAnsi="Times New Roman" w:cs="Times New Roman"/>
          <w:sz w:val="24"/>
        </w:rPr>
        <w:t>which possibly alluding to the idea that war is indiscriminate towards those who are killed because of it.</w:t>
      </w:r>
      <w:r w:rsidR="00B85EEF">
        <w:rPr>
          <w:rStyle w:val="FootnoteReference"/>
          <w:rFonts w:ascii="Times New Roman" w:hAnsi="Times New Roman" w:cs="Times New Roman"/>
          <w:sz w:val="24"/>
        </w:rPr>
        <w:footnoteReference w:id="29"/>
      </w:r>
    </w:p>
    <w:p w14:paraId="56823FF4" w14:textId="77777777" w:rsidR="00D36E2B" w:rsidRDefault="00D36E2B" w:rsidP="008C1849">
      <w:pPr>
        <w:pStyle w:val="NoSpacing"/>
        <w:rPr>
          <w:rFonts w:ascii="Times New Roman" w:hAnsi="Times New Roman" w:cs="Times New Roman"/>
          <w:sz w:val="24"/>
        </w:rPr>
      </w:pPr>
    </w:p>
    <w:p w14:paraId="2DB0BC46" w14:textId="73FFF879" w:rsidR="007A0EB0" w:rsidRDefault="0020076B" w:rsidP="002C4D95">
      <w:pPr>
        <w:pStyle w:val="NoSpacing"/>
        <w:rPr>
          <w:rFonts w:ascii="Times New Roman" w:hAnsi="Times New Roman" w:cs="Times New Roman"/>
          <w:sz w:val="24"/>
        </w:rPr>
      </w:pPr>
      <w:r>
        <w:rPr>
          <w:rFonts w:ascii="Times New Roman" w:hAnsi="Times New Roman" w:cs="Times New Roman"/>
          <w:sz w:val="24"/>
        </w:rPr>
        <w:t>The reason that these selected works suggest that Goya’s art shows the true horrors of war is that they only show the negative consequences of war</w:t>
      </w:r>
      <w:r w:rsidR="00D55281">
        <w:rPr>
          <w:rFonts w:ascii="Times New Roman" w:hAnsi="Times New Roman" w:cs="Times New Roman"/>
          <w:sz w:val="24"/>
        </w:rPr>
        <w:t>.</w:t>
      </w:r>
      <w:r w:rsidR="001609FC">
        <w:rPr>
          <w:rFonts w:ascii="Times New Roman" w:hAnsi="Times New Roman" w:cs="Times New Roman"/>
          <w:sz w:val="24"/>
        </w:rPr>
        <w:t xml:space="preserve"> In </w:t>
      </w:r>
      <w:r w:rsidR="00685EB6">
        <w:rPr>
          <w:rFonts w:ascii="Times New Roman" w:hAnsi="Times New Roman" w:cs="Times New Roman"/>
          <w:sz w:val="24"/>
        </w:rPr>
        <w:t xml:space="preserve">‘This </w:t>
      </w:r>
      <w:r w:rsidR="00117CC6">
        <w:rPr>
          <w:rFonts w:ascii="Times New Roman" w:hAnsi="Times New Roman" w:cs="Times New Roman"/>
          <w:sz w:val="24"/>
        </w:rPr>
        <w:t>A</w:t>
      </w:r>
      <w:r w:rsidR="00685EB6">
        <w:rPr>
          <w:rFonts w:ascii="Times New Roman" w:hAnsi="Times New Roman" w:cs="Times New Roman"/>
          <w:sz w:val="24"/>
        </w:rPr>
        <w:t xml:space="preserve">lways </w:t>
      </w:r>
      <w:r w:rsidR="00117CC6">
        <w:rPr>
          <w:rFonts w:ascii="Times New Roman" w:hAnsi="Times New Roman" w:cs="Times New Roman"/>
          <w:sz w:val="24"/>
        </w:rPr>
        <w:t>H</w:t>
      </w:r>
      <w:r w:rsidR="00685EB6">
        <w:rPr>
          <w:rFonts w:ascii="Times New Roman" w:hAnsi="Times New Roman" w:cs="Times New Roman"/>
          <w:sz w:val="24"/>
        </w:rPr>
        <w:t>appens’ the print focusses on the dead cavalry man and his horse whilst the to focus on the horrendous acts that are performed during war.</w:t>
      </w:r>
      <w:r w:rsidR="00B7545F">
        <w:rPr>
          <w:rStyle w:val="FootnoteReference"/>
          <w:rFonts w:ascii="Times New Roman" w:hAnsi="Times New Roman" w:cs="Times New Roman"/>
          <w:sz w:val="24"/>
        </w:rPr>
        <w:footnoteReference w:id="30"/>
      </w:r>
      <w:r w:rsidR="00685EB6">
        <w:rPr>
          <w:rFonts w:ascii="Times New Roman" w:hAnsi="Times New Roman" w:cs="Times New Roman"/>
          <w:sz w:val="24"/>
        </w:rPr>
        <w:t xml:space="preserve"> Besides this though the rest of the prints in </w:t>
      </w:r>
      <w:r w:rsidR="00685EB6">
        <w:rPr>
          <w:rFonts w:ascii="Times New Roman" w:hAnsi="Times New Roman" w:cs="Times New Roman"/>
          <w:i/>
          <w:sz w:val="24"/>
        </w:rPr>
        <w:t xml:space="preserve">The Disasters of War </w:t>
      </w:r>
      <w:r w:rsidR="00685EB6">
        <w:rPr>
          <w:rFonts w:ascii="Times New Roman" w:hAnsi="Times New Roman" w:cs="Times New Roman"/>
          <w:sz w:val="24"/>
        </w:rPr>
        <w:t>purely focus on the horrors as they provide representations of famine, massacres, and soldiers performing executions by firing squad.</w:t>
      </w:r>
      <w:r w:rsidR="00671C26">
        <w:rPr>
          <w:rStyle w:val="FootnoteReference"/>
          <w:rFonts w:ascii="Times New Roman" w:hAnsi="Times New Roman" w:cs="Times New Roman"/>
          <w:sz w:val="24"/>
        </w:rPr>
        <w:footnoteReference w:id="31"/>
      </w:r>
      <w:r w:rsidR="00685EB6">
        <w:rPr>
          <w:rFonts w:ascii="Times New Roman" w:hAnsi="Times New Roman" w:cs="Times New Roman"/>
          <w:sz w:val="24"/>
        </w:rPr>
        <w:t xml:space="preserve"> </w:t>
      </w:r>
      <w:r w:rsidR="00442DE4">
        <w:rPr>
          <w:rFonts w:ascii="Times New Roman" w:hAnsi="Times New Roman" w:cs="Times New Roman"/>
          <w:sz w:val="24"/>
        </w:rPr>
        <w:t xml:space="preserve">Even without going into an </w:t>
      </w:r>
      <w:r w:rsidR="0062241F">
        <w:rPr>
          <w:rFonts w:ascii="Times New Roman" w:hAnsi="Times New Roman" w:cs="Times New Roman"/>
          <w:sz w:val="24"/>
        </w:rPr>
        <w:t>in-depth</w:t>
      </w:r>
      <w:r w:rsidR="00442DE4">
        <w:rPr>
          <w:rFonts w:ascii="Times New Roman" w:hAnsi="Times New Roman" w:cs="Times New Roman"/>
          <w:sz w:val="24"/>
        </w:rPr>
        <w:t xml:space="preserve"> analysis of </w:t>
      </w:r>
      <w:r w:rsidR="00D36E2B">
        <w:rPr>
          <w:rFonts w:ascii="Times New Roman" w:hAnsi="Times New Roman" w:cs="Times New Roman"/>
          <w:sz w:val="24"/>
        </w:rPr>
        <w:t>all</w:t>
      </w:r>
      <w:r w:rsidR="00442DE4">
        <w:rPr>
          <w:rFonts w:ascii="Times New Roman" w:hAnsi="Times New Roman" w:cs="Times New Roman"/>
          <w:sz w:val="24"/>
        </w:rPr>
        <w:t xml:space="preserve"> the prints, including those that are only symbolic, </w:t>
      </w:r>
      <w:r w:rsidR="004E3045">
        <w:rPr>
          <w:rFonts w:ascii="Times New Roman" w:hAnsi="Times New Roman" w:cs="Times New Roman"/>
          <w:sz w:val="24"/>
        </w:rPr>
        <w:t>it is clear they only</w:t>
      </w:r>
      <w:r w:rsidR="00FF74F5">
        <w:rPr>
          <w:rFonts w:ascii="Times New Roman" w:hAnsi="Times New Roman" w:cs="Times New Roman"/>
          <w:sz w:val="24"/>
        </w:rPr>
        <w:t xml:space="preserve"> show the disasters and horrors of war since there are no examples among then that portrays war in a positive light.</w:t>
      </w:r>
      <w:r w:rsidR="002C1215">
        <w:rPr>
          <w:rFonts w:ascii="Times New Roman" w:hAnsi="Times New Roman" w:cs="Times New Roman"/>
          <w:sz w:val="24"/>
        </w:rPr>
        <w:t xml:space="preserve"> </w:t>
      </w:r>
      <w:r w:rsidR="000A2849">
        <w:rPr>
          <w:rFonts w:ascii="Times New Roman" w:hAnsi="Times New Roman" w:cs="Times New Roman"/>
          <w:sz w:val="24"/>
        </w:rPr>
        <w:t xml:space="preserve">It must also be remembered </w:t>
      </w:r>
      <w:r w:rsidR="004E3045">
        <w:rPr>
          <w:rFonts w:ascii="Times New Roman" w:hAnsi="Times New Roman" w:cs="Times New Roman"/>
          <w:sz w:val="24"/>
        </w:rPr>
        <w:t xml:space="preserve">that </w:t>
      </w:r>
      <w:r w:rsidR="00BF5579">
        <w:rPr>
          <w:rFonts w:ascii="Times New Roman" w:hAnsi="Times New Roman" w:cs="Times New Roman"/>
          <w:sz w:val="24"/>
        </w:rPr>
        <w:t>Goya created these prints for the sole purpose of showing the horrors of war.</w:t>
      </w:r>
      <w:r w:rsidR="005B073D">
        <w:rPr>
          <w:rStyle w:val="FootnoteReference"/>
          <w:rFonts w:ascii="Times New Roman" w:hAnsi="Times New Roman" w:cs="Times New Roman"/>
          <w:sz w:val="24"/>
        </w:rPr>
        <w:footnoteReference w:id="32"/>
      </w:r>
      <w:r w:rsidR="00BF5579">
        <w:rPr>
          <w:rFonts w:ascii="Times New Roman" w:hAnsi="Times New Roman" w:cs="Times New Roman"/>
          <w:sz w:val="24"/>
        </w:rPr>
        <w:t xml:space="preserve"> As mentioned before</w:t>
      </w:r>
      <w:r w:rsidR="00117CC6">
        <w:rPr>
          <w:rFonts w:ascii="Times New Roman" w:hAnsi="Times New Roman" w:cs="Times New Roman"/>
          <w:sz w:val="24"/>
        </w:rPr>
        <w:t>,</w:t>
      </w:r>
      <w:r w:rsidR="00BF5579">
        <w:rPr>
          <w:rFonts w:ascii="Times New Roman" w:hAnsi="Times New Roman" w:cs="Times New Roman"/>
          <w:sz w:val="24"/>
        </w:rPr>
        <w:t xml:space="preserve"> </w:t>
      </w:r>
      <w:r w:rsidR="009F05F6">
        <w:rPr>
          <w:rFonts w:ascii="Times New Roman" w:hAnsi="Times New Roman" w:cs="Times New Roman"/>
          <w:sz w:val="24"/>
        </w:rPr>
        <w:t xml:space="preserve">Goya </w:t>
      </w:r>
      <w:r w:rsidR="00921BD5">
        <w:rPr>
          <w:rFonts w:ascii="Times New Roman" w:hAnsi="Times New Roman" w:cs="Times New Roman"/>
          <w:sz w:val="24"/>
        </w:rPr>
        <w:t xml:space="preserve">also </w:t>
      </w:r>
      <w:r w:rsidR="009F05F6">
        <w:rPr>
          <w:rFonts w:ascii="Times New Roman" w:hAnsi="Times New Roman" w:cs="Times New Roman"/>
          <w:sz w:val="24"/>
        </w:rPr>
        <w:t>made these prints so that he could protest the violence of the Peninsular War.</w:t>
      </w:r>
      <w:r w:rsidR="00921BD5">
        <w:rPr>
          <w:rStyle w:val="FootnoteReference"/>
          <w:rFonts w:ascii="Times New Roman" w:hAnsi="Times New Roman" w:cs="Times New Roman"/>
          <w:sz w:val="24"/>
        </w:rPr>
        <w:footnoteReference w:id="33"/>
      </w:r>
      <w:r w:rsidR="009F05F6">
        <w:rPr>
          <w:rFonts w:ascii="Times New Roman" w:hAnsi="Times New Roman" w:cs="Times New Roman"/>
          <w:sz w:val="24"/>
        </w:rPr>
        <w:t xml:space="preserve"> </w:t>
      </w:r>
      <w:r w:rsidR="00A315A8">
        <w:rPr>
          <w:rFonts w:ascii="Times New Roman" w:hAnsi="Times New Roman" w:cs="Times New Roman"/>
          <w:sz w:val="24"/>
        </w:rPr>
        <w:t>It</w:t>
      </w:r>
      <w:r w:rsidR="009314C1">
        <w:rPr>
          <w:rFonts w:ascii="Times New Roman" w:hAnsi="Times New Roman" w:cs="Times New Roman"/>
          <w:sz w:val="24"/>
        </w:rPr>
        <w:t xml:space="preserve"> is therefore unlikely that he would have produced work that was positive </w:t>
      </w:r>
      <w:r w:rsidR="00B1512C">
        <w:rPr>
          <w:rFonts w:ascii="Times New Roman" w:hAnsi="Times New Roman" w:cs="Times New Roman"/>
          <w:sz w:val="24"/>
        </w:rPr>
        <w:t xml:space="preserve">about the war as he appears to have wanted his art to convey his perspective on the war and the disasters of war in general. </w:t>
      </w:r>
    </w:p>
    <w:p w14:paraId="5A40D313" w14:textId="03EE5C5E" w:rsidR="002C4D95" w:rsidRDefault="002C4D95" w:rsidP="002C4D95">
      <w:pPr>
        <w:pStyle w:val="NoSpacing"/>
        <w:rPr>
          <w:rFonts w:ascii="Times New Roman" w:hAnsi="Times New Roman" w:cs="Times New Roman"/>
          <w:sz w:val="24"/>
        </w:rPr>
      </w:pPr>
    </w:p>
    <w:p w14:paraId="06680085" w14:textId="362A1E36" w:rsidR="00050D74" w:rsidRDefault="002C4D95" w:rsidP="002C4D95">
      <w:pPr>
        <w:pStyle w:val="NoSpacing"/>
        <w:rPr>
          <w:rFonts w:ascii="Times New Roman" w:hAnsi="Times New Roman" w:cs="Times New Roman"/>
          <w:sz w:val="24"/>
        </w:rPr>
      </w:pPr>
      <w:r>
        <w:rPr>
          <w:rFonts w:ascii="Times New Roman" w:hAnsi="Times New Roman" w:cs="Times New Roman"/>
          <w:sz w:val="24"/>
        </w:rPr>
        <w:t xml:space="preserve">This paper so far has shown that Goya’s art does show the true horrors of </w:t>
      </w:r>
      <w:r w:rsidR="009B57B6">
        <w:rPr>
          <w:rFonts w:ascii="Times New Roman" w:hAnsi="Times New Roman" w:cs="Times New Roman"/>
          <w:sz w:val="24"/>
        </w:rPr>
        <w:t>war,</w:t>
      </w:r>
      <w:r>
        <w:rPr>
          <w:rFonts w:ascii="Times New Roman" w:hAnsi="Times New Roman" w:cs="Times New Roman"/>
          <w:sz w:val="24"/>
        </w:rPr>
        <w:t xml:space="preserve"> but the paper must now turn to Goya’s historical accuracy. </w:t>
      </w:r>
      <w:r w:rsidR="009B57B6">
        <w:rPr>
          <w:rFonts w:ascii="Times New Roman" w:hAnsi="Times New Roman" w:cs="Times New Roman"/>
          <w:sz w:val="24"/>
        </w:rPr>
        <w:t>As mentioned before</w:t>
      </w:r>
      <w:r w:rsidR="00B74491">
        <w:rPr>
          <w:rFonts w:ascii="Times New Roman" w:hAnsi="Times New Roman" w:cs="Times New Roman"/>
          <w:sz w:val="24"/>
        </w:rPr>
        <w:t>,</w:t>
      </w:r>
      <w:r w:rsidR="009B57B6">
        <w:rPr>
          <w:rFonts w:ascii="Times New Roman" w:hAnsi="Times New Roman" w:cs="Times New Roman"/>
          <w:sz w:val="24"/>
        </w:rPr>
        <w:t xml:space="preserve"> Jones’ </w:t>
      </w:r>
      <w:r w:rsidR="004D6397">
        <w:rPr>
          <w:rFonts w:ascii="Times New Roman" w:hAnsi="Times New Roman" w:cs="Times New Roman"/>
          <w:sz w:val="24"/>
        </w:rPr>
        <w:t>ideas about ‘adequate’ war art also state</w:t>
      </w:r>
      <w:r w:rsidR="00F223E1">
        <w:rPr>
          <w:rFonts w:ascii="Times New Roman" w:hAnsi="Times New Roman" w:cs="Times New Roman"/>
          <w:sz w:val="24"/>
        </w:rPr>
        <w:t>s</w:t>
      </w:r>
      <w:r w:rsidR="004D6397">
        <w:rPr>
          <w:rFonts w:ascii="Times New Roman" w:hAnsi="Times New Roman" w:cs="Times New Roman"/>
          <w:sz w:val="24"/>
        </w:rPr>
        <w:t xml:space="preserve"> that the piece </w:t>
      </w:r>
      <w:r w:rsidR="001D2D97">
        <w:rPr>
          <w:rFonts w:ascii="Times New Roman" w:hAnsi="Times New Roman" w:cs="Times New Roman"/>
          <w:sz w:val="24"/>
        </w:rPr>
        <w:t>must</w:t>
      </w:r>
      <w:r w:rsidR="004D6397">
        <w:rPr>
          <w:rFonts w:ascii="Times New Roman" w:hAnsi="Times New Roman" w:cs="Times New Roman"/>
          <w:sz w:val="24"/>
        </w:rPr>
        <w:t xml:space="preserve"> be historically accurate.</w:t>
      </w:r>
      <w:r w:rsidR="00B85EEF">
        <w:rPr>
          <w:rStyle w:val="FootnoteReference"/>
          <w:rFonts w:ascii="Times New Roman" w:hAnsi="Times New Roman" w:cs="Times New Roman"/>
          <w:sz w:val="24"/>
        </w:rPr>
        <w:footnoteReference w:id="34"/>
      </w:r>
      <w:r w:rsidR="00F223E1">
        <w:rPr>
          <w:rFonts w:ascii="Times New Roman" w:hAnsi="Times New Roman" w:cs="Times New Roman"/>
          <w:sz w:val="24"/>
        </w:rPr>
        <w:t xml:space="preserve"> </w:t>
      </w:r>
      <w:r w:rsidR="001344B5">
        <w:rPr>
          <w:rFonts w:ascii="Times New Roman" w:hAnsi="Times New Roman" w:cs="Times New Roman"/>
          <w:sz w:val="24"/>
        </w:rPr>
        <w:t xml:space="preserve">Two of Goya’s works that provide accurate representations of historical events are his two paintings about the </w:t>
      </w:r>
      <w:r w:rsidR="00F23DCF">
        <w:rPr>
          <w:rFonts w:ascii="Times New Roman" w:hAnsi="Times New Roman" w:cs="Times New Roman"/>
          <w:sz w:val="24"/>
        </w:rPr>
        <w:t xml:space="preserve">Dos </w:t>
      </w:r>
      <w:r w:rsidR="001344B5">
        <w:rPr>
          <w:rFonts w:ascii="Times New Roman" w:hAnsi="Times New Roman" w:cs="Times New Roman"/>
          <w:sz w:val="24"/>
        </w:rPr>
        <w:t>de Mayo Uprising</w:t>
      </w:r>
      <w:r w:rsidR="00F23DCF">
        <w:rPr>
          <w:rFonts w:ascii="Times New Roman" w:hAnsi="Times New Roman" w:cs="Times New Roman"/>
          <w:sz w:val="24"/>
        </w:rPr>
        <w:t xml:space="preserve">, </w:t>
      </w:r>
      <w:r w:rsidR="001344B5">
        <w:rPr>
          <w:rFonts w:ascii="Times New Roman" w:hAnsi="Times New Roman" w:cs="Times New Roman"/>
          <w:i/>
          <w:sz w:val="24"/>
        </w:rPr>
        <w:t>The Second of May 1808</w:t>
      </w:r>
      <w:r w:rsidR="00F23DCF">
        <w:rPr>
          <w:rFonts w:ascii="Times New Roman" w:hAnsi="Times New Roman" w:cs="Times New Roman"/>
          <w:i/>
          <w:sz w:val="24"/>
        </w:rPr>
        <w:t>,</w:t>
      </w:r>
      <w:r w:rsidR="001344B5">
        <w:rPr>
          <w:rFonts w:ascii="Times New Roman" w:hAnsi="Times New Roman" w:cs="Times New Roman"/>
          <w:i/>
          <w:sz w:val="24"/>
        </w:rPr>
        <w:t xml:space="preserve"> </w:t>
      </w:r>
      <w:r w:rsidR="00D86A59">
        <w:rPr>
          <w:rFonts w:ascii="Times New Roman" w:hAnsi="Times New Roman" w:cs="Times New Roman"/>
          <w:sz w:val="24"/>
        </w:rPr>
        <w:t>and The</w:t>
      </w:r>
      <w:r w:rsidR="001344B5">
        <w:rPr>
          <w:rFonts w:ascii="Times New Roman" w:hAnsi="Times New Roman" w:cs="Times New Roman"/>
          <w:i/>
          <w:sz w:val="24"/>
        </w:rPr>
        <w:t xml:space="preserve"> Third of May 1808</w:t>
      </w:r>
      <w:r w:rsidR="00F23DCF">
        <w:rPr>
          <w:rFonts w:ascii="Times New Roman" w:hAnsi="Times New Roman" w:cs="Times New Roman"/>
          <w:sz w:val="24"/>
        </w:rPr>
        <w:t>.</w:t>
      </w:r>
      <w:r w:rsidR="009D395F">
        <w:rPr>
          <w:rStyle w:val="FootnoteReference"/>
          <w:rFonts w:ascii="Times New Roman" w:hAnsi="Times New Roman" w:cs="Times New Roman"/>
          <w:sz w:val="24"/>
        </w:rPr>
        <w:footnoteReference w:id="35"/>
      </w:r>
      <w:r w:rsidR="00F23DCF">
        <w:rPr>
          <w:rFonts w:ascii="Times New Roman" w:hAnsi="Times New Roman" w:cs="Times New Roman"/>
          <w:sz w:val="24"/>
        </w:rPr>
        <w:t xml:space="preserve"> </w:t>
      </w:r>
      <w:r w:rsidR="00D86A59">
        <w:rPr>
          <w:rFonts w:ascii="Times New Roman" w:hAnsi="Times New Roman" w:cs="Times New Roman"/>
          <w:i/>
          <w:sz w:val="24"/>
        </w:rPr>
        <w:t xml:space="preserve">The Second of May </w:t>
      </w:r>
      <w:r w:rsidR="00D86A59">
        <w:rPr>
          <w:rFonts w:ascii="Times New Roman" w:hAnsi="Times New Roman" w:cs="Times New Roman"/>
          <w:sz w:val="24"/>
        </w:rPr>
        <w:t>portrays the events that took place on the 2</w:t>
      </w:r>
      <w:r w:rsidR="00D86A59" w:rsidRPr="00D86A59">
        <w:rPr>
          <w:rFonts w:ascii="Times New Roman" w:hAnsi="Times New Roman" w:cs="Times New Roman"/>
          <w:sz w:val="24"/>
          <w:vertAlign w:val="superscript"/>
        </w:rPr>
        <w:t>nd</w:t>
      </w:r>
      <w:r w:rsidR="00D86A59">
        <w:rPr>
          <w:rFonts w:ascii="Times New Roman" w:hAnsi="Times New Roman" w:cs="Times New Roman"/>
          <w:sz w:val="24"/>
        </w:rPr>
        <w:t xml:space="preserve"> of May which was the first day of the rebellion.</w:t>
      </w:r>
      <w:r w:rsidR="009D395F">
        <w:rPr>
          <w:rStyle w:val="FootnoteReference"/>
          <w:rFonts w:ascii="Times New Roman" w:hAnsi="Times New Roman" w:cs="Times New Roman"/>
          <w:sz w:val="24"/>
        </w:rPr>
        <w:footnoteReference w:id="36"/>
      </w:r>
      <w:r w:rsidR="00D86A59">
        <w:rPr>
          <w:rFonts w:ascii="Times New Roman" w:hAnsi="Times New Roman" w:cs="Times New Roman"/>
          <w:sz w:val="24"/>
        </w:rPr>
        <w:t xml:space="preserve"> The representation of that day’s events shows the Spanish attacking the Mameluke cavalry of the French Imperial Guar</w:t>
      </w:r>
      <w:r w:rsidR="00A463C3">
        <w:rPr>
          <w:rFonts w:ascii="Times New Roman" w:hAnsi="Times New Roman" w:cs="Times New Roman"/>
          <w:sz w:val="24"/>
        </w:rPr>
        <w:t xml:space="preserve">d on a street in </w:t>
      </w:r>
      <w:r w:rsidR="00550B36">
        <w:rPr>
          <w:rFonts w:ascii="Times New Roman" w:hAnsi="Times New Roman" w:cs="Times New Roman"/>
          <w:sz w:val="24"/>
        </w:rPr>
        <w:t>Madrid by attempting to pull them from their horses.</w:t>
      </w:r>
      <w:r w:rsidR="00E54CFC">
        <w:rPr>
          <w:rStyle w:val="FootnoteReference"/>
          <w:rFonts w:ascii="Times New Roman" w:hAnsi="Times New Roman" w:cs="Times New Roman"/>
          <w:sz w:val="24"/>
        </w:rPr>
        <w:footnoteReference w:id="37"/>
      </w:r>
      <w:r w:rsidR="00A463C3">
        <w:rPr>
          <w:rFonts w:ascii="Times New Roman" w:hAnsi="Times New Roman" w:cs="Times New Roman"/>
          <w:sz w:val="24"/>
        </w:rPr>
        <w:t xml:space="preserve"> The </w:t>
      </w:r>
      <w:r w:rsidR="00550B36">
        <w:rPr>
          <w:rFonts w:ascii="Times New Roman" w:hAnsi="Times New Roman" w:cs="Times New Roman"/>
          <w:sz w:val="24"/>
        </w:rPr>
        <w:t xml:space="preserve">painting also shows the </w:t>
      </w:r>
      <w:r w:rsidR="00A463C3">
        <w:rPr>
          <w:rFonts w:ascii="Times New Roman" w:hAnsi="Times New Roman" w:cs="Times New Roman"/>
          <w:sz w:val="24"/>
        </w:rPr>
        <w:t xml:space="preserve">street covered in blood and bodies from </w:t>
      </w:r>
      <w:r w:rsidR="00A463C3">
        <w:rPr>
          <w:rFonts w:ascii="Times New Roman" w:hAnsi="Times New Roman" w:cs="Times New Roman"/>
          <w:sz w:val="24"/>
        </w:rPr>
        <w:lastRenderedPageBreak/>
        <w:t xml:space="preserve">both the French soldiers and the Spanish that </w:t>
      </w:r>
      <w:r w:rsidR="00550B36">
        <w:rPr>
          <w:rFonts w:ascii="Times New Roman" w:hAnsi="Times New Roman" w:cs="Times New Roman"/>
          <w:sz w:val="24"/>
        </w:rPr>
        <w:t xml:space="preserve">have </w:t>
      </w:r>
      <w:r w:rsidR="00A463C3">
        <w:rPr>
          <w:rFonts w:ascii="Times New Roman" w:hAnsi="Times New Roman" w:cs="Times New Roman"/>
          <w:sz w:val="24"/>
        </w:rPr>
        <w:t>been killed whilst fighting</w:t>
      </w:r>
      <w:r w:rsidR="00E54CFC">
        <w:rPr>
          <w:rStyle w:val="FootnoteReference"/>
          <w:rFonts w:ascii="Times New Roman" w:hAnsi="Times New Roman" w:cs="Times New Roman"/>
          <w:sz w:val="24"/>
        </w:rPr>
        <w:footnoteReference w:id="38"/>
      </w:r>
      <w:r w:rsidR="00A463C3">
        <w:rPr>
          <w:rFonts w:ascii="Times New Roman" w:hAnsi="Times New Roman" w:cs="Times New Roman"/>
          <w:sz w:val="24"/>
        </w:rPr>
        <w:t>. The reason it can be argued that this painting portrays an accurate representation of history is because the citizens of Madrid did rebel against the French.</w:t>
      </w:r>
      <w:r w:rsidR="00E54CFC">
        <w:rPr>
          <w:rStyle w:val="FootnoteReference"/>
          <w:rFonts w:ascii="Times New Roman" w:hAnsi="Times New Roman" w:cs="Times New Roman"/>
          <w:sz w:val="24"/>
        </w:rPr>
        <w:footnoteReference w:id="39"/>
      </w:r>
      <w:r w:rsidR="00A463C3">
        <w:rPr>
          <w:rFonts w:ascii="Times New Roman" w:hAnsi="Times New Roman" w:cs="Times New Roman"/>
          <w:sz w:val="24"/>
        </w:rPr>
        <w:t xml:space="preserve"> The Dos de Mayo Uprising began because the French attempted to relocate members of the Spanish Royal Family to France.</w:t>
      </w:r>
      <w:r w:rsidR="003D48B7">
        <w:rPr>
          <w:rStyle w:val="FootnoteReference"/>
          <w:rFonts w:ascii="Times New Roman" w:hAnsi="Times New Roman" w:cs="Times New Roman"/>
          <w:sz w:val="24"/>
        </w:rPr>
        <w:footnoteReference w:id="40"/>
      </w:r>
      <w:r w:rsidR="00A463C3">
        <w:rPr>
          <w:rFonts w:ascii="Times New Roman" w:hAnsi="Times New Roman" w:cs="Times New Roman"/>
          <w:sz w:val="24"/>
        </w:rPr>
        <w:t xml:space="preserve"> Incensed by this</w:t>
      </w:r>
      <w:r w:rsidR="00117CC6">
        <w:rPr>
          <w:rFonts w:ascii="Times New Roman" w:hAnsi="Times New Roman" w:cs="Times New Roman"/>
          <w:sz w:val="24"/>
        </w:rPr>
        <w:t>,</w:t>
      </w:r>
      <w:r w:rsidR="00A463C3">
        <w:rPr>
          <w:rFonts w:ascii="Times New Roman" w:hAnsi="Times New Roman" w:cs="Times New Roman"/>
          <w:sz w:val="24"/>
        </w:rPr>
        <w:t xml:space="preserve"> the citizens of Madrid revolted and began attacking the French soldiers in the streets.</w:t>
      </w:r>
      <w:r w:rsidR="003D48B7">
        <w:rPr>
          <w:rStyle w:val="FootnoteReference"/>
          <w:rFonts w:ascii="Times New Roman" w:hAnsi="Times New Roman" w:cs="Times New Roman"/>
          <w:sz w:val="24"/>
        </w:rPr>
        <w:footnoteReference w:id="41"/>
      </w:r>
      <w:r w:rsidR="00CC65DD">
        <w:rPr>
          <w:rFonts w:ascii="Times New Roman" w:hAnsi="Times New Roman" w:cs="Times New Roman"/>
          <w:sz w:val="24"/>
        </w:rPr>
        <w:t xml:space="preserve"> </w:t>
      </w:r>
      <w:r w:rsidR="007B635D">
        <w:rPr>
          <w:rFonts w:ascii="Times New Roman" w:hAnsi="Times New Roman" w:cs="Times New Roman"/>
          <w:sz w:val="24"/>
        </w:rPr>
        <w:t xml:space="preserve">The validity of this representation is also increased </w:t>
      </w:r>
      <w:r w:rsidR="0005681A">
        <w:rPr>
          <w:rFonts w:ascii="Times New Roman" w:hAnsi="Times New Roman" w:cs="Times New Roman"/>
          <w:sz w:val="24"/>
        </w:rPr>
        <w:t xml:space="preserve">when considering information provided by Ronald </w:t>
      </w:r>
      <w:proofErr w:type="spellStart"/>
      <w:r w:rsidR="0005681A">
        <w:rPr>
          <w:rFonts w:ascii="Times New Roman" w:hAnsi="Times New Roman" w:cs="Times New Roman"/>
          <w:sz w:val="24"/>
        </w:rPr>
        <w:t>Pawly</w:t>
      </w:r>
      <w:proofErr w:type="spellEnd"/>
      <w:r w:rsidR="0005681A">
        <w:rPr>
          <w:rFonts w:ascii="Times New Roman" w:hAnsi="Times New Roman" w:cs="Times New Roman"/>
          <w:sz w:val="24"/>
        </w:rPr>
        <w:t xml:space="preserve"> who provides a description of what the Mamelukes did during the uprising.</w:t>
      </w:r>
      <w:r w:rsidR="003D48B7">
        <w:rPr>
          <w:rStyle w:val="FootnoteReference"/>
          <w:rFonts w:ascii="Times New Roman" w:hAnsi="Times New Roman" w:cs="Times New Roman"/>
          <w:sz w:val="24"/>
        </w:rPr>
        <w:footnoteReference w:id="42"/>
      </w:r>
      <w:r w:rsidR="0005681A">
        <w:rPr>
          <w:rFonts w:ascii="Times New Roman" w:hAnsi="Times New Roman" w:cs="Times New Roman"/>
          <w:sz w:val="24"/>
        </w:rPr>
        <w:t xml:space="preserve">  According to </w:t>
      </w:r>
      <w:proofErr w:type="spellStart"/>
      <w:r w:rsidR="0005681A">
        <w:rPr>
          <w:rFonts w:ascii="Times New Roman" w:hAnsi="Times New Roman" w:cs="Times New Roman"/>
          <w:sz w:val="24"/>
        </w:rPr>
        <w:t>Pawly</w:t>
      </w:r>
      <w:proofErr w:type="spellEnd"/>
      <w:r w:rsidR="00117CC6">
        <w:rPr>
          <w:rFonts w:ascii="Times New Roman" w:hAnsi="Times New Roman" w:cs="Times New Roman"/>
          <w:sz w:val="24"/>
        </w:rPr>
        <w:t>,</w:t>
      </w:r>
      <w:r w:rsidR="0005681A">
        <w:rPr>
          <w:rFonts w:ascii="Times New Roman" w:hAnsi="Times New Roman" w:cs="Times New Roman"/>
          <w:sz w:val="24"/>
        </w:rPr>
        <w:t xml:space="preserve"> when the Mamelukes reached Madrid’s Puerta Del Sol they rode into a crowd of rioters who proceeded to attack by pulling the riders from their saddles.</w:t>
      </w:r>
      <w:r w:rsidR="00C534ED">
        <w:rPr>
          <w:rStyle w:val="FootnoteReference"/>
          <w:rFonts w:ascii="Times New Roman" w:hAnsi="Times New Roman" w:cs="Times New Roman"/>
          <w:sz w:val="24"/>
        </w:rPr>
        <w:footnoteReference w:id="43"/>
      </w:r>
      <w:r w:rsidR="00E608A1">
        <w:rPr>
          <w:rFonts w:ascii="Times New Roman" w:hAnsi="Times New Roman" w:cs="Times New Roman"/>
          <w:sz w:val="24"/>
        </w:rPr>
        <w:t xml:space="preserve"> Th</w:t>
      </w:r>
      <w:r w:rsidR="00050D74">
        <w:rPr>
          <w:rFonts w:ascii="Times New Roman" w:hAnsi="Times New Roman" w:cs="Times New Roman"/>
          <w:sz w:val="24"/>
        </w:rPr>
        <w:t>i</w:t>
      </w:r>
      <w:r w:rsidR="00550B36">
        <w:rPr>
          <w:rFonts w:ascii="Times New Roman" w:hAnsi="Times New Roman" w:cs="Times New Roman"/>
          <w:sz w:val="24"/>
        </w:rPr>
        <w:t xml:space="preserve">s </w:t>
      </w:r>
      <w:r w:rsidR="00E608A1">
        <w:rPr>
          <w:rFonts w:ascii="Times New Roman" w:hAnsi="Times New Roman" w:cs="Times New Roman"/>
          <w:sz w:val="24"/>
        </w:rPr>
        <w:t>description of events seems to corroborate the representation</w:t>
      </w:r>
      <w:r w:rsidR="00216231">
        <w:rPr>
          <w:rFonts w:ascii="Times New Roman" w:hAnsi="Times New Roman" w:cs="Times New Roman"/>
          <w:sz w:val="24"/>
        </w:rPr>
        <w:t xml:space="preserve"> in Goya’s </w:t>
      </w:r>
      <w:r w:rsidR="001B6D64">
        <w:rPr>
          <w:rFonts w:ascii="Times New Roman" w:hAnsi="Times New Roman" w:cs="Times New Roman"/>
          <w:sz w:val="24"/>
        </w:rPr>
        <w:t xml:space="preserve">painting </w:t>
      </w:r>
      <w:r w:rsidR="00216231">
        <w:rPr>
          <w:rFonts w:ascii="Times New Roman" w:hAnsi="Times New Roman" w:cs="Times New Roman"/>
          <w:sz w:val="24"/>
        </w:rPr>
        <w:t xml:space="preserve">as the event portrayed in </w:t>
      </w:r>
      <w:r w:rsidR="001B6D64">
        <w:rPr>
          <w:rFonts w:ascii="Times New Roman" w:hAnsi="Times New Roman" w:cs="Times New Roman"/>
          <w:sz w:val="24"/>
        </w:rPr>
        <w:t xml:space="preserve">it </w:t>
      </w:r>
      <w:r w:rsidR="00216231">
        <w:rPr>
          <w:rFonts w:ascii="Times New Roman" w:hAnsi="Times New Roman" w:cs="Times New Roman"/>
          <w:sz w:val="24"/>
        </w:rPr>
        <w:t xml:space="preserve">appears to </w:t>
      </w:r>
      <w:r w:rsidR="001B6D64">
        <w:rPr>
          <w:rFonts w:ascii="Times New Roman" w:hAnsi="Times New Roman" w:cs="Times New Roman"/>
          <w:sz w:val="24"/>
        </w:rPr>
        <w:t xml:space="preserve">exactly </w:t>
      </w:r>
      <w:r w:rsidR="00216231">
        <w:rPr>
          <w:rFonts w:ascii="Times New Roman" w:hAnsi="Times New Roman" w:cs="Times New Roman"/>
          <w:sz w:val="24"/>
        </w:rPr>
        <w:t>match</w:t>
      </w:r>
      <w:r w:rsidR="001B6D64">
        <w:rPr>
          <w:rFonts w:ascii="Times New Roman" w:hAnsi="Times New Roman" w:cs="Times New Roman"/>
          <w:sz w:val="24"/>
        </w:rPr>
        <w:t xml:space="preserve"> the description of the attack on the Mamelukes at the Puerta Del Sol. </w:t>
      </w:r>
    </w:p>
    <w:p w14:paraId="6909F5C3" w14:textId="3E262F2E" w:rsidR="00050D74" w:rsidRDefault="00050D74" w:rsidP="002C4D95">
      <w:pPr>
        <w:pStyle w:val="NoSpacing"/>
        <w:rPr>
          <w:rFonts w:ascii="Times New Roman" w:hAnsi="Times New Roman" w:cs="Times New Roman"/>
          <w:sz w:val="24"/>
        </w:rPr>
      </w:pPr>
    </w:p>
    <w:p w14:paraId="19DF0D20" w14:textId="71F3F4D6" w:rsidR="0051092B" w:rsidRDefault="00050D74" w:rsidP="002C4D95">
      <w:pPr>
        <w:pStyle w:val="NoSpacing"/>
        <w:rPr>
          <w:rFonts w:ascii="Times New Roman" w:hAnsi="Times New Roman" w:cs="Times New Roman"/>
          <w:i/>
          <w:sz w:val="24"/>
        </w:rPr>
      </w:pPr>
      <w:r>
        <w:rPr>
          <w:rFonts w:ascii="Times New Roman" w:hAnsi="Times New Roman" w:cs="Times New Roman"/>
          <w:i/>
          <w:sz w:val="24"/>
        </w:rPr>
        <w:t>The Third of May 1808</w:t>
      </w:r>
      <w:r>
        <w:rPr>
          <w:rFonts w:ascii="Times New Roman" w:hAnsi="Times New Roman" w:cs="Times New Roman"/>
          <w:sz w:val="24"/>
        </w:rPr>
        <w:t>’s representation of the uprising also appears to be historically accurate.</w:t>
      </w:r>
      <w:r w:rsidR="00C534ED">
        <w:rPr>
          <w:rStyle w:val="FootnoteReference"/>
          <w:rFonts w:ascii="Times New Roman" w:hAnsi="Times New Roman" w:cs="Times New Roman"/>
          <w:sz w:val="24"/>
        </w:rPr>
        <w:footnoteReference w:id="44"/>
      </w:r>
      <w:r>
        <w:rPr>
          <w:rFonts w:ascii="Times New Roman" w:hAnsi="Times New Roman" w:cs="Times New Roman"/>
          <w:sz w:val="24"/>
        </w:rPr>
        <w:t xml:space="preserve"> </w:t>
      </w:r>
      <w:r w:rsidR="00460A60">
        <w:rPr>
          <w:rFonts w:ascii="Times New Roman" w:hAnsi="Times New Roman" w:cs="Times New Roman"/>
          <w:sz w:val="24"/>
        </w:rPr>
        <w:t>The painting depicts a scene were a firing squad of French soldiers are about to execute Spanish Rebels who took part in the rebellion.</w:t>
      </w:r>
      <w:r w:rsidR="00C534ED">
        <w:rPr>
          <w:rStyle w:val="FootnoteReference"/>
          <w:rFonts w:ascii="Times New Roman" w:hAnsi="Times New Roman" w:cs="Times New Roman"/>
          <w:sz w:val="24"/>
        </w:rPr>
        <w:footnoteReference w:id="45"/>
      </w:r>
      <w:r w:rsidR="00043DED">
        <w:rPr>
          <w:rFonts w:ascii="Times New Roman" w:hAnsi="Times New Roman" w:cs="Times New Roman"/>
          <w:sz w:val="24"/>
        </w:rPr>
        <w:t xml:space="preserve"> </w:t>
      </w:r>
      <w:r w:rsidR="005C47D9">
        <w:rPr>
          <w:rFonts w:ascii="Times New Roman" w:hAnsi="Times New Roman" w:cs="Times New Roman"/>
          <w:sz w:val="24"/>
        </w:rPr>
        <w:t xml:space="preserve">This is in keeping with the historical record </w:t>
      </w:r>
      <w:r w:rsidR="007C4791">
        <w:rPr>
          <w:rFonts w:ascii="Times New Roman" w:hAnsi="Times New Roman" w:cs="Times New Roman"/>
          <w:sz w:val="24"/>
        </w:rPr>
        <w:t xml:space="preserve">as </w:t>
      </w:r>
      <w:r w:rsidR="00131BD1">
        <w:rPr>
          <w:rFonts w:ascii="Times New Roman" w:hAnsi="Times New Roman" w:cs="Times New Roman"/>
          <w:sz w:val="24"/>
        </w:rPr>
        <w:t>on 3</w:t>
      </w:r>
      <w:r w:rsidR="00131BD1" w:rsidRPr="00131BD1">
        <w:rPr>
          <w:rFonts w:ascii="Times New Roman" w:hAnsi="Times New Roman" w:cs="Times New Roman"/>
          <w:sz w:val="24"/>
          <w:vertAlign w:val="superscript"/>
        </w:rPr>
        <w:t>rd</w:t>
      </w:r>
      <w:r w:rsidR="00131BD1">
        <w:rPr>
          <w:rFonts w:ascii="Times New Roman" w:hAnsi="Times New Roman" w:cs="Times New Roman"/>
          <w:sz w:val="24"/>
        </w:rPr>
        <w:t xml:space="preserve"> of May 1808 the French began to execute civilians who </w:t>
      </w:r>
      <w:r w:rsidR="00426692">
        <w:rPr>
          <w:rFonts w:ascii="Times New Roman" w:hAnsi="Times New Roman" w:cs="Times New Roman"/>
          <w:sz w:val="24"/>
        </w:rPr>
        <w:t xml:space="preserve">had either taken part in the rebellion or </w:t>
      </w:r>
      <w:r w:rsidR="00D720E0">
        <w:rPr>
          <w:rFonts w:ascii="Times New Roman" w:hAnsi="Times New Roman" w:cs="Times New Roman"/>
          <w:sz w:val="24"/>
        </w:rPr>
        <w:t>were randomly shot in retribution for the uprising.</w:t>
      </w:r>
      <w:r w:rsidR="00C64F89">
        <w:rPr>
          <w:rStyle w:val="FootnoteReference"/>
          <w:rFonts w:ascii="Times New Roman" w:hAnsi="Times New Roman" w:cs="Times New Roman"/>
          <w:sz w:val="24"/>
        </w:rPr>
        <w:footnoteReference w:id="46"/>
      </w:r>
      <w:r w:rsidR="00D720E0">
        <w:rPr>
          <w:rFonts w:ascii="Times New Roman" w:hAnsi="Times New Roman" w:cs="Times New Roman"/>
          <w:sz w:val="24"/>
        </w:rPr>
        <w:t xml:space="preserve"> It is impossible to deny this fact since both Spanish and French accounts recount how the French Army launched reprisals against the civilian population of Madrid.</w:t>
      </w:r>
      <w:r w:rsidR="00C64F89">
        <w:rPr>
          <w:rStyle w:val="FootnoteReference"/>
          <w:rFonts w:ascii="Times New Roman" w:hAnsi="Times New Roman" w:cs="Times New Roman"/>
          <w:sz w:val="24"/>
        </w:rPr>
        <w:footnoteReference w:id="47"/>
      </w:r>
      <w:r w:rsidR="00D720E0">
        <w:rPr>
          <w:rFonts w:ascii="Times New Roman" w:hAnsi="Times New Roman" w:cs="Times New Roman"/>
          <w:sz w:val="24"/>
        </w:rPr>
        <w:t xml:space="preserve"> However, it is also possible to suggest that this painting and </w:t>
      </w:r>
      <w:r w:rsidR="00D720E0">
        <w:rPr>
          <w:rFonts w:ascii="Times New Roman" w:hAnsi="Times New Roman" w:cs="Times New Roman"/>
          <w:i/>
          <w:sz w:val="24"/>
        </w:rPr>
        <w:t>The Second of May 1808</w:t>
      </w:r>
      <w:r w:rsidR="00D720E0">
        <w:rPr>
          <w:rFonts w:ascii="Times New Roman" w:hAnsi="Times New Roman" w:cs="Times New Roman"/>
          <w:sz w:val="24"/>
        </w:rPr>
        <w:t xml:space="preserve"> are also historically inaccurate as they only </w:t>
      </w:r>
      <w:r w:rsidR="00321D56">
        <w:rPr>
          <w:rFonts w:ascii="Times New Roman" w:hAnsi="Times New Roman" w:cs="Times New Roman"/>
          <w:sz w:val="24"/>
        </w:rPr>
        <w:t xml:space="preserve">show </w:t>
      </w:r>
      <w:r w:rsidR="00D720E0">
        <w:rPr>
          <w:rFonts w:ascii="Times New Roman" w:hAnsi="Times New Roman" w:cs="Times New Roman"/>
          <w:sz w:val="24"/>
        </w:rPr>
        <w:t xml:space="preserve">certain events from the Dos De Mayo Uprising. This point is valid because according to the Museo Nacional del Prado, the museum where the paintings are exhibited, </w:t>
      </w:r>
      <w:r w:rsidR="00321D56">
        <w:rPr>
          <w:rFonts w:ascii="Times New Roman" w:hAnsi="Times New Roman" w:cs="Times New Roman"/>
          <w:sz w:val="24"/>
        </w:rPr>
        <w:t>Goya offered to produce work in 1814 that would “</w:t>
      </w:r>
      <w:r w:rsidR="00321D56" w:rsidRPr="00321D56">
        <w:rPr>
          <w:rFonts w:ascii="Times New Roman" w:hAnsi="Times New Roman" w:cs="Times New Roman"/>
          <w:sz w:val="24"/>
        </w:rPr>
        <w:t>perpetuate, with a paintbrush, the most notable and heroic actions or scenes of our glorious uprising against the tyrant of Europe".</w:t>
      </w:r>
      <w:r w:rsidR="00CC307D">
        <w:rPr>
          <w:rStyle w:val="FootnoteReference"/>
          <w:rFonts w:ascii="Times New Roman" w:hAnsi="Times New Roman" w:cs="Times New Roman"/>
          <w:sz w:val="24"/>
        </w:rPr>
        <w:footnoteReference w:id="48"/>
      </w:r>
      <w:r w:rsidR="0051092B">
        <w:rPr>
          <w:rFonts w:ascii="Times New Roman" w:hAnsi="Times New Roman" w:cs="Times New Roman"/>
          <w:sz w:val="24"/>
        </w:rPr>
        <w:t>This quote creates the implication that Goya created these two paintings with the view that these works would celebrate Spanish resistance against the French occupation of Spain.</w:t>
      </w:r>
      <w:r w:rsidR="00EF077D">
        <w:rPr>
          <w:rStyle w:val="FootnoteReference"/>
          <w:rFonts w:ascii="Times New Roman" w:hAnsi="Times New Roman" w:cs="Times New Roman"/>
          <w:sz w:val="24"/>
        </w:rPr>
        <w:footnoteReference w:id="49"/>
      </w:r>
      <w:r w:rsidR="0051092B">
        <w:rPr>
          <w:rFonts w:ascii="Times New Roman" w:hAnsi="Times New Roman" w:cs="Times New Roman"/>
          <w:sz w:val="24"/>
        </w:rPr>
        <w:t xml:space="preserve"> Due to this it is highly likely that Goya chose to paint the events portrayed in the above paintings because they are favourable towards the Spanish and show the rebels as martyrs for Spanish independence. </w:t>
      </w:r>
    </w:p>
    <w:p w14:paraId="1A07AAD8" w14:textId="3331E15C" w:rsidR="00236B99" w:rsidRDefault="00236B99" w:rsidP="002C4D95">
      <w:pPr>
        <w:pStyle w:val="NoSpacing"/>
        <w:rPr>
          <w:rFonts w:ascii="Times New Roman" w:hAnsi="Times New Roman" w:cs="Times New Roman"/>
          <w:i/>
          <w:sz w:val="24"/>
        </w:rPr>
      </w:pPr>
    </w:p>
    <w:p w14:paraId="1B9F4570" w14:textId="4BBA27B7" w:rsidR="00236B99" w:rsidRDefault="00FD3343" w:rsidP="002C4D95">
      <w:pPr>
        <w:pStyle w:val="NoSpacing"/>
        <w:rPr>
          <w:rFonts w:ascii="Times New Roman" w:hAnsi="Times New Roman" w:cs="Times New Roman"/>
          <w:sz w:val="24"/>
        </w:rPr>
      </w:pPr>
      <w:r>
        <w:rPr>
          <w:rFonts w:ascii="Times New Roman" w:hAnsi="Times New Roman" w:cs="Times New Roman"/>
          <w:sz w:val="24"/>
        </w:rPr>
        <w:lastRenderedPageBreak/>
        <w:t xml:space="preserve">One piece of evidence that illustrates this point is how Goya chose to portray the execution in </w:t>
      </w:r>
      <w:r>
        <w:rPr>
          <w:rFonts w:ascii="Times New Roman" w:hAnsi="Times New Roman" w:cs="Times New Roman"/>
          <w:i/>
          <w:sz w:val="24"/>
        </w:rPr>
        <w:t>The Third of May 1808</w:t>
      </w:r>
      <w:r>
        <w:rPr>
          <w:rFonts w:ascii="Times New Roman" w:hAnsi="Times New Roman" w:cs="Times New Roman"/>
          <w:sz w:val="24"/>
        </w:rPr>
        <w:t>. In the centre of the men being executed there is a man dressed in a white shirt holding his hands above his head.</w:t>
      </w:r>
      <w:r w:rsidR="00F9456B">
        <w:rPr>
          <w:rStyle w:val="FootnoteReference"/>
          <w:rFonts w:ascii="Times New Roman" w:hAnsi="Times New Roman" w:cs="Times New Roman"/>
          <w:sz w:val="24"/>
        </w:rPr>
        <w:footnoteReference w:id="50"/>
      </w:r>
      <w:r>
        <w:rPr>
          <w:rFonts w:ascii="Times New Roman" w:hAnsi="Times New Roman" w:cs="Times New Roman"/>
          <w:sz w:val="24"/>
        </w:rPr>
        <w:t xml:space="preserve"> This man is also a great contrast to the rest of the picture since he is being illuminated by a lamp which is the only source of light in the entire painting.</w:t>
      </w:r>
      <w:r w:rsidR="00F9456B">
        <w:rPr>
          <w:rStyle w:val="FootnoteReference"/>
          <w:rFonts w:ascii="Times New Roman" w:hAnsi="Times New Roman" w:cs="Times New Roman"/>
          <w:sz w:val="24"/>
        </w:rPr>
        <w:footnoteReference w:id="51"/>
      </w:r>
      <w:r>
        <w:rPr>
          <w:rFonts w:ascii="Times New Roman" w:hAnsi="Times New Roman" w:cs="Times New Roman"/>
          <w:sz w:val="24"/>
        </w:rPr>
        <w:t xml:space="preserve"> </w:t>
      </w:r>
      <w:r w:rsidR="00686B2A">
        <w:rPr>
          <w:rFonts w:ascii="Times New Roman" w:hAnsi="Times New Roman" w:cs="Times New Roman"/>
          <w:sz w:val="24"/>
        </w:rPr>
        <w:t xml:space="preserve">It has been suggested that Goya deliberately </w:t>
      </w:r>
      <w:r w:rsidR="00797B6A">
        <w:rPr>
          <w:rFonts w:ascii="Times New Roman" w:hAnsi="Times New Roman" w:cs="Times New Roman"/>
          <w:sz w:val="24"/>
        </w:rPr>
        <w:t>painted this man into the picture as a deliberate comparison to Christ and his crucifixion.</w:t>
      </w:r>
      <w:r w:rsidR="00F9456B">
        <w:rPr>
          <w:rStyle w:val="FootnoteReference"/>
          <w:rFonts w:ascii="Times New Roman" w:hAnsi="Times New Roman" w:cs="Times New Roman"/>
          <w:sz w:val="24"/>
        </w:rPr>
        <w:footnoteReference w:id="52"/>
      </w:r>
      <w:r w:rsidR="00797B6A">
        <w:rPr>
          <w:rFonts w:ascii="Times New Roman" w:hAnsi="Times New Roman" w:cs="Times New Roman"/>
          <w:sz w:val="24"/>
        </w:rPr>
        <w:t xml:space="preserve"> This was likely done to portray this man as a martyr for the Spanish cause and as hero who was executed for protecting Spain from the French occupiers.</w:t>
      </w:r>
      <w:r w:rsidR="008B2007">
        <w:rPr>
          <w:rStyle w:val="FootnoteReference"/>
          <w:rFonts w:ascii="Times New Roman" w:hAnsi="Times New Roman" w:cs="Times New Roman"/>
          <w:sz w:val="24"/>
        </w:rPr>
        <w:footnoteReference w:id="53"/>
      </w:r>
      <w:r w:rsidR="00797B6A">
        <w:rPr>
          <w:rFonts w:ascii="Times New Roman" w:hAnsi="Times New Roman" w:cs="Times New Roman"/>
          <w:sz w:val="24"/>
        </w:rPr>
        <w:t xml:space="preserve"> </w:t>
      </w:r>
      <w:r w:rsidR="00A65A70">
        <w:rPr>
          <w:rFonts w:ascii="Times New Roman" w:hAnsi="Times New Roman" w:cs="Times New Roman"/>
          <w:sz w:val="24"/>
        </w:rPr>
        <w:t>The reason that this damages the painting’s historical accuracy is because it seems that Goya chose to create a piece of art designed to convey a romanticised version of events instead of a piece that conveyed the actual realty of what happened on the 3</w:t>
      </w:r>
      <w:r w:rsidR="00A65A70" w:rsidRPr="00A65A70">
        <w:rPr>
          <w:rFonts w:ascii="Times New Roman" w:hAnsi="Times New Roman" w:cs="Times New Roman"/>
          <w:sz w:val="24"/>
          <w:vertAlign w:val="superscript"/>
        </w:rPr>
        <w:t>rd</w:t>
      </w:r>
      <w:r w:rsidR="00A65A70">
        <w:rPr>
          <w:rFonts w:ascii="Times New Roman" w:hAnsi="Times New Roman" w:cs="Times New Roman"/>
          <w:sz w:val="24"/>
        </w:rPr>
        <w:t xml:space="preserve"> of May 1808. </w:t>
      </w:r>
      <w:r w:rsidR="00BE4CB5">
        <w:rPr>
          <w:rFonts w:ascii="Times New Roman" w:hAnsi="Times New Roman" w:cs="Times New Roman"/>
          <w:sz w:val="24"/>
        </w:rPr>
        <w:t xml:space="preserve">Since the image that is portrayed in the painting is based entirely </w:t>
      </w:r>
      <w:r w:rsidR="00A51E90">
        <w:rPr>
          <w:rFonts w:ascii="Times New Roman" w:hAnsi="Times New Roman" w:cs="Times New Roman"/>
          <w:sz w:val="24"/>
        </w:rPr>
        <w:t>on romanticism rather than historical reality it is unlikely that Jones</w:t>
      </w:r>
      <w:r w:rsidR="008B2007">
        <w:rPr>
          <w:rFonts w:ascii="Times New Roman" w:hAnsi="Times New Roman" w:cs="Times New Roman"/>
          <w:sz w:val="24"/>
        </w:rPr>
        <w:t xml:space="preserve"> </w:t>
      </w:r>
      <w:r w:rsidR="00A51E90">
        <w:rPr>
          <w:rFonts w:ascii="Times New Roman" w:hAnsi="Times New Roman" w:cs="Times New Roman"/>
          <w:sz w:val="24"/>
        </w:rPr>
        <w:t xml:space="preserve">would consider </w:t>
      </w:r>
      <w:r w:rsidR="00A51E90">
        <w:rPr>
          <w:rFonts w:ascii="Times New Roman" w:hAnsi="Times New Roman" w:cs="Times New Roman"/>
          <w:i/>
          <w:sz w:val="24"/>
        </w:rPr>
        <w:t xml:space="preserve">The Third of May 1808 </w:t>
      </w:r>
      <w:r w:rsidR="00A51E90">
        <w:rPr>
          <w:rFonts w:ascii="Times New Roman" w:hAnsi="Times New Roman" w:cs="Times New Roman"/>
          <w:sz w:val="24"/>
        </w:rPr>
        <w:t>an adequate piece of art about war since it does not accurately portray historical reality.</w:t>
      </w:r>
      <w:r w:rsidR="008B2007">
        <w:rPr>
          <w:rStyle w:val="FootnoteReference"/>
          <w:rFonts w:ascii="Times New Roman" w:hAnsi="Times New Roman" w:cs="Times New Roman"/>
          <w:sz w:val="24"/>
        </w:rPr>
        <w:footnoteReference w:id="54"/>
      </w:r>
    </w:p>
    <w:p w14:paraId="1F1CD6B5" w14:textId="306597C1" w:rsidR="004E7DB3" w:rsidRDefault="004E7DB3" w:rsidP="002C4D95">
      <w:pPr>
        <w:pStyle w:val="NoSpacing"/>
        <w:rPr>
          <w:rFonts w:ascii="Times New Roman" w:hAnsi="Times New Roman" w:cs="Times New Roman"/>
          <w:sz w:val="24"/>
        </w:rPr>
      </w:pPr>
    </w:p>
    <w:p w14:paraId="447B81DB" w14:textId="48F3E155" w:rsidR="004E7DB3" w:rsidRDefault="004E7DB3" w:rsidP="002C4D95">
      <w:pPr>
        <w:pStyle w:val="NoSpacing"/>
        <w:rPr>
          <w:rFonts w:ascii="Times New Roman" w:hAnsi="Times New Roman" w:cs="Times New Roman"/>
          <w:sz w:val="24"/>
        </w:rPr>
      </w:pPr>
      <w:r>
        <w:rPr>
          <w:rFonts w:ascii="Times New Roman" w:hAnsi="Times New Roman" w:cs="Times New Roman"/>
          <w:sz w:val="24"/>
        </w:rPr>
        <w:t xml:space="preserve">This opens a problem that Jones’ criteria appear to suffer from when it is applied to certain pieces of work. Many of Goya’s works of art that depict war are very good representations of war in that they show the true horrors of war. Yet, they cannot be considered as ‘adequate’ pieces of work because they do not convey entirely accurate representations </w:t>
      </w:r>
      <w:r w:rsidR="00C83EF2">
        <w:rPr>
          <w:rFonts w:ascii="Times New Roman" w:hAnsi="Times New Roman" w:cs="Times New Roman"/>
          <w:sz w:val="24"/>
        </w:rPr>
        <w:t>of historical</w:t>
      </w:r>
      <w:r>
        <w:rPr>
          <w:rFonts w:ascii="Times New Roman" w:hAnsi="Times New Roman" w:cs="Times New Roman"/>
          <w:sz w:val="24"/>
        </w:rPr>
        <w:t xml:space="preserve"> realit</w:t>
      </w:r>
      <w:r w:rsidR="001C5E5A">
        <w:rPr>
          <w:rFonts w:ascii="Times New Roman" w:hAnsi="Times New Roman" w:cs="Times New Roman"/>
          <w:sz w:val="24"/>
        </w:rPr>
        <w:t>y</w:t>
      </w:r>
      <w:r w:rsidR="000A340F">
        <w:rPr>
          <w:rFonts w:ascii="Times New Roman" w:hAnsi="Times New Roman" w:cs="Times New Roman"/>
          <w:sz w:val="24"/>
        </w:rPr>
        <w:t>.</w:t>
      </w:r>
      <w:r w:rsidR="002D010F">
        <w:rPr>
          <w:rStyle w:val="FootnoteReference"/>
          <w:rFonts w:ascii="Times New Roman" w:hAnsi="Times New Roman" w:cs="Times New Roman"/>
          <w:sz w:val="24"/>
        </w:rPr>
        <w:footnoteReference w:id="55"/>
      </w:r>
      <w:r w:rsidR="000A340F">
        <w:rPr>
          <w:rFonts w:ascii="Times New Roman" w:hAnsi="Times New Roman" w:cs="Times New Roman"/>
          <w:sz w:val="24"/>
        </w:rPr>
        <w:t xml:space="preserve"> </w:t>
      </w:r>
      <w:r w:rsidR="00C83EF2">
        <w:rPr>
          <w:rFonts w:ascii="Times New Roman" w:hAnsi="Times New Roman" w:cs="Times New Roman"/>
          <w:i/>
          <w:sz w:val="24"/>
        </w:rPr>
        <w:t xml:space="preserve">The Third of May 1808 </w:t>
      </w:r>
      <w:r w:rsidR="00C83EF2">
        <w:rPr>
          <w:rFonts w:ascii="Times New Roman" w:hAnsi="Times New Roman" w:cs="Times New Roman"/>
          <w:sz w:val="24"/>
        </w:rPr>
        <w:t xml:space="preserve">is perhaps the best example of this since it does </w:t>
      </w:r>
      <w:r w:rsidR="003C558B">
        <w:rPr>
          <w:rFonts w:ascii="Times New Roman" w:hAnsi="Times New Roman" w:cs="Times New Roman"/>
          <w:sz w:val="24"/>
        </w:rPr>
        <w:t>convey actual historical</w:t>
      </w:r>
      <w:r w:rsidR="00C83EF2">
        <w:rPr>
          <w:rFonts w:ascii="Times New Roman" w:hAnsi="Times New Roman" w:cs="Times New Roman"/>
          <w:sz w:val="24"/>
        </w:rPr>
        <w:t xml:space="preserve"> reality as it shows the French Army’s reprisals against the Spanish rebels.</w:t>
      </w:r>
      <w:r w:rsidR="00E74994">
        <w:rPr>
          <w:rStyle w:val="FootnoteReference"/>
          <w:rFonts w:ascii="Times New Roman" w:hAnsi="Times New Roman" w:cs="Times New Roman"/>
          <w:sz w:val="24"/>
        </w:rPr>
        <w:footnoteReference w:id="56"/>
      </w:r>
      <w:r w:rsidR="00C83EF2">
        <w:rPr>
          <w:rFonts w:ascii="Times New Roman" w:hAnsi="Times New Roman" w:cs="Times New Roman"/>
          <w:sz w:val="24"/>
        </w:rPr>
        <w:t xml:space="preserve"> Yet, it cannot be considered ‘adequate’ because Goya chose to include the reference to Christ’s crucifixion which causes the painting to convey an image that does not </w:t>
      </w:r>
      <w:r w:rsidR="003C558B">
        <w:rPr>
          <w:rFonts w:ascii="Times New Roman" w:hAnsi="Times New Roman" w:cs="Times New Roman"/>
          <w:sz w:val="24"/>
        </w:rPr>
        <w:t>provide a perfect representation of historical reality.</w:t>
      </w:r>
      <w:r w:rsidR="00EC61BA">
        <w:rPr>
          <w:rStyle w:val="FootnoteReference"/>
          <w:rFonts w:ascii="Times New Roman" w:hAnsi="Times New Roman" w:cs="Times New Roman"/>
          <w:sz w:val="24"/>
        </w:rPr>
        <w:footnoteReference w:id="57"/>
      </w:r>
      <w:r w:rsidR="003C558B">
        <w:rPr>
          <w:rFonts w:ascii="Times New Roman" w:hAnsi="Times New Roman" w:cs="Times New Roman"/>
          <w:sz w:val="24"/>
        </w:rPr>
        <w:t xml:space="preserve"> Throughout his article Jones makes it clear that artwork that provides symbolic accounts, or ‘illusions</w:t>
      </w:r>
      <w:r w:rsidR="00695EFB">
        <w:rPr>
          <w:rFonts w:ascii="Times New Roman" w:hAnsi="Times New Roman" w:cs="Times New Roman"/>
          <w:sz w:val="24"/>
        </w:rPr>
        <w:t>’</w:t>
      </w:r>
      <w:r w:rsidR="003C558B">
        <w:rPr>
          <w:rFonts w:ascii="Times New Roman" w:hAnsi="Times New Roman" w:cs="Times New Roman"/>
          <w:sz w:val="24"/>
        </w:rPr>
        <w:t xml:space="preserve">, of history </w:t>
      </w:r>
      <w:r w:rsidR="007563A4">
        <w:rPr>
          <w:rFonts w:ascii="Times New Roman" w:hAnsi="Times New Roman" w:cs="Times New Roman"/>
          <w:sz w:val="24"/>
        </w:rPr>
        <w:t>cannot be considered ‘adequate’ pieces of art because they do not show accurate portrayals of history.</w:t>
      </w:r>
      <w:r w:rsidR="00924CB7">
        <w:rPr>
          <w:rStyle w:val="FootnoteReference"/>
          <w:rFonts w:ascii="Times New Roman" w:hAnsi="Times New Roman" w:cs="Times New Roman"/>
          <w:sz w:val="24"/>
        </w:rPr>
        <w:footnoteReference w:id="58"/>
      </w:r>
      <w:r w:rsidR="007563A4">
        <w:rPr>
          <w:rFonts w:ascii="Times New Roman" w:hAnsi="Times New Roman" w:cs="Times New Roman"/>
          <w:sz w:val="24"/>
        </w:rPr>
        <w:t xml:space="preserve"> Other examples of Goya’s work also fall into this problem including print</w:t>
      </w:r>
      <w:r w:rsidR="005E744D">
        <w:rPr>
          <w:rFonts w:ascii="Times New Roman" w:hAnsi="Times New Roman" w:cs="Times New Roman"/>
          <w:sz w:val="24"/>
        </w:rPr>
        <w:t xml:space="preserve"> seventy-two</w:t>
      </w:r>
      <w:r w:rsidR="007563A4">
        <w:rPr>
          <w:rFonts w:ascii="Times New Roman" w:hAnsi="Times New Roman" w:cs="Times New Roman"/>
          <w:sz w:val="24"/>
        </w:rPr>
        <w:t xml:space="preserve"> from </w:t>
      </w:r>
      <w:r w:rsidR="007563A4">
        <w:rPr>
          <w:rFonts w:ascii="Times New Roman" w:hAnsi="Times New Roman" w:cs="Times New Roman"/>
          <w:i/>
          <w:sz w:val="24"/>
        </w:rPr>
        <w:t xml:space="preserve">The Disasters of War. </w:t>
      </w:r>
      <w:r w:rsidR="00FD581E">
        <w:rPr>
          <w:rFonts w:ascii="Times New Roman" w:hAnsi="Times New Roman" w:cs="Times New Roman"/>
          <w:i/>
          <w:sz w:val="24"/>
        </w:rPr>
        <w:t xml:space="preserve">Las </w:t>
      </w:r>
      <w:proofErr w:type="spellStart"/>
      <w:r w:rsidR="00FD581E">
        <w:rPr>
          <w:rFonts w:ascii="Times New Roman" w:hAnsi="Times New Roman" w:cs="Times New Roman"/>
          <w:i/>
          <w:sz w:val="24"/>
        </w:rPr>
        <w:t>Resultas</w:t>
      </w:r>
      <w:proofErr w:type="spellEnd"/>
      <w:r w:rsidR="00FD581E">
        <w:rPr>
          <w:rFonts w:ascii="Times New Roman" w:hAnsi="Times New Roman" w:cs="Times New Roman"/>
          <w:sz w:val="24"/>
        </w:rPr>
        <w:t xml:space="preserve">, or ‘The </w:t>
      </w:r>
      <w:r w:rsidR="00E60C45">
        <w:rPr>
          <w:rFonts w:ascii="Times New Roman" w:hAnsi="Times New Roman" w:cs="Times New Roman"/>
          <w:sz w:val="24"/>
        </w:rPr>
        <w:t>C</w:t>
      </w:r>
      <w:r w:rsidR="00FD581E">
        <w:rPr>
          <w:rFonts w:ascii="Times New Roman" w:hAnsi="Times New Roman" w:cs="Times New Roman"/>
          <w:sz w:val="24"/>
        </w:rPr>
        <w:t xml:space="preserve">onsequences’ in English, </w:t>
      </w:r>
      <w:r w:rsidR="00903BFC">
        <w:rPr>
          <w:rFonts w:ascii="Times New Roman" w:hAnsi="Times New Roman" w:cs="Times New Roman"/>
          <w:sz w:val="24"/>
        </w:rPr>
        <w:t xml:space="preserve">which </w:t>
      </w:r>
      <w:r w:rsidR="00FD581E">
        <w:rPr>
          <w:rFonts w:ascii="Times New Roman" w:hAnsi="Times New Roman" w:cs="Times New Roman"/>
          <w:sz w:val="24"/>
        </w:rPr>
        <w:t>shows an anthropomorphic bat</w:t>
      </w:r>
      <w:r w:rsidR="00E60C45">
        <w:rPr>
          <w:rFonts w:ascii="Times New Roman" w:hAnsi="Times New Roman" w:cs="Times New Roman"/>
          <w:sz w:val="24"/>
        </w:rPr>
        <w:t>-</w:t>
      </w:r>
      <w:r w:rsidR="00FD581E">
        <w:rPr>
          <w:rFonts w:ascii="Times New Roman" w:hAnsi="Times New Roman" w:cs="Times New Roman"/>
          <w:sz w:val="24"/>
        </w:rPr>
        <w:t>like creature and several other creatures descending from the sky to feed on a dead body</w:t>
      </w:r>
      <w:r w:rsidR="00E35A35">
        <w:rPr>
          <w:rFonts w:ascii="Times New Roman" w:hAnsi="Times New Roman" w:cs="Times New Roman"/>
          <w:sz w:val="24"/>
        </w:rPr>
        <w:t>.</w:t>
      </w:r>
      <w:r w:rsidR="002156FD">
        <w:rPr>
          <w:rStyle w:val="FootnoteReference"/>
          <w:rFonts w:ascii="Times New Roman" w:hAnsi="Times New Roman" w:cs="Times New Roman"/>
          <w:sz w:val="24"/>
        </w:rPr>
        <w:footnoteReference w:id="59"/>
      </w:r>
      <w:r w:rsidR="00E35A35">
        <w:rPr>
          <w:rFonts w:ascii="Times New Roman" w:hAnsi="Times New Roman" w:cs="Times New Roman"/>
          <w:sz w:val="24"/>
        </w:rPr>
        <w:t xml:space="preserve"> </w:t>
      </w:r>
      <w:r w:rsidR="001C5E5A">
        <w:rPr>
          <w:rFonts w:ascii="Times New Roman" w:hAnsi="Times New Roman" w:cs="Times New Roman"/>
          <w:sz w:val="24"/>
        </w:rPr>
        <w:t xml:space="preserve">If Jones’ criteria </w:t>
      </w:r>
      <w:r w:rsidR="005E744D">
        <w:rPr>
          <w:rFonts w:ascii="Times New Roman" w:hAnsi="Times New Roman" w:cs="Times New Roman"/>
          <w:sz w:val="24"/>
        </w:rPr>
        <w:t>were</w:t>
      </w:r>
      <w:r w:rsidR="001C5E5A">
        <w:rPr>
          <w:rFonts w:ascii="Times New Roman" w:hAnsi="Times New Roman" w:cs="Times New Roman"/>
          <w:sz w:val="24"/>
        </w:rPr>
        <w:t xml:space="preserve"> applied to this print it would </w:t>
      </w:r>
      <w:r w:rsidR="002138EB">
        <w:rPr>
          <w:rFonts w:ascii="Times New Roman" w:hAnsi="Times New Roman" w:cs="Times New Roman"/>
          <w:sz w:val="24"/>
        </w:rPr>
        <w:t xml:space="preserve">be </w:t>
      </w:r>
      <w:r w:rsidR="001C5E5A">
        <w:rPr>
          <w:rFonts w:ascii="Times New Roman" w:hAnsi="Times New Roman" w:cs="Times New Roman"/>
          <w:sz w:val="24"/>
        </w:rPr>
        <w:t xml:space="preserve">dismissed as inadequate even though it shows </w:t>
      </w:r>
      <w:r w:rsidR="005E744D">
        <w:rPr>
          <w:rFonts w:ascii="Times New Roman" w:hAnsi="Times New Roman" w:cs="Times New Roman"/>
          <w:sz w:val="24"/>
        </w:rPr>
        <w:t>the true horrors of war for two reasons.</w:t>
      </w:r>
      <w:r w:rsidR="00946B68">
        <w:rPr>
          <w:rStyle w:val="FootnoteReference"/>
          <w:rFonts w:ascii="Times New Roman" w:hAnsi="Times New Roman" w:cs="Times New Roman"/>
          <w:sz w:val="24"/>
        </w:rPr>
        <w:footnoteReference w:id="60"/>
      </w:r>
      <w:r w:rsidR="005E744D">
        <w:rPr>
          <w:rFonts w:ascii="Times New Roman" w:hAnsi="Times New Roman" w:cs="Times New Roman"/>
          <w:sz w:val="24"/>
        </w:rPr>
        <w:t xml:space="preserve"> The first is that</w:t>
      </w:r>
      <w:r w:rsidR="00E60C45">
        <w:rPr>
          <w:rFonts w:ascii="Times New Roman" w:hAnsi="Times New Roman" w:cs="Times New Roman"/>
          <w:sz w:val="24"/>
        </w:rPr>
        <w:t>,</w:t>
      </w:r>
      <w:r w:rsidR="005E744D">
        <w:rPr>
          <w:rFonts w:ascii="Times New Roman" w:hAnsi="Times New Roman" w:cs="Times New Roman"/>
          <w:sz w:val="24"/>
        </w:rPr>
        <w:t xml:space="preserve"> whilst the print shows the horrors of war it does it </w:t>
      </w:r>
      <w:r w:rsidR="00E60C45">
        <w:rPr>
          <w:rFonts w:ascii="Times New Roman" w:hAnsi="Times New Roman" w:cs="Times New Roman"/>
          <w:sz w:val="24"/>
        </w:rPr>
        <w:t xml:space="preserve">in </w:t>
      </w:r>
      <w:r w:rsidR="005E744D">
        <w:rPr>
          <w:rFonts w:ascii="Times New Roman" w:hAnsi="Times New Roman" w:cs="Times New Roman"/>
          <w:sz w:val="24"/>
        </w:rPr>
        <w:t>a symbolic fashion by having the bat</w:t>
      </w:r>
      <w:r w:rsidR="00862E97">
        <w:rPr>
          <w:rFonts w:ascii="Times New Roman" w:hAnsi="Times New Roman" w:cs="Times New Roman"/>
          <w:sz w:val="24"/>
        </w:rPr>
        <w:t>-</w:t>
      </w:r>
      <w:r w:rsidR="005E744D">
        <w:rPr>
          <w:rFonts w:ascii="Times New Roman" w:hAnsi="Times New Roman" w:cs="Times New Roman"/>
          <w:sz w:val="24"/>
        </w:rPr>
        <w:t>like creatures feed from corpses.</w:t>
      </w:r>
      <w:r w:rsidR="008236E6">
        <w:rPr>
          <w:rStyle w:val="FootnoteReference"/>
          <w:rFonts w:ascii="Times New Roman" w:hAnsi="Times New Roman" w:cs="Times New Roman"/>
          <w:sz w:val="24"/>
        </w:rPr>
        <w:footnoteReference w:id="61"/>
      </w:r>
      <w:r w:rsidR="005E744D">
        <w:rPr>
          <w:rFonts w:ascii="Times New Roman" w:hAnsi="Times New Roman" w:cs="Times New Roman"/>
          <w:sz w:val="24"/>
        </w:rPr>
        <w:t xml:space="preserve"> It is well known that birds and other animals are attracted </w:t>
      </w:r>
      <w:r w:rsidR="005E744D">
        <w:rPr>
          <w:rFonts w:ascii="Times New Roman" w:hAnsi="Times New Roman" w:cs="Times New Roman"/>
          <w:sz w:val="24"/>
        </w:rPr>
        <w:lastRenderedPageBreak/>
        <w:t>by the flesh of corpses as they use them as a source of food.</w:t>
      </w:r>
      <w:r w:rsidR="001263FE">
        <w:rPr>
          <w:rFonts w:ascii="Times New Roman" w:hAnsi="Times New Roman" w:cs="Times New Roman"/>
          <w:sz w:val="24"/>
        </w:rPr>
        <w:t xml:space="preserve"> Despite</w:t>
      </w:r>
      <w:r w:rsidR="005E744D">
        <w:rPr>
          <w:rFonts w:ascii="Times New Roman" w:hAnsi="Times New Roman" w:cs="Times New Roman"/>
          <w:sz w:val="24"/>
        </w:rPr>
        <w:t xml:space="preserve"> using anthropomorphic animals Goya has given us an accurate portrayal of a horror w</w:t>
      </w:r>
      <w:r w:rsidR="00862E97">
        <w:rPr>
          <w:rFonts w:ascii="Times New Roman" w:hAnsi="Times New Roman" w:cs="Times New Roman"/>
          <w:sz w:val="24"/>
        </w:rPr>
        <w:t>h</w:t>
      </w:r>
      <w:r w:rsidR="005E744D">
        <w:rPr>
          <w:rFonts w:ascii="Times New Roman" w:hAnsi="Times New Roman" w:cs="Times New Roman"/>
          <w:sz w:val="24"/>
        </w:rPr>
        <w:t xml:space="preserve">ere animals descend on corpses to eat </w:t>
      </w:r>
      <w:r w:rsidR="00686F72">
        <w:rPr>
          <w:rFonts w:ascii="Times New Roman" w:hAnsi="Times New Roman" w:cs="Times New Roman"/>
          <w:sz w:val="24"/>
        </w:rPr>
        <w:t>them,</w:t>
      </w:r>
      <w:r w:rsidR="005E744D">
        <w:rPr>
          <w:rFonts w:ascii="Times New Roman" w:hAnsi="Times New Roman" w:cs="Times New Roman"/>
          <w:sz w:val="24"/>
        </w:rPr>
        <w:t xml:space="preserve"> yet it </w:t>
      </w:r>
      <w:r w:rsidR="001263FE">
        <w:rPr>
          <w:rFonts w:ascii="Times New Roman" w:hAnsi="Times New Roman" w:cs="Times New Roman"/>
          <w:sz w:val="24"/>
        </w:rPr>
        <w:t xml:space="preserve">is not ‘adequate’ because </w:t>
      </w:r>
      <w:r w:rsidR="005E744D">
        <w:rPr>
          <w:rFonts w:ascii="Times New Roman" w:hAnsi="Times New Roman" w:cs="Times New Roman"/>
          <w:sz w:val="24"/>
        </w:rPr>
        <w:t xml:space="preserve">he has </w:t>
      </w:r>
      <w:r w:rsidR="005D0925">
        <w:rPr>
          <w:rFonts w:ascii="Times New Roman" w:hAnsi="Times New Roman" w:cs="Times New Roman"/>
          <w:sz w:val="24"/>
        </w:rPr>
        <w:t xml:space="preserve">not </w:t>
      </w:r>
      <w:r w:rsidR="005E744D">
        <w:rPr>
          <w:rFonts w:ascii="Times New Roman" w:hAnsi="Times New Roman" w:cs="Times New Roman"/>
          <w:sz w:val="24"/>
        </w:rPr>
        <w:t>used real animals.</w:t>
      </w:r>
      <w:r w:rsidR="00065963">
        <w:rPr>
          <w:rStyle w:val="FootnoteReference"/>
          <w:rFonts w:ascii="Times New Roman" w:hAnsi="Times New Roman" w:cs="Times New Roman"/>
          <w:sz w:val="24"/>
        </w:rPr>
        <w:footnoteReference w:id="62"/>
      </w:r>
      <w:r w:rsidR="005E744D">
        <w:rPr>
          <w:rFonts w:ascii="Times New Roman" w:hAnsi="Times New Roman" w:cs="Times New Roman"/>
          <w:sz w:val="24"/>
        </w:rPr>
        <w:t xml:space="preserve">   </w:t>
      </w:r>
      <w:r w:rsidR="001263FE">
        <w:rPr>
          <w:rFonts w:ascii="Times New Roman" w:hAnsi="Times New Roman" w:cs="Times New Roman"/>
          <w:sz w:val="24"/>
        </w:rPr>
        <w:t xml:space="preserve">The second is that the print because of its’ symbolic nature does not accurately reflect historical reality even if the event portrayed is something that happened in the historical record. The bat-like creatures are possibly referring to the men, women and soldiers who would after a battle rob the corpses of those killed in battle. </w:t>
      </w:r>
      <w:r w:rsidR="00945CB0">
        <w:rPr>
          <w:rFonts w:ascii="Times New Roman" w:hAnsi="Times New Roman" w:cs="Times New Roman"/>
          <w:sz w:val="24"/>
        </w:rPr>
        <w:t xml:space="preserve">This therefore could </w:t>
      </w:r>
      <w:r w:rsidR="00376A3B">
        <w:rPr>
          <w:rFonts w:ascii="Times New Roman" w:hAnsi="Times New Roman" w:cs="Times New Roman"/>
          <w:sz w:val="24"/>
        </w:rPr>
        <w:t>be an accurate portrayal of historical reality as after many battles in the Peninsular soldiers of all sides and civilians would rob the near-dead or dead of their valuables. However, because the bat</w:t>
      </w:r>
      <w:r w:rsidR="00CC4F32">
        <w:rPr>
          <w:rFonts w:ascii="Times New Roman" w:hAnsi="Times New Roman" w:cs="Times New Roman"/>
          <w:sz w:val="24"/>
        </w:rPr>
        <w:t>-</w:t>
      </w:r>
      <w:r w:rsidR="00376A3B">
        <w:rPr>
          <w:rFonts w:ascii="Times New Roman" w:hAnsi="Times New Roman" w:cs="Times New Roman"/>
          <w:sz w:val="24"/>
        </w:rPr>
        <w:t xml:space="preserve">like creatures represent the people </w:t>
      </w:r>
      <w:r w:rsidR="00BC27DC">
        <w:rPr>
          <w:rFonts w:ascii="Times New Roman" w:hAnsi="Times New Roman" w:cs="Times New Roman"/>
          <w:sz w:val="24"/>
        </w:rPr>
        <w:t xml:space="preserve">in </w:t>
      </w:r>
      <w:r w:rsidR="00376A3B">
        <w:rPr>
          <w:rFonts w:ascii="Times New Roman" w:hAnsi="Times New Roman" w:cs="Times New Roman"/>
          <w:sz w:val="24"/>
        </w:rPr>
        <w:t>this print is does not accurately portray historical reality as it does not show humans picking at the corpse shown in the print.</w:t>
      </w:r>
      <w:r w:rsidR="00EC7380">
        <w:rPr>
          <w:rStyle w:val="FootnoteReference"/>
          <w:rFonts w:ascii="Times New Roman" w:hAnsi="Times New Roman" w:cs="Times New Roman"/>
          <w:sz w:val="24"/>
        </w:rPr>
        <w:footnoteReference w:id="63"/>
      </w:r>
      <w:r w:rsidR="00376A3B">
        <w:rPr>
          <w:rFonts w:ascii="Times New Roman" w:hAnsi="Times New Roman" w:cs="Times New Roman"/>
          <w:sz w:val="24"/>
        </w:rPr>
        <w:t xml:space="preserve"> </w:t>
      </w:r>
      <w:r w:rsidR="000E298A">
        <w:rPr>
          <w:rFonts w:ascii="Times New Roman" w:hAnsi="Times New Roman" w:cs="Times New Roman"/>
          <w:sz w:val="24"/>
        </w:rPr>
        <w:t>When considering the above it is quite clear that whilst many examples of Goya’s work can be considered ‘adequate’ others cannot because they either do not show the true horrors of war or provide a representation that is true to historical reality.</w:t>
      </w:r>
      <w:r w:rsidR="00004BE8">
        <w:rPr>
          <w:rFonts w:ascii="Times New Roman" w:hAnsi="Times New Roman" w:cs="Times New Roman"/>
          <w:sz w:val="24"/>
        </w:rPr>
        <w:t xml:space="preserve"> </w:t>
      </w:r>
      <w:r w:rsidR="00E2592B">
        <w:rPr>
          <w:rFonts w:ascii="Times New Roman" w:hAnsi="Times New Roman" w:cs="Times New Roman"/>
          <w:sz w:val="24"/>
        </w:rPr>
        <w:t>The above paragraph highlights the limitations of Jones</w:t>
      </w:r>
      <w:r w:rsidR="00004BE8">
        <w:rPr>
          <w:rFonts w:ascii="Times New Roman" w:hAnsi="Times New Roman" w:cs="Times New Roman"/>
          <w:sz w:val="24"/>
        </w:rPr>
        <w:t>’ criteria when it is applied to Goya’s work.</w:t>
      </w:r>
      <w:r w:rsidR="001266A6">
        <w:rPr>
          <w:rStyle w:val="FootnoteReference"/>
          <w:rFonts w:ascii="Times New Roman" w:hAnsi="Times New Roman" w:cs="Times New Roman"/>
          <w:sz w:val="24"/>
        </w:rPr>
        <w:footnoteReference w:id="64"/>
      </w:r>
      <w:r w:rsidR="00004BE8">
        <w:rPr>
          <w:rFonts w:ascii="Times New Roman" w:hAnsi="Times New Roman" w:cs="Times New Roman"/>
          <w:sz w:val="24"/>
        </w:rPr>
        <w:t xml:space="preserve"> Some of his paintings can be considered ‘adequate’ as they correspond to the criteria. Whereas as others cannot because they either are not historically accurate, or they do not show the true horrors of war. </w:t>
      </w:r>
    </w:p>
    <w:p w14:paraId="1B21CCAF" w14:textId="7AB62632" w:rsidR="00004BE8" w:rsidRDefault="00004BE8" w:rsidP="002C4D95">
      <w:pPr>
        <w:pStyle w:val="NoSpacing"/>
        <w:rPr>
          <w:rFonts w:ascii="Times New Roman" w:hAnsi="Times New Roman" w:cs="Times New Roman"/>
          <w:sz w:val="24"/>
        </w:rPr>
      </w:pPr>
    </w:p>
    <w:p w14:paraId="16DD45AE" w14:textId="403D36CA" w:rsidR="00004BE8" w:rsidRDefault="00004BE8" w:rsidP="002C4D95">
      <w:pPr>
        <w:pStyle w:val="NoSpacing"/>
        <w:rPr>
          <w:rFonts w:ascii="Times New Roman" w:hAnsi="Times New Roman" w:cs="Times New Roman"/>
          <w:sz w:val="24"/>
        </w:rPr>
      </w:pPr>
      <w:r>
        <w:rPr>
          <w:rFonts w:ascii="Times New Roman" w:hAnsi="Times New Roman" w:cs="Times New Roman"/>
          <w:sz w:val="24"/>
        </w:rPr>
        <w:t xml:space="preserve">After considering the evidence, this essay can conclude that Jones’s ideas about “adequate” art can to a large extent be applied to the artistic output of Goya. </w:t>
      </w:r>
      <w:r w:rsidR="00CE1EEB">
        <w:rPr>
          <w:rFonts w:ascii="Times New Roman" w:hAnsi="Times New Roman" w:cs="Times New Roman"/>
          <w:sz w:val="24"/>
        </w:rPr>
        <w:t xml:space="preserve">Most of the works examined including </w:t>
      </w:r>
      <w:r w:rsidR="00CE1EEB">
        <w:rPr>
          <w:rFonts w:ascii="Times New Roman" w:hAnsi="Times New Roman" w:cs="Times New Roman"/>
          <w:i/>
          <w:sz w:val="24"/>
        </w:rPr>
        <w:t xml:space="preserve">The Second of May 1808, </w:t>
      </w:r>
      <w:proofErr w:type="spellStart"/>
      <w:r w:rsidR="00CE1EEB" w:rsidRPr="00CE1EEB">
        <w:rPr>
          <w:rFonts w:ascii="Times New Roman" w:hAnsi="Times New Roman" w:cs="Times New Roman"/>
          <w:i/>
          <w:sz w:val="24"/>
        </w:rPr>
        <w:t>Siempre</w:t>
      </w:r>
      <w:proofErr w:type="spellEnd"/>
      <w:r w:rsidR="00CE1EEB" w:rsidRPr="00CE1EEB">
        <w:rPr>
          <w:rFonts w:ascii="Times New Roman" w:hAnsi="Times New Roman" w:cs="Times New Roman"/>
          <w:i/>
          <w:sz w:val="24"/>
        </w:rPr>
        <w:t xml:space="preserve"> </w:t>
      </w:r>
      <w:proofErr w:type="spellStart"/>
      <w:r w:rsidR="00CE1EEB" w:rsidRPr="00CE1EEB">
        <w:rPr>
          <w:rFonts w:ascii="Times New Roman" w:hAnsi="Times New Roman" w:cs="Times New Roman"/>
          <w:i/>
          <w:sz w:val="24"/>
        </w:rPr>
        <w:t>Sucede</w:t>
      </w:r>
      <w:proofErr w:type="spellEnd"/>
      <w:r w:rsidR="00CE1EEB">
        <w:rPr>
          <w:rFonts w:ascii="Times New Roman" w:hAnsi="Times New Roman" w:cs="Times New Roman"/>
          <w:i/>
          <w:sz w:val="24"/>
        </w:rPr>
        <w:t xml:space="preserve">, </w:t>
      </w:r>
      <w:r w:rsidR="00CE1EEB">
        <w:rPr>
          <w:rFonts w:ascii="Times New Roman" w:hAnsi="Times New Roman" w:cs="Times New Roman"/>
          <w:sz w:val="24"/>
        </w:rPr>
        <w:t xml:space="preserve">and </w:t>
      </w:r>
      <w:proofErr w:type="spellStart"/>
      <w:r w:rsidR="00CE1EEB" w:rsidRPr="00CE1EEB">
        <w:rPr>
          <w:rFonts w:ascii="Times New Roman" w:hAnsi="Times New Roman" w:cs="Times New Roman"/>
          <w:i/>
          <w:sz w:val="24"/>
        </w:rPr>
        <w:t>Estragos</w:t>
      </w:r>
      <w:proofErr w:type="spellEnd"/>
      <w:r w:rsidR="00CE1EEB" w:rsidRPr="00CE1EEB">
        <w:rPr>
          <w:rFonts w:ascii="Times New Roman" w:hAnsi="Times New Roman" w:cs="Times New Roman"/>
          <w:i/>
          <w:sz w:val="24"/>
        </w:rPr>
        <w:t xml:space="preserve"> de la Guerra</w:t>
      </w:r>
      <w:r w:rsidR="00CE1EEB">
        <w:rPr>
          <w:rFonts w:ascii="Times New Roman" w:hAnsi="Times New Roman" w:cs="Times New Roman"/>
          <w:i/>
          <w:sz w:val="24"/>
        </w:rPr>
        <w:t xml:space="preserve"> </w:t>
      </w:r>
      <w:r w:rsidR="00CE1EEB">
        <w:rPr>
          <w:rFonts w:ascii="Times New Roman" w:hAnsi="Times New Roman" w:cs="Times New Roman"/>
          <w:sz w:val="24"/>
        </w:rPr>
        <w:t xml:space="preserve">according to Jones’ criteria qualify as ‘adequate’ pieces of work because they both show </w:t>
      </w:r>
      <w:r w:rsidR="00FB30B1">
        <w:rPr>
          <w:rFonts w:ascii="Times New Roman" w:hAnsi="Times New Roman" w:cs="Times New Roman"/>
          <w:sz w:val="24"/>
        </w:rPr>
        <w:t>the horrors</w:t>
      </w:r>
      <w:r w:rsidR="00CE1EEB">
        <w:rPr>
          <w:rFonts w:ascii="Times New Roman" w:hAnsi="Times New Roman" w:cs="Times New Roman"/>
          <w:sz w:val="24"/>
        </w:rPr>
        <w:t xml:space="preserve"> of war and </w:t>
      </w:r>
      <w:r w:rsidR="00082196">
        <w:rPr>
          <w:rFonts w:ascii="Times New Roman" w:hAnsi="Times New Roman" w:cs="Times New Roman"/>
          <w:sz w:val="24"/>
        </w:rPr>
        <w:t>provide a historically accurate representation</w:t>
      </w:r>
      <w:r w:rsidR="00A32B0A">
        <w:rPr>
          <w:rFonts w:ascii="Times New Roman" w:hAnsi="Times New Roman" w:cs="Times New Roman"/>
          <w:sz w:val="24"/>
        </w:rPr>
        <w:t>s</w:t>
      </w:r>
      <w:r w:rsidR="00082196">
        <w:rPr>
          <w:rFonts w:ascii="Times New Roman" w:hAnsi="Times New Roman" w:cs="Times New Roman"/>
          <w:sz w:val="24"/>
        </w:rPr>
        <w:t xml:space="preserve"> of the events that they portray. </w:t>
      </w:r>
      <w:r w:rsidR="00DE0C38">
        <w:rPr>
          <w:rFonts w:ascii="Times New Roman" w:hAnsi="Times New Roman" w:cs="Times New Roman"/>
          <w:sz w:val="24"/>
        </w:rPr>
        <w:t xml:space="preserve">On the other </w:t>
      </w:r>
      <w:r w:rsidR="00CD469E">
        <w:rPr>
          <w:rFonts w:ascii="Times New Roman" w:hAnsi="Times New Roman" w:cs="Times New Roman"/>
          <w:sz w:val="24"/>
        </w:rPr>
        <w:t>hand,</w:t>
      </w:r>
      <w:r w:rsidR="00DE0C38">
        <w:rPr>
          <w:rFonts w:ascii="Times New Roman" w:hAnsi="Times New Roman" w:cs="Times New Roman"/>
          <w:sz w:val="24"/>
        </w:rPr>
        <w:t xml:space="preserve"> </w:t>
      </w:r>
      <w:r w:rsidR="00FB30B1">
        <w:rPr>
          <w:rFonts w:ascii="Times New Roman" w:hAnsi="Times New Roman" w:cs="Times New Roman"/>
          <w:sz w:val="24"/>
        </w:rPr>
        <w:t>this criterion</w:t>
      </w:r>
      <w:r w:rsidR="00DE0C38">
        <w:rPr>
          <w:rFonts w:ascii="Times New Roman" w:hAnsi="Times New Roman" w:cs="Times New Roman"/>
          <w:sz w:val="24"/>
        </w:rPr>
        <w:t xml:space="preserve"> cannot be applied to some of Goya’s works including </w:t>
      </w:r>
      <w:r w:rsidR="00DE0C38">
        <w:rPr>
          <w:rFonts w:ascii="Times New Roman" w:hAnsi="Times New Roman" w:cs="Times New Roman"/>
          <w:i/>
          <w:sz w:val="24"/>
        </w:rPr>
        <w:t xml:space="preserve">The Third of May 1808 </w:t>
      </w:r>
      <w:r w:rsidR="00DE0C38">
        <w:rPr>
          <w:rFonts w:ascii="Times New Roman" w:hAnsi="Times New Roman" w:cs="Times New Roman"/>
          <w:sz w:val="24"/>
        </w:rPr>
        <w:t xml:space="preserve">and </w:t>
      </w:r>
      <w:r w:rsidR="00DE0C38">
        <w:rPr>
          <w:rFonts w:ascii="Times New Roman" w:hAnsi="Times New Roman" w:cs="Times New Roman"/>
          <w:i/>
          <w:sz w:val="24"/>
        </w:rPr>
        <w:t xml:space="preserve">Las </w:t>
      </w:r>
      <w:proofErr w:type="spellStart"/>
      <w:r w:rsidR="00756531">
        <w:rPr>
          <w:rFonts w:ascii="Times New Roman" w:hAnsi="Times New Roman" w:cs="Times New Roman"/>
          <w:i/>
          <w:sz w:val="24"/>
        </w:rPr>
        <w:t>Resultas</w:t>
      </w:r>
      <w:proofErr w:type="spellEnd"/>
      <w:r w:rsidR="00756531">
        <w:rPr>
          <w:rFonts w:ascii="Times New Roman" w:hAnsi="Times New Roman" w:cs="Times New Roman"/>
          <w:i/>
          <w:sz w:val="24"/>
        </w:rPr>
        <w:t xml:space="preserve"> </w:t>
      </w:r>
      <w:r w:rsidR="00756531">
        <w:rPr>
          <w:rFonts w:ascii="Times New Roman" w:hAnsi="Times New Roman" w:cs="Times New Roman"/>
          <w:sz w:val="24"/>
        </w:rPr>
        <w:t>because</w:t>
      </w:r>
      <w:r w:rsidR="00DE0C38">
        <w:rPr>
          <w:rFonts w:ascii="Times New Roman" w:hAnsi="Times New Roman" w:cs="Times New Roman"/>
          <w:sz w:val="24"/>
        </w:rPr>
        <w:t xml:space="preserve"> they ei</w:t>
      </w:r>
      <w:r w:rsidR="00756531">
        <w:rPr>
          <w:rFonts w:ascii="Times New Roman" w:hAnsi="Times New Roman" w:cs="Times New Roman"/>
          <w:sz w:val="24"/>
        </w:rPr>
        <w:t>ther</w:t>
      </w:r>
      <w:r w:rsidR="00DE0C38">
        <w:rPr>
          <w:rFonts w:ascii="Times New Roman" w:hAnsi="Times New Roman" w:cs="Times New Roman"/>
          <w:sz w:val="24"/>
        </w:rPr>
        <w:t xml:space="preserve"> only meet one of the two </w:t>
      </w:r>
      <w:r w:rsidR="00FB30B1">
        <w:rPr>
          <w:rFonts w:ascii="Times New Roman" w:hAnsi="Times New Roman" w:cs="Times New Roman"/>
          <w:sz w:val="24"/>
        </w:rPr>
        <w:t>criteria</w:t>
      </w:r>
      <w:r w:rsidR="00DE0C38">
        <w:rPr>
          <w:rFonts w:ascii="Times New Roman" w:hAnsi="Times New Roman" w:cs="Times New Roman"/>
          <w:sz w:val="24"/>
        </w:rPr>
        <w:t xml:space="preserve"> or they show none of the requirements of ‘adequate’ </w:t>
      </w:r>
      <w:r w:rsidR="00756531">
        <w:rPr>
          <w:rFonts w:ascii="Times New Roman" w:hAnsi="Times New Roman" w:cs="Times New Roman"/>
          <w:sz w:val="24"/>
        </w:rPr>
        <w:t>art</w:t>
      </w:r>
      <w:r w:rsidR="00DE0C38">
        <w:rPr>
          <w:rFonts w:ascii="Times New Roman" w:hAnsi="Times New Roman" w:cs="Times New Roman"/>
          <w:sz w:val="24"/>
        </w:rPr>
        <w:t>.</w:t>
      </w:r>
      <w:r w:rsidR="00771063">
        <w:rPr>
          <w:rFonts w:ascii="Times New Roman" w:hAnsi="Times New Roman" w:cs="Times New Roman"/>
          <w:sz w:val="24"/>
        </w:rPr>
        <w:t xml:space="preserve"> </w:t>
      </w:r>
      <w:r w:rsidR="00734CA5">
        <w:rPr>
          <w:rFonts w:ascii="Times New Roman" w:hAnsi="Times New Roman" w:cs="Times New Roman"/>
          <w:sz w:val="24"/>
        </w:rPr>
        <w:t xml:space="preserve">Put simply, Jones’ ideas can be applied to some examples of Goya’s art whilst at the same time it cannot be applied to others. </w:t>
      </w:r>
      <w:r w:rsidR="00E14E26">
        <w:rPr>
          <w:rFonts w:ascii="Times New Roman" w:hAnsi="Times New Roman" w:cs="Times New Roman"/>
          <w:sz w:val="24"/>
        </w:rPr>
        <w:t xml:space="preserve">  </w:t>
      </w:r>
      <w:r w:rsidR="00734CA5">
        <w:rPr>
          <w:rFonts w:ascii="Times New Roman" w:hAnsi="Times New Roman" w:cs="Times New Roman"/>
          <w:sz w:val="24"/>
        </w:rPr>
        <w:t xml:space="preserve">  </w:t>
      </w:r>
    </w:p>
    <w:p w14:paraId="076BAB2B" w14:textId="4892448C" w:rsidR="00FB30B1" w:rsidRDefault="00FB30B1" w:rsidP="002C4D95">
      <w:pPr>
        <w:pStyle w:val="NoSpacing"/>
        <w:rPr>
          <w:rFonts w:ascii="Times New Roman" w:hAnsi="Times New Roman" w:cs="Times New Roman"/>
          <w:sz w:val="24"/>
        </w:rPr>
      </w:pPr>
    </w:p>
    <w:p w14:paraId="2E5C83FB" w14:textId="2E3FF4D9" w:rsidR="00FB30B1" w:rsidRDefault="00FB30B1" w:rsidP="002C4D95">
      <w:pPr>
        <w:pStyle w:val="NoSpacing"/>
        <w:rPr>
          <w:rFonts w:ascii="Times New Roman" w:hAnsi="Times New Roman" w:cs="Times New Roman"/>
          <w:sz w:val="24"/>
        </w:rPr>
      </w:pPr>
    </w:p>
    <w:p w14:paraId="66A0F94E" w14:textId="48890252" w:rsidR="00FB30B1" w:rsidRDefault="00FB30B1" w:rsidP="002C4D95">
      <w:pPr>
        <w:pStyle w:val="NoSpacing"/>
        <w:rPr>
          <w:rFonts w:ascii="Times New Roman" w:hAnsi="Times New Roman" w:cs="Times New Roman"/>
          <w:sz w:val="24"/>
        </w:rPr>
      </w:pPr>
    </w:p>
    <w:p w14:paraId="4B2AED96" w14:textId="48E97F9D" w:rsidR="00FB30B1" w:rsidRDefault="00FB30B1" w:rsidP="002C4D95">
      <w:pPr>
        <w:pStyle w:val="NoSpacing"/>
        <w:rPr>
          <w:rFonts w:ascii="Times New Roman" w:hAnsi="Times New Roman" w:cs="Times New Roman"/>
          <w:sz w:val="24"/>
        </w:rPr>
      </w:pPr>
    </w:p>
    <w:p w14:paraId="40D187FF" w14:textId="415B12EF" w:rsidR="00FB30B1" w:rsidRDefault="00FB30B1" w:rsidP="002C4D95">
      <w:pPr>
        <w:pStyle w:val="NoSpacing"/>
        <w:rPr>
          <w:rFonts w:ascii="Times New Roman" w:hAnsi="Times New Roman" w:cs="Times New Roman"/>
          <w:sz w:val="24"/>
        </w:rPr>
      </w:pPr>
    </w:p>
    <w:p w14:paraId="5DF237BC" w14:textId="30510A21" w:rsidR="00FB30B1" w:rsidRDefault="00FB30B1" w:rsidP="002C4D95">
      <w:pPr>
        <w:pStyle w:val="NoSpacing"/>
        <w:rPr>
          <w:rFonts w:ascii="Times New Roman" w:hAnsi="Times New Roman" w:cs="Times New Roman"/>
          <w:sz w:val="24"/>
        </w:rPr>
      </w:pPr>
    </w:p>
    <w:p w14:paraId="2FFE5DDE" w14:textId="4C63EB3C" w:rsidR="00FB30B1" w:rsidRDefault="00FB30B1" w:rsidP="002C4D95">
      <w:pPr>
        <w:pStyle w:val="NoSpacing"/>
        <w:rPr>
          <w:rFonts w:ascii="Times New Roman" w:hAnsi="Times New Roman" w:cs="Times New Roman"/>
          <w:sz w:val="24"/>
        </w:rPr>
      </w:pPr>
    </w:p>
    <w:p w14:paraId="3044319E" w14:textId="4330458D" w:rsidR="00FB30B1" w:rsidRDefault="00FB30B1" w:rsidP="002C4D95">
      <w:pPr>
        <w:pStyle w:val="NoSpacing"/>
        <w:rPr>
          <w:rFonts w:ascii="Times New Roman" w:hAnsi="Times New Roman" w:cs="Times New Roman"/>
          <w:sz w:val="24"/>
        </w:rPr>
      </w:pPr>
    </w:p>
    <w:p w14:paraId="2DE9132E" w14:textId="6191A732" w:rsidR="00FB30B1" w:rsidRDefault="00FB30B1" w:rsidP="002C4D95">
      <w:pPr>
        <w:pStyle w:val="NoSpacing"/>
        <w:rPr>
          <w:rFonts w:ascii="Times New Roman" w:hAnsi="Times New Roman" w:cs="Times New Roman"/>
          <w:sz w:val="24"/>
        </w:rPr>
      </w:pPr>
    </w:p>
    <w:p w14:paraId="2BC8210D" w14:textId="37A8BB2D" w:rsidR="00FB30B1" w:rsidRDefault="00FB30B1" w:rsidP="002C4D95">
      <w:pPr>
        <w:pStyle w:val="NoSpacing"/>
        <w:rPr>
          <w:rFonts w:ascii="Times New Roman" w:hAnsi="Times New Roman" w:cs="Times New Roman"/>
          <w:sz w:val="24"/>
        </w:rPr>
      </w:pPr>
    </w:p>
    <w:p w14:paraId="5F2183D0" w14:textId="23CAB3EE" w:rsidR="00FB30B1" w:rsidRDefault="00FB30B1" w:rsidP="002C4D95">
      <w:pPr>
        <w:pStyle w:val="NoSpacing"/>
        <w:rPr>
          <w:rFonts w:ascii="Times New Roman" w:hAnsi="Times New Roman" w:cs="Times New Roman"/>
          <w:sz w:val="24"/>
        </w:rPr>
      </w:pPr>
    </w:p>
    <w:p w14:paraId="3265847C" w14:textId="7B984669" w:rsidR="00FB30B1" w:rsidRDefault="00FB30B1" w:rsidP="002C4D95">
      <w:pPr>
        <w:pStyle w:val="NoSpacing"/>
        <w:rPr>
          <w:rFonts w:ascii="Times New Roman" w:hAnsi="Times New Roman" w:cs="Times New Roman"/>
          <w:sz w:val="24"/>
        </w:rPr>
      </w:pPr>
    </w:p>
    <w:p w14:paraId="1BD22148" w14:textId="675399CD" w:rsidR="00FB30B1" w:rsidRDefault="00FB30B1" w:rsidP="002C4D95">
      <w:pPr>
        <w:pStyle w:val="NoSpacing"/>
        <w:rPr>
          <w:rFonts w:ascii="Times New Roman" w:hAnsi="Times New Roman" w:cs="Times New Roman"/>
          <w:sz w:val="24"/>
        </w:rPr>
      </w:pPr>
    </w:p>
    <w:p w14:paraId="0D4034BA" w14:textId="73338295" w:rsidR="00FB30B1" w:rsidRDefault="00FB30B1" w:rsidP="002C4D95">
      <w:pPr>
        <w:pStyle w:val="NoSpacing"/>
        <w:rPr>
          <w:rFonts w:ascii="Times New Roman" w:hAnsi="Times New Roman" w:cs="Times New Roman"/>
          <w:sz w:val="24"/>
        </w:rPr>
      </w:pPr>
    </w:p>
    <w:p w14:paraId="1A25851E" w14:textId="2C709476" w:rsidR="00FB30B1" w:rsidRDefault="00FB30B1" w:rsidP="002C4D95">
      <w:pPr>
        <w:pStyle w:val="NoSpacing"/>
        <w:rPr>
          <w:rFonts w:ascii="Times New Roman" w:hAnsi="Times New Roman" w:cs="Times New Roman"/>
          <w:sz w:val="24"/>
        </w:rPr>
      </w:pPr>
    </w:p>
    <w:p w14:paraId="75FC2E0F" w14:textId="667FE251" w:rsidR="00FB30B1" w:rsidRDefault="00FB30B1" w:rsidP="002C4D95">
      <w:pPr>
        <w:pStyle w:val="NoSpacing"/>
        <w:rPr>
          <w:rFonts w:ascii="Times New Roman" w:hAnsi="Times New Roman" w:cs="Times New Roman"/>
          <w:sz w:val="24"/>
        </w:rPr>
      </w:pPr>
    </w:p>
    <w:p w14:paraId="531A3AC8" w14:textId="304DE013" w:rsidR="00FB30B1" w:rsidRDefault="00FB30B1" w:rsidP="002C4D95">
      <w:pPr>
        <w:pStyle w:val="NoSpacing"/>
        <w:rPr>
          <w:rFonts w:ascii="Times New Roman" w:hAnsi="Times New Roman" w:cs="Times New Roman"/>
          <w:sz w:val="24"/>
        </w:rPr>
      </w:pPr>
    </w:p>
    <w:p w14:paraId="2706571A" w14:textId="080D0C91" w:rsidR="00FB30B1" w:rsidRDefault="00FB30B1" w:rsidP="002C4D95">
      <w:pPr>
        <w:pStyle w:val="NoSpacing"/>
        <w:rPr>
          <w:rFonts w:ascii="Times New Roman" w:hAnsi="Times New Roman" w:cs="Times New Roman"/>
          <w:sz w:val="24"/>
        </w:rPr>
      </w:pPr>
    </w:p>
    <w:p w14:paraId="77A7D8FC" w14:textId="218AF3AA" w:rsidR="00FB30B1" w:rsidRDefault="00B16A3F" w:rsidP="002C4D95">
      <w:pPr>
        <w:pStyle w:val="NoSpacing"/>
        <w:rPr>
          <w:rFonts w:ascii="Times New Roman" w:hAnsi="Times New Roman" w:cs="Times New Roman"/>
          <w:sz w:val="36"/>
        </w:rPr>
      </w:pPr>
      <w:r>
        <w:rPr>
          <w:rFonts w:ascii="Times New Roman" w:hAnsi="Times New Roman" w:cs="Times New Roman"/>
          <w:sz w:val="36"/>
        </w:rPr>
        <w:lastRenderedPageBreak/>
        <w:t xml:space="preserve">Bibliography </w:t>
      </w:r>
    </w:p>
    <w:p w14:paraId="6AB274C1" w14:textId="5B361290" w:rsidR="00B16A3F" w:rsidRDefault="00B16A3F" w:rsidP="002C4D95">
      <w:pPr>
        <w:pStyle w:val="NoSpacing"/>
        <w:rPr>
          <w:rFonts w:ascii="Times New Roman" w:hAnsi="Times New Roman" w:cs="Times New Roman"/>
          <w:sz w:val="36"/>
        </w:rPr>
      </w:pPr>
    </w:p>
    <w:p w14:paraId="27A62FA3" w14:textId="439BD799" w:rsidR="00627958" w:rsidRDefault="00627958" w:rsidP="002C4D95">
      <w:pPr>
        <w:pStyle w:val="NoSpacing"/>
        <w:rPr>
          <w:rFonts w:ascii="Times New Roman" w:hAnsi="Times New Roman" w:cs="Times New Roman"/>
          <w:sz w:val="24"/>
        </w:rPr>
      </w:pPr>
      <w:r w:rsidRPr="0018035D">
        <w:rPr>
          <w:rFonts w:ascii="Times New Roman" w:hAnsi="Times New Roman" w:cs="Times New Roman"/>
          <w:sz w:val="24"/>
        </w:rPr>
        <w:t xml:space="preserve">Adrian Gilbert, ‘Siege of Badajoz’, Encyclopaedia Britannica, (2018). [Online]. Available: </w:t>
      </w:r>
      <w:hyperlink r:id="rId8" w:history="1">
        <w:r w:rsidRPr="009A70E3">
          <w:rPr>
            <w:rStyle w:val="Hyperlink"/>
            <w:rFonts w:ascii="Times New Roman" w:hAnsi="Times New Roman" w:cs="Times New Roman"/>
            <w:sz w:val="24"/>
          </w:rPr>
          <w:t>https://www.britannica.com/event/Siege-of-Badajoz-1812</w:t>
        </w:r>
      </w:hyperlink>
      <w:r>
        <w:rPr>
          <w:rFonts w:ascii="Times New Roman" w:hAnsi="Times New Roman" w:cs="Times New Roman"/>
          <w:sz w:val="24"/>
        </w:rPr>
        <w:t xml:space="preserve"> </w:t>
      </w:r>
      <w:r w:rsidRPr="0018035D">
        <w:rPr>
          <w:rFonts w:ascii="Times New Roman" w:hAnsi="Times New Roman" w:cs="Times New Roman"/>
          <w:sz w:val="24"/>
        </w:rPr>
        <w:t xml:space="preserve"> </w:t>
      </w:r>
      <w:r w:rsidR="008974AD" w:rsidRPr="008974AD">
        <w:rPr>
          <w:rFonts w:ascii="Times New Roman" w:hAnsi="Times New Roman" w:cs="Times New Roman"/>
          <w:sz w:val="24"/>
        </w:rPr>
        <w:t>(Accessed: 23rd May 2018)</w:t>
      </w:r>
      <w:r w:rsidR="008974AD">
        <w:rPr>
          <w:rFonts w:ascii="Times New Roman" w:hAnsi="Times New Roman" w:cs="Times New Roman"/>
          <w:sz w:val="24"/>
        </w:rPr>
        <w:t xml:space="preserve"> </w:t>
      </w:r>
      <w:r w:rsidRPr="0018035D">
        <w:rPr>
          <w:rFonts w:ascii="Times New Roman" w:hAnsi="Times New Roman" w:cs="Times New Roman"/>
          <w:sz w:val="24"/>
        </w:rPr>
        <w:t xml:space="preserve"> </w:t>
      </w:r>
      <w:r>
        <w:rPr>
          <w:rFonts w:ascii="Times New Roman" w:hAnsi="Times New Roman" w:cs="Times New Roman"/>
          <w:sz w:val="24"/>
        </w:rPr>
        <w:t xml:space="preserve"> </w:t>
      </w:r>
    </w:p>
    <w:p w14:paraId="525EAE5D" w14:textId="77777777" w:rsidR="00627958" w:rsidRDefault="00627958" w:rsidP="002C4D95">
      <w:pPr>
        <w:pStyle w:val="NoSpacing"/>
        <w:rPr>
          <w:rFonts w:ascii="Times New Roman" w:hAnsi="Times New Roman" w:cs="Times New Roman"/>
          <w:sz w:val="24"/>
        </w:rPr>
      </w:pPr>
    </w:p>
    <w:p w14:paraId="2D7E45AD" w14:textId="30EB6A6D" w:rsidR="00627958" w:rsidRDefault="00627958" w:rsidP="002C4D95">
      <w:pPr>
        <w:pStyle w:val="NoSpacing"/>
        <w:rPr>
          <w:rFonts w:ascii="Times New Roman" w:hAnsi="Times New Roman" w:cs="Times New Roman"/>
          <w:sz w:val="24"/>
        </w:rPr>
      </w:pPr>
      <w:r w:rsidRPr="00D31ADD">
        <w:rPr>
          <w:rFonts w:ascii="Times New Roman" w:hAnsi="Times New Roman" w:cs="Times New Roman"/>
          <w:sz w:val="24"/>
        </w:rPr>
        <w:t>Goya</w:t>
      </w:r>
      <w:r>
        <w:rPr>
          <w:rFonts w:ascii="Times New Roman" w:hAnsi="Times New Roman" w:cs="Times New Roman"/>
          <w:sz w:val="24"/>
        </w:rPr>
        <w:t>.</w:t>
      </w:r>
      <w:r w:rsidRPr="00D31ADD">
        <w:rPr>
          <w:rFonts w:ascii="Times New Roman" w:hAnsi="Times New Roman" w:cs="Times New Roman"/>
          <w:sz w:val="24"/>
        </w:rPr>
        <w:t xml:space="preserve"> </w:t>
      </w:r>
      <w:r w:rsidRPr="00D31ADD">
        <w:rPr>
          <w:rFonts w:ascii="Times New Roman" w:hAnsi="Times New Roman" w:cs="Times New Roman"/>
          <w:sz w:val="24"/>
        </w:rPr>
        <w:t>F.</w:t>
      </w:r>
      <w:r>
        <w:rPr>
          <w:rFonts w:ascii="Times New Roman" w:hAnsi="Times New Roman" w:cs="Times New Roman"/>
          <w:sz w:val="24"/>
        </w:rPr>
        <w:t>,</w:t>
      </w:r>
      <w:r w:rsidRPr="00D31ADD">
        <w:rPr>
          <w:rFonts w:ascii="Times New Roman" w:hAnsi="Times New Roman" w:cs="Times New Roman"/>
          <w:sz w:val="24"/>
        </w:rPr>
        <w:t xml:space="preserve"> </w:t>
      </w:r>
      <w:r w:rsidRPr="00382512">
        <w:rPr>
          <w:rFonts w:ascii="Times New Roman" w:hAnsi="Times New Roman" w:cs="Times New Roman"/>
          <w:i/>
          <w:sz w:val="24"/>
        </w:rPr>
        <w:t>The Disasters of War</w:t>
      </w:r>
      <w:r w:rsidRPr="00D31ADD">
        <w:rPr>
          <w:rFonts w:ascii="Times New Roman" w:hAnsi="Times New Roman" w:cs="Times New Roman"/>
          <w:sz w:val="24"/>
        </w:rPr>
        <w:t xml:space="preserve"> (New York: Dover Publications, 2016)</w:t>
      </w:r>
    </w:p>
    <w:p w14:paraId="5476984B" w14:textId="77777777" w:rsidR="00627958" w:rsidRDefault="00627958" w:rsidP="002C4D95">
      <w:pPr>
        <w:pStyle w:val="NoSpacing"/>
        <w:rPr>
          <w:rFonts w:ascii="Times New Roman" w:hAnsi="Times New Roman" w:cs="Times New Roman"/>
          <w:sz w:val="24"/>
        </w:rPr>
      </w:pPr>
    </w:p>
    <w:p w14:paraId="6043BFEF" w14:textId="15540CAA" w:rsidR="00627958" w:rsidRDefault="00627958" w:rsidP="002C4D95">
      <w:pPr>
        <w:pStyle w:val="NoSpacing"/>
        <w:rPr>
          <w:rFonts w:ascii="Times New Roman" w:hAnsi="Times New Roman" w:cs="Times New Roman"/>
          <w:sz w:val="24"/>
        </w:rPr>
      </w:pPr>
      <w:r w:rsidRPr="00FF464D">
        <w:rPr>
          <w:rFonts w:ascii="Times New Roman" w:hAnsi="Times New Roman" w:cs="Times New Roman"/>
          <w:sz w:val="24"/>
        </w:rPr>
        <w:t>Hodge</w:t>
      </w:r>
      <w:r>
        <w:rPr>
          <w:rFonts w:ascii="Times New Roman" w:hAnsi="Times New Roman" w:cs="Times New Roman"/>
          <w:sz w:val="24"/>
        </w:rPr>
        <w:t xml:space="preserve">. </w:t>
      </w:r>
      <w:r w:rsidRPr="00FF464D">
        <w:rPr>
          <w:rFonts w:ascii="Times New Roman" w:hAnsi="Times New Roman" w:cs="Times New Roman"/>
          <w:sz w:val="24"/>
        </w:rPr>
        <w:t>S.</w:t>
      </w:r>
      <w:r>
        <w:rPr>
          <w:rFonts w:ascii="Times New Roman" w:hAnsi="Times New Roman" w:cs="Times New Roman"/>
          <w:sz w:val="24"/>
        </w:rPr>
        <w:t>,</w:t>
      </w:r>
      <w:r w:rsidRPr="00FF464D">
        <w:rPr>
          <w:rFonts w:ascii="Times New Roman" w:hAnsi="Times New Roman" w:cs="Times New Roman"/>
          <w:sz w:val="24"/>
        </w:rPr>
        <w:t xml:space="preserve"> </w:t>
      </w:r>
      <w:r w:rsidRPr="00D31ADD">
        <w:rPr>
          <w:rFonts w:ascii="Times New Roman" w:hAnsi="Times New Roman" w:cs="Times New Roman"/>
          <w:i/>
          <w:sz w:val="24"/>
        </w:rPr>
        <w:t>Goya: His life and works in 500 images</w:t>
      </w:r>
      <w:r w:rsidRPr="00FF464D">
        <w:rPr>
          <w:rFonts w:ascii="Times New Roman" w:hAnsi="Times New Roman" w:cs="Times New Roman"/>
          <w:sz w:val="24"/>
        </w:rPr>
        <w:t xml:space="preserve"> (London: Lorenz Books, 2015</w:t>
      </w:r>
      <w:r>
        <w:rPr>
          <w:rFonts w:ascii="Times New Roman" w:hAnsi="Times New Roman" w:cs="Times New Roman"/>
          <w:sz w:val="24"/>
        </w:rPr>
        <w:t>)</w:t>
      </w:r>
    </w:p>
    <w:p w14:paraId="4F44BD02" w14:textId="77777777" w:rsidR="00627958" w:rsidRDefault="00627958" w:rsidP="002C4D95">
      <w:pPr>
        <w:pStyle w:val="NoSpacing"/>
        <w:rPr>
          <w:rFonts w:ascii="Times New Roman" w:hAnsi="Times New Roman" w:cs="Times New Roman"/>
          <w:sz w:val="24"/>
        </w:rPr>
      </w:pPr>
    </w:p>
    <w:p w14:paraId="2227159C" w14:textId="1816A250" w:rsidR="00627958" w:rsidRDefault="00627958" w:rsidP="002C4D95">
      <w:pPr>
        <w:pStyle w:val="NoSpacing"/>
        <w:rPr>
          <w:rFonts w:ascii="Times New Roman" w:hAnsi="Times New Roman" w:cs="Times New Roman"/>
          <w:sz w:val="24"/>
        </w:rPr>
      </w:pPr>
      <w:r w:rsidRPr="00437EF0">
        <w:rPr>
          <w:rFonts w:ascii="Times New Roman" w:hAnsi="Times New Roman" w:cs="Times New Roman"/>
          <w:sz w:val="24"/>
        </w:rPr>
        <w:t xml:space="preserve">Jonathan Jones, ‘History and all its grisly facts are worth more than the illusion of memory’, The Guardian, (2014), [online]. Available:  </w:t>
      </w:r>
      <w:hyperlink r:id="rId9" w:history="1">
        <w:r w:rsidRPr="009A70E3">
          <w:rPr>
            <w:rStyle w:val="Hyperlink"/>
            <w:rFonts w:ascii="Times New Roman" w:hAnsi="Times New Roman" w:cs="Times New Roman"/>
            <w:sz w:val="24"/>
          </w:rPr>
          <w:t>https://www.theguardian.com/commentisfree/2014/oct/31/world-war-one-poppies-memorial-cameron</w:t>
        </w:r>
      </w:hyperlink>
      <w:r>
        <w:rPr>
          <w:rFonts w:ascii="Times New Roman" w:hAnsi="Times New Roman" w:cs="Times New Roman"/>
          <w:sz w:val="24"/>
        </w:rPr>
        <w:t xml:space="preserve"> </w:t>
      </w:r>
      <w:r w:rsidR="008974AD" w:rsidRPr="008974AD">
        <w:rPr>
          <w:rFonts w:ascii="Times New Roman" w:hAnsi="Times New Roman" w:cs="Times New Roman"/>
          <w:sz w:val="24"/>
        </w:rPr>
        <w:t>(Accessed: 23rd May 2018)</w:t>
      </w:r>
    </w:p>
    <w:p w14:paraId="601A95D9" w14:textId="77777777" w:rsidR="00627958" w:rsidRDefault="00627958" w:rsidP="002C4D95">
      <w:pPr>
        <w:pStyle w:val="NoSpacing"/>
        <w:rPr>
          <w:rFonts w:ascii="Times New Roman" w:hAnsi="Times New Roman" w:cs="Times New Roman"/>
          <w:sz w:val="24"/>
        </w:rPr>
      </w:pPr>
    </w:p>
    <w:p w14:paraId="5074B6B8" w14:textId="49D626D5" w:rsidR="00627958" w:rsidRDefault="00627958" w:rsidP="002C4D95">
      <w:pPr>
        <w:pStyle w:val="NoSpacing"/>
        <w:rPr>
          <w:rFonts w:ascii="Times New Roman" w:hAnsi="Times New Roman" w:cs="Times New Roman"/>
          <w:sz w:val="24"/>
        </w:rPr>
      </w:pPr>
      <w:r w:rsidRPr="001C32DC">
        <w:rPr>
          <w:rFonts w:ascii="Times New Roman" w:hAnsi="Times New Roman" w:cs="Times New Roman"/>
          <w:sz w:val="24"/>
        </w:rPr>
        <w:t xml:space="preserve">Museo del Prado, ‘The 2nd of May 1808 in Madrid or “The Fight against the Mamelukes”’, Museo del Prado, (2018), [Online]. Available at: </w:t>
      </w:r>
      <w:hyperlink r:id="rId10" w:history="1">
        <w:r w:rsidRPr="009A70E3">
          <w:rPr>
            <w:rStyle w:val="Hyperlink"/>
            <w:rFonts w:ascii="Times New Roman" w:hAnsi="Times New Roman" w:cs="Times New Roman"/>
            <w:sz w:val="24"/>
          </w:rPr>
          <w:t>https://www.museodelprado.es/en/the-collection/art-work/the-2nd-of-may-1808-in-madrid-or-the-fight/57dacf2e-5d10-4ded-85aa-9ff6f741f6b1</w:t>
        </w:r>
      </w:hyperlink>
      <w:r>
        <w:rPr>
          <w:rFonts w:ascii="Times New Roman" w:hAnsi="Times New Roman" w:cs="Times New Roman"/>
          <w:sz w:val="24"/>
        </w:rPr>
        <w:t xml:space="preserve"> </w:t>
      </w:r>
      <w:r w:rsidR="008974AD" w:rsidRPr="008974AD">
        <w:rPr>
          <w:rFonts w:ascii="Times New Roman" w:hAnsi="Times New Roman" w:cs="Times New Roman"/>
          <w:sz w:val="24"/>
        </w:rPr>
        <w:t>(Accessed: 23rd May 2018)</w:t>
      </w:r>
    </w:p>
    <w:p w14:paraId="7A5E0E26" w14:textId="77777777" w:rsidR="00627958" w:rsidRDefault="00627958" w:rsidP="002C4D95">
      <w:pPr>
        <w:pStyle w:val="NoSpacing"/>
        <w:rPr>
          <w:rFonts w:ascii="Times New Roman" w:hAnsi="Times New Roman" w:cs="Times New Roman"/>
          <w:sz w:val="24"/>
        </w:rPr>
      </w:pPr>
    </w:p>
    <w:p w14:paraId="2892A1C3" w14:textId="76F399BE" w:rsidR="00627958" w:rsidRDefault="00627958" w:rsidP="002C4D95">
      <w:pPr>
        <w:pStyle w:val="NoSpacing"/>
        <w:rPr>
          <w:rFonts w:ascii="Times New Roman" w:hAnsi="Times New Roman" w:cs="Times New Roman"/>
          <w:sz w:val="24"/>
        </w:rPr>
      </w:pPr>
      <w:proofErr w:type="spellStart"/>
      <w:r w:rsidRPr="004D195C">
        <w:rPr>
          <w:rFonts w:ascii="Times New Roman" w:hAnsi="Times New Roman" w:cs="Times New Roman"/>
          <w:sz w:val="24"/>
        </w:rPr>
        <w:t>Pawly</w:t>
      </w:r>
      <w:proofErr w:type="spellEnd"/>
      <w:r>
        <w:rPr>
          <w:rFonts w:ascii="Times New Roman" w:hAnsi="Times New Roman" w:cs="Times New Roman"/>
          <w:sz w:val="24"/>
        </w:rPr>
        <w:t xml:space="preserve">. </w:t>
      </w:r>
      <w:r w:rsidRPr="004D195C">
        <w:rPr>
          <w:rFonts w:ascii="Times New Roman" w:hAnsi="Times New Roman" w:cs="Times New Roman"/>
          <w:sz w:val="24"/>
        </w:rPr>
        <w:t>R.</w:t>
      </w:r>
      <w:r>
        <w:rPr>
          <w:rFonts w:ascii="Times New Roman" w:hAnsi="Times New Roman" w:cs="Times New Roman"/>
          <w:sz w:val="24"/>
        </w:rPr>
        <w:t xml:space="preserve">, </w:t>
      </w:r>
      <w:r w:rsidRPr="00FF677B">
        <w:rPr>
          <w:rFonts w:ascii="Times New Roman" w:hAnsi="Times New Roman" w:cs="Times New Roman"/>
          <w:i/>
          <w:sz w:val="24"/>
        </w:rPr>
        <w:t>Napoleon’s Mamelukes</w:t>
      </w:r>
      <w:r w:rsidRPr="004D195C">
        <w:rPr>
          <w:rFonts w:ascii="Times New Roman" w:hAnsi="Times New Roman" w:cs="Times New Roman"/>
          <w:sz w:val="24"/>
        </w:rPr>
        <w:t xml:space="preserve"> (Oxford: Osprey Publishing, 2006)</w:t>
      </w:r>
      <w:r>
        <w:rPr>
          <w:rFonts w:ascii="Times New Roman" w:hAnsi="Times New Roman" w:cs="Times New Roman"/>
          <w:sz w:val="24"/>
        </w:rPr>
        <w:t xml:space="preserve"> </w:t>
      </w:r>
      <w:r w:rsidRPr="004D195C">
        <w:rPr>
          <w:rFonts w:ascii="Times New Roman" w:hAnsi="Times New Roman" w:cs="Times New Roman"/>
          <w:sz w:val="24"/>
        </w:rPr>
        <w:t xml:space="preserve">Available at: </w:t>
      </w:r>
      <w:hyperlink r:id="rId11" w:history="1">
        <w:r w:rsidRPr="009A70E3">
          <w:rPr>
            <w:rStyle w:val="Hyperlink"/>
            <w:rFonts w:ascii="Times New Roman" w:hAnsi="Times New Roman" w:cs="Times New Roman"/>
            <w:sz w:val="24"/>
          </w:rPr>
          <w:t>https://www.amazon.co.uk/Napoleons-Mamelukes-Men-at-Arms-Ronald-Pawly-ebook/dp/B01BY3AIFS/ref=sr_1_1?s=digital-text&amp;ie=UTF8&amp;qid=1527113516&amp;sr=1-1&amp;keywords=Napoleon%27s+mamelukes</w:t>
        </w:r>
      </w:hyperlink>
      <w:r>
        <w:rPr>
          <w:rFonts w:ascii="Times New Roman" w:hAnsi="Times New Roman" w:cs="Times New Roman"/>
          <w:sz w:val="24"/>
        </w:rPr>
        <w:t xml:space="preserve"> </w:t>
      </w:r>
      <w:r w:rsidRPr="004D195C">
        <w:rPr>
          <w:rFonts w:ascii="Times New Roman" w:hAnsi="Times New Roman" w:cs="Times New Roman"/>
          <w:sz w:val="24"/>
        </w:rPr>
        <w:t xml:space="preserve">  (Accessed: 23rd May 2018)</w:t>
      </w:r>
    </w:p>
    <w:sectPr w:rsidR="006279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54B41" w14:textId="77777777" w:rsidR="00B202AD" w:rsidRDefault="00B202AD" w:rsidP="00FA5F28">
      <w:pPr>
        <w:spacing w:after="0" w:line="240" w:lineRule="auto"/>
      </w:pPr>
      <w:r>
        <w:separator/>
      </w:r>
    </w:p>
  </w:endnote>
  <w:endnote w:type="continuationSeparator" w:id="0">
    <w:p w14:paraId="604E236B" w14:textId="77777777" w:rsidR="00B202AD" w:rsidRDefault="00B202AD" w:rsidP="00FA5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572DE" w14:textId="77777777" w:rsidR="00B202AD" w:rsidRDefault="00B202AD" w:rsidP="00FA5F28">
      <w:pPr>
        <w:spacing w:after="0" w:line="240" w:lineRule="auto"/>
      </w:pPr>
      <w:r>
        <w:separator/>
      </w:r>
    </w:p>
  </w:footnote>
  <w:footnote w:type="continuationSeparator" w:id="0">
    <w:p w14:paraId="536A6000" w14:textId="77777777" w:rsidR="00B202AD" w:rsidRDefault="00B202AD" w:rsidP="00FA5F28">
      <w:pPr>
        <w:spacing w:after="0" w:line="240" w:lineRule="auto"/>
      </w:pPr>
      <w:r>
        <w:continuationSeparator/>
      </w:r>
    </w:p>
  </w:footnote>
  <w:footnote w:id="1">
    <w:p w14:paraId="7DFA27A7" w14:textId="6D451D7C" w:rsidR="00FA5F28" w:rsidRDefault="00FA5F28" w:rsidP="00FF464D">
      <w:pPr>
        <w:pStyle w:val="FootnoteText"/>
      </w:pPr>
      <w:r>
        <w:rPr>
          <w:rStyle w:val="FootnoteReference"/>
        </w:rPr>
        <w:footnoteRef/>
      </w:r>
      <w:r>
        <w:t xml:space="preserve"> </w:t>
      </w:r>
      <w:r w:rsidR="00103834">
        <w:t xml:space="preserve">Jonathan </w:t>
      </w:r>
      <w:r w:rsidR="007466F8">
        <w:t>Jones, ‘History</w:t>
      </w:r>
      <w:r w:rsidR="007466F8">
        <w:t xml:space="preserve"> and all its grisly facts are worth more than the illusion of memory</w:t>
      </w:r>
      <w:r w:rsidR="007466F8">
        <w:t xml:space="preserve">’, </w:t>
      </w:r>
      <w:r w:rsidR="00723825">
        <w:t>The Guardian</w:t>
      </w:r>
      <w:r w:rsidR="00104445">
        <w:t>, (2014)</w:t>
      </w:r>
      <w:r w:rsidR="00C80B90">
        <w:t xml:space="preserve">, [online]. Available:  </w:t>
      </w:r>
      <w:hyperlink r:id="rId1" w:history="1">
        <w:r w:rsidR="00475B99" w:rsidRPr="005D51EA">
          <w:rPr>
            <w:rStyle w:val="Hyperlink"/>
          </w:rPr>
          <w:t>https://www.theguardian.com/commentisfree/2014/oct/31/world-war-one-poppies-memorial-cameron</w:t>
        </w:r>
      </w:hyperlink>
      <w:r w:rsidR="00475B99">
        <w:t xml:space="preserve"> </w:t>
      </w:r>
    </w:p>
  </w:footnote>
  <w:footnote w:id="2">
    <w:p w14:paraId="7E1CA9A5" w14:textId="42F25A3A" w:rsidR="00FA5F28" w:rsidRDefault="00FA5F28">
      <w:pPr>
        <w:pStyle w:val="FootnoteText"/>
      </w:pPr>
      <w:r>
        <w:rPr>
          <w:rStyle w:val="FootnoteReference"/>
        </w:rPr>
        <w:footnoteRef/>
      </w:r>
      <w:r>
        <w:t xml:space="preserve"> </w:t>
      </w:r>
      <w:r w:rsidR="00266D10">
        <w:t xml:space="preserve">Jonathan Jones, </w:t>
      </w:r>
      <w:r w:rsidR="00E0665F">
        <w:t>‘</w:t>
      </w:r>
      <w:r w:rsidR="00E0665F" w:rsidRPr="00E0665F">
        <w:t>History and all its grisly facts are worth more than the illusion of memory</w:t>
      </w:r>
      <w:r w:rsidR="00E0665F">
        <w:t>’</w:t>
      </w:r>
    </w:p>
  </w:footnote>
  <w:footnote w:id="3">
    <w:p w14:paraId="0F30AE89" w14:textId="4DC0EB8A" w:rsidR="00E32905" w:rsidRPr="0008497B" w:rsidRDefault="00E32905">
      <w:pPr>
        <w:pStyle w:val="FootnoteText"/>
        <w:rPr>
          <w:i/>
        </w:rPr>
      </w:pPr>
      <w:r>
        <w:rPr>
          <w:rStyle w:val="FootnoteReference"/>
        </w:rPr>
        <w:footnoteRef/>
      </w:r>
      <w:r>
        <w:t xml:space="preserve"> </w:t>
      </w:r>
      <w:r w:rsidR="0008497B">
        <w:rPr>
          <w:i/>
        </w:rPr>
        <w:t>Ibid</w:t>
      </w:r>
      <w:r w:rsidR="00352B0D">
        <w:rPr>
          <w:i/>
        </w:rPr>
        <w:t xml:space="preserve">., </w:t>
      </w:r>
    </w:p>
  </w:footnote>
  <w:footnote w:id="4">
    <w:p w14:paraId="1D005DB4" w14:textId="7877A48C" w:rsidR="00E32905" w:rsidRPr="0005332E" w:rsidRDefault="00E32905">
      <w:pPr>
        <w:pStyle w:val="FootnoteText"/>
        <w:rPr>
          <w:i/>
        </w:rPr>
      </w:pPr>
      <w:r>
        <w:rPr>
          <w:rStyle w:val="FootnoteReference"/>
        </w:rPr>
        <w:footnoteRef/>
      </w:r>
      <w:r>
        <w:t xml:space="preserve"> </w:t>
      </w:r>
      <w:r w:rsidR="0005332E">
        <w:rPr>
          <w:i/>
        </w:rPr>
        <w:t xml:space="preserve">Ibid., </w:t>
      </w:r>
    </w:p>
  </w:footnote>
  <w:footnote w:id="5">
    <w:p w14:paraId="58E2EE2C" w14:textId="452FCB14" w:rsidR="00BA23BB" w:rsidRPr="00E471B5" w:rsidRDefault="00BA23BB">
      <w:pPr>
        <w:pStyle w:val="FootnoteText"/>
        <w:rPr>
          <w:i/>
        </w:rPr>
      </w:pPr>
      <w:r>
        <w:rPr>
          <w:rStyle w:val="FootnoteReference"/>
        </w:rPr>
        <w:footnoteRef/>
      </w:r>
      <w:r>
        <w:t xml:space="preserve"> </w:t>
      </w:r>
      <w:r w:rsidR="00E471B5">
        <w:rPr>
          <w:i/>
        </w:rPr>
        <w:t xml:space="preserve">Ibid., </w:t>
      </w:r>
    </w:p>
  </w:footnote>
  <w:footnote w:id="6">
    <w:p w14:paraId="402F1E26" w14:textId="793E4E52" w:rsidR="0039732C" w:rsidRPr="00F27F15" w:rsidRDefault="0039732C">
      <w:pPr>
        <w:pStyle w:val="FootnoteText"/>
      </w:pPr>
      <w:r>
        <w:rPr>
          <w:rStyle w:val="FootnoteReference"/>
        </w:rPr>
        <w:footnoteRef/>
      </w:r>
      <w:r>
        <w:t xml:space="preserve"> </w:t>
      </w:r>
      <w:r w:rsidR="00E315C0">
        <w:t xml:space="preserve">S. </w:t>
      </w:r>
      <w:r w:rsidR="00473CA0">
        <w:t xml:space="preserve">Hodge, </w:t>
      </w:r>
      <w:r w:rsidR="00473CA0">
        <w:rPr>
          <w:i/>
        </w:rPr>
        <w:t>Goya: His life and works in 500 images</w:t>
      </w:r>
      <w:r w:rsidR="005115C9">
        <w:t xml:space="preserve"> (</w:t>
      </w:r>
      <w:r w:rsidR="00AC1D54">
        <w:t xml:space="preserve">London: Lorenz Books, </w:t>
      </w:r>
      <w:r w:rsidR="00CE05A2">
        <w:t>2015)</w:t>
      </w:r>
      <w:r w:rsidR="00EE64BA">
        <w:t xml:space="preserve">, PP. </w:t>
      </w:r>
      <w:r w:rsidR="003B40C3">
        <w:t>233-235</w:t>
      </w:r>
      <w:r w:rsidR="004B2C3D">
        <w:t>.</w:t>
      </w:r>
      <w:r w:rsidR="001F7E45">
        <w:t>; F. Goya</w:t>
      </w:r>
      <w:r w:rsidR="00E53EC2">
        <w:t xml:space="preserve">, </w:t>
      </w:r>
      <w:r w:rsidR="00E53EC2">
        <w:rPr>
          <w:i/>
        </w:rPr>
        <w:t>The Disasters of War</w:t>
      </w:r>
      <w:r w:rsidR="00F27F15">
        <w:rPr>
          <w:i/>
        </w:rPr>
        <w:t xml:space="preserve"> </w:t>
      </w:r>
      <w:r w:rsidR="00F27F15">
        <w:t>(</w:t>
      </w:r>
      <w:r w:rsidR="00E70025">
        <w:t>New York: Dover Publi</w:t>
      </w:r>
      <w:r w:rsidR="00C24EF6">
        <w:t xml:space="preserve">cations, </w:t>
      </w:r>
      <w:r w:rsidR="00CD5205">
        <w:t xml:space="preserve">2016). </w:t>
      </w:r>
    </w:p>
  </w:footnote>
  <w:footnote w:id="7">
    <w:p w14:paraId="779D06E7" w14:textId="025996A8" w:rsidR="00A92EFD" w:rsidRDefault="00A92EFD">
      <w:pPr>
        <w:pStyle w:val="FootnoteText"/>
      </w:pPr>
      <w:r>
        <w:rPr>
          <w:rStyle w:val="FootnoteReference"/>
        </w:rPr>
        <w:footnoteRef/>
      </w:r>
      <w:r>
        <w:t xml:space="preserve"> </w:t>
      </w:r>
      <w:r w:rsidR="002B0E98" w:rsidRPr="002B0E98">
        <w:t xml:space="preserve">Jonathan Jones, ‘History and all its grisly facts are worth more than the illusion of memory’, The Guardian, (2014), [online]. Available:  </w:t>
      </w:r>
      <w:hyperlink r:id="rId2" w:history="1">
        <w:r w:rsidR="002B0E98" w:rsidRPr="005D51EA">
          <w:rPr>
            <w:rStyle w:val="Hyperlink"/>
          </w:rPr>
          <w:t>https://www.theguardian.com/commentisfree/2014/oct/31/world-war-one-poppies-memorial-cameron</w:t>
        </w:r>
      </w:hyperlink>
      <w:r w:rsidR="002B0E98">
        <w:t xml:space="preserve"> </w:t>
      </w:r>
    </w:p>
  </w:footnote>
  <w:footnote w:id="8">
    <w:p w14:paraId="78F506A7" w14:textId="217C7524" w:rsidR="00F55B5E" w:rsidRPr="00DA0052" w:rsidRDefault="00F55B5E">
      <w:pPr>
        <w:pStyle w:val="FootnoteText"/>
      </w:pPr>
      <w:r>
        <w:rPr>
          <w:rStyle w:val="FootnoteReference"/>
        </w:rPr>
        <w:footnoteRef/>
      </w:r>
      <w:r>
        <w:t xml:space="preserve"> </w:t>
      </w:r>
      <w:r w:rsidR="00DA0052">
        <w:rPr>
          <w:i/>
        </w:rPr>
        <w:t xml:space="preserve">Ibid., </w:t>
      </w:r>
    </w:p>
  </w:footnote>
  <w:footnote w:id="9">
    <w:p w14:paraId="1930D45B" w14:textId="45A83CD0" w:rsidR="00F55B5E" w:rsidRPr="007C2DE7" w:rsidRDefault="00F55B5E">
      <w:pPr>
        <w:pStyle w:val="FootnoteText"/>
        <w:rPr>
          <w:i/>
        </w:rPr>
      </w:pPr>
      <w:r>
        <w:rPr>
          <w:rStyle w:val="FootnoteReference"/>
        </w:rPr>
        <w:footnoteRef/>
      </w:r>
      <w:r>
        <w:t xml:space="preserve"> </w:t>
      </w:r>
      <w:r w:rsidR="007C2DE7">
        <w:rPr>
          <w:i/>
        </w:rPr>
        <w:t xml:space="preserve">Ibid., </w:t>
      </w:r>
    </w:p>
  </w:footnote>
  <w:footnote w:id="10">
    <w:p w14:paraId="6EAE2334" w14:textId="71635371" w:rsidR="00F55B5E" w:rsidRPr="00803EC9" w:rsidRDefault="00F55B5E">
      <w:pPr>
        <w:pStyle w:val="FootnoteText"/>
        <w:rPr>
          <w:i/>
        </w:rPr>
      </w:pPr>
      <w:r>
        <w:rPr>
          <w:rStyle w:val="FootnoteReference"/>
        </w:rPr>
        <w:footnoteRef/>
      </w:r>
      <w:r>
        <w:t xml:space="preserve"> </w:t>
      </w:r>
      <w:r w:rsidR="00803EC9">
        <w:rPr>
          <w:i/>
        </w:rPr>
        <w:t xml:space="preserve">Ibid., </w:t>
      </w:r>
    </w:p>
  </w:footnote>
  <w:footnote w:id="11">
    <w:p w14:paraId="46400E32" w14:textId="54125C9A" w:rsidR="00C25BBE" w:rsidRPr="00803EC9" w:rsidRDefault="00C25BBE">
      <w:pPr>
        <w:pStyle w:val="FootnoteText"/>
        <w:rPr>
          <w:i/>
        </w:rPr>
      </w:pPr>
      <w:r>
        <w:rPr>
          <w:rStyle w:val="FootnoteReference"/>
        </w:rPr>
        <w:footnoteRef/>
      </w:r>
      <w:r>
        <w:t xml:space="preserve"> </w:t>
      </w:r>
      <w:r w:rsidR="00803EC9">
        <w:rPr>
          <w:i/>
        </w:rPr>
        <w:t>I</w:t>
      </w:r>
      <w:r w:rsidR="002A227B">
        <w:rPr>
          <w:i/>
        </w:rPr>
        <w:t xml:space="preserve">bid., </w:t>
      </w:r>
    </w:p>
  </w:footnote>
  <w:footnote w:id="12">
    <w:p w14:paraId="1EF2B3CB" w14:textId="11525BA7" w:rsidR="00700A13" w:rsidRPr="00147FBA" w:rsidRDefault="00700A13">
      <w:pPr>
        <w:pStyle w:val="FootnoteText"/>
        <w:rPr>
          <w:i/>
        </w:rPr>
      </w:pPr>
      <w:r>
        <w:rPr>
          <w:rStyle w:val="FootnoteReference"/>
        </w:rPr>
        <w:footnoteRef/>
      </w:r>
      <w:r>
        <w:t xml:space="preserve"> </w:t>
      </w:r>
      <w:r w:rsidR="00147FBA">
        <w:rPr>
          <w:i/>
        </w:rPr>
        <w:t xml:space="preserve">Ibid., </w:t>
      </w:r>
    </w:p>
  </w:footnote>
  <w:footnote w:id="13">
    <w:p w14:paraId="7707F504" w14:textId="0C8A2568" w:rsidR="00700A13" w:rsidRDefault="00700A13">
      <w:pPr>
        <w:pStyle w:val="FootnoteText"/>
      </w:pPr>
      <w:r>
        <w:rPr>
          <w:rStyle w:val="FootnoteReference"/>
        </w:rPr>
        <w:footnoteRef/>
      </w:r>
      <w:r>
        <w:t xml:space="preserve"> </w:t>
      </w:r>
      <w:r w:rsidR="00CC3D90" w:rsidRPr="00CC3D90">
        <w:t xml:space="preserve">F. Goya, </w:t>
      </w:r>
      <w:r w:rsidR="00CC3D90" w:rsidRPr="00D20AAF">
        <w:rPr>
          <w:i/>
        </w:rPr>
        <w:t>The Disasters of War</w:t>
      </w:r>
      <w:r w:rsidR="00CC3D90" w:rsidRPr="00CC3D90">
        <w:t xml:space="preserve"> (New York: Dover Publications, 2016).</w:t>
      </w:r>
      <w:r w:rsidR="00CC3D90">
        <w:t xml:space="preserve"> </w:t>
      </w:r>
    </w:p>
  </w:footnote>
  <w:footnote w:id="14">
    <w:p w14:paraId="6CBCDE12" w14:textId="1679DEBA" w:rsidR="00A17EF3" w:rsidRPr="00D20AAF" w:rsidRDefault="00A17EF3">
      <w:pPr>
        <w:pStyle w:val="FootnoteText"/>
      </w:pPr>
      <w:r>
        <w:rPr>
          <w:rStyle w:val="FootnoteReference"/>
        </w:rPr>
        <w:footnoteRef/>
      </w:r>
      <w:r>
        <w:t xml:space="preserve"> </w:t>
      </w:r>
      <w:r w:rsidR="00B54E0D">
        <w:t xml:space="preserve">Goya, </w:t>
      </w:r>
      <w:r w:rsidR="00D20AAF">
        <w:rPr>
          <w:i/>
        </w:rPr>
        <w:t>The Disasters of War</w:t>
      </w:r>
      <w:r w:rsidR="00D20AAF">
        <w:t xml:space="preserve">, </w:t>
      </w:r>
      <w:r w:rsidR="00134C51">
        <w:t>P</w:t>
      </w:r>
      <w:r w:rsidR="00D20AAF">
        <w:t xml:space="preserve">. </w:t>
      </w:r>
      <w:r w:rsidR="004C5638">
        <w:t xml:space="preserve">2. </w:t>
      </w:r>
    </w:p>
  </w:footnote>
  <w:footnote w:id="15">
    <w:p w14:paraId="65C04F3D" w14:textId="61989EF4" w:rsidR="00A17EF3" w:rsidRPr="009547F8" w:rsidRDefault="00A17EF3">
      <w:pPr>
        <w:pStyle w:val="FootnoteText"/>
      </w:pPr>
      <w:r>
        <w:rPr>
          <w:rStyle w:val="FootnoteReference"/>
        </w:rPr>
        <w:footnoteRef/>
      </w:r>
      <w:r>
        <w:t xml:space="preserve"> </w:t>
      </w:r>
      <w:r w:rsidR="00064740">
        <w:rPr>
          <w:i/>
        </w:rPr>
        <w:t>Ibid</w:t>
      </w:r>
      <w:r w:rsidR="005D2902">
        <w:rPr>
          <w:i/>
        </w:rPr>
        <w:t xml:space="preserve">., </w:t>
      </w:r>
      <w:r w:rsidR="00134C51">
        <w:t>PP</w:t>
      </w:r>
      <w:r w:rsidR="009547F8">
        <w:t xml:space="preserve">. 1-3. </w:t>
      </w:r>
    </w:p>
  </w:footnote>
  <w:footnote w:id="16">
    <w:p w14:paraId="46E69923" w14:textId="4F1C8CEF" w:rsidR="00A17EF3" w:rsidRPr="00C251C0" w:rsidRDefault="00A17EF3">
      <w:pPr>
        <w:pStyle w:val="FootnoteText"/>
      </w:pPr>
      <w:r>
        <w:rPr>
          <w:rStyle w:val="FootnoteReference"/>
        </w:rPr>
        <w:footnoteRef/>
      </w:r>
      <w:r>
        <w:t xml:space="preserve"> </w:t>
      </w:r>
      <w:r w:rsidR="00C251C0">
        <w:rPr>
          <w:i/>
        </w:rPr>
        <w:t xml:space="preserve">Ibid., </w:t>
      </w:r>
      <w:r w:rsidR="00134C51">
        <w:t>PP</w:t>
      </w:r>
      <w:r w:rsidR="00C251C0">
        <w:t xml:space="preserve">. </w:t>
      </w:r>
      <w:r w:rsidR="009B718A">
        <w:t xml:space="preserve">1-3. </w:t>
      </w:r>
    </w:p>
  </w:footnote>
  <w:footnote w:id="17">
    <w:p w14:paraId="5AAD2CD0" w14:textId="4A65F416" w:rsidR="008F6CD0" w:rsidRPr="00C3557D" w:rsidRDefault="008F6CD0">
      <w:pPr>
        <w:pStyle w:val="FootnoteText"/>
      </w:pPr>
      <w:r>
        <w:rPr>
          <w:rStyle w:val="FootnoteReference"/>
        </w:rPr>
        <w:footnoteRef/>
      </w:r>
      <w:r>
        <w:t xml:space="preserve"> </w:t>
      </w:r>
      <w:r w:rsidR="005F22F5">
        <w:t xml:space="preserve">F. Goya, </w:t>
      </w:r>
      <w:r w:rsidR="00C3557D">
        <w:rPr>
          <w:i/>
        </w:rPr>
        <w:t>Disasters of War</w:t>
      </w:r>
      <w:r w:rsidR="00C3557D">
        <w:t xml:space="preserve">, </w:t>
      </w:r>
      <w:r w:rsidR="00FD34A1">
        <w:t>prints</w:t>
      </w:r>
      <w:r w:rsidR="00E15143">
        <w:t xml:space="preserve"> 10, </w:t>
      </w:r>
      <w:r w:rsidR="008F0F49">
        <w:t>30, 8.</w:t>
      </w:r>
      <w:r w:rsidR="003A4325">
        <w:t xml:space="preserve">; Note: As the publication </w:t>
      </w:r>
      <w:r w:rsidR="00FD6AFA">
        <w:t xml:space="preserve">being used in this reference does not use page numbers </w:t>
      </w:r>
      <w:r w:rsidR="00B86CF7">
        <w:t>past the first ten pages</w:t>
      </w:r>
      <w:r w:rsidR="004B617B">
        <w:t xml:space="preserve"> a</w:t>
      </w:r>
      <w:r w:rsidR="00B86CF7">
        <w:t xml:space="preserve">ll references from this point </w:t>
      </w:r>
      <w:r w:rsidR="00906694">
        <w:t xml:space="preserve">on </w:t>
      </w:r>
      <w:r w:rsidR="00B86CF7">
        <w:t xml:space="preserve">will use the </w:t>
      </w:r>
      <w:r w:rsidR="00731D44">
        <w:t xml:space="preserve">print numbers used to identify </w:t>
      </w:r>
      <w:r w:rsidR="004B617B">
        <w:t>each</w:t>
      </w:r>
      <w:r w:rsidR="00731D44">
        <w:t xml:space="preserve"> print </w:t>
      </w:r>
      <w:r w:rsidR="008E2829">
        <w:t>in this publication</w:t>
      </w:r>
      <w:r w:rsidR="00731D44">
        <w:t xml:space="preserve">. </w:t>
      </w:r>
    </w:p>
  </w:footnote>
  <w:footnote w:id="18">
    <w:p w14:paraId="3DAABBD6" w14:textId="68DD0869" w:rsidR="00A8673B" w:rsidRPr="00FD34A1" w:rsidRDefault="00A8673B">
      <w:pPr>
        <w:pStyle w:val="FootnoteText"/>
      </w:pPr>
      <w:r>
        <w:rPr>
          <w:rStyle w:val="FootnoteReference"/>
        </w:rPr>
        <w:footnoteRef/>
      </w:r>
      <w:r>
        <w:t xml:space="preserve"> </w:t>
      </w:r>
      <w:r w:rsidR="00FD34A1">
        <w:t xml:space="preserve">F. Goya, </w:t>
      </w:r>
      <w:r w:rsidR="00FD34A1">
        <w:rPr>
          <w:i/>
        </w:rPr>
        <w:t>Disasters of War</w:t>
      </w:r>
      <w:r w:rsidR="00FD34A1">
        <w:t xml:space="preserve">, Print </w:t>
      </w:r>
      <w:r w:rsidR="00FD1999">
        <w:t xml:space="preserve">8. </w:t>
      </w:r>
    </w:p>
  </w:footnote>
  <w:footnote w:id="19">
    <w:p w14:paraId="3B38B49A" w14:textId="62A44F32" w:rsidR="00A8673B" w:rsidRDefault="00A8673B">
      <w:pPr>
        <w:pStyle w:val="FootnoteText"/>
      </w:pPr>
      <w:r>
        <w:rPr>
          <w:rStyle w:val="FootnoteReference"/>
        </w:rPr>
        <w:footnoteRef/>
      </w:r>
      <w:r>
        <w:t xml:space="preserve"> </w:t>
      </w:r>
      <w:r w:rsidR="00317BD7" w:rsidRPr="00317BD7">
        <w:t xml:space="preserve">F. Goya, </w:t>
      </w:r>
      <w:r w:rsidR="00317BD7" w:rsidRPr="00317BD7">
        <w:rPr>
          <w:i/>
        </w:rPr>
        <w:t>Disasters of War</w:t>
      </w:r>
      <w:r w:rsidR="00317BD7" w:rsidRPr="00317BD7">
        <w:t>, Print 8.</w:t>
      </w:r>
    </w:p>
  </w:footnote>
  <w:footnote w:id="20">
    <w:p w14:paraId="033DC88C" w14:textId="13E4B856" w:rsidR="009D357F" w:rsidRDefault="009D357F">
      <w:pPr>
        <w:pStyle w:val="FootnoteText"/>
      </w:pPr>
      <w:r>
        <w:rPr>
          <w:rStyle w:val="FootnoteReference"/>
        </w:rPr>
        <w:footnoteRef/>
      </w:r>
      <w:r>
        <w:t xml:space="preserve"> </w:t>
      </w:r>
      <w:r w:rsidR="001B1AC5" w:rsidRPr="001B1AC5">
        <w:t xml:space="preserve">F. Goya, </w:t>
      </w:r>
      <w:r w:rsidR="001B1AC5" w:rsidRPr="006A5846">
        <w:rPr>
          <w:i/>
        </w:rPr>
        <w:t>Disasters of War</w:t>
      </w:r>
      <w:r w:rsidR="001B1AC5" w:rsidRPr="001B1AC5">
        <w:t>, Print 8.</w:t>
      </w:r>
      <w:r w:rsidR="001B1AC5">
        <w:t xml:space="preserve"> </w:t>
      </w:r>
    </w:p>
  </w:footnote>
  <w:footnote w:id="21">
    <w:p w14:paraId="60981244" w14:textId="0A17C5A7" w:rsidR="009D357F" w:rsidRPr="00222CE9" w:rsidRDefault="009D357F">
      <w:pPr>
        <w:pStyle w:val="FootnoteText"/>
      </w:pPr>
      <w:r>
        <w:rPr>
          <w:rStyle w:val="FootnoteReference"/>
        </w:rPr>
        <w:footnoteRef/>
      </w:r>
      <w:r>
        <w:t xml:space="preserve"> </w:t>
      </w:r>
      <w:r w:rsidR="00222CE9">
        <w:t xml:space="preserve">F. Goya, </w:t>
      </w:r>
      <w:r w:rsidR="00222CE9">
        <w:rPr>
          <w:i/>
        </w:rPr>
        <w:t>Disasters of War</w:t>
      </w:r>
      <w:r w:rsidR="00222CE9">
        <w:t xml:space="preserve">, Print 10. </w:t>
      </w:r>
    </w:p>
  </w:footnote>
  <w:footnote w:id="22">
    <w:p w14:paraId="4871F808" w14:textId="0EC42870" w:rsidR="009D357F" w:rsidRPr="005B7916" w:rsidRDefault="009D357F">
      <w:pPr>
        <w:pStyle w:val="FootnoteText"/>
      </w:pPr>
      <w:r>
        <w:rPr>
          <w:rStyle w:val="FootnoteReference"/>
        </w:rPr>
        <w:footnoteRef/>
      </w:r>
      <w:r>
        <w:t xml:space="preserve"> </w:t>
      </w:r>
      <w:r w:rsidR="005B7916">
        <w:t xml:space="preserve">F. Goya, </w:t>
      </w:r>
      <w:r w:rsidR="005B7916">
        <w:rPr>
          <w:i/>
        </w:rPr>
        <w:t>Disasters of War,</w:t>
      </w:r>
      <w:r w:rsidR="005B7916">
        <w:t xml:space="preserve"> Print 10. </w:t>
      </w:r>
    </w:p>
  </w:footnote>
  <w:footnote w:id="23">
    <w:p w14:paraId="165C7DAE" w14:textId="2F53C030" w:rsidR="00F7598E" w:rsidRDefault="00F7598E">
      <w:pPr>
        <w:pStyle w:val="FootnoteText"/>
      </w:pPr>
      <w:r>
        <w:rPr>
          <w:rStyle w:val="FootnoteReference"/>
        </w:rPr>
        <w:footnoteRef/>
      </w:r>
      <w:r>
        <w:t xml:space="preserve"> </w:t>
      </w:r>
      <w:r w:rsidR="0083294C">
        <w:t>Adrian Gilbert, ‘</w:t>
      </w:r>
      <w:r w:rsidR="00A334B2" w:rsidRPr="00A334B2">
        <w:t>Siege of Badajoz</w:t>
      </w:r>
      <w:r w:rsidR="00A334B2">
        <w:t xml:space="preserve">’, </w:t>
      </w:r>
      <w:r w:rsidR="00A334B2" w:rsidRPr="00A334B2">
        <w:t>E</w:t>
      </w:r>
      <w:r w:rsidR="00A334B2">
        <w:t>ncyclopaedia Bri</w:t>
      </w:r>
      <w:r w:rsidR="00D43E76">
        <w:t>tannica, (</w:t>
      </w:r>
      <w:r w:rsidR="00736065">
        <w:t>2018)</w:t>
      </w:r>
      <w:r w:rsidR="00306F8F">
        <w:t>. [Online]. Available:</w:t>
      </w:r>
      <w:r w:rsidR="00222EC6">
        <w:t xml:space="preserve"> </w:t>
      </w:r>
      <w:hyperlink r:id="rId3" w:history="1">
        <w:r w:rsidR="00222EC6" w:rsidRPr="005D51EA">
          <w:rPr>
            <w:rStyle w:val="Hyperlink"/>
          </w:rPr>
          <w:t>https://www.britannica.com/event/Siege-of-Badajoz-1812</w:t>
        </w:r>
      </w:hyperlink>
      <w:r w:rsidR="00222EC6">
        <w:t xml:space="preserve"> </w:t>
      </w:r>
      <w:r w:rsidR="00306F8F">
        <w:t xml:space="preserve"> </w:t>
      </w:r>
      <w:r w:rsidR="00A334B2">
        <w:t xml:space="preserve"> </w:t>
      </w:r>
    </w:p>
  </w:footnote>
  <w:footnote w:id="24">
    <w:p w14:paraId="5694DB2E" w14:textId="75769CAE" w:rsidR="00F7598E" w:rsidRPr="00222EC6" w:rsidRDefault="00F7598E">
      <w:pPr>
        <w:pStyle w:val="FootnoteText"/>
        <w:rPr>
          <w:i/>
        </w:rPr>
      </w:pPr>
      <w:r>
        <w:rPr>
          <w:rStyle w:val="FootnoteReference"/>
        </w:rPr>
        <w:footnoteRef/>
      </w:r>
      <w:r>
        <w:t xml:space="preserve"> </w:t>
      </w:r>
      <w:r w:rsidR="00222EC6">
        <w:rPr>
          <w:i/>
        </w:rPr>
        <w:t xml:space="preserve">Ibid., </w:t>
      </w:r>
    </w:p>
  </w:footnote>
  <w:footnote w:id="25">
    <w:p w14:paraId="7CF32266" w14:textId="46D2D19F" w:rsidR="0059182D" w:rsidRPr="0023199E" w:rsidRDefault="0059182D">
      <w:pPr>
        <w:pStyle w:val="FootnoteText"/>
        <w:rPr>
          <w:i/>
        </w:rPr>
      </w:pPr>
      <w:r>
        <w:rPr>
          <w:rStyle w:val="FootnoteReference"/>
        </w:rPr>
        <w:footnoteRef/>
      </w:r>
      <w:r>
        <w:t xml:space="preserve"> </w:t>
      </w:r>
      <w:r w:rsidR="0023199E">
        <w:rPr>
          <w:i/>
        </w:rPr>
        <w:t xml:space="preserve">Ibid., </w:t>
      </w:r>
    </w:p>
  </w:footnote>
  <w:footnote w:id="26">
    <w:p w14:paraId="5EF04D69" w14:textId="1193E15E" w:rsidR="0059182D" w:rsidRPr="006D6835" w:rsidRDefault="0059182D">
      <w:pPr>
        <w:pStyle w:val="FootnoteText"/>
      </w:pPr>
      <w:r>
        <w:rPr>
          <w:rStyle w:val="FootnoteReference"/>
        </w:rPr>
        <w:footnoteRef/>
      </w:r>
      <w:r>
        <w:t xml:space="preserve"> </w:t>
      </w:r>
      <w:r w:rsidR="00752549">
        <w:t xml:space="preserve">F. Goya, </w:t>
      </w:r>
      <w:r w:rsidR="00752549">
        <w:rPr>
          <w:i/>
        </w:rPr>
        <w:t>Disasters of War</w:t>
      </w:r>
      <w:r w:rsidR="006D6835">
        <w:rPr>
          <w:i/>
        </w:rPr>
        <w:t xml:space="preserve">, </w:t>
      </w:r>
      <w:r w:rsidR="006D6835">
        <w:t xml:space="preserve">Print 30. </w:t>
      </w:r>
    </w:p>
  </w:footnote>
  <w:footnote w:id="27">
    <w:p w14:paraId="0484E75B" w14:textId="5DEF96C5" w:rsidR="0059182D" w:rsidRPr="00145656" w:rsidRDefault="0059182D">
      <w:pPr>
        <w:pStyle w:val="FootnoteText"/>
      </w:pPr>
      <w:r>
        <w:rPr>
          <w:rStyle w:val="FootnoteReference"/>
        </w:rPr>
        <w:footnoteRef/>
      </w:r>
      <w:r>
        <w:t xml:space="preserve"> </w:t>
      </w:r>
      <w:r w:rsidR="00145656">
        <w:t xml:space="preserve">F. Goya, </w:t>
      </w:r>
      <w:r w:rsidR="00145656">
        <w:rPr>
          <w:i/>
        </w:rPr>
        <w:t>Disasters of War</w:t>
      </w:r>
      <w:r w:rsidR="00145656">
        <w:t xml:space="preserve">, </w:t>
      </w:r>
      <w:r w:rsidR="00427308">
        <w:t xml:space="preserve">Print 30. </w:t>
      </w:r>
    </w:p>
  </w:footnote>
  <w:footnote w:id="28">
    <w:p w14:paraId="2E2E0CC0" w14:textId="5BDC2D8F" w:rsidR="00B85EEF" w:rsidRDefault="00B85EEF">
      <w:pPr>
        <w:pStyle w:val="FootnoteText"/>
      </w:pPr>
      <w:r>
        <w:rPr>
          <w:rStyle w:val="FootnoteReference"/>
        </w:rPr>
        <w:footnoteRef/>
      </w:r>
      <w:r>
        <w:t xml:space="preserve"> </w:t>
      </w:r>
      <w:r w:rsidR="00C22735" w:rsidRPr="00C22735">
        <w:t xml:space="preserve">F. Goya, </w:t>
      </w:r>
      <w:r w:rsidR="00C22735" w:rsidRPr="00C22735">
        <w:rPr>
          <w:i/>
        </w:rPr>
        <w:t>Disasters of War</w:t>
      </w:r>
      <w:r w:rsidR="00C22735" w:rsidRPr="00C22735">
        <w:t>, Print 30.</w:t>
      </w:r>
    </w:p>
  </w:footnote>
  <w:footnote w:id="29">
    <w:p w14:paraId="22A00ECC" w14:textId="24C56E71" w:rsidR="00B85EEF" w:rsidRDefault="00B85EEF">
      <w:pPr>
        <w:pStyle w:val="FootnoteText"/>
      </w:pPr>
      <w:r>
        <w:rPr>
          <w:rStyle w:val="FootnoteReference"/>
        </w:rPr>
        <w:footnoteRef/>
      </w:r>
      <w:r>
        <w:t xml:space="preserve"> </w:t>
      </w:r>
      <w:r w:rsidR="00C22735" w:rsidRPr="00C22735">
        <w:rPr>
          <w:i/>
        </w:rPr>
        <w:t>F. Goya, Disasters of War, Print 30.</w:t>
      </w:r>
    </w:p>
  </w:footnote>
  <w:footnote w:id="30">
    <w:p w14:paraId="76CA022A" w14:textId="2BF5552E" w:rsidR="00B7545F" w:rsidRDefault="00B7545F">
      <w:pPr>
        <w:pStyle w:val="FootnoteText"/>
      </w:pPr>
      <w:r>
        <w:rPr>
          <w:rStyle w:val="FootnoteReference"/>
        </w:rPr>
        <w:footnoteRef/>
      </w:r>
      <w:r w:rsidRPr="00B7545F">
        <w:rPr>
          <w:i/>
        </w:rPr>
        <w:t xml:space="preserve"> F. Goya, Disasters of War, Print 8.</w:t>
      </w:r>
    </w:p>
  </w:footnote>
  <w:footnote w:id="31">
    <w:p w14:paraId="1428315C" w14:textId="54FC58D5" w:rsidR="00671C26" w:rsidRDefault="00671C26">
      <w:pPr>
        <w:pStyle w:val="FootnoteText"/>
      </w:pPr>
      <w:r>
        <w:rPr>
          <w:rStyle w:val="FootnoteReference"/>
        </w:rPr>
        <w:footnoteRef/>
      </w:r>
      <w:r>
        <w:t xml:space="preserve"> </w:t>
      </w:r>
      <w:r w:rsidR="007F1BD4" w:rsidRPr="007F1BD4">
        <w:t xml:space="preserve">Goya, </w:t>
      </w:r>
      <w:r w:rsidR="007F1BD4" w:rsidRPr="007F1BD4">
        <w:rPr>
          <w:i/>
        </w:rPr>
        <w:t>The Disasters of War</w:t>
      </w:r>
      <w:r w:rsidR="007F1BD4" w:rsidRPr="007F1BD4">
        <w:t xml:space="preserve">, </w:t>
      </w:r>
      <w:r w:rsidR="00134C51">
        <w:t>P</w:t>
      </w:r>
      <w:r w:rsidR="007F1BD4" w:rsidRPr="007F1BD4">
        <w:t>. 2.</w:t>
      </w:r>
    </w:p>
  </w:footnote>
  <w:footnote w:id="32">
    <w:p w14:paraId="51B99398" w14:textId="44ADABE6" w:rsidR="005B073D" w:rsidRDefault="005B073D">
      <w:pPr>
        <w:pStyle w:val="FootnoteText"/>
      </w:pPr>
      <w:r>
        <w:rPr>
          <w:rStyle w:val="FootnoteReference"/>
        </w:rPr>
        <w:footnoteRef/>
      </w:r>
      <w:r>
        <w:t xml:space="preserve"> </w:t>
      </w:r>
      <w:r w:rsidRPr="005B073D">
        <w:t xml:space="preserve">Goya, </w:t>
      </w:r>
      <w:r w:rsidRPr="005B073D">
        <w:rPr>
          <w:i/>
        </w:rPr>
        <w:t>The Disasters of War,</w:t>
      </w:r>
      <w:r w:rsidRPr="005B073D">
        <w:t xml:space="preserve"> P</w:t>
      </w:r>
      <w:r>
        <w:t>P. 1-3</w:t>
      </w:r>
      <w:r w:rsidRPr="005B073D">
        <w:t>.</w:t>
      </w:r>
    </w:p>
  </w:footnote>
  <w:footnote w:id="33">
    <w:p w14:paraId="3DEC227C" w14:textId="63AFE4D5" w:rsidR="00921BD5" w:rsidRPr="00E20CC8" w:rsidRDefault="00921BD5">
      <w:pPr>
        <w:pStyle w:val="FootnoteText"/>
      </w:pPr>
      <w:r>
        <w:rPr>
          <w:rStyle w:val="FootnoteReference"/>
        </w:rPr>
        <w:footnoteRef/>
      </w:r>
      <w:r>
        <w:t xml:space="preserve"> </w:t>
      </w:r>
      <w:r>
        <w:rPr>
          <w:i/>
        </w:rPr>
        <w:t xml:space="preserve">Ibid., </w:t>
      </w:r>
      <w:r w:rsidR="00E20CC8">
        <w:t xml:space="preserve">PP. 1-3. </w:t>
      </w:r>
    </w:p>
  </w:footnote>
  <w:footnote w:id="34">
    <w:p w14:paraId="124ECE6B" w14:textId="767D1C1A" w:rsidR="00B85EEF" w:rsidRDefault="00B85EEF">
      <w:pPr>
        <w:pStyle w:val="FootnoteText"/>
      </w:pPr>
      <w:r>
        <w:rPr>
          <w:rStyle w:val="FootnoteReference"/>
        </w:rPr>
        <w:footnoteRef/>
      </w:r>
      <w:r>
        <w:t xml:space="preserve"> </w:t>
      </w:r>
      <w:r w:rsidR="00031586" w:rsidRPr="00031586">
        <w:t xml:space="preserve">Jonathan Jones, ‘History and all its grisly facts are worth more than the illusion of memory’, The Guardian, (2014), [online]. Available:  </w:t>
      </w:r>
      <w:hyperlink r:id="rId4" w:history="1">
        <w:r w:rsidR="00031586" w:rsidRPr="005D51EA">
          <w:rPr>
            <w:rStyle w:val="Hyperlink"/>
          </w:rPr>
          <w:t>https://www.theguardian.com/commentisfree/2014/oct/31/world-war-one-poppies-memorial-cameron</w:t>
        </w:r>
      </w:hyperlink>
      <w:r w:rsidR="00031586">
        <w:t xml:space="preserve"> </w:t>
      </w:r>
    </w:p>
  </w:footnote>
  <w:footnote w:id="35">
    <w:p w14:paraId="15F509E8" w14:textId="479A269D" w:rsidR="009D395F" w:rsidRDefault="009D395F">
      <w:pPr>
        <w:pStyle w:val="FootnoteText"/>
      </w:pPr>
      <w:r>
        <w:rPr>
          <w:rStyle w:val="FootnoteReference"/>
        </w:rPr>
        <w:footnoteRef/>
      </w:r>
      <w:r>
        <w:t xml:space="preserve"> </w:t>
      </w:r>
      <w:r w:rsidR="00C84F46" w:rsidRPr="00C84F46">
        <w:t xml:space="preserve">S. Hodge, </w:t>
      </w:r>
      <w:bookmarkStart w:id="3" w:name="_Hlk514879924"/>
      <w:r w:rsidR="00C84F46" w:rsidRPr="00532F62">
        <w:rPr>
          <w:i/>
        </w:rPr>
        <w:t>Goya: His life and works in 500 images</w:t>
      </w:r>
      <w:r w:rsidR="00C84F46" w:rsidRPr="00C84F46">
        <w:t xml:space="preserve"> </w:t>
      </w:r>
      <w:bookmarkEnd w:id="3"/>
      <w:r w:rsidR="00C84F46" w:rsidRPr="00C84F46">
        <w:t>(London: Lorenz Books, 2015), PP. 233-235</w:t>
      </w:r>
      <w:r w:rsidR="00C84F46">
        <w:t xml:space="preserve">. </w:t>
      </w:r>
    </w:p>
  </w:footnote>
  <w:footnote w:id="36">
    <w:p w14:paraId="17699D7E" w14:textId="6DFE902C" w:rsidR="009D395F" w:rsidRDefault="009D395F">
      <w:pPr>
        <w:pStyle w:val="FootnoteText"/>
      </w:pPr>
      <w:r>
        <w:rPr>
          <w:rStyle w:val="FootnoteReference"/>
        </w:rPr>
        <w:footnoteRef/>
      </w:r>
      <w:r>
        <w:t xml:space="preserve"> </w:t>
      </w:r>
      <w:r w:rsidR="008C5498">
        <w:t>S. Hodge,</w:t>
      </w:r>
      <w:r w:rsidR="008C5498" w:rsidRPr="008C5498">
        <w:rPr>
          <w:i/>
        </w:rPr>
        <w:t xml:space="preserve"> </w:t>
      </w:r>
      <w:r w:rsidR="008C5498" w:rsidRPr="008C5498">
        <w:rPr>
          <w:i/>
        </w:rPr>
        <w:t>Goya: His life and works in 500 images</w:t>
      </w:r>
      <w:r w:rsidR="008C5498">
        <w:t xml:space="preserve">, P. </w:t>
      </w:r>
      <w:r w:rsidR="002A7430">
        <w:t xml:space="preserve">233. </w:t>
      </w:r>
      <w:r w:rsidR="008C5498">
        <w:t xml:space="preserve"> </w:t>
      </w:r>
    </w:p>
  </w:footnote>
  <w:footnote w:id="37">
    <w:p w14:paraId="442E2734" w14:textId="220444FC" w:rsidR="00E54CFC" w:rsidRPr="008D5249" w:rsidRDefault="00E54CFC">
      <w:pPr>
        <w:pStyle w:val="FootnoteText"/>
      </w:pPr>
      <w:r>
        <w:rPr>
          <w:rStyle w:val="FootnoteReference"/>
        </w:rPr>
        <w:footnoteRef/>
      </w:r>
      <w:r>
        <w:t xml:space="preserve"> </w:t>
      </w:r>
      <w:r w:rsidR="008D5249">
        <w:rPr>
          <w:i/>
        </w:rPr>
        <w:t xml:space="preserve">Ibid., </w:t>
      </w:r>
      <w:r w:rsidR="00134C51">
        <w:t>P</w:t>
      </w:r>
      <w:r w:rsidR="008D5249">
        <w:t xml:space="preserve">. 233. </w:t>
      </w:r>
    </w:p>
  </w:footnote>
  <w:footnote w:id="38">
    <w:p w14:paraId="6893F744" w14:textId="27E251F7" w:rsidR="00E54CFC" w:rsidRDefault="00E54CFC">
      <w:pPr>
        <w:pStyle w:val="FootnoteText"/>
      </w:pPr>
      <w:r>
        <w:rPr>
          <w:rStyle w:val="FootnoteReference"/>
        </w:rPr>
        <w:footnoteRef/>
      </w:r>
      <w:r>
        <w:t xml:space="preserve"> </w:t>
      </w:r>
      <w:r w:rsidR="008D5249" w:rsidRPr="008D5249">
        <w:rPr>
          <w:i/>
        </w:rPr>
        <w:t>Ibid.,</w:t>
      </w:r>
      <w:r w:rsidR="008D5249" w:rsidRPr="008D5249">
        <w:t xml:space="preserve"> P. 233.</w:t>
      </w:r>
    </w:p>
  </w:footnote>
  <w:footnote w:id="39">
    <w:p w14:paraId="79EAB90C" w14:textId="0851330A" w:rsidR="00E54CFC" w:rsidRPr="000F1B89" w:rsidRDefault="00E54CFC">
      <w:pPr>
        <w:pStyle w:val="FootnoteText"/>
      </w:pPr>
      <w:r>
        <w:rPr>
          <w:rStyle w:val="FootnoteReference"/>
        </w:rPr>
        <w:footnoteRef/>
      </w:r>
      <w:r>
        <w:t xml:space="preserve"> </w:t>
      </w:r>
      <w:r w:rsidR="009C2F91">
        <w:t xml:space="preserve">R. </w:t>
      </w:r>
      <w:proofErr w:type="spellStart"/>
      <w:r w:rsidR="009C2F91">
        <w:t>Pawly</w:t>
      </w:r>
      <w:proofErr w:type="spellEnd"/>
      <w:r w:rsidR="00A67941">
        <w:t xml:space="preserve">, </w:t>
      </w:r>
      <w:r w:rsidR="000E08C3">
        <w:rPr>
          <w:i/>
        </w:rPr>
        <w:t>Napoleon’s Mamelukes</w:t>
      </w:r>
      <w:r w:rsidR="000F1B89">
        <w:rPr>
          <w:i/>
        </w:rPr>
        <w:t xml:space="preserve"> </w:t>
      </w:r>
      <w:r w:rsidR="00FA01F3">
        <w:t>(Oxford: Osprey Publishing, 2006)</w:t>
      </w:r>
      <w:r w:rsidR="00F574D0">
        <w:t>,</w:t>
      </w:r>
      <w:r w:rsidR="001828FC">
        <w:t xml:space="preserve"> P.</w:t>
      </w:r>
      <w:r w:rsidR="00BD1124">
        <w:t xml:space="preserve"> 590. </w:t>
      </w:r>
      <w:r w:rsidR="00F574D0">
        <w:t xml:space="preserve"> </w:t>
      </w:r>
      <w:r w:rsidR="00BD1124">
        <w:t>A</w:t>
      </w:r>
      <w:r w:rsidR="00F574D0">
        <w:t>vailable</w:t>
      </w:r>
      <w:r w:rsidR="005B5717">
        <w:t xml:space="preserve"> at</w:t>
      </w:r>
      <w:r w:rsidR="00F574D0">
        <w:t xml:space="preserve">: </w:t>
      </w:r>
      <w:hyperlink r:id="rId5" w:history="1">
        <w:r w:rsidR="00B57510" w:rsidRPr="005D51EA">
          <w:rPr>
            <w:rStyle w:val="Hyperlink"/>
          </w:rPr>
          <w:t>https://www.amazon.co.uk/Napoleons-Mamelukes-Men-at-Arms-Ronald-Pawly-ebook/dp/B01BY3AIFS/ref=sr_1_1?s=digital-text&amp;ie=UTF8&amp;qid=1527113516&amp;sr=1-1&amp;keywords=Napoleon%27s+mamelukes</w:t>
        </w:r>
      </w:hyperlink>
      <w:r w:rsidR="00B57510">
        <w:t xml:space="preserve"> </w:t>
      </w:r>
      <w:r w:rsidR="005B5717">
        <w:t xml:space="preserve"> </w:t>
      </w:r>
      <w:r w:rsidR="001828FC">
        <w:t>(Accessed: 23</w:t>
      </w:r>
      <w:r w:rsidR="001828FC" w:rsidRPr="001828FC">
        <w:rPr>
          <w:vertAlign w:val="superscript"/>
        </w:rPr>
        <w:t>rd</w:t>
      </w:r>
      <w:r w:rsidR="001828FC">
        <w:t xml:space="preserve"> May 2018) </w:t>
      </w:r>
    </w:p>
  </w:footnote>
  <w:footnote w:id="40">
    <w:p w14:paraId="6E9CDD60" w14:textId="7CB04B7C" w:rsidR="003D48B7" w:rsidRDefault="003D48B7">
      <w:pPr>
        <w:pStyle w:val="FootnoteText"/>
      </w:pPr>
      <w:r>
        <w:rPr>
          <w:rStyle w:val="FootnoteReference"/>
        </w:rPr>
        <w:footnoteRef/>
      </w:r>
      <w:r>
        <w:t xml:space="preserve"> </w:t>
      </w:r>
      <w:r w:rsidR="00836AB7">
        <w:t>Mu</w:t>
      </w:r>
      <w:r w:rsidR="00FB6355">
        <w:t xml:space="preserve">seo del Prado, </w:t>
      </w:r>
      <w:r w:rsidR="006F001D">
        <w:t>‘</w:t>
      </w:r>
      <w:r w:rsidR="006F001D" w:rsidRPr="006F001D">
        <w:t>The 2nd of May 1808 in Madrid or “The Fight against the Mamelukes”</w:t>
      </w:r>
      <w:r w:rsidR="006F001D">
        <w:t xml:space="preserve">’, Museo del </w:t>
      </w:r>
      <w:r w:rsidR="002351CC">
        <w:t xml:space="preserve">Prado, </w:t>
      </w:r>
      <w:r w:rsidR="00580AB1">
        <w:t>(2018)</w:t>
      </w:r>
      <w:r w:rsidR="00615EC8">
        <w:t xml:space="preserve">, [Online]. Available at: </w:t>
      </w:r>
      <w:hyperlink r:id="rId6" w:history="1">
        <w:r w:rsidR="004E3412" w:rsidRPr="005D51EA">
          <w:rPr>
            <w:rStyle w:val="Hyperlink"/>
          </w:rPr>
          <w:t>https://www.museodelprado.es/en/the-collection/art-work/the-2nd-of-may-1808-in-madrid-or-the-fight/57dacf2e-5d10-4ded-85aa-9ff6f741f6b1</w:t>
        </w:r>
      </w:hyperlink>
      <w:r w:rsidR="004E3412">
        <w:t xml:space="preserve"> </w:t>
      </w:r>
    </w:p>
  </w:footnote>
  <w:footnote w:id="41">
    <w:p w14:paraId="325FA039" w14:textId="3DA1FD85" w:rsidR="003D48B7" w:rsidRDefault="003D48B7">
      <w:pPr>
        <w:pStyle w:val="FootnoteText"/>
      </w:pPr>
      <w:r>
        <w:rPr>
          <w:rStyle w:val="FootnoteReference"/>
        </w:rPr>
        <w:footnoteRef/>
      </w:r>
      <w:r>
        <w:t xml:space="preserve"> </w:t>
      </w:r>
      <w:r w:rsidR="0011235E" w:rsidRPr="0011235E">
        <w:t xml:space="preserve">Museo del Prado, ‘The 2nd of May 1808 in Madrid or “The Fight against the Mamelukes”’, Museo del Prado, (2018), [Online]. Available at: </w:t>
      </w:r>
      <w:hyperlink r:id="rId7" w:history="1">
        <w:r w:rsidR="0011235E" w:rsidRPr="005D51EA">
          <w:rPr>
            <w:rStyle w:val="Hyperlink"/>
          </w:rPr>
          <w:t>https://www.museodelprado.es/en/the-collection/art-work/the-2nd-of-may-1808-in-madrid-or-the-fight/57dacf2e-5d10-4ded-85aa-9ff6f741f6b1</w:t>
        </w:r>
      </w:hyperlink>
      <w:r w:rsidR="0011235E">
        <w:t xml:space="preserve"> </w:t>
      </w:r>
    </w:p>
  </w:footnote>
  <w:footnote w:id="42">
    <w:p w14:paraId="7304942E" w14:textId="192F2FDE" w:rsidR="003D48B7" w:rsidRPr="008207D9" w:rsidRDefault="003D48B7">
      <w:pPr>
        <w:pStyle w:val="FootnoteText"/>
      </w:pPr>
      <w:r>
        <w:rPr>
          <w:rStyle w:val="FootnoteReference"/>
        </w:rPr>
        <w:footnoteRef/>
      </w:r>
      <w:r>
        <w:t xml:space="preserve"> </w:t>
      </w:r>
      <w:r w:rsidR="008207D9">
        <w:t xml:space="preserve">R. </w:t>
      </w:r>
      <w:proofErr w:type="spellStart"/>
      <w:r w:rsidR="008207D9">
        <w:t>Pawly</w:t>
      </w:r>
      <w:proofErr w:type="spellEnd"/>
      <w:r w:rsidR="008207D9">
        <w:t xml:space="preserve">, </w:t>
      </w:r>
      <w:r w:rsidR="008207D9">
        <w:rPr>
          <w:i/>
        </w:rPr>
        <w:t>Napoleon’s Mamelukes</w:t>
      </w:r>
      <w:r w:rsidR="008207D9">
        <w:t xml:space="preserve">, </w:t>
      </w:r>
      <w:r w:rsidR="00E02872">
        <w:t>P</w:t>
      </w:r>
      <w:r w:rsidR="003D4A30">
        <w:t>P</w:t>
      </w:r>
      <w:r w:rsidR="00485417">
        <w:t>. 577-</w:t>
      </w:r>
      <w:r w:rsidR="00F47D20">
        <w:t xml:space="preserve">602. </w:t>
      </w:r>
    </w:p>
  </w:footnote>
  <w:footnote w:id="43">
    <w:p w14:paraId="08D5D493" w14:textId="5DADA134" w:rsidR="00C534ED" w:rsidRPr="00E54A94" w:rsidRDefault="00C534ED">
      <w:pPr>
        <w:pStyle w:val="FootnoteText"/>
      </w:pPr>
      <w:r>
        <w:rPr>
          <w:rStyle w:val="FootnoteReference"/>
        </w:rPr>
        <w:footnoteRef/>
      </w:r>
      <w:r>
        <w:t xml:space="preserve"> </w:t>
      </w:r>
      <w:r w:rsidR="00B550B5">
        <w:rPr>
          <w:i/>
        </w:rPr>
        <w:t>Ibid</w:t>
      </w:r>
      <w:r w:rsidR="00E54A94">
        <w:rPr>
          <w:i/>
        </w:rPr>
        <w:t xml:space="preserve">., </w:t>
      </w:r>
      <w:r w:rsidR="00E54A94">
        <w:t xml:space="preserve">P. 590. </w:t>
      </w:r>
    </w:p>
  </w:footnote>
  <w:footnote w:id="44">
    <w:p w14:paraId="442F0C9D" w14:textId="05CF8BFC" w:rsidR="00C534ED" w:rsidRPr="004C445A" w:rsidRDefault="00C534ED">
      <w:pPr>
        <w:pStyle w:val="FootnoteText"/>
      </w:pPr>
      <w:r>
        <w:rPr>
          <w:rStyle w:val="FootnoteReference"/>
        </w:rPr>
        <w:footnoteRef/>
      </w:r>
      <w:r>
        <w:t xml:space="preserve"> </w:t>
      </w:r>
      <w:r w:rsidR="004C445A" w:rsidRPr="004C445A">
        <w:t xml:space="preserve">S. Hodge, </w:t>
      </w:r>
      <w:r w:rsidR="004C445A" w:rsidRPr="004C445A">
        <w:rPr>
          <w:i/>
        </w:rPr>
        <w:t>Goya: His life and works in 500 images,</w:t>
      </w:r>
      <w:r w:rsidR="004C445A">
        <w:rPr>
          <w:i/>
        </w:rPr>
        <w:t xml:space="preserve"> </w:t>
      </w:r>
      <w:r w:rsidR="00A728D1">
        <w:t>P. 234</w:t>
      </w:r>
      <w:r w:rsidR="00373954">
        <w:t xml:space="preserve">. </w:t>
      </w:r>
    </w:p>
  </w:footnote>
  <w:footnote w:id="45">
    <w:p w14:paraId="388E4441" w14:textId="0E7599AF" w:rsidR="00C534ED" w:rsidRPr="00373954" w:rsidRDefault="00C534ED">
      <w:pPr>
        <w:pStyle w:val="FootnoteText"/>
      </w:pPr>
      <w:r>
        <w:rPr>
          <w:rStyle w:val="FootnoteReference"/>
        </w:rPr>
        <w:footnoteRef/>
      </w:r>
      <w:r>
        <w:t xml:space="preserve"> </w:t>
      </w:r>
      <w:r w:rsidR="00373954">
        <w:rPr>
          <w:i/>
        </w:rPr>
        <w:t xml:space="preserve">Ibid., </w:t>
      </w:r>
      <w:r w:rsidR="00373954">
        <w:t xml:space="preserve">P. 234. </w:t>
      </w:r>
    </w:p>
  </w:footnote>
  <w:footnote w:id="46">
    <w:p w14:paraId="2BC20DDC" w14:textId="5B97ED30" w:rsidR="00C64F89" w:rsidRPr="00434C5B" w:rsidRDefault="00C64F89">
      <w:pPr>
        <w:pStyle w:val="FootnoteText"/>
        <w:rPr>
          <w:i/>
        </w:rPr>
      </w:pPr>
      <w:r>
        <w:rPr>
          <w:rStyle w:val="FootnoteReference"/>
        </w:rPr>
        <w:footnoteRef/>
      </w:r>
      <w:r>
        <w:t xml:space="preserve"> </w:t>
      </w:r>
      <w:r w:rsidR="00434C5B">
        <w:rPr>
          <w:i/>
        </w:rPr>
        <w:t xml:space="preserve">Ibid., </w:t>
      </w:r>
      <w:r w:rsidR="00434C5B" w:rsidRPr="00DF55F9">
        <w:t>P.234</w:t>
      </w:r>
      <w:r w:rsidR="00DF55F9" w:rsidRPr="00DF55F9">
        <w:t>.</w:t>
      </w:r>
      <w:r w:rsidR="00DF55F9">
        <w:rPr>
          <w:i/>
        </w:rPr>
        <w:t xml:space="preserve"> </w:t>
      </w:r>
    </w:p>
  </w:footnote>
  <w:footnote w:id="47">
    <w:p w14:paraId="12B8E9BE" w14:textId="55200C98" w:rsidR="00C64F89" w:rsidRPr="00B95702" w:rsidRDefault="00C64F89">
      <w:pPr>
        <w:pStyle w:val="FootnoteText"/>
      </w:pPr>
      <w:r>
        <w:rPr>
          <w:rStyle w:val="FootnoteReference"/>
        </w:rPr>
        <w:footnoteRef/>
      </w:r>
      <w:r>
        <w:t xml:space="preserve"> </w:t>
      </w:r>
      <w:r w:rsidR="00FA43E5">
        <w:t xml:space="preserve">R. </w:t>
      </w:r>
      <w:proofErr w:type="spellStart"/>
      <w:r w:rsidR="00FA43E5">
        <w:t>Pawly</w:t>
      </w:r>
      <w:proofErr w:type="spellEnd"/>
      <w:r w:rsidR="00FA43E5">
        <w:t xml:space="preserve">, </w:t>
      </w:r>
      <w:r w:rsidR="00B95702">
        <w:rPr>
          <w:i/>
        </w:rPr>
        <w:t>Napoleon’s Mamelukes</w:t>
      </w:r>
      <w:r w:rsidR="00B95702">
        <w:t xml:space="preserve">, P. </w:t>
      </w:r>
      <w:r w:rsidR="00415B7B">
        <w:t xml:space="preserve">609. </w:t>
      </w:r>
    </w:p>
  </w:footnote>
  <w:footnote w:id="48">
    <w:p w14:paraId="270E6C2E" w14:textId="4F81FDF4" w:rsidR="00CC307D" w:rsidRDefault="00CC307D">
      <w:pPr>
        <w:pStyle w:val="FootnoteText"/>
      </w:pPr>
      <w:r>
        <w:rPr>
          <w:rStyle w:val="FootnoteReference"/>
        </w:rPr>
        <w:footnoteRef/>
      </w:r>
      <w:r>
        <w:t xml:space="preserve"> </w:t>
      </w:r>
      <w:r w:rsidR="00F6569E" w:rsidRPr="00F6569E">
        <w:t xml:space="preserve">Museo del Prado, ‘The 2nd of May 1808 in Madrid or “The Fight against the Mamelukes”’, Museo del Prado, (2018), [Online]. Available at: </w:t>
      </w:r>
      <w:hyperlink r:id="rId8" w:history="1">
        <w:r w:rsidR="00F6569E" w:rsidRPr="009A70E3">
          <w:rPr>
            <w:rStyle w:val="Hyperlink"/>
          </w:rPr>
          <w:t>https://www.museodelprado.es/en/the-collection/art-work/the-2nd-of-may-1808-in-madrid-or-the-fight/57dacf2e-5d10-4ded-85aa-9ff6f741f6b1</w:t>
        </w:r>
      </w:hyperlink>
      <w:r w:rsidR="00F6569E">
        <w:t xml:space="preserve"> </w:t>
      </w:r>
    </w:p>
  </w:footnote>
  <w:footnote w:id="49">
    <w:p w14:paraId="3704A935" w14:textId="0EE14D35" w:rsidR="00EF077D" w:rsidRPr="00CD3ED1" w:rsidRDefault="00EF077D">
      <w:pPr>
        <w:pStyle w:val="FootnoteText"/>
        <w:rPr>
          <w:i/>
        </w:rPr>
      </w:pPr>
      <w:r>
        <w:rPr>
          <w:rStyle w:val="FootnoteReference"/>
        </w:rPr>
        <w:footnoteRef/>
      </w:r>
      <w:r>
        <w:t xml:space="preserve"> </w:t>
      </w:r>
      <w:r w:rsidR="00CD3ED1">
        <w:rPr>
          <w:i/>
        </w:rPr>
        <w:t xml:space="preserve">Ibid., </w:t>
      </w:r>
    </w:p>
  </w:footnote>
  <w:footnote w:id="50">
    <w:p w14:paraId="0E897CAB" w14:textId="097B357F" w:rsidR="00F9456B" w:rsidRDefault="00F9456B">
      <w:pPr>
        <w:pStyle w:val="FootnoteText"/>
      </w:pPr>
      <w:r>
        <w:rPr>
          <w:rStyle w:val="FootnoteReference"/>
        </w:rPr>
        <w:footnoteRef/>
      </w:r>
      <w:r>
        <w:t xml:space="preserve"> </w:t>
      </w:r>
      <w:r w:rsidR="00A53E4A" w:rsidRPr="00A53E4A">
        <w:t xml:space="preserve">S. Hodge, </w:t>
      </w:r>
      <w:r w:rsidR="00A53E4A" w:rsidRPr="00A53E4A">
        <w:rPr>
          <w:i/>
        </w:rPr>
        <w:t>Goya: His life and works in 500 images</w:t>
      </w:r>
      <w:r w:rsidR="00A53E4A" w:rsidRPr="00A53E4A">
        <w:t>, P. 23</w:t>
      </w:r>
      <w:r w:rsidR="00A53E4A">
        <w:t>5</w:t>
      </w:r>
      <w:r w:rsidR="00A53E4A" w:rsidRPr="00A53E4A">
        <w:t>.</w:t>
      </w:r>
    </w:p>
  </w:footnote>
  <w:footnote w:id="51">
    <w:p w14:paraId="044860C8" w14:textId="7E476EC5" w:rsidR="00F9456B" w:rsidRPr="00FF0084" w:rsidRDefault="00F9456B">
      <w:pPr>
        <w:pStyle w:val="FootnoteText"/>
      </w:pPr>
      <w:r>
        <w:rPr>
          <w:rStyle w:val="FootnoteReference"/>
        </w:rPr>
        <w:footnoteRef/>
      </w:r>
      <w:r>
        <w:t xml:space="preserve"> </w:t>
      </w:r>
      <w:r w:rsidR="00FF0084">
        <w:rPr>
          <w:i/>
        </w:rPr>
        <w:t xml:space="preserve">Ibid., </w:t>
      </w:r>
      <w:r w:rsidR="003D4A30">
        <w:t>P</w:t>
      </w:r>
      <w:r w:rsidR="00FF0084">
        <w:t xml:space="preserve">. </w:t>
      </w:r>
      <w:r w:rsidR="006B0216">
        <w:t xml:space="preserve">234. </w:t>
      </w:r>
    </w:p>
  </w:footnote>
  <w:footnote w:id="52">
    <w:p w14:paraId="4A398844" w14:textId="3EA8BAAD" w:rsidR="00F9456B" w:rsidRPr="00F17F3E" w:rsidRDefault="00F9456B">
      <w:pPr>
        <w:pStyle w:val="FootnoteText"/>
      </w:pPr>
      <w:r>
        <w:rPr>
          <w:rStyle w:val="FootnoteReference"/>
        </w:rPr>
        <w:footnoteRef/>
      </w:r>
      <w:r>
        <w:t xml:space="preserve"> </w:t>
      </w:r>
      <w:r w:rsidR="00F17F3E">
        <w:rPr>
          <w:i/>
        </w:rPr>
        <w:t xml:space="preserve">Ibid., </w:t>
      </w:r>
      <w:r w:rsidR="003D4A30">
        <w:t>P</w:t>
      </w:r>
      <w:r w:rsidR="00F17F3E">
        <w:t xml:space="preserve">. </w:t>
      </w:r>
      <w:r w:rsidR="00BB1659">
        <w:t xml:space="preserve">235. </w:t>
      </w:r>
    </w:p>
  </w:footnote>
  <w:footnote w:id="53">
    <w:p w14:paraId="0B1B0E18" w14:textId="40902A96" w:rsidR="008B2007" w:rsidRPr="001F1747" w:rsidRDefault="008B2007">
      <w:pPr>
        <w:pStyle w:val="FootnoteText"/>
      </w:pPr>
      <w:r>
        <w:rPr>
          <w:rStyle w:val="FootnoteReference"/>
        </w:rPr>
        <w:footnoteRef/>
      </w:r>
      <w:r>
        <w:t xml:space="preserve"> </w:t>
      </w:r>
      <w:r w:rsidR="001F1747">
        <w:rPr>
          <w:i/>
        </w:rPr>
        <w:t xml:space="preserve">Ibid., </w:t>
      </w:r>
      <w:r w:rsidR="003D4A30">
        <w:t>P</w:t>
      </w:r>
      <w:r w:rsidR="001F1747">
        <w:t xml:space="preserve">. </w:t>
      </w:r>
    </w:p>
  </w:footnote>
  <w:footnote w:id="54">
    <w:p w14:paraId="3F9268C7" w14:textId="52A3B0E6" w:rsidR="008B2007" w:rsidRDefault="008B2007">
      <w:pPr>
        <w:pStyle w:val="FootnoteText"/>
      </w:pPr>
      <w:r>
        <w:rPr>
          <w:rStyle w:val="FootnoteReference"/>
        </w:rPr>
        <w:footnoteRef/>
      </w:r>
      <w:r>
        <w:t xml:space="preserve"> </w:t>
      </w:r>
      <w:r w:rsidR="000A0CCD" w:rsidRPr="000A0CCD">
        <w:t xml:space="preserve">Jonathan Jones, ‘History and all its grisly facts are worth more than the illusion of memory’, The Guardian, (2014), [online]. Available:  </w:t>
      </w:r>
      <w:hyperlink r:id="rId9" w:history="1">
        <w:r w:rsidR="000A0CCD" w:rsidRPr="009A70E3">
          <w:rPr>
            <w:rStyle w:val="Hyperlink"/>
          </w:rPr>
          <w:t>https://www.theguardian.com/commentisfree/2014/oct/31/world-war-one-poppies-memorial-cameron</w:t>
        </w:r>
      </w:hyperlink>
      <w:r w:rsidR="000A0CCD">
        <w:t xml:space="preserve"> </w:t>
      </w:r>
    </w:p>
  </w:footnote>
  <w:footnote w:id="55">
    <w:p w14:paraId="6C53C2E2" w14:textId="728427EF" w:rsidR="002D010F" w:rsidRPr="002D010F" w:rsidRDefault="002D010F">
      <w:pPr>
        <w:pStyle w:val="FootnoteText"/>
        <w:rPr>
          <w:i/>
        </w:rPr>
      </w:pPr>
      <w:r>
        <w:rPr>
          <w:rStyle w:val="FootnoteReference"/>
        </w:rPr>
        <w:footnoteRef/>
      </w:r>
      <w:r>
        <w:t xml:space="preserve"> </w:t>
      </w:r>
      <w:r>
        <w:rPr>
          <w:i/>
        </w:rPr>
        <w:t>Ibid</w:t>
      </w:r>
      <w:r w:rsidR="00553425">
        <w:rPr>
          <w:i/>
        </w:rPr>
        <w:t xml:space="preserve">., </w:t>
      </w:r>
    </w:p>
  </w:footnote>
  <w:footnote w:id="56">
    <w:p w14:paraId="395D774A" w14:textId="4683308E" w:rsidR="00E74994" w:rsidRDefault="00E74994">
      <w:pPr>
        <w:pStyle w:val="FootnoteText"/>
      </w:pPr>
      <w:r>
        <w:rPr>
          <w:rStyle w:val="FootnoteReference"/>
        </w:rPr>
        <w:footnoteRef/>
      </w:r>
      <w:r>
        <w:t xml:space="preserve"> </w:t>
      </w:r>
      <w:r w:rsidR="00553425" w:rsidRPr="00553425">
        <w:t xml:space="preserve">S. Hodge, Goya: </w:t>
      </w:r>
      <w:bookmarkStart w:id="4" w:name="_GoBack"/>
      <w:r w:rsidR="00553425" w:rsidRPr="002E6393">
        <w:rPr>
          <w:i/>
        </w:rPr>
        <w:t>His life and works in 500 images</w:t>
      </w:r>
      <w:bookmarkEnd w:id="4"/>
      <w:r w:rsidR="00553425" w:rsidRPr="00553425">
        <w:t>, P. 23</w:t>
      </w:r>
      <w:r w:rsidR="00553425">
        <w:t>4</w:t>
      </w:r>
      <w:r w:rsidR="00553425" w:rsidRPr="00553425">
        <w:t>.</w:t>
      </w:r>
      <w:r w:rsidR="00EF211B">
        <w:t xml:space="preserve"> </w:t>
      </w:r>
    </w:p>
  </w:footnote>
  <w:footnote w:id="57">
    <w:p w14:paraId="444FAA9F" w14:textId="1DC506DC" w:rsidR="00EC61BA" w:rsidRPr="007236F6" w:rsidRDefault="00EC61BA">
      <w:pPr>
        <w:pStyle w:val="FootnoteText"/>
      </w:pPr>
      <w:r>
        <w:rPr>
          <w:rStyle w:val="FootnoteReference"/>
        </w:rPr>
        <w:footnoteRef/>
      </w:r>
      <w:r>
        <w:t xml:space="preserve"> </w:t>
      </w:r>
      <w:r w:rsidR="007236F6">
        <w:rPr>
          <w:i/>
        </w:rPr>
        <w:t xml:space="preserve">Ibid., </w:t>
      </w:r>
      <w:r w:rsidR="00602F54">
        <w:t xml:space="preserve">P. 234. </w:t>
      </w:r>
    </w:p>
  </w:footnote>
  <w:footnote w:id="58">
    <w:p w14:paraId="6493F90C" w14:textId="3B9AF2F2" w:rsidR="00924CB7" w:rsidRDefault="00924CB7">
      <w:pPr>
        <w:pStyle w:val="FootnoteText"/>
      </w:pPr>
      <w:r>
        <w:rPr>
          <w:rStyle w:val="FootnoteReference"/>
        </w:rPr>
        <w:footnoteRef/>
      </w:r>
      <w:r>
        <w:t xml:space="preserve"> </w:t>
      </w:r>
      <w:r w:rsidR="002A0269" w:rsidRPr="002A0269">
        <w:t xml:space="preserve">Jonathan Jones, ‘History and all its grisly facts are worth more than the illusion of memory’, The Guardian, (2014), [online]. Available:  </w:t>
      </w:r>
      <w:hyperlink r:id="rId10" w:history="1">
        <w:r w:rsidR="002A0269" w:rsidRPr="009A70E3">
          <w:rPr>
            <w:rStyle w:val="Hyperlink"/>
          </w:rPr>
          <w:t>https://www.theguardian.com/commentisfree/2014/oct/31/world-war-one-poppies-memorial-cameron</w:t>
        </w:r>
      </w:hyperlink>
      <w:r w:rsidR="002A0269">
        <w:t xml:space="preserve"> </w:t>
      </w:r>
    </w:p>
  </w:footnote>
  <w:footnote w:id="59">
    <w:p w14:paraId="613ABAAE" w14:textId="426DB045" w:rsidR="002156FD" w:rsidRPr="00F14717" w:rsidRDefault="002156FD">
      <w:pPr>
        <w:pStyle w:val="FootnoteText"/>
      </w:pPr>
      <w:r>
        <w:rPr>
          <w:rStyle w:val="FootnoteReference"/>
        </w:rPr>
        <w:footnoteRef/>
      </w:r>
      <w:r>
        <w:t xml:space="preserve"> </w:t>
      </w:r>
      <w:r w:rsidR="002463F3">
        <w:t xml:space="preserve">F. Goya, </w:t>
      </w:r>
      <w:r w:rsidR="00F14717">
        <w:rPr>
          <w:i/>
        </w:rPr>
        <w:t xml:space="preserve">The Disasters of War, </w:t>
      </w:r>
      <w:r w:rsidR="00F14717">
        <w:t xml:space="preserve">Print 72. </w:t>
      </w:r>
    </w:p>
  </w:footnote>
  <w:footnote w:id="60">
    <w:p w14:paraId="68F78FC6" w14:textId="224370F5" w:rsidR="00946B68" w:rsidRDefault="00946B68">
      <w:pPr>
        <w:pStyle w:val="FootnoteText"/>
      </w:pPr>
      <w:r>
        <w:rPr>
          <w:rStyle w:val="FootnoteReference"/>
        </w:rPr>
        <w:footnoteRef/>
      </w:r>
      <w:r>
        <w:t xml:space="preserve"> </w:t>
      </w:r>
      <w:r w:rsidR="006B10EB" w:rsidRPr="006B10EB">
        <w:t xml:space="preserve">Jonathan Jones, ‘History and all its grisly facts are worth more than the illusion of memory’, The Guardian, (2014), [online]. Available:  </w:t>
      </w:r>
      <w:hyperlink r:id="rId11" w:history="1">
        <w:r w:rsidR="006B10EB" w:rsidRPr="009A70E3">
          <w:rPr>
            <w:rStyle w:val="Hyperlink"/>
          </w:rPr>
          <w:t>https://www.theguardian.com/commentisfree/2014/oct/31/world-war-one-poppies-memorial-cameron</w:t>
        </w:r>
      </w:hyperlink>
      <w:r w:rsidR="006B10EB">
        <w:t xml:space="preserve"> </w:t>
      </w:r>
    </w:p>
  </w:footnote>
  <w:footnote w:id="61">
    <w:p w14:paraId="166820C6" w14:textId="4AFFC457" w:rsidR="008236E6" w:rsidRPr="004225B6" w:rsidRDefault="008236E6">
      <w:pPr>
        <w:pStyle w:val="FootnoteText"/>
      </w:pPr>
      <w:r>
        <w:rPr>
          <w:rStyle w:val="FootnoteReference"/>
        </w:rPr>
        <w:footnoteRef/>
      </w:r>
      <w:r>
        <w:t xml:space="preserve"> </w:t>
      </w:r>
      <w:r w:rsidR="007B1D0C">
        <w:t>F. Goya</w:t>
      </w:r>
      <w:r w:rsidR="004225B6">
        <w:t xml:space="preserve">, </w:t>
      </w:r>
      <w:r w:rsidR="004225B6">
        <w:rPr>
          <w:i/>
        </w:rPr>
        <w:t>The Disasters of War</w:t>
      </w:r>
      <w:r w:rsidR="004225B6">
        <w:t xml:space="preserve">, Print 72. </w:t>
      </w:r>
    </w:p>
  </w:footnote>
  <w:footnote w:id="62">
    <w:p w14:paraId="6286ABC1" w14:textId="1B8A3D9C" w:rsidR="00065963" w:rsidRDefault="00065963">
      <w:pPr>
        <w:pStyle w:val="FootnoteText"/>
      </w:pPr>
      <w:r>
        <w:rPr>
          <w:rStyle w:val="FootnoteReference"/>
        </w:rPr>
        <w:footnoteRef/>
      </w:r>
      <w:r>
        <w:t xml:space="preserve"> </w:t>
      </w:r>
      <w:r w:rsidR="00587136" w:rsidRPr="00587136">
        <w:t xml:space="preserve">F. Goya, </w:t>
      </w:r>
      <w:r w:rsidR="00587136" w:rsidRPr="00587136">
        <w:rPr>
          <w:i/>
        </w:rPr>
        <w:t>The Disasters of War</w:t>
      </w:r>
      <w:r w:rsidR="00587136" w:rsidRPr="00587136">
        <w:t>, Print 72.</w:t>
      </w:r>
    </w:p>
  </w:footnote>
  <w:footnote w:id="63">
    <w:p w14:paraId="5B4A1514" w14:textId="28269133" w:rsidR="00EC7380" w:rsidRDefault="00EC7380">
      <w:pPr>
        <w:pStyle w:val="FootnoteText"/>
      </w:pPr>
      <w:r>
        <w:rPr>
          <w:rStyle w:val="FootnoteReference"/>
        </w:rPr>
        <w:footnoteRef/>
      </w:r>
      <w:r>
        <w:t xml:space="preserve"> </w:t>
      </w:r>
      <w:r w:rsidR="00F3271F" w:rsidRPr="00F3271F">
        <w:t xml:space="preserve">F. Goya, </w:t>
      </w:r>
      <w:r w:rsidR="00F3271F" w:rsidRPr="00F3271F">
        <w:rPr>
          <w:i/>
        </w:rPr>
        <w:t>The Disasters of War</w:t>
      </w:r>
      <w:r w:rsidR="00F3271F" w:rsidRPr="00F3271F">
        <w:t>, Print 72.</w:t>
      </w:r>
    </w:p>
  </w:footnote>
  <w:footnote w:id="64">
    <w:p w14:paraId="651132C1" w14:textId="600530A2" w:rsidR="001266A6" w:rsidRDefault="001266A6">
      <w:pPr>
        <w:pStyle w:val="FootnoteText"/>
      </w:pPr>
      <w:r>
        <w:rPr>
          <w:rStyle w:val="FootnoteReference"/>
        </w:rPr>
        <w:footnoteRef/>
      </w:r>
      <w:r>
        <w:t xml:space="preserve"> </w:t>
      </w:r>
      <w:r w:rsidR="000A7A0F" w:rsidRPr="000A7A0F">
        <w:t xml:space="preserve">Jonathan Jones, ‘History and all its grisly facts are worth more than the illusion of memory’, The Guardian, (2014), [online]. Available:  </w:t>
      </w:r>
      <w:hyperlink r:id="rId12" w:history="1">
        <w:r w:rsidR="000A7A0F" w:rsidRPr="009A70E3">
          <w:rPr>
            <w:rStyle w:val="Hyperlink"/>
          </w:rPr>
          <w:t>https://www.theguardian.com/commentisfree/2014/oct/31/world-war-one-poppies-memorial-cameron</w:t>
        </w:r>
      </w:hyperlink>
      <w:r w:rsidR="000A7A0F">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32E"/>
    <w:rsid w:val="00004BE8"/>
    <w:rsid w:val="00010F47"/>
    <w:rsid w:val="0002154F"/>
    <w:rsid w:val="00031586"/>
    <w:rsid w:val="00043DED"/>
    <w:rsid w:val="00050D74"/>
    <w:rsid w:val="0005332E"/>
    <w:rsid w:val="0005518C"/>
    <w:rsid w:val="00055F94"/>
    <w:rsid w:val="0005681A"/>
    <w:rsid w:val="00064740"/>
    <w:rsid w:val="00065963"/>
    <w:rsid w:val="000666AE"/>
    <w:rsid w:val="00082196"/>
    <w:rsid w:val="0008497B"/>
    <w:rsid w:val="000A0CCD"/>
    <w:rsid w:val="000A2849"/>
    <w:rsid w:val="000A340F"/>
    <w:rsid w:val="000A7A0F"/>
    <w:rsid w:val="000C013D"/>
    <w:rsid w:val="000C5865"/>
    <w:rsid w:val="000E08C3"/>
    <w:rsid w:val="000E298A"/>
    <w:rsid w:val="000F1B89"/>
    <w:rsid w:val="001036D3"/>
    <w:rsid w:val="00103834"/>
    <w:rsid w:val="00104445"/>
    <w:rsid w:val="0011235E"/>
    <w:rsid w:val="00117CC6"/>
    <w:rsid w:val="001226DD"/>
    <w:rsid w:val="00125023"/>
    <w:rsid w:val="001263FE"/>
    <w:rsid w:val="001266A6"/>
    <w:rsid w:val="001267D7"/>
    <w:rsid w:val="00131BD1"/>
    <w:rsid w:val="001344B5"/>
    <w:rsid w:val="00134C51"/>
    <w:rsid w:val="00145656"/>
    <w:rsid w:val="00147FBA"/>
    <w:rsid w:val="001609FC"/>
    <w:rsid w:val="00172C65"/>
    <w:rsid w:val="0018035D"/>
    <w:rsid w:val="001828FC"/>
    <w:rsid w:val="0019177E"/>
    <w:rsid w:val="0019688A"/>
    <w:rsid w:val="00197CC5"/>
    <w:rsid w:val="001A3A5C"/>
    <w:rsid w:val="001A7519"/>
    <w:rsid w:val="001B1AC5"/>
    <w:rsid w:val="001B6D64"/>
    <w:rsid w:val="001C32DC"/>
    <w:rsid w:val="001C4BF6"/>
    <w:rsid w:val="001C5E5A"/>
    <w:rsid w:val="001D2D97"/>
    <w:rsid w:val="001D3794"/>
    <w:rsid w:val="001F1747"/>
    <w:rsid w:val="001F7E45"/>
    <w:rsid w:val="0020076B"/>
    <w:rsid w:val="002138EB"/>
    <w:rsid w:val="002156FD"/>
    <w:rsid w:val="00216231"/>
    <w:rsid w:val="00220FEE"/>
    <w:rsid w:val="00222CE9"/>
    <w:rsid w:val="00222EC6"/>
    <w:rsid w:val="0023199E"/>
    <w:rsid w:val="002351CC"/>
    <w:rsid w:val="00235C0F"/>
    <w:rsid w:val="00236B99"/>
    <w:rsid w:val="00244AD0"/>
    <w:rsid w:val="002463F3"/>
    <w:rsid w:val="00255680"/>
    <w:rsid w:val="00266D10"/>
    <w:rsid w:val="00272AF6"/>
    <w:rsid w:val="0028306D"/>
    <w:rsid w:val="00295123"/>
    <w:rsid w:val="002A0269"/>
    <w:rsid w:val="002A227B"/>
    <w:rsid w:val="002A26D2"/>
    <w:rsid w:val="002A7430"/>
    <w:rsid w:val="002B0E98"/>
    <w:rsid w:val="002B1BAB"/>
    <w:rsid w:val="002C1215"/>
    <w:rsid w:val="002C2976"/>
    <w:rsid w:val="002C33DD"/>
    <w:rsid w:val="002C4D95"/>
    <w:rsid w:val="002D010F"/>
    <w:rsid w:val="002E0880"/>
    <w:rsid w:val="002E6393"/>
    <w:rsid w:val="002F3FA0"/>
    <w:rsid w:val="00306F8F"/>
    <w:rsid w:val="00312B02"/>
    <w:rsid w:val="00317BD7"/>
    <w:rsid w:val="00321D56"/>
    <w:rsid w:val="00323FFF"/>
    <w:rsid w:val="00334F3C"/>
    <w:rsid w:val="00352B0D"/>
    <w:rsid w:val="00366B48"/>
    <w:rsid w:val="0037098C"/>
    <w:rsid w:val="00373954"/>
    <w:rsid w:val="00376A3B"/>
    <w:rsid w:val="00382512"/>
    <w:rsid w:val="00391EE8"/>
    <w:rsid w:val="00393FCC"/>
    <w:rsid w:val="0039732C"/>
    <w:rsid w:val="003A4325"/>
    <w:rsid w:val="003B372E"/>
    <w:rsid w:val="003B40C3"/>
    <w:rsid w:val="003C558B"/>
    <w:rsid w:val="003D20E2"/>
    <w:rsid w:val="003D48B7"/>
    <w:rsid w:val="003D4A30"/>
    <w:rsid w:val="003E2134"/>
    <w:rsid w:val="003F7B86"/>
    <w:rsid w:val="00401BFD"/>
    <w:rsid w:val="00415B7B"/>
    <w:rsid w:val="0042253D"/>
    <w:rsid w:val="004225B6"/>
    <w:rsid w:val="00426692"/>
    <w:rsid w:val="00427308"/>
    <w:rsid w:val="00434C5B"/>
    <w:rsid w:val="00437EF0"/>
    <w:rsid w:val="00440C9D"/>
    <w:rsid w:val="00442DE4"/>
    <w:rsid w:val="00444E14"/>
    <w:rsid w:val="00460A60"/>
    <w:rsid w:val="00465EA7"/>
    <w:rsid w:val="00473CA0"/>
    <w:rsid w:val="00475B99"/>
    <w:rsid w:val="00483FD6"/>
    <w:rsid w:val="00485417"/>
    <w:rsid w:val="00496722"/>
    <w:rsid w:val="004B0CCF"/>
    <w:rsid w:val="004B2C3D"/>
    <w:rsid w:val="004B48DF"/>
    <w:rsid w:val="004B617B"/>
    <w:rsid w:val="004C445A"/>
    <w:rsid w:val="004C461C"/>
    <w:rsid w:val="004C5638"/>
    <w:rsid w:val="004D195C"/>
    <w:rsid w:val="004D2122"/>
    <w:rsid w:val="004D4ECD"/>
    <w:rsid w:val="004D5188"/>
    <w:rsid w:val="004D6397"/>
    <w:rsid w:val="004E0F52"/>
    <w:rsid w:val="004E3045"/>
    <w:rsid w:val="004E3412"/>
    <w:rsid w:val="004E34EF"/>
    <w:rsid w:val="004E7DB3"/>
    <w:rsid w:val="0050232E"/>
    <w:rsid w:val="00504B46"/>
    <w:rsid w:val="00505D89"/>
    <w:rsid w:val="0051092B"/>
    <w:rsid w:val="005115C9"/>
    <w:rsid w:val="00514307"/>
    <w:rsid w:val="00527579"/>
    <w:rsid w:val="00532F62"/>
    <w:rsid w:val="00540A45"/>
    <w:rsid w:val="00550B36"/>
    <w:rsid w:val="00553425"/>
    <w:rsid w:val="00553502"/>
    <w:rsid w:val="005752F2"/>
    <w:rsid w:val="00580AB1"/>
    <w:rsid w:val="00587136"/>
    <w:rsid w:val="00587652"/>
    <w:rsid w:val="0059182D"/>
    <w:rsid w:val="005A1B3F"/>
    <w:rsid w:val="005A6838"/>
    <w:rsid w:val="005B073D"/>
    <w:rsid w:val="005B2849"/>
    <w:rsid w:val="005B5717"/>
    <w:rsid w:val="005B7916"/>
    <w:rsid w:val="005C47D9"/>
    <w:rsid w:val="005C546A"/>
    <w:rsid w:val="005C6602"/>
    <w:rsid w:val="005D0925"/>
    <w:rsid w:val="005D1A24"/>
    <w:rsid w:val="005D2902"/>
    <w:rsid w:val="005E4D1F"/>
    <w:rsid w:val="005E6542"/>
    <w:rsid w:val="005E744D"/>
    <w:rsid w:val="005F22F5"/>
    <w:rsid w:val="005F48CD"/>
    <w:rsid w:val="005F72F0"/>
    <w:rsid w:val="00602F54"/>
    <w:rsid w:val="00604EE8"/>
    <w:rsid w:val="00614DC5"/>
    <w:rsid w:val="00615EC8"/>
    <w:rsid w:val="0062241F"/>
    <w:rsid w:val="00627958"/>
    <w:rsid w:val="006411E0"/>
    <w:rsid w:val="00671C26"/>
    <w:rsid w:val="00685EB6"/>
    <w:rsid w:val="00686B2A"/>
    <w:rsid w:val="00686F72"/>
    <w:rsid w:val="00695EFB"/>
    <w:rsid w:val="006A535F"/>
    <w:rsid w:val="006A5846"/>
    <w:rsid w:val="006B0216"/>
    <w:rsid w:val="006B10EB"/>
    <w:rsid w:val="006B522B"/>
    <w:rsid w:val="006C028B"/>
    <w:rsid w:val="006C2128"/>
    <w:rsid w:val="006C2C7E"/>
    <w:rsid w:val="006D0D9D"/>
    <w:rsid w:val="006D6835"/>
    <w:rsid w:val="006E46C3"/>
    <w:rsid w:val="006E65E0"/>
    <w:rsid w:val="006F001D"/>
    <w:rsid w:val="0070090B"/>
    <w:rsid w:val="00700A13"/>
    <w:rsid w:val="007236F6"/>
    <w:rsid w:val="00723825"/>
    <w:rsid w:val="00727A65"/>
    <w:rsid w:val="00731D44"/>
    <w:rsid w:val="00734CA5"/>
    <w:rsid w:val="00736065"/>
    <w:rsid w:val="007466F8"/>
    <w:rsid w:val="007479DC"/>
    <w:rsid w:val="00752549"/>
    <w:rsid w:val="007563A4"/>
    <w:rsid w:val="00756531"/>
    <w:rsid w:val="00764677"/>
    <w:rsid w:val="00764A43"/>
    <w:rsid w:val="007665A0"/>
    <w:rsid w:val="00771063"/>
    <w:rsid w:val="00773563"/>
    <w:rsid w:val="00774D64"/>
    <w:rsid w:val="0077565E"/>
    <w:rsid w:val="00797B6A"/>
    <w:rsid w:val="007A0EB0"/>
    <w:rsid w:val="007A59E6"/>
    <w:rsid w:val="007B1D0C"/>
    <w:rsid w:val="007B635D"/>
    <w:rsid w:val="007C2DE7"/>
    <w:rsid w:val="007C4791"/>
    <w:rsid w:val="007D2567"/>
    <w:rsid w:val="007D463E"/>
    <w:rsid w:val="007F1BD4"/>
    <w:rsid w:val="008002BE"/>
    <w:rsid w:val="0080256E"/>
    <w:rsid w:val="0080266E"/>
    <w:rsid w:val="00803EC9"/>
    <w:rsid w:val="008207D9"/>
    <w:rsid w:val="008236E6"/>
    <w:rsid w:val="0083294C"/>
    <w:rsid w:val="00836AB7"/>
    <w:rsid w:val="00862E97"/>
    <w:rsid w:val="008766A7"/>
    <w:rsid w:val="008974AD"/>
    <w:rsid w:val="008B2007"/>
    <w:rsid w:val="008C1849"/>
    <w:rsid w:val="008C5498"/>
    <w:rsid w:val="008D5249"/>
    <w:rsid w:val="008E1C06"/>
    <w:rsid w:val="008E2829"/>
    <w:rsid w:val="008E41A9"/>
    <w:rsid w:val="008F0D12"/>
    <w:rsid w:val="008F0F49"/>
    <w:rsid w:val="008F6CD0"/>
    <w:rsid w:val="00903BFC"/>
    <w:rsid w:val="00906483"/>
    <w:rsid w:val="00906694"/>
    <w:rsid w:val="00921BD5"/>
    <w:rsid w:val="00924CB7"/>
    <w:rsid w:val="009314C1"/>
    <w:rsid w:val="00945CB0"/>
    <w:rsid w:val="00946B68"/>
    <w:rsid w:val="009547F8"/>
    <w:rsid w:val="00954FF8"/>
    <w:rsid w:val="0096412C"/>
    <w:rsid w:val="00982BFC"/>
    <w:rsid w:val="009A176B"/>
    <w:rsid w:val="009A2210"/>
    <w:rsid w:val="009B4D87"/>
    <w:rsid w:val="009B57B6"/>
    <w:rsid w:val="009B58E0"/>
    <w:rsid w:val="009B6031"/>
    <w:rsid w:val="009B718A"/>
    <w:rsid w:val="009B7FA1"/>
    <w:rsid w:val="009C2F91"/>
    <w:rsid w:val="009D0BB8"/>
    <w:rsid w:val="009D357F"/>
    <w:rsid w:val="009D395F"/>
    <w:rsid w:val="009E19CC"/>
    <w:rsid w:val="009E204F"/>
    <w:rsid w:val="009F05F6"/>
    <w:rsid w:val="00A061F9"/>
    <w:rsid w:val="00A124C2"/>
    <w:rsid w:val="00A14F03"/>
    <w:rsid w:val="00A17EF3"/>
    <w:rsid w:val="00A315A8"/>
    <w:rsid w:val="00A32B0A"/>
    <w:rsid w:val="00A334B2"/>
    <w:rsid w:val="00A372BD"/>
    <w:rsid w:val="00A463C3"/>
    <w:rsid w:val="00A51E90"/>
    <w:rsid w:val="00A53532"/>
    <w:rsid w:val="00A53E4A"/>
    <w:rsid w:val="00A65A70"/>
    <w:rsid w:val="00A67941"/>
    <w:rsid w:val="00A67EA5"/>
    <w:rsid w:val="00A728D1"/>
    <w:rsid w:val="00A80892"/>
    <w:rsid w:val="00A8673B"/>
    <w:rsid w:val="00A92EFD"/>
    <w:rsid w:val="00A933D1"/>
    <w:rsid w:val="00AB432A"/>
    <w:rsid w:val="00AC1D54"/>
    <w:rsid w:val="00AD3477"/>
    <w:rsid w:val="00AD76A6"/>
    <w:rsid w:val="00AE6918"/>
    <w:rsid w:val="00AF3DA4"/>
    <w:rsid w:val="00B1512C"/>
    <w:rsid w:val="00B16A3F"/>
    <w:rsid w:val="00B202AD"/>
    <w:rsid w:val="00B20963"/>
    <w:rsid w:val="00B37702"/>
    <w:rsid w:val="00B414EF"/>
    <w:rsid w:val="00B44229"/>
    <w:rsid w:val="00B46611"/>
    <w:rsid w:val="00B50E16"/>
    <w:rsid w:val="00B54E0D"/>
    <w:rsid w:val="00B550B5"/>
    <w:rsid w:val="00B57510"/>
    <w:rsid w:val="00B6522E"/>
    <w:rsid w:val="00B74491"/>
    <w:rsid w:val="00B7545F"/>
    <w:rsid w:val="00B85EEF"/>
    <w:rsid w:val="00B86CF7"/>
    <w:rsid w:val="00B93298"/>
    <w:rsid w:val="00B95702"/>
    <w:rsid w:val="00B96988"/>
    <w:rsid w:val="00BA18DF"/>
    <w:rsid w:val="00BA23BB"/>
    <w:rsid w:val="00BA4B1C"/>
    <w:rsid w:val="00BB1659"/>
    <w:rsid w:val="00BC27DC"/>
    <w:rsid w:val="00BC65DA"/>
    <w:rsid w:val="00BD1124"/>
    <w:rsid w:val="00BE286A"/>
    <w:rsid w:val="00BE4CB5"/>
    <w:rsid w:val="00BF5579"/>
    <w:rsid w:val="00C00C06"/>
    <w:rsid w:val="00C108B2"/>
    <w:rsid w:val="00C22735"/>
    <w:rsid w:val="00C24EF6"/>
    <w:rsid w:val="00C251C0"/>
    <w:rsid w:val="00C25BBE"/>
    <w:rsid w:val="00C3020F"/>
    <w:rsid w:val="00C3557D"/>
    <w:rsid w:val="00C534ED"/>
    <w:rsid w:val="00C64F89"/>
    <w:rsid w:val="00C80B90"/>
    <w:rsid w:val="00C83EF2"/>
    <w:rsid w:val="00C84F46"/>
    <w:rsid w:val="00C905D9"/>
    <w:rsid w:val="00C937FA"/>
    <w:rsid w:val="00CA0571"/>
    <w:rsid w:val="00CB061B"/>
    <w:rsid w:val="00CC0D2A"/>
    <w:rsid w:val="00CC307D"/>
    <w:rsid w:val="00CC3D90"/>
    <w:rsid w:val="00CC4234"/>
    <w:rsid w:val="00CC4F32"/>
    <w:rsid w:val="00CC65DD"/>
    <w:rsid w:val="00CD3ED1"/>
    <w:rsid w:val="00CD469E"/>
    <w:rsid w:val="00CD5205"/>
    <w:rsid w:val="00CE05A2"/>
    <w:rsid w:val="00CE1EEB"/>
    <w:rsid w:val="00CE4512"/>
    <w:rsid w:val="00D0256F"/>
    <w:rsid w:val="00D20AAF"/>
    <w:rsid w:val="00D31ADD"/>
    <w:rsid w:val="00D36E2B"/>
    <w:rsid w:val="00D43E76"/>
    <w:rsid w:val="00D55281"/>
    <w:rsid w:val="00D56F84"/>
    <w:rsid w:val="00D720E0"/>
    <w:rsid w:val="00D77126"/>
    <w:rsid w:val="00D86A59"/>
    <w:rsid w:val="00DA0052"/>
    <w:rsid w:val="00DE0C38"/>
    <w:rsid w:val="00DE1E2A"/>
    <w:rsid w:val="00DF40DA"/>
    <w:rsid w:val="00DF55F9"/>
    <w:rsid w:val="00E02872"/>
    <w:rsid w:val="00E04F3D"/>
    <w:rsid w:val="00E0665F"/>
    <w:rsid w:val="00E06F04"/>
    <w:rsid w:val="00E06FA4"/>
    <w:rsid w:val="00E14E26"/>
    <w:rsid w:val="00E15143"/>
    <w:rsid w:val="00E16948"/>
    <w:rsid w:val="00E20CC8"/>
    <w:rsid w:val="00E25239"/>
    <w:rsid w:val="00E2592B"/>
    <w:rsid w:val="00E315C0"/>
    <w:rsid w:val="00E32905"/>
    <w:rsid w:val="00E35A35"/>
    <w:rsid w:val="00E47026"/>
    <w:rsid w:val="00E471B5"/>
    <w:rsid w:val="00E53EC2"/>
    <w:rsid w:val="00E54A94"/>
    <w:rsid w:val="00E54CFC"/>
    <w:rsid w:val="00E608A1"/>
    <w:rsid w:val="00E60C45"/>
    <w:rsid w:val="00E70025"/>
    <w:rsid w:val="00E74994"/>
    <w:rsid w:val="00E74AD2"/>
    <w:rsid w:val="00E77B77"/>
    <w:rsid w:val="00E80CB0"/>
    <w:rsid w:val="00E8357C"/>
    <w:rsid w:val="00EA4CAD"/>
    <w:rsid w:val="00EC1E4A"/>
    <w:rsid w:val="00EC61BA"/>
    <w:rsid w:val="00EC7380"/>
    <w:rsid w:val="00ED659D"/>
    <w:rsid w:val="00EE0003"/>
    <w:rsid w:val="00EE51D0"/>
    <w:rsid w:val="00EE64BA"/>
    <w:rsid w:val="00EF077D"/>
    <w:rsid w:val="00EF211B"/>
    <w:rsid w:val="00F02E85"/>
    <w:rsid w:val="00F14717"/>
    <w:rsid w:val="00F17F3E"/>
    <w:rsid w:val="00F21ED8"/>
    <w:rsid w:val="00F223E1"/>
    <w:rsid w:val="00F23DCF"/>
    <w:rsid w:val="00F2732E"/>
    <w:rsid w:val="00F27F15"/>
    <w:rsid w:val="00F3271F"/>
    <w:rsid w:val="00F41282"/>
    <w:rsid w:val="00F41872"/>
    <w:rsid w:val="00F47D20"/>
    <w:rsid w:val="00F55B5E"/>
    <w:rsid w:val="00F574D0"/>
    <w:rsid w:val="00F6569E"/>
    <w:rsid w:val="00F7598E"/>
    <w:rsid w:val="00F77124"/>
    <w:rsid w:val="00F83D06"/>
    <w:rsid w:val="00F9456B"/>
    <w:rsid w:val="00FA01F3"/>
    <w:rsid w:val="00FA2FC8"/>
    <w:rsid w:val="00FA43E5"/>
    <w:rsid w:val="00FA5F28"/>
    <w:rsid w:val="00FB30B1"/>
    <w:rsid w:val="00FB6355"/>
    <w:rsid w:val="00FD1083"/>
    <w:rsid w:val="00FD1999"/>
    <w:rsid w:val="00FD3343"/>
    <w:rsid w:val="00FD34A1"/>
    <w:rsid w:val="00FD414C"/>
    <w:rsid w:val="00FD581E"/>
    <w:rsid w:val="00FD6AFA"/>
    <w:rsid w:val="00FE0914"/>
    <w:rsid w:val="00FE7872"/>
    <w:rsid w:val="00FE7A1E"/>
    <w:rsid w:val="00FF0084"/>
    <w:rsid w:val="00FF464D"/>
    <w:rsid w:val="00FF4879"/>
    <w:rsid w:val="00FF677B"/>
    <w:rsid w:val="00FF7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7788D3"/>
  <w15:chartTrackingRefBased/>
  <w15:docId w15:val="{21E5742E-5145-4974-8733-5D3D31F24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2732E"/>
    <w:pPr>
      <w:spacing w:after="0" w:line="240" w:lineRule="auto"/>
    </w:pPr>
  </w:style>
  <w:style w:type="character" w:styleId="CommentReference">
    <w:name w:val="annotation reference"/>
    <w:basedOn w:val="DefaultParagraphFont"/>
    <w:uiPriority w:val="99"/>
    <w:semiHidden/>
    <w:unhideWhenUsed/>
    <w:rsid w:val="004C461C"/>
    <w:rPr>
      <w:sz w:val="16"/>
      <w:szCs w:val="16"/>
    </w:rPr>
  </w:style>
  <w:style w:type="paragraph" w:styleId="CommentText">
    <w:name w:val="annotation text"/>
    <w:basedOn w:val="Normal"/>
    <w:link w:val="CommentTextChar"/>
    <w:uiPriority w:val="99"/>
    <w:semiHidden/>
    <w:unhideWhenUsed/>
    <w:rsid w:val="004C461C"/>
    <w:pPr>
      <w:spacing w:line="240" w:lineRule="auto"/>
    </w:pPr>
    <w:rPr>
      <w:sz w:val="20"/>
      <w:szCs w:val="20"/>
    </w:rPr>
  </w:style>
  <w:style w:type="character" w:customStyle="1" w:styleId="CommentTextChar">
    <w:name w:val="Comment Text Char"/>
    <w:basedOn w:val="DefaultParagraphFont"/>
    <w:link w:val="CommentText"/>
    <w:uiPriority w:val="99"/>
    <w:semiHidden/>
    <w:rsid w:val="004C461C"/>
    <w:rPr>
      <w:sz w:val="20"/>
      <w:szCs w:val="20"/>
    </w:rPr>
  </w:style>
  <w:style w:type="paragraph" w:styleId="CommentSubject">
    <w:name w:val="annotation subject"/>
    <w:basedOn w:val="CommentText"/>
    <w:next w:val="CommentText"/>
    <w:link w:val="CommentSubjectChar"/>
    <w:uiPriority w:val="99"/>
    <w:semiHidden/>
    <w:unhideWhenUsed/>
    <w:rsid w:val="004C461C"/>
    <w:rPr>
      <w:b/>
      <w:bCs/>
    </w:rPr>
  </w:style>
  <w:style w:type="character" w:customStyle="1" w:styleId="CommentSubjectChar">
    <w:name w:val="Comment Subject Char"/>
    <w:basedOn w:val="CommentTextChar"/>
    <w:link w:val="CommentSubject"/>
    <w:uiPriority w:val="99"/>
    <w:semiHidden/>
    <w:rsid w:val="004C461C"/>
    <w:rPr>
      <w:b/>
      <w:bCs/>
      <w:sz w:val="20"/>
      <w:szCs w:val="20"/>
    </w:rPr>
  </w:style>
  <w:style w:type="paragraph" w:styleId="BalloonText">
    <w:name w:val="Balloon Text"/>
    <w:basedOn w:val="Normal"/>
    <w:link w:val="BalloonTextChar"/>
    <w:uiPriority w:val="99"/>
    <w:semiHidden/>
    <w:unhideWhenUsed/>
    <w:rsid w:val="004C46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61C"/>
    <w:rPr>
      <w:rFonts w:ascii="Segoe UI" w:hAnsi="Segoe UI" w:cs="Segoe UI"/>
      <w:sz w:val="18"/>
      <w:szCs w:val="18"/>
    </w:rPr>
  </w:style>
  <w:style w:type="paragraph" w:styleId="FootnoteText">
    <w:name w:val="footnote text"/>
    <w:basedOn w:val="Normal"/>
    <w:link w:val="FootnoteTextChar"/>
    <w:uiPriority w:val="99"/>
    <w:semiHidden/>
    <w:unhideWhenUsed/>
    <w:rsid w:val="00FA5F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5F28"/>
    <w:rPr>
      <w:sz w:val="20"/>
      <w:szCs w:val="20"/>
    </w:rPr>
  </w:style>
  <w:style w:type="character" w:styleId="FootnoteReference">
    <w:name w:val="footnote reference"/>
    <w:basedOn w:val="DefaultParagraphFont"/>
    <w:uiPriority w:val="99"/>
    <w:semiHidden/>
    <w:unhideWhenUsed/>
    <w:rsid w:val="00FA5F28"/>
    <w:rPr>
      <w:vertAlign w:val="superscript"/>
    </w:rPr>
  </w:style>
  <w:style w:type="character" w:styleId="Hyperlink">
    <w:name w:val="Hyperlink"/>
    <w:basedOn w:val="DefaultParagraphFont"/>
    <w:uiPriority w:val="99"/>
    <w:unhideWhenUsed/>
    <w:rsid w:val="00475B99"/>
    <w:rPr>
      <w:color w:val="0563C1" w:themeColor="hyperlink"/>
      <w:u w:val="single"/>
    </w:rPr>
  </w:style>
  <w:style w:type="character" w:styleId="UnresolvedMention">
    <w:name w:val="Unresolved Mention"/>
    <w:basedOn w:val="DefaultParagraphFont"/>
    <w:uiPriority w:val="99"/>
    <w:semiHidden/>
    <w:unhideWhenUsed/>
    <w:rsid w:val="00475B9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Siege-of-Badajoz-181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mazon.co.uk/Napoleons-Mamelukes-Men-at-Arms-Ronald-Pawly-ebook/dp/B01BY3AIFS/ref=sr_1_1?s=digital-text&amp;ie=UTF8&amp;qid=1527113516&amp;sr=1-1&amp;keywords=Napoleon%27s+mamelukes" TargetMode="External"/><Relationship Id="rId5" Type="http://schemas.openxmlformats.org/officeDocument/2006/relationships/footnotes" Target="footnotes.xml"/><Relationship Id="rId10" Type="http://schemas.openxmlformats.org/officeDocument/2006/relationships/hyperlink" Target="https://www.museodelprado.es/en/the-collection/art-work/the-2nd-of-may-1808-in-madrid-or-the-fight/57dacf2e-5d10-4ded-85aa-9ff6f741f6b1" TargetMode="External"/><Relationship Id="rId4" Type="http://schemas.openxmlformats.org/officeDocument/2006/relationships/webSettings" Target="webSettings.xml"/><Relationship Id="rId9" Type="http://schemas.openxmlformats.org/officeDocument/2006/relationships/hyperlink" Target="https://www.theguardian.com/commentisfree/2014/oct/31/world-war-one-poppies-memorial-camer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museodelprado.es/en/the-collection/art-work/the-2nd-of-may-1808-in-madrid-or-the-fight/57dacf2e-5d10-4ded-85aa-9ff6f741f6b1" TargetMode="External"/><Relationship Id="rId3" Type="http://schemas.openxmlformats.org/officeDocument/2006/relationships/hyperlink" Target="https://www.britannica.com/event/Siege-of-Badajoz-1812" TargetMode="External"/><Relationship Id="rId7" Type="http://schemas.openxmlformats.org/officeDocument/2006/relationships/hyperlink" Target="https://www.museodelprado.es/en/the-collection/art-work/the-2nd-of-may-1808-in-madrid-or-the-fight/57dacf2e-5d10-4ded-85aa-9ff6f741f6b1" TargetMode="External"/><Relationship Id="rId12" Type="http://schemas.openxmlformats.org/officeDocument/2006/relationships/hyperlink" Target="https://www.theguardian.com/commentisfree/2014/oct/31/world-war-one-poppies-memorial-cameron" TargetMode="External"/><Relationship Id="rId2" Type="http://schemas.openxmlformats.org/officeDocument/2006/relationships/hyperlink" Target="https://www.theguardian.com/commentisfree/2014/oct/31/world-war-one-poppies-memorial-cameron" TargetMode="External"/><Relationship Id="rId1" Type="http://schemas.openxmlformats.org/officeDocument/2006/relationships/hyperlink" Target="https://www.theguardian.com/commentisfree/2014/oct/31/world-war-one-poppies-memorial-cameron" TargetMode="External"/><Relationship Id="rId6" Type="http://schemas.openxmlformats.org/officeDocument/2006/relationships/hyperlink" Target="https://www.museodelprado.es/en/the-collection/art-work/the-2nd-of-may-1808-in-madrid-or-the-fight/57dacf2e-5d10-4ded-85aa-9ff6f741f6b1" TargetMode="External"/><Relationship Id="rId11" Type="http://schemas.openxmlformats.org/officeDocument/2006/relationships/hyperlink" Target="https://www.theguardian.com/commentisfree/2014/oct/31/world-war-one-poppies-memorial-cameron" TargetMode="External"/><Relationship Id="rId5" Type="http://schemas.openxmlformats.org/officeDocument/2006/relationships/hyperlink" Target="https://www.amazon.co.uk/Napoleons-Mamelukes-Men-at-Arms-Ronald-Pawly-ebook/dp/B01BY3AIFS/ref=sr_1_1?s=digital-text&amp;ie=UTF8&amp;qid=1527113516&amp;sr=1-1&amp;keywords=Napoleon%27s+mamelukes" TargetMode="External"/><Relationship Id="rId10" Type="http://schemas.openxmlformats.org/officeDocument/2006/relationships/hyperlink" Target="https://www.theguardian.com/commentisfree/2014/oct/31/world-war-one-poppies-memorial-cameron" TargetMode="External"/><Relationship Id="rId4" Type="http://schemas.openxmlformats.org/officeDocument/2006/relationships/hyperlink" Target="https://www.theguardian.com/commentisfree/2014/oct/31/world-war-one-poppies-memorial-cameron" TargetMode="External"/><Relationship Id="rId9" Type="http://schemas.openxmlformats.org/officeDocument/2006/relationships/hyperlink" Target="https://www.theguardian.com/commentisfree/2014/oct/31/world-war-one-poppies-memorial-camer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FE56C3-52DA-4711-93AE-061350A0B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8</Pages>
  <Words>2688</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gant</dc:creator>
  <cp:keywords/>
  <dc:description/>
  <cp:lastModifiedBy>George Gillson-Gant</cp:lastModifiedBy>
  <cp:revision>232</cp:revision>
  <dcterms:created xsi:type="dcterms:W3CDTF">2018-05-21T21:05:00Z</dcterms:created>
  <dcterms:modified xsi:type="dcterms:W3CDTF">2018-05-24T01:07:00Z</dcterms:modified>
</cp:coreProperties>
</file>