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0E4C8" w14:textId="77777777" w:rsidR="00C919D3" w:rsidRDefault="00C919D3" w:rsidP="00C919D3">
      <w:r>
        <w:t>1. The Five Forces Model and Netflix Applications</w:t>
      </w:r>
    </w:p>
    <w:p w14:paraId="060B1D5A" w14:textId="408A82AB" w:rsidR="00C919D3" w:rsidRDefault="00C919D3" w:rsidP="00C919D3">
      <w:pPr>
        <w:rPr>
          <w:rFonts w:hint="eastAsia"/>
        </w:rPr>
      </w:pPr>
      <w:r>
        <w:t>Existing competitors (extremely high): facing fierce content and price wars from giants such as Disney and Amazon.</w:t>
      </w:r>
    </w:p>
    <w:p w14:paraId="6F800022" w14:textId="1CC3AB92" w:rsidR="00C919D3" w:rsidRDefault="00C919D3" w:rsidP="00C919D3">
      <w:pPr>
        <w:rPr>
          <w:rFonts w:hint="eastAsia"/>
        </w:rPr>
      </w:pPr>
      <w:r>
        <w:t>Supplier Power (High): Traditional studios (such as Warner, NBC) withdraw the rights to classic series, highlighting the strong advantages of content providers.</w:t>
      </w:r>
    </w:p>
    <w:p w14:paraId="29AE2964" w14:textId="1999C487" w:rsidR="00C919D3" w:rsidRDefault="00C919D3" w:rsidP="00C919D3">
      <w:pPr>
        <w:rPr>
          <w:rFonts w:hint="eastAsia"/>
        </w:rPr>
      </w:pPr>
      <w:r>
        <w:t xml:space="preserve">Buyer power (high): The conversion cost of user unsubscribes is extremely low and highly </w:t>
      </w:r>
      <w:proofErr w:type="gramStart"/>
      <w:r>
        <w:t>price-sensitive</w:t>
      </w:r>
      <w:proofErr w:type="gramEnd"/>
      <w:r>
        <w:t>.</w:t>
      </w:r>
    </w:p>
    <w:p w14:paraId="7614CA8C" w14:textId="3B152345" w:rsidR="00C919D3" w:rsidRDefault="00C919D3" w:rsidP="00C919D3">
      <w:pPr>
        <w:rPr>
          <w:rFonts w:hint="eastAsia"/>
        </w:rPr>
      </w:pPr>
      <w:r>
        <w:t>Threat of substitution (high): Compete with short videos (TikTok), video games, etc. for users' screen time.</w:t>
      </w:r>
    </w:p>
    <w:p w14:paraId="457D333D" w14:textId="7A53AC0B" w:rsidR="00C919D3" w:rsidRPr="00C919D3" w:rsidRDefault="00C919D3" w:rsidP="00C919D3">
      <w:pPr>
        <w:rPr>
          <w:rFonts w:hint="eastAsia"/>
        </w:rPr>
      </w:pPr>
      <w:r>
        <w:t>New entrant threat (middle): Although capital barriers are high, vertical fields and regional streaming platforms continue to enter the market.</w:t>
      </w:r>
    </w:p>
    <w:p w14:paraId="6F23744A" w14:textId="08A717D9" w:rsidR="00C919D3" w:rsidRPr="00374CEB" w:rsidRDefault="00C919D3" w:rsidP="00C919D3">
      <w:pPr>
        <w:rPr>
          <w:b/>
          <w:bCs/>
        </w:rPr>
      </w:pPr>
      <w:r w:rsidRPr="00374CEB">
        <w:rPr>
          <w:b/>
          <w:bCs/>
        </w:rPr>
        <w:t>Strategic enlightenment for decision-makers</w:t>
      </w:r>
    </w:p>
    <w:p w14:paraId="7D92BC54" w14:textId="76FC245E" w:rsidR="00C919D3" w:rsidRDefault="00C919D3" w:rsidP="00C919D3">
      <w:pPr>
        <w:rPr>
          <w:rFonts w:hint="eastAsia"/>
        </w:rPr>
      </w:pPr>
      <w:r>
        <w:t>Based on the above high-pressure environment, Netflix's leadership has made two major transformation decisions:</w:t>
      </w:r>
    </w:p>
    <w:p w14:paraId="6F01B24D" w14:textId="420C2C73" w:rsidR="00C919D3" w:rsidRDefault="00C919D3" w:rsidP="00C919D3">
      <w:pPr>
        <w:rPr>
          <w:rFonts w:hint="eastAsia"/>
        </w:rPr>
      </w:pPr>
      <w:r>
        <w:t>Vertical integration: Investing heavily in original content (such as Stranger Things) directly weakens reliance on external vendors and establishes an exclusive IP moat.</w:t>
      </w:r>
    </w:p>
    <w:p w14:paraId="4AE885B6" w14:textId="68120CD2" w:rsidR="00C919D3" w:rsidRDefault="00C919D3" w:rsidP="00C919D3">
      <w:pPr>
        <w:rPr>
          <w:rFonts w:hint="eastAsia"/>
        </w:rPr>
      </w:pPr>
      <w:r>
        <w:t xml:space="preserve">Business model innovation: Launch ad-supported subscription packages and limit password sharing to resolve profit squeezes caused by buyers' bargaining power and fierce </w:t>
      </w:r>
      <w:proofErr w:type="gramStart"/>
      <w:r>
        <w:t>competition, and</w:t>
      </w:r>
      <w:proofErr w:type="gramEnd"/>
      <w:r>
        <w:t xml:space="preserve"> </w:t>
      </w:r>
      <w:proofErr w:type="gramStart"/>
      <w:r>
        <w:t>open up</w:t>
      </w:r>
      <w:proofErr w:type="gramEnd"/>
      <w:r>
        <w:t xml:space="preserve"> new revenue.</w:t>
      </w:r>
    </w:p>
    <w:p w14:paraId="555E638B" w14:textId="67998C45" w:rsidR="00C919D3" w:rsidRPr="00374CEB" w:rsidRDefault="00C919D3" w:rsidP="00C919D3">
      <w:pPr>
        <w:rPr>
          <w:b/>
          <w:bCs/>
        </w:rPr>
      </w:pPr>
      <w:r w:rsidRPr="00374CEB">
        <w:rPr>
          <w:b/>
          <w:bCs/>
        </w:rPr>
        <w:t>Advantages and limitations of the model</w:t>
      </w:r>
    </w:p>
    <w:p w14:paraId="0AEF13D0" w14:textId="1782B45A" w:rsidR="00C919D3" w:rsidRDefault="00C919D3" w:rsidP="00C919D3">
      <w:pPr>
        <w:rPr>
          <w:rFonts w:hint="eastAsia"/>
        </w:rPr>
      </w:pPr>
      <w:r>
        <w:t xml:space="preserve">Advantages: It provides a global view and helps enterprises dig deep into the root causes of industry profitability, </w:t>
      </w:r>
      <w:proofErr w:type="gramStart"/>
      <w:r>
        <w:t>so as to</w:t>
      </w:r>
      <w:proofErr w:type="gramEnd"/>
      <w:r>
        <w:t xml:space="preserve"> achieve active defense (such as Netflix shifting from buying copyrights to self-made).</w:t>
      </w:r>
    </w:p>
    <w:p w14:paraId="613227FD" w14:textId="10D7C418" w:rsidR="00FD4EBD" w:rsidRDefault="00C919D3" w:rsidP="00C919D3">
      <w:r>
        <w:t>Limitations: The model is too static to adapt to the rapidly blurring competitive boundaries of the scientific and technological community. ignores the cooperative value of strategic alliances; and it does not cover the key role of "complements" such as high-speed broadband and smart TV proliferation in industry growth.</w:t>
      </w:r>
    </w:p>
    <w:p w14:paraId="662BD801" w14:textId="77777777" w:rsidR="00BF2DA4" w:rsidRDefault="00BF2DA4" w:rsidP="00C919D3"/>
    <w:p w14:paraId="5D343346" w14:textId="2EBCF1EB" w:rsidR="00374CEB" w:rsidRPr="00A918FC" w:rsidRDefault="00374CEB" w:rsidP="00374CEB">
      <w:pPr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</w:pPr>
      <w:r w:rsidRPr="00A918FC"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  <w:t>2</w:t>
      </w:r>
      <w:r w:rsidRPr="00A918FC"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  <w:t>. VRIO Framework (Resource-Based View)</w:t>
      </w:r>
    </w:p>
    <w:p w14:paraId="369FE17E" w14:textId="77777777" w:rsidR="00374CEB" w:rsidRPr="00374CEB" w:rsidRDefault="00374CEB" w:rsidP="00374CEB">
      <w:pPr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374CEB">
        <w:rPr>
          <w:rFonts w:ascii="Times New Roman" w:eastAsia="宋体" w:hAnsi="Times New Roman" w:cs="Times New Roman"/>
          <w:kern w:val="0"/>
          <w:sz w:val="24"/>
          <w14:ligatures w14:val="none"/>
        </w:rPr>
        <w:t>By evaluating the value, rarity, inimitability, and organizational capability of resources, it determines whether a company can achieve sustainable advantage.</w:t>
      </w:r>
    </w:p>
    <w:p w14:paraId="2E9A692E" w14:textId="77777777" w:rsidR="00374CEB" w:rsidRPr="00374CEB" w:rsidRDefault="00374CEB" w:rsidP="00374CEB">
      <w:pPr>
        <w:rPr>
          <w:rFonts w:ascii="Times New Roman" w:eastAsia="宋体" w:hAnsi="Times New Roman" w:cs="Times New Roman"/>
          <w:kern w:val="0"/>
          <w:sz w:val="24"/>
          <w14:ligatures w14:val="none"/>
        </w:rPr>
      </w:pPr>
    </w:p>
    <w:p w14:paraId="49A2F3AB" w14:textId="459C6E8F" w:rsidR="00374CEB" w:rsidRPr="00374CEB" w:rsidRDefault="00374CEB" w:rsidP="00374CEB">
      <w:pPr>
        <w:rPr>
          <w:rFonts w:ascii="Times New Roman" w:eastAsia="宋体" w:hAnsi="Times New Roman" w:cs="Times New Roman" w:hint="eastAsia"/>
          <w:kern w:val="0"/>
          <w:sz w:val="24"/>
          <w14:ligatures w14:val="none"/>
        </w:rPr>
      </w:pPr>
      <w:r w:rsidRPr="00374CEB">
        <w:rPr>
          <w:rFonts w:ascii="Times New Roman" w:eastAsia="宋体" w:hAnsi="Times New Roman" w:cs="Times New Roman"/>
          <w:kern w:val="0"/>
          <w:sz w:val="24"/>
          <w14:ligatures w14:val="none"/>
        </w:rPr>
        <w:t>Example: Apple has built strong barriers and gained high profits thanks to its highly difficult-to-replicate hardware and software closed-loop ecosystem.</w:t>
      </w:r>
    </w:p>
    <w:p w14:paraId="17AD83BC" w14:textId="63D6E1AC" w:rsidR="00374CEB" w:rsidRPr="00374CEB" w:rsidRDefault="00374CEB" w:rsidP="00374CEB">
      <w:pPr>
        <w:rPr>
          <w:rFonts w:ascii="Times New Roman" w:eastAsia="宋体" w:hAnsi="Times New Roman" w:cs="Times New Roman" w:hint="eastAsia"/>
          <w:kern w:val="0"/>
          <w:sz w:val="24"/>
          <w14:ligatures w14:val="none"/>
        </w:rPr>
      </w:pPr>
      <w:r w:rsidRPr="00374CEB">
        <w:rPr>
          <w:rFonts w:ascii="Times New Roman" w:eastAsia="宋体" w:hAnsi="Times New Roman" w:cs="Times New Roman"/>
          <w:kern w:val="0"/>
          <w:sz w:val="24"/>
          <w14:ligatures w14:val="none"/>
        </w:rPr>
        <w:t>Advantages and Disadvantages: It can accurately identify a company's core competitiveness, but it is too static and easily affected by disruptive external technologies.</w:t>
      </w:r>
    </w:p>
    <w:p w14:paraId="76A37D83" w14:textId="03B3791C" w:rsidR="00374CEB" w:rsidRPr="00374CEB" w:rsidRDefault="00374CEB" w:rsidP="00374CEB">
      <w:pPr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</w:pPr>
      <w:r w:rsidRPr="00374CEB">
        <w:rPr>
          <w:rFonts w:ascii="Times New Roman" w:eastAsia="宋体" w:hAnsi="Times New Roman" w:cs="Times New Roman"/>
          <w:b/>
          <w:bCs/>
          <w:kern w:val="0"/>
          <w:sz w:val="24"/>
          <w14:ligatures w14:val="none"/>
        </w:rPr>
        <w:t>Value Chain Analysis</w:t>
      </w:r>
    </w:p>
    <w:p w14:paraId="6B58367E" w14:textId="04E5DCEB" w:rsidR="00374CEB" w:rsidRPr="00374CEB" w:rsidRDefault="00374CEB" w:rsidP="00374CEB">
      <w:pPr>
        <w:rPr>
          <w:rFonts w:ascii="Times New Roman" w:eastAsia="宋体" w:hAnsi="Times New Roman" w:cs="Times New Roman" w:hint="eastAsia"/>
          <w:kern w:val="0"/>
          <w:sz w:val="24"/>
          <w14:ligatures w14:val="none"/>
        </w:rPr>
      </w:pPr>
      <w:r w:rsidRPr="00374CEB">
        <w:rPr>
          <w:rFonts w:ascii="Times New Roman" w:eastAsia="宋体" w:hAnsi="Times New Roman" w:cs="Times New Roman"/>
          <w:kern w:val="0"/>
          <w:sz w:val="24"/>
          <w14:ligatures w14:val="none"/>
        </w:rPr>
        <w:t>Breaks down company activities into primary activities (such as logistics, production) and support activities (such as technology) to find opportunities to reduce costs or differentiate.</w:t>
      </w:r>
    </w:p>
    <w:p w14:paraId="60E08780" w14:textId="0158D8CD" w:rsidR="00374CEB" w:rsidRPr="00374CEB" w:rsidRDefault="00374CEB" w:rsidP="00374CEB">
      <w:pPr>
        <w:rPr>
          <w:rFonts w:ascii="Times New Roman" w:eastAsia="宋体" w:hAnsi="Times New Roman" w:cs="Times New Roman" w:hint="eastAsia"/>
          <w:kern w:val="0"/>
          <w:sz w:val="24"/>
          <w14:ligatures w14:val="none"/>
        </w:rPr>
      </w:pPr>
      <w:r w:rsidRPr="00374CEB">
        <w:rPr>
          <w:rFonts w:ascii="Times New Roman" w:eastAsia="宋体" w:hAnsi="Times New Roman" w:cs="Times New Roman"/>
          <w:kern w:val="0"/>
          <w:sz w:val="24"/>
          <w14:ligatures w14:val="none"/>
        </w:rPr>
        <w:t>Example: Zara connects local manufacturing (primary activity) with a real-time store data network (support activity), achieving a three-week rapid product launch.</w:t>
      </w:r>
    </w:p>
    <w:p w14:paraId="2E18B80D" w14:textId="20BB21A7" w:rsidR="00505B35" w:rsidRPr="00374CEB" w:rsidRDefault="00374CEB" w:rsidP="00374CEB">
      <w:pPr>
        <w:rPr>
          <w:rFonts w:ascii="Times New Roman" w:hAnsi="Times New Roman" w:cs="Times New Roman"/>
        </w:rPr>
      </w:pPr>
      <w:r w:rsidRPr="00374CEB">
        <w:rPr>
          <w:rFonts w:ascii="Times New Roman" w:eastAsia="宋体" w:hAnsi="Times New Roman" w:cs="Times New Roman"/>
          <w:kern w:val="0"/>
          <w:sz w:val="24"/>
          <w14:ligatures w14:val="none"/>
        </w:rPr>
        <w:t>Advantages and Disadvantages: Highly practical, it can accurately pinpoint inefficiency pain points; however, it is more complicated to apply in modern purely digital or service-oriented companies.</w:t>
      </w:r>
    </w:p>
    <w:p w14:paraId="32CB98D2" w14:textId="72020197" w:rsidR="00AF543F" w:rsidRDefault="00A918FC" w:rsidP="00AF543F">
      <w:pPr>
        <w:rPr>
          <w:rFonts w:hint="eastAsia"/>
        </w:rPr>
      </w:pPr>
      <w:r>
        <w:rPr>
          <w:rFonts w:hint="eastAsia"/>
        </w:rPr>
        <w:t>3.</w:t>
      </w:r>
      <w:r w:rsidR="00AF543F" w:rsidRPr="00AF543F">
        <w:t xml:space="preserve"> </w:t>
      </w:r>
      <w:r w:rsidR="00AF543F">
        <w:t>An outstanding business strategy must deeply align with consumer behavior. Companies can consolidate an absolute market advantage by integrating the following four pillars:</w:t>
      </w:r>
    </w:p>
    <w:p w14:paraId="27082A0F" w14:textId="444F5DC3" w:rsidR="00AF543F" w:rsidRDefault="00AF543F" w:rsidP="00AF543F">
      <w:pPr>
        <w:rPr>
          <w:rFonts w:hint="eastAsia"/>
        </w:rPr>
      </w:pPr>
      <w:r>
        <w:t xml:space="preserve">Customer Insight (JTBD Theory): Break away from traditional audience segmentation and uncover the real situational needs that lead customers to 'hire' a product to solve problems </w:t>
      </w:r>
    </w:p>
    <w:p w14:paraId="2DA40F5A" w14:textId="634E0CD6" w:rsidR="00AF543F" w:rsidRDefault="00AF543F" w:rsidP="00AF543F">
      <w:pPr>
        <w:rPr>
          <w:rFonts w:hint="eastAsia"/>
        </w:rPr>
      </w:pPr>
      <w:r>
        <w:t>Strategic Pricing (Behavioral Economics): Replace simple cost-plus pricing with 'perceived value' and 'price anchoring,' allowing consumers to pay a premium for the experience</w:t>
      </w:r>
    </w:p>
    <w:p w14:paraId="00EF2EBE" w14:textId="0FE51B1E" w:rsidR="00AF543F" w:rsidRDefault="00AF543F" w:rsidP="00AF543F">
      <w:pPr>
        <w:rPr>
          <w:rFonts w:hint="eastAsia"/>
        </w:rPr>
      </w:pPr>
      <w:r>
        <w:t xml:space="preserve">Blue Ocean Innovation: Avoid the homogenized red ocean competition and create a new market space through meaningful differentiation </w:t>
      </w:r>
    </w:p>
    <w:p w14:paraId="5664EF86" w14:textId="10C27A93" w:rsidR="00505B35" w:rsidRDefault="00AF543F" w:rsidP="00AF543F">
      <w:pPr>
        <w:rPr>
          <w:rFonts w:hint="eastAsia"/>
        </w:rPr>
      </w:pPr>
      <w:r>
        <w:t xml:space="preserve">Emotional Communication (Framing Effect): Go beyond product functionality and use value-based resonance to position the brand as an extension of consumer self-identity </w:t>
      </w:r>
    </w:p>
    <w:p w14:paraId="4125B04F" w14:textId="77777777" w:rsidR="00DC4195" w:rsidRDefault="00DC4195" w:rsidP="00DC4195">
      <w:r>
        <w:rPr>
          <w:rFonts w:hint="eastAsia"/>
        </w:rPr>
        <w:t>4、</w:t>
      </w:r>
      <w:r>
        <w:t xml:space="preserve">Modern enterprises have shifted from a single 'shareholder supremacy' approach to fully integrating social responsibility and stakeholder value. This is not only a moral demand but also a strategic cornerstone for long-term profitability: </w:t>
      </w:r>
    </w:p>
    <w:p w14:paraId="5DE99B24" w14:textId="77777777" w:rsidR="00DC4195" w:rsidRDefault="00DC4195" w:rsidP="00DC4195"/>
    <w:p w14:paraId="65F1A91D" w14:textId="77777777" w:rsidR="00DC4195" w:rsidRDefault="00DC4195" w:rsidP="00DC4195">
      <w:r>
        <w:lastRenderedPageBreak/>
        <w:t>Value Reformation: Abandoning short-sighted financial gains, and instead creating long-term value for the entire ecosystem, including customers, employees, communities, and investors.</w:t>
      </w:r>
    </w:p>
    <w:p w14:paraId="02F1B31A" w14:textId="77777777" w:rsidR="00DC4195" w:rsidRDefault="00DC4195" w:rsidP="00DC4195"/>
    <w:p w14:paraId="0D709FB3" w14:textId="77777777" w:rsidR="00DC4195" w:rsidRDefault="00DC4195" w:rsidP="00DC4195">
      <w:r>
        <w:t>Risk Mitigation and Capital Attraction: Practicing ESG and sustainable development (CSR) can effectively mitigate supply chain risks, cater to the trend of consumers 'voting with their wallets,' and gain the favor of institutional investors.</w:t>
      </w:r>
    </w:p>
    <w:p w14:paraId="34AB52CC" w14:textId="77777777" w:rsidR="00DC4195" w:rsidRDefault="00DC4195" w:rsidP="00DC4195"/>
    <w:p w14:paraId="2B943281" w14:textId="77777777" w:rsidR="00DC4195" w:rsidRDefault="00DC4195" w:rsidP="00DC4195">
      <w:r>
        <w:t>Activating Talent and Culture: A socially oriented corporate culture can provide meaning to work, significantly enhancing modern employees' loyalty, productivity, and innovation.</w:t>
      </w:r>
    </w:p>
    <w:p w14:paraId="6F6242E5" w14:textId="77777777" w:rsidR="00DC4195" w:rsidRDefault="00DC4195" w:rsidP="00DC4195"/>
    <w:p w14:paraId="37413369" w14:textId="27AD48B3" w:rsidR="00374CEB" w:rsidRDefault="00DC4195" w:rsidP="00DC4195">
      <w:pPr>
        <w:rPr>
          <w:rFonts w:hint="eastAsia"/>
        </w:rPr>
      </w:pPr>
      <w:r>
        <w:t>Defending the 'License to Operate': Enterprises must act as 'corporate citizens,' actively addressing global challenges such as environmental issues to maintain the rights conferred by society for their legitimate existence and operations.</w:t>
      </w:r>
    </w:p>
    <w:p w14:paraId="45FAB0AA" w14:textId="77777777" w:rsidR="00374CEB" w:rsidRDefault="00374CEB" w:rsidP="00C919D3"/>
    <w:p w14:paraId="7F84C679" w14:textId="77777777" w:rsidR="00374CEB" w:rsidRDefault="00374CEB" w:rsidP="00C919D3"/>
    <w:p w14:paraId="732F4E66" w14:textId="77777777" w:rsidR="00374CEB" w:rsidRDefault="00374CEB" w:rsidP="00C919D3"/>
    <w:p w14:paraId="33B73220" w14:textId="77777777" w:rsidR="00374CEB" w:rsidRDefault="00374CEB" w:rsidP="00C919D3"/>
    <w:p w14:paraId="38A60FD1" w14:textId="77777777" w:rsidR="00374CEB" w:rsidRDefault="00374CEB" w:rsidP="00C919D3"/>
    <w:p w14:paraId="4ACDB0BD" w14:textId="77777777" w:rsidR="00374CEB" w:rsidRDefault="00374CEB" w:rsidP="00C919D3"/>
    <w:p w14:paraId="7EC3CCDF" w14:textId="77777777" w:rsidR="00374CEB" w:rsidRDefault="00374CEB" w:rsidP="00C919D3"/>
    <w:p w14:paraId="281F9B3F" w14:textId="77777777" w:rsidR="00374CEB" w:rsidRDefault="00374CEB" w:rsidP="00C919D3"/>
    <w:p w14:paraId="3A3000C1" w14:textId="77777777" w:rsidR="00374CEB" w:rsidRDefault="00374CEB" w:rsidP="00C919D3"/>
    <w:p w14:paraId="4C5A52AA" w14:textId="77777777" w:rsidR="00374CEB" w:rsidRDefault="00374CEB" w:rsidP="00C919D3"/>
    <w:p w14:paraId="7A6E4A60" w14:textId="77777777" w:rsidR="00374CEB" w:rsidRDefault="00374CEB" w:rsidP="00C919D3"/>
    <w:p w14:paraId="48EEB66D" w14:textId="77777777" w:rsidR="00374CEB" w:rsidRDefault="00374CEB" w:rsidP="00C919D3"/>
    <w:p w14:paraId="25054BFC" w14:textId="77777777" w:rsidR="00DC4195" w:rsidRDefault="00DC4195" w:rsidP="00C919D3"/>
    <w:p w14:paraId="69F28612" w14:textId="77777777" w:rsidR="00DC4195" w:rsidRPr="00374CEB" w:rsidRDefault="00DC4195" w:rsidP="00C919D3">
      <w:pPr>
        <w:rPr>
          <w:rFonts w:hint="eastAsia"/>
        </w:rPr>
      </w:pPr>
    </w:p>
    <w:p w14:paraId="143AE75C" w14:textId="3C2CDF83" w:rsidR="00BF2DA4" w:rsidRDefault="00BF2DA4" w:rsidP="00C919D3">
      <w:r>
        <w:lastRenderedPageBreak/>
        <w:t>R</w:t>
      </w:r>
      <w:r>
        <w:rPr>
          <w:rFonts w:hint="eastAsia"/>
        </w:rPr>
        <w:t>eference</w:t>
      </w:r>
    </w:p>
    <w:p w14:paraId="74A938B0" w14:textId="6E718652" w:rsidR="00BF2DA4" w:rsidRDefault="00BF2DA4" w:rsidP="00C919D3">
      <w:r>
        <w:t xml:space="preserve">Porter, M. E. (2008). </w:t>
      </w:r>
      <w:r>
        <w:rPr>
          <w:i/>
          <w:iCs/>
        </w:rPr>
        <w:t>"</w:t>
      </w:r>
      <w:r w:rsidRPr="00BF2DA4">
        <w:rPr>
          <w:i/>
          <w:iCs/>
        </w:rPr>
        <w:t>The Five Competitive Forces That Shape Strategy</w:t>
      </w:r>
      <w:r>
        <w:rPr>
          <w:i/>
          <w:iCs/>
        </w:rPr>
        <w:t>"</w:t>
      </w:r>
      <w:r>
        <w:t>. Harvard Business Review, 86(1), 78-93.</w:t>
      </w:r>
    </w:p>
    <w:p w14:paraId="691F83D7" w14:textId="01854F29" w:rsidR="00BF2DA4" w:rsidRDefault="00BF2DA4" w:rsidP="00C919D3">
      <w:r>
        <w:t xml:space="preserve">Brandenburger, A. M., &amp; Nalebuff, B. J. (1996). </w:t>
      </w:r>
      <w:r w:rsidRPr="00BF2DA4">
        <w:t>"Co-opetition: A Revolution Mindset That Combines Competition and Cooperation".</w:t>
      </w:r>
      <w:r>
        <w:t xml:space="preserve"> Currency Doubleday.</w:t>
      </w:r>
    </w:p>
    <w:p w14:paraId="0AEA350B" w14:textId="64925F3B" w:rsidR="00BF2DA4" w:rsidRDefault="00BF2DA4" w:rsidP="00C919D3">
      <w:r>
        <w:t xml:space="preserve">Shih, W., Kaufman, S., &amp; Spinola, D. (2007). </w:t>
      </w:r>
      <w:r w:rsidRPr="00BF2DA4">
        <w:t>"Netflix".</w:t>
      </w:r>
      <w:r>
        <w:t xml:space="preserve"> Harvard Business School Case 607-138.</w:t>
      </w:r>
    </w:p>
    <w:p w14:paraId="42CC561F" w14:textId="044C854B" w:rsidR="00BF2DA4" w:rsidRDefault="00BF2DA4" w:rsidP="00C919D3">
      <w:r>
        <w:t xml:space="preserve">Adner, R. (2021). </w:t>
      </w:r>
      <w:r w:rsidRPr="00BF2DA4">
        <w:t>"</w:t>
      </w:r>
      <w:r w:rsidRPr="00BF2DA4">
        <w:rPr>
          <w:i/>
          <w:iCs/>
        </w:rPr>
        <w:t>Winning the Right Game: How to Disrupt, Defend, and Deliver in a Changing World".</w:t>
      </w:r>
      <w:r>
        <w:t xml:space="preserve"> MIT Press.</w:t>
      </w:r>
    </w:p>
    <w:p w14:paraId="7BA7EA7B" w14:textId="297BE831" w:rsidR="00505B35" w:rsidRDefault="00505B35" w:rsidP="00C919D3">
      <w:r>
        <w:t xml:space="preserve">Rothaermel, F. T. (2021). </w:t>
      </w:r>
      <w:r>
        <w:rPr>
          <w:i/>
          <w:iCs/>
        </w:rPr>
        <w:t>"Strategic Management"</w:t>
      </w:r>
      <w:r>
        <w:t xml:space="preserve"> (5th or 6th Edition). McGraw-Hill Education.</w:t>
      </w:r>
    </w:p>
    <w:p w14:paraId="15F4F6E9" w14:textId="43D35341" w:rsidR="00374CEB" w:rsidRDefault="00374CEB" w:rsidP="00C919D3">
      <w:r>
        <w:t xml:space="preserve">Barney, J. B. (1995). </w:t>
      </w:r>
      <w:r>
        <w:rPr>
          <w:i/>
          <w:iCs/>
        </w:rPr>
        <w:t>"Looking inside for competitive advantage"</w:t>
      </w:r>
      <w:r>
        <w:t>. Academy of Management Executive, 9(4), 49-61.</w:t>
      </w:r>
    </w:p>
    <w:p w14:paraId="6772A13D" w14:textId="477B3542" w:rsidR="00A918FC" w:rsidRDefault="00A918FC" w:rsidP="00C919D3">
      <w:r>
        <w:t xml:space="preserve">Porter, M. E. (1985). </w:t>
      </w:r>
      <w:r>
        <w:rPr>
          <w:i/>
          <w:iCs/>
        </w:rPr>
        <w:t>"Competitive Advantage: Creating and Sustaining Superior Performance"</w:t>
      </w:r>
      <w:r>
        <w:t>. New York: Free Press.</w:t>
      </w:r>
    </w:p>
    <w:p w14:paraId="7255A184" w14:textId="21B56A14" w:rsidR="00A918FC" w:rsidRDefault="00A918FC" w:rsidP="00C919D3">
      <w:r>
        <w:t xml:space="preserve">Ghemawat, P., &amp; </w:t>
      </w:r>
      <w:proofErr w:type="spellStart"/>
      <w:r>
        <w:t>Nueno</w:t>
      </w:r>
      <w:proofErr w:type="spellEnd"/>
      <w:r>
        <w:t xml:space="preserve">, J. L. (2006). </w:t>
      </w:r>
      <w:r>
        <w:rPr>
          <w:i/>
          <w:iCs/>
        </w:rPr>
        <w:t>"Zara: Fast Fashion"</w:t>
      </w:r>
      <w:r>
        <w:t>. Harvard Business School Case 703-497.</w:t>
      </w:r>
    </w:p>
    <w:p w14:paraId="3D5D9A5E" w14:textId="739A9D98" w:rsidR="00A918FC" w:rsidRDefault="00A918FC" w:rsidP="00C919D3">
      <w:proofErr w:type="spellStart"/>
      <w:r>
        <w:t>Yoffie</w:t>
      </w:r>
      <w:proofErr w:type="spellEnd"/>
      <w:r>
        <w:t xml:space="preserve">, D. B., &amp; Wu, E. (2020). </w:t>
      </w:r>
      <w:r>
        <w:rPr>
          <w:i/>
          <w:iCs/>
        </w:rPr>
        <w:t>"Apple Inc. in 2020"</w:t>
      </w:r>
      <w:r>
        <w:t>. Harvard Business School Case 720-415.</w:t>
      </w:r>
    </w:p>
    <w:p w14:paraId="208F8A0F" w14:textId="25651E24" w:rsidR="00A918FC" w:rsidRDefault="00A918FC" w:rsidP="00C919D3">
      <w:r>
        <w:t xml:space="preserve">Ray, G., Barney, J. B., &amp; Muhanna, W. A. (2004). </w:t>
      </w:r>
      <w:r>
        <w:rPr>
          <w:i/>
          <w:iCs/>
        </w:rPr>
        <w:t>"Capabilities, business processes, and competitive advantage: choosing the dependent variable in empirical tests of the resource-based view"</w:t>
      </w:r>
      <w:r>
        <w:t>. Strategic Management Journal, 25(1), 23-37.</w:t>
      </w:r>
    </w:p>
    <w:p w14:paraId="55B61D91" w14:textId="3FC9A05A" w:rsidR="00A918FC" w:rsidRDefault="00A918FC" w:rsidP="00C919D3">
      <w:r>
        <w:t xml:space="preserve">Christensen, C. M., Hall, T., Dillon, K., &amp; Duncan, D. S. (2016). </w:t>
      </w:r>
      <w:r>
        <w:rPr>
          <w:i/>
          <w:iCs/>
        </w:rPr>
        <w:t>"Know Your Customers' 'Jobs to Be Done'"</w:t>
      </w:r>
      <w:r>
        <w:t>. Harvard Business Review, 94(9), 54-62.</w:t>
      </w:r>
    </w:p>
    <w:p w14:paraId="7013E4DC" w14:textId="1DF70AB5" w:rsidR="00AF543F" w:rsidRDefault="00AF543F" w:rsidP="00C919D3">
      <w:r>
        <w:t xml:space="preserve">Kim, W. C., &amp; Mauborgne, R. (2005). </w:t>
      </w:r>
      <w:r>
        <w:rPr>
          <w:i/>
          <w:iCs/>
        </w:rPr>
        <w:t>"Blue Ocean Strategy: How to Create Uncontested Market Space and Make the Competition Irrelevant"</w:t>
      </w:r>
      <w:r>
        <w:t>. Harvard Business School Press.</w:t>
      </w:r>
    </w:p>
    <w:p w14:paraId="45BB6D1B" w14:textId="184AF72B" w:rsidR="00AF543F" w:rsidRDefault="00AF543F" w:rsidP="00C919D3">
      <w:r>
        <w:t xml:space="preserve">Nagle, T. T., &amp; Müller, G. (2017). </w:t>
      </w:r>
      <w:r>
        <w:rPr>
          <w:i/>
          <w:iCs/>
        </w:rPr>
        <w:t>"The Strategy and Tactics of Pricing: A Guide to Growing More Profitably"</w:t>
      </w:r>
      <w:r>
        <w:t xml:space="preserve"> (6th Edition). Routledge.</w:t>
      </w:r>
    </w:p>
    <w:p w14:paraId="35D68ADA" w14:textId="2CF3DE68" w:rsidR="00AF543F" w:rsidRDefault="00AF543F" w:rsidP="00C919D3">
      <w:r>
        <w:t xml:space="preserve">Kahneman, D. (2011). </w:t>
      </w:r>
      <w:r>
        <w:rPr>
          <w:i/>
          <w:iCs/>
        </w:rPr>
        <w:t>"Thinking, Fast and Slow"</w:t>
      </w:r>
      <w:r>
        <w:t>. Farrar, Straus and Giroux.</w:t>
      </w:r>
    </w:p>
    <w:p w14:paraId="3CFC571E" w14:textId="5BECA6DB" w:rsidR="00AF543F" w:rsidRDefault="00AF543F" w:rsidP="00C919D3">
      <w:proofErr w:type="spellStart"/>
      <w:r>
        <w:t>Gobé</w:t>
      </w:r>
      <w:proofErr w:type="spellEnd"/>
      <w:r>
        <w:t xml:space="preserve">, M. (2001). </w:t>
      </w:r>
      <w:r>
        <w:rPr>
          <w:i/>
          <w:iCs/>
        </w:rPr>
        <w:t>"Emotional Branding: The New Paradigm for Connecting Brands to People"</w:t>
      </w:r>
      <w:r>
        <w:t>. Allworth Press.</w:t>
      </w:r>
    </w:p>
    <w:p w14:paraId="59AE0CE3" w14:textId="78EDB735" w:rsidR="00880747" w:rsidRDefault="00880747" w:rsidP="00C919D3">
      <w:r>
        <w:lastRenderedPageBreak/>
        <w:t xml:space="preserve">Freeman, R. E. (1984). </w:t>
      </w:r>
      <w:r>
        <w:rPr>
          <w:i/>
          <w:iCs/>
        </w:rPr>
        <w:t>"Strategic Management: A Stakeholder Approach"</w:t>
      </w:r>
      <w:r>
        <w:t>. Boston: Pitman.</w:t>
      </w:r>
    </w:p>
    <w:p w14:paraId="3A6EC1D5" w14:textId="668EC7E7" w:rsidR="00DC4195" w:rsidRDefault="00DC4195" w:rsidP="00C919D3">
      <w:r>
        <w:t xml:space="preserve">Friedman, M. (1970). </w:t>
      </w:r>
      <w:r>
        <w:rPr>
          <w:i/>
          <w:iCs/>
        </w:rPr>
        <w:t>"The Social Responsibility of Business Is to Increase Its Profits"</w:t>
      </w:r>
      <w:r>
        <w:t>. The New York Times Magazine, September 13.</w:t>
      </w:r>
    </w:p>
    <w:p w14:paraId="7D35A076" w14:textId="3B8B1A0E" w:rsidR="00DC4195" w:rsidRDefault="00DC4195" w:rsidP="00C919D3">
      <w:r>
        <w:t xml:space="preserve">Porter, M. E., &amp; Kramer, M. R. (2011). </w:t>
      </w:r>
      <w:r>
        <w:rPr>
          <w:i/>
          <w:iCs/>
        </w:rPr>
        <w:t>"Creating Shared Value"</w:t>
      </w:r>
      <w:r>
        <w:t>. Harvard Business Review, 89(1/2), 62-77.</w:t>
      </w:r>
    </w:p>
    <w:p w14:paraId="249FC698" w14:textId="5A3FDE0E" w:rsidR="00DC4195" w:rsidRDefault="00DC4195" w:rsidP="00C919D3">
      <w:r>
        <w:t xml:space="preserve">Elkington, J. (1997). </w:t>
      </w:r>
      <w:r>
        <w:rPr>
          <w:i/>
          <w:iCs/>
        </w:rPr>
        <w:t>"Cannibals with Forks: The Triple Bottom Line of 21st Century Business"</w:t>
      </w:r>
      <w:r>
        <w:t>. Capstone.</w:t>
      </w:r>
    </w:p>
    <w:p w14:paraId="3DA06EDF" w14:textId="296855EE" w:rsidR="00DC4195" w:rsidRPr="00C919D3" w:rsidRDefault="00DC4195" w:rsidP="00C919D3">
      <w:pPr>
        <w:rPr>
          <w:rFonts w:hint="eastAsia"/>
        </w:rPr>
      </w:pPr>
      <w:r>
        <w:t xml:space="preserve">Mayer, C. (2018). </w:t>
      </w:r>
      <w:r>
        <w:rPr>
          <w:i/>
          <w:iCs/>
        </w:rPr>
        <w:t>"Prosperity: Better Business Makes the Greater Good"</w:t>
      </w:r>
      <w:r>
        <w:t>. Oxford University Press.</w:t>
      </w:r>
    </w:p>
    <w:sectPr w:rsidR="00DC4195" w:rsidRPr="00C919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573"/>
    <w:multiLevelType w:val="multilevel"/>
    <w:tmpl w:val="9D8C6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A47BA4"/>
    <w:multiLevelType w:val="multilevel"/>
    <w:tmpl w:val="0D42D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8968B8"/>
    <w:multiLevelType w:val="multilevel"/>
    <w:tmpl w:val="5C360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EC20C9"/>
    <w:multiLevelType w:val="multilevel"/>
    <w:tmpl w:val="E3003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C655EA"/>
    <w:multiLevelType w:val="multilevel"/>
    <w:tmpl w:val="55B4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DB39EE"/>
    <w:multiLevelType w:val="multilevel"/>
    <w:tmpl w:val="180A7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1D16B4"/>
    <w:multiLevelType w:val="multilevel"/>
    <w:tmpl w:val="377A9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8160714">
    <w:abstractNumId w:val="0"/>
  </w:num>
  <w:num w:numId="2" w16cid:durableId="2103606102">
    <w:abstractNumId w:val="6"/>
  </w:num>
  <w:num w:numId="3" w16cid:durableId="1862626216">
    <w:abstractNumId w:val="5"/>
  </w:num>
  <w:num w:numId="4" w16cid:durableId="352607849">
    <w:abstractNumId w:val="4"/>
  </w:num>
  <w:num w:numId="5" w16cid:durableId="53966082">
    <w:abstractNumId w:val="3"/>
  </w:num>
  <w:num w:numId="6" w16cid:durableId="1767798476">
    <w:abstractNumId w:val="2"/>
  </w:num>
  <w:num w:numId="7" w16cid:durableId="846362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9D3"/>
    <w:rsid w:val="000330C6"/>
    <w:rsid w:val="001814B9"/>
    <w:rsid w:val="00374CEB"/>
    <w:rsid w:val="00505B35"/>
    <w:rsid w:val="007C208B"/>
    <w:rsid w:val="00880747"/>
    <w:rsid w:val="00A918FC"/>
    <w:rsid w:val="00AF543F"/>
    <w:rsid w:val="00BF2DA4"/>
    <w:rsid w:val="00C919D3"/>
    <w:rsid w:val="00D94C0E"/>
    <w:rsid w:val="00DC4195"/>
    <w:rsid w:val="00FD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81A308"/>
  <w15:chartTrackingRefBased/>
  <w15:docId w15:val="{9684274C-3412-D449-A894-98FFA3E15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0C6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330C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30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0330C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30C6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30C6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30C6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30C6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30C6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30C6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330C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330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rsid w:val="000330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330C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330C6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0330C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330C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330C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330C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99"/>
    <w:qFormat/>
    <w:rsid w:val="000330C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99"/>
    <w:rsid w:val="000330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330C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330C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List Paragraph"/>
    <w:basedOn w:val="a"/>
    <w:uiPriority w:val="34"/>
    <w:qFormat/>
    <w:rsid w:val="000330C6"/>
    <w:pPr>
      <w:ind w:left="720"/>
      <w:contextualSpacing/>
    </w:pPr>
  </w:style>
  <w:style w:type="paragraph" w:styleId="a8">
    <w:name w:val="Quote"/>
    <w:basedOn w:val="a"/>
    <w:next w:val="a"/>
    <w:link w:val="a9"/>
    <w:uiPriority w:val="29"/>
    <w:qFormat/>
    <w:rsid w:val="000330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9">
    <w:name w:val="引用 字符"/>
    <w:basedOn w:val="a0"/>
    <w:link w:val="a8"/>
    <w:uiPriority w:val="29"/>
    <w:rsid w:val="000330C6"/>
    <w:rPr>
      <w:i/>
      <w:iCs/>
      <w:color w:val="404040" w:themeColor="text1" w:themeTint="BF"/>
    </w:rPr>
  </w:style>
  <w:style w:type="paragraph" w:styleId="aa">
    <w:name w:val="Intense Quote"/>
    <w:basedOn w:val="a"/>
    <w:next w:val="a"/>
    <w:link w:val="ab"/>
    <w:uiPriority w:val="30"/>
    <w:qFormat/>
    <w:rsid w:val="000330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明显引用 字符"/>
    <w:basedOn w:val="a0"/>
    <w:link w:val="aa"/>
    <w:uiPriority w:val="30"/>
    <w:rsid w:val="000330C6"/>
    <w:rPr>
      <w:i/>
      <w:iCs/>
      <w:color w:val="0F4761" w:themeColor="accent1" w:themeShade="BF"/>
    </w:rPr>
  </w:style>
  <w:style w:type="character" w:styleId="ac">
    <w:name w:val="Intense Emphasis"/>
    <w:basedOn w:val="a0"/>
    <w:uiPriority w:val="21"/>
    <w:qFormat/>
    <w:rsid w:val="000330C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330C6"/>
    <w:rPr>
      <w:b/>
      <w:bCs/>
      <w:smallCaps/>
      <w:color w:val="0F4761" w:themeColor="accent1" w:themeShade="BF"/>
      <w:spacing w:val="5"/>
    </w:rPr>
  </w:style>
  <w:style w:type="paragraph" w:styleId="ae">
    <w:name w:val="Normal (Web)"/>
    <w:basedOn w:val="a"/>
    <w:uiPriority w:val="99"/>
    <w:semiHidden/>
    <w:unhideWhenUsed/>
    <w:rsid w:val="00C919D3"/>
    <w:pPr>
      <w:widowControl/>
      <w:spacing w:before="100" w:beforeAutospacing="1" w:after="100" w:afterAutospacing="1" w:line="240" w:lineRule="auto"/>
    </w:pPr>
    <w:rPr>
      <w:rFonts w:ascii="宋体" w:eastAsia="宋体" w:hAnsi="宋体" w:cs="宋体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1074</Words>
  <Characters>6126</Characters>
  <Application>Microsoft Office Word</Application>
  <DocSecurity>0</DocSecurity>
  <Lines>51</Lines>
  <Paragraphs>14</Paragraphs>
  <ScaleCrop>false</ScaleCrop>
  <Company/>
  <LinksUpToDate>false</LinksUpToDate>
  <CharactersWithSpaces>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志豪 徐</dc:creator>
  <cp:keywords/>
  <dc:description/>
  <cp:lastModifiedBy>志豪 徐</cp:lastModifiedBy>
  <cp:revision>1</cp:revision>
  <dcterms:created xsi:type="dcterms:W3CDTF">2026-05-06T20:35:00Z</dcterms:created>
  <dcterms:modified xsi:type="dcterms:W3CDTF">2026-05-06T21:35:00Z</dcterms:modified>
</cp:coreProperties>
</file>