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4EC" w:rsidRDefault="00F114EC" w:rsidP="00F114EC">
      <w:pPr>
        <w:pStyle w:val="Title"/>
        <w:spacing w:line="360" w:lineRule="auto"/>
        <w:jc w:val="center"/>
        <w:rPr>
          <w:rFonts w:ascii="Times New Roman" w:eastAsia="Times New Roman" w:hAnsi="Times New Roman" w:cs="Times New Roman"/>
          <w:b/>
          <w:sz w:val="36"/>
          <w:szCs w:val="36"/>
          <w:lang w:eastAsia="en-GB" w:bidi="bn-BD"/>
        </w:rPr>
      </w:pPr>
      <w:r w:rsidRPr="00F114EC">
        <w:rPr>
          <w:rFonts w:ascii="Times New Roman" w:eastAsia="Times New Roman" w:hAnsi="Times New Roman" w:cs="Times New Roman"/>
          <w:b/>
          <w:sz w:val="36"/>
          <w:szCs w:val="36"/>
          <w:lang w:eastAsia="en-GB" w:bidi="bn-BD"/>
        </w:rPr>
        <w:drawing>
          <wp:anchor distT="0" distB="0" distL="114300" distR="114300" simplePos="0" relativeHeight="251659264" behindDoc="1" locked="0" layoutInCell="1" allowOverlap="1">
            <wp:simplePos x="0" y="0"/>
            <wp:positionH relativeFrom="column">
              <wp:posOffset>-676986</wp:posOffset>
            </wp:positionH>
            <wp:positionV relativeFrom="paragraph">
              <wp:posOffset>-675564</wp:posOffset>
            </wp:positionV>
            <wp:extent cx="1975902" cy="655092"/>
            <wp:effectExtent l="19050" t="0" r="4663" b="0"/>
            <wp:wrapNone/>
            <wp:docPr id="1"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6" cstate="print"/>
                    <a:srcRect/>
                    <a:stretch>
                      <a:fillRect/>
                    </a:stretch>
                  </pic:blipFill>
                  <pic:spPr bwMode="auto">
                    <a:xfrm>
                      <a:off x="0" y="0"/>
                      <a:ext cx="1976537" cy="655092"/>
                    </a:xfrm>
                    <a:prstGeom prst="rect">
                      <a:avLst/>
                    </a:prstGeom>
                    <a:noFill/>
                    <a:ln w="9525">
                      <a:noFill/>
                      <a:miter lim="800000"/>
                      <a:headEnd/>
                      <a:tailEnd/>
                    </a:ln>
                  </pic:spPr>
                </pic:pic>
              </a:graphicData>
            </a:graphic>
          </wp:anchor>
        </w:drawing>
      </w:r>
    </w:p>
    <w:p w:rsidR="00F114EC" w:rsidRPr="00E56A74" w:rsidRDefault="00F114EC" w:rsidP="00F114EC">
      <w:pPr>
        <w:pStyle w:val="Title"/>
        <w:spacing w:line="360" w:lineRule="auto"/>
        <w:jc w:val="center"/>
        <w:rPr>
          <w:rFonts w:ascii="Times New Roman" w:eastAsia="Times New Roman" w:hAnsi="Times New Roman" w:cs="Times New Roman"/>
          <w:b/>
          <w:sz w:val="36"/>
          <w:szCs w:val="36"/>
          <w:lang w:eastAsia="en-GB" w:bidi="bn-BD"/>
        </w:rPr>
      </w:pPr>
      <w:r w:rsidRPr="00E56A74">
        <w:rPr>
          <w:rFonts w:ascii="Times New Roman" w:eastAsia="Times New Roman" w:hAnsi="Times New Roman" w:cs="Times New Roman"/>
          <w:b/>
          <w:sz w:val="36"/>
          <w:szCs w:val="36"/>
          <w:lang w:eastAsia="en-GB" w:bidi="bn-BD"/>
        </w:rPr>
        <w:t>Module Name: Psychology in Health and Social Care</w:t>
      </w:r>
    </w:p>
    <w:p w:rsidR="00F114EC" w:rsidRPr="00E56A74" w:rsidRDefault="00F114EC" w:rsidP="00F114EC">
      <w:pPr>
        <w:pStyle w:val="Title"/>
        <w:spacing w:line="360" w:lineRule="auto"/>
        <w:jc w:val="center"/>
        <w:rPr>
          <w:rFonts w:ascii="Times New Roman" w:eastAsia="Times New Roman" w:hAnsi="Times New Roman" w:cs="Times New Roman"/>
          <w:b/>
          <w:sz w:val="36"/>
          <w:szCs w:val="36"/>
          <w:lang w:eastAsia="en-GB" w:bidi="bn-BD"/>
        </w:rPr>
      </w:pPr>
      <w:r w:rsidRPr="00E56A74">
        <w:rPr>
          <w:rFonts w:ascii="Times New Roman" w:eastAsia="Times New Roman" w:hAnsi="Times New Roman" w:cs="Times New Roman"/>
          <w:b/>
          <w:sz w:val="36"/>
          <w:szCs w:val="36"/>
          <w:lang w:eastAsia="en-GB" w:bidi="bn-BD"/>
        </w:rPr>
        <w:t>Module Code: LCHS4010</w:t>
      </w:r>
    </w:p>
    <w:p w:rsidR="00F114EC" w:rsidRPr="00E56A74" w:rsidRDefault="00F114EC" w:rsidP="00F114EC">
      <w:pPr>
        <w:pStyle w:val="Title"/>
        <w:spacing w:line="360" w:lineRule="auto"/>
        <w:jc w:val="center"/>
        <w:rPr>
          <w:rFonts w:ascii="Times New Roman" w:hAnsi="Times New Roman" w:cs="Times New Roman"/>
          <w:sz w:val="36"/>
          <w:szCs w:val="36"/>
        </w:rPr>
      </w:pPr>
      <w:r w:rsidRPr="00E56A74">
        <w:rPr>
          <w:rFonts w:ascii="Times New Roman" w:hAnsi="Times New Roman" w:cs="Times New Roman"/>
          <w:sz w:val="36"/>
          <w:szCs w:val="36"/>
        </w:rPr>
        <w:t xml:space="preserve">Student Name: </w:t>
      </w:r>
      <w:proofErr w:type="spellStart"/>
      <w:r w:rsidRPr="00F114EC">
        <w:rPr>
          <w:rFonts w:ascii="Times New Roman" w:hAnsi="Times New Roman" w:cs="Times New Roman"/>
          <w:b/>
          <w:sz w:val="36"/>
          <w:szCs w:val="36"/>
        </w:rPr>
        <w:t>Romana</w:t>
      </w:r>
      <w:proofErr w:type="spellEnd"/>
      <w:r w:rsidRPr="00F114EC">
        <w:rPr>
          <w:rFonts w:ascii="Times New Roman" w:hAnsi="Times New Roman" w:cs="Times New Roman"/>
          <w:b/>
          <w:sz w:val="36"/>
          <w:szCs w:val="36"/>
        </w:rPr>
        <w:t xml:space="preserve"> Begum </w:t>
      </w:r>
      <w:proofErr w:type="spellStart"/>
      <w:r w:rsidRPr="00F114EC">
        <w:rPr>
          <w:rFonts w:ascii="Times New Roman" w:hAnsi="Times New Roman" w:cs="Times New Roman"/>
          <w:b/>
          <w:sz w:val="36"/>
          <w:szCs w:val="36"/>
        </w:rPr>
        <w:t>Chowdury</w:t>
      </w:r>
      <w:proofErr w:type="spellEnd"/>
    </w:p>
    <w:p w:rsidR="00F114EC" w:rsidRPr="00E56A74" w:rsidRDefault="00F114EC" w:rsidP="00F114EC">
      <w:pPr>
        <w:pStyle w:val="Title"/>
        <w:spacing w:line="360" w:lineRule="auto"/>
        <w:jc w:val="center"/>
        <w:rPr>
          <w:rFonts w:ascii="Times New Roman" w:hAnsi="Times New Roman" w:cs="Times New Roman"/>
          <w:sz w:val="36"/>
          <w:szCs w:val="36"/>
        </w:rPr>
      </w:pPr>
      <w:r w:rsidRPr="00E56A74">
        <w:rPr>
          <w:rFonts w:ascii="Times New Roman" w:hAnsi="Times New Roman" w:cs="Times New Roman"/>
          <w:sz w:val="36"/>
          <w:szCs w:val="36"/>
        </w:rPr>
        <w:t>Student ID: 2229137</w:t>
      </w:r>
    </w:p>
    <w:p w:rsidR="00F114EC" w:rsidRPr="00B7097C" w:rsidRDefault="00F114EC" w:rsidP="00F114EC">
      <w:pPr>
        <w:jc w:val="center"/>
        <w:rPr>
          <w:rFonts w:ascii="Times New Roman" w:hAnsi="Times New Roman" w:cs="Times New Roman"/>
          <w:b/>
          <w:sz w:val="28"/>
          <w:szCs w:val="28"/>
        </w:rPr>
      </w:pPr>
      <w:r w:rsidRPr="00B7097C">
        <w:rPr>
          <w:rFonts w:ascii="Times New Roman" w:hAnsi="Times New Roman" w:cs="Times New Roman"/>
          <w:sz w:val="28"/>
          <w:szCs w:val="28"/>
        </w:rPr>
        <w:t xml:space="preserve">Lecturer Name:  </w:t>
      </w:r>
      <w:r w:rsidRPr="00B7097C">
        <w:rPr>
          <w:rFonts w:ascii="Times New Roman" w:hAnsi="Times New Roman" w:cs="Times New Roman"/>
          <w:b/>
          <w:sz w:val="28"/>
          <w:szCs w:val="28"/>
        </w:rPr>
        <w:t xml:space="preserve">Peace </w:t>
      </w:r>
      <w:proofErr w:type="spellStart"/>
      <w:r w:rsidRPr="00B7097C">
        <w:rPr>
          <w:rFonts w:ascii="Times New Roman" w:hAnsi="Times New Roman" w:cs="Times New Roman"/>
          <w:b/>
          <w:sz w:val="28"/>
          <w:szCs w:val="28"/>
        </w:rPr>
        <w:t>Ukachukwu</w:t>
      </w:r>
      <w:proofErr w:type="spellEnd"/>
    </w:p>
    <w:p w:rsidR="00F114EC" w:rsidRPr="00B7097C" w:rsidRDefault="00F114EC" w:rsidP="00F114EC">
      <w:pPr>
        <w:spacing w:line="360" w:lineRule="auto"/>
        <w:jc w:val="center"/>
        <w:rPr>
          <w:rFonts w:ascii="Times New Roman" w:hAnsi="Times New Roman" w:cs="Times New Roman"/>
          <w:bCs/>
          <w:sz w:val="28"/>
          <w:szCs w:val="28"/>
        </w:rPr>
      </w:pPr>
      <w:r w:rsidRPr="00B7097C">
        <w:rPr>
          <w:rFonts w:ascii="Times New Roman" w:hAnsi="Times New Roman" w:cs="Times New Roman"/>
          <w:bCs/>
          <w:sz w:val="28"/>
          <w:szCs w:val="28"/>
        </w:rPr>
        <w:t>Assignment 2 - 1500 word report</w:t>
      </w:r>
    </w:p>
    <w:p w:rsidR="00F114EC" w:rsidRPr="00B7097C" w:rsidRDefault="00F114EC" w:rsidP="00F114EC">
      <w:pPr>
        <w:spacing w:line="360" w:lineRule="auto"/>
        <w:jc w:val="center"/>
        <w:rPr>
          <w:rFonts w:ascii="Times New Roman" w:hAnsi="Times New Roman" w:cs="Times New Roman"/>
          <w:b/>
          <w:bCs/>
          <w:sz w:val="28"/>
          <w:szCs w:val="28"/>
        </w:rPr>
      </w:pPr>
      <w:r w:rsidRPr="00B7097C">
        <w:rPr>
          <w:rFonts w:ascii="Times New Roman" w:hAnsi="Times New Roman" w:cs="Times New Roman"/>
          <w:b/>
          <w:bCs/>
          <w:sz w:val="28"/>
          <w:szCs w:val="28"/>
        </w:rPr>
        <w:t xml:space="preserve">Aimed at Health and Social care professional </w:t>
      </w:r>
    </w:p>
    <w:p w:rsidR="00F114EC" w:rsidRPr="00B7097C" w:rsidRDefault="00F114EC" w:rsidP="00F114EC">
      <w:pPr>
        <w:spacing w:line="360" w:lineRule="auto"/>
        <w:jc w:val="center"/>
        <w:rPr>
          <w:rFonts w:ascii="Times New Roman" w:hAnsi="Times New Roman" w:cs="Times New Roman"/>
          <w:b/>
          <w:bCs/>
          <w:sz w:val="28"/>
          <w:szCs w:val="28"/>
        </w:rPr>
      </w:pPr>
      <w:r w:rsidRPr="00B7097C">
        <w:rPr>
          <w:rFonts w:ascii="Times New Roman" w:hAnsi="Times New Roman" w:cs="Times New Roman"/>
          <w:bCs/>
          <w:sz w:val="28"/>
          <w:szCs w:val="28"/>
        </w:rPr>
        <w:t>Submission Date</w:t>
      </w:r>
      <w:r w:rsidRPr="00B7097C">
        <w:rPr>
          <w:rFonts w:ascii="Times New Roman" w:hAnsi="Times New Roman" w:cs="Times New Roman"/>
          <w:b/>
          <w:bCs/>
          <w:sz w:val="28"/>
          <w:szCs w:val="28"/>
        </w:rPr>
        <w:t>: 19</w:t>
      </w:r>
      <w:r w:rsidRPr="00B7097C">
        <w:rPr>
          <w:rFonts w:ascii="Times New Roman" w:hAnsi="Times New Roman" w:cs="Times New Roman"/>
          <w:b/>
          <w:bCs/>
          <w:sz w:val="28"/>
          <w:szCs w:val="28"/>
          <w:vertAlign w:val="superscript"/>
        </w:rPr>
        <w:t>th</w:t>
      </w:r>
      <w:r w:rsidRPr="00B7097C">
        <w:rPr>
          <w:rFonts w:ascii="Times New Roman" w:hAnsi="Times New Roman" w:cs="Times New Roman"/>
          <w:b/>
          <w:bCs/>
          <w:sz w:val="28"/>
          <w:szCs w:val="28"/>
        </w:rPr>
        <w:t xml:space="preserve"> Dec 2025 </w:t>
      </w:r>
    </w:p>
    <w:p w:rsidR="009853DC" w:rsidRPr="00171C29" w:rsidRDefault="009853DC" w:rsidP="00171C29">
      <w:pPr>
        <w:spacing w:line="360" w:lineRule="auto"/>
        <w:rPr>
          <w:rFonts w:asciiTheme="minorBidi" w:hAnsiTheme="minorBidi"/>
          <w:b/>
          <w:bCs/>
          <w:sz w:val="22"/>
          <w:szCs w:val="22"/>
        </w:rPr>
      </w:pPr>
    </w:p>
    <w:p w:rsidR="009853DC" w:rsidRPr="00171C29" w:rsidRDefault="009853DC"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r w:rsidRPr="00171C29">
        <w:rPr>
          <w:rFonts w:asciiTheme="minorBidi" w:hAnsiTheme="minorBidi"/>
          <w:b/>
          <w:bCs/>
          <w:sz w:val="22"/>
          <w:szCs w:val="22"/>
        </w:rPr>
        <w:br w:type="page"/>
      </w:r>
    </w:p>
    <w:sdt>
      <w:sdtPr>
        <w:rPr>
          <w:rFonts w:asciiTheme="minorBidi" w:eastAsiaTheme="minorHAnsi" w:hAnsiTheme="minorBidi" w:cstheme="minorBidi"/>
          <w:color w:val="auto"/>
          <w:kern w:val="2"/>
          <w:sz w:val="28"/>
          <w:szCs w:val="28"/>
          <w:lang w:val="en-GB"/>
        </w:rPr>
        <w:id w:val="1795091074"/>
        <w:docPartObj>
          <w:docPartGallery w:val="Table of Contents"/>
          <w:docPartUnique/>
        </w:docPartObj>
      </w:sdtPr>
      <w:sdtEndPr>
        <w:rPr>
          <w:b/>
          <w:bCs/>
          <w:noProof/>
          <w:sz w:val="22"/>
          <w:szCs w:val="22"/>
        </w:rPr>
      </w:sdtEndPr>
      <w:sdtContent>
        <w:p w:rsidR="00171C29" w:rsidRPr="00171C29" w:rsidRDefault="00171C29" w:rsidP="00171C29">
          <w:pPr>
            <w:pStyle w:val="TOCHeading"/>
            <w:spacing w:line="360" w:lineRule="auto"/>
            <w:jc w:val="center"/>
            <w:rPr>
              <w:rFonts w:asciiTheme="minorBidi" w:hAnsiTheme="minorBidi" w:cstheme="minorBidi"/>
              <w:sz w:val="28"/>
              <w:szCs w:val="28"/>
            </w:rPr>
          </w:pPr>
          <w:r w:rsidRPr="00171C29">
            <w:rPr>
              <w:rFonts w:asciiTheme="minorBidi" w:hAnsiTheme="minorBidi" w:cstheme="minorBidi"/>
              <w:sz w:val="28"/>
              <w:szCs w:val="28"/>
            </w:rPr>
            <w:t>Table of Contents</w:t>
          </w:r>
        </w:p>
        <w:p w:rsidR="00171C29" w:rsidRPr="00171C29" w:rsidRDefault="00471F5D" w:rsidP="00171C29">
          <w:pPr>
            <w:pStyle w:val="TOC1"/>
            <w:tabs>
              <w:tab w:val="right" w:leader="dot" w:pos="9350"/>
            </w:tabs>
            <w:spacing w:line="360" w:lineRule="auto"/>
            <w:rPr>
              <w:rFonts w:asciiTheme="minorBidi" w:hAnsiTheme="minorBidi"/>
              <w:noProof/>
              <w:sz w:val="22"/>
              <w:szCs w:val="22"/>
            </w:rPr>
          </w:pPr>
          <w:r w:rsidRPr="00471F5D">
            <w:rPr>
              <w:rFonts w:asciiTheme="minorBidi" w:hAnsiTheme="minorBidi"/>
              <w:sz w:val="22"/>
              <w:szCs w:val="22"/>
            </w:rPr>
            <w:fldChar w:fldCharType="begin"/>
          </w:r>
          <w:r w:rsidR="00171C29" w:rsidRPr="00171C29">
            <w:rPr>
              <w:rFonts w:asciiTheme="minorBidi" w:hAnsiTheme="minorBidi"/>
              <w:sz w:val="22"/>
              <w:szCs w:val="22"/>
            </w:rPr>
            <w:instrText xml:space="preserve"> TOC \o "1-3" \h \z \u </w:instrText>
          </w:r>
          <w:r w:rsidRPr="00471F5D">
            <w:rPr>
              <w:rFonts w:asciiTheme="minorBidi" w:hAnsiTheme="minorBidi"/>
              <w:sz w:val="22"/>
              <w:szCs w:val="22"/>
            </w:rPr>
            <w:fldChar w:fldCharType="separate"/>
          </w:r>
          <w:hyperlink w:anchor="_Toc215486387" w:history="1">
            <w:r w:rsidR="00171C29" w:rsidRPr="00171C29">
              <w:rPr>
                <w:rStyle w:val="Hyperlink"/>
                <w:rFonts w:asciiTheme="minorBidi" w:hAnsiTheme="minorBidi"/>
                <w:noProof/>
                <w:sz w:val="22"/>
                <w:szCs w:val="22"/>
              </w:rPr>
              <w:t>Introduction</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_Toc215486387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3</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88" w:history="1">
            <w:r w:rsidR="00171C29" w:rsidRPr="00171C29">
              <w:rPr>
                <w:rStyle w:val="Hyperlink"/>
                <w:rFonts w:asciiTheme="minorBidi" w:hAnsiTheme="minorBidi"/>
                <w:noProof/>
                <w:sz w:val="22"/>
                <w:szCs w:val="22"/>
              </w:rPr>
              <w:t>Scenario Overview</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_Toc215486388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3</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89" w:history="1">
            <w:r w:rsidR="00171C29" w:rsidRPr="00171C29">
              <w:rPr>
                <w:rStyle w:val="Hyperlink"/>
                <w:rFonts w:asciiTheme="minorBidi" w:hAnsiTheme="minorBidi"/>
                <w:noProof/>
                <w:sz w:val="22"/>
                <w:szCs w:val="22"/>
              </w:rPr>
              <w:t>Theory 1: Erikson’s Psychosocial Theory</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_Toc215486389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4</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0" w:history="1">
            <w:r w:rsidR="00171C29" w:rsidRPr="00171C29">
              <w:rPr>
                <w:rStyle w:val="Hyperlink"/>
                <w:rFonts w:asciiTheme="minorBidi" w:hAnsiTheme="minorBidi"/>
                <w:noProof/>
                <w:sz w:val="22"/>
                <w:szCs w:val="22"/>
              </w:rPr>
              <w:t>Application of Erikson’s Theory in the Care Home</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_Toc215486390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4</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1" w:history="1">
            <w:r w:rsidR="00171C29" w:rsidRPr="00171C29">
              <w:rPr>
                <w:rStyle w:val="Hyperlink"/>
                <w:rFonts w:asciiTheme="minorBidi" w:hAnsiTheme="minorBidi"/>
                <w:noProof/>
                <w:sz w:val="22"/>
                <w:szCs w:val="22"/>
              </w:rPr>
              <w:t>Challenges &amp; Solutions (Erikson)</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_Toc215486391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4</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92" w:history="1">
            <w:r w:rsidR="00171C29" w:rsidRPr="00171C29">
              <w:rPr>
                <w:rStyle w:val="Hyperlink"/>
                <w:rFonts w:asciiTheme="minorBidi" w:hAnsiTheme="minorBidi"/>
                <w:noProof/>
                <w:sz w:val="22"/>
                <w:szCs w:val="22"/>
              </w:rPr>
              <w:t>Theory 2: Bandura’s Social Learning Theory</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_Toc215486392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5</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3" w:history="1">
            <w:r w:rsidR="00171C29" w:rsidRPr="00171C29">
              <w:rPr>
                <w:rStyle w:val="Hyperlink"/>
                <w:rFonts w:asciiTheme="minorBidi" w:hAnsiTheme="minorBidi"/>
                <w:noProof/>
                <w:sz w:val="22"/>
                <w:szCs w:val="22"/>
              </w:rPr>
              <w:t>Application of SLT in the Care Home</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_Toc215486393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6</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4" w:history="1">
            <w:r w:rsidR="00171C29" w:rsidRPr="00171C29">
              <w:rPr>
                <w:rStyle w:val="Hyperlink"/>
                <w:rFonts w:asciiTheme="minorBidi" w:hAnsiTheme="minorBidi"/>
                <w:noProof/>
                <w:sz w:val="22"/>
                <w:szCs w:val="22"/>
              </w:rPr>
              <w:t>Challenges &amp; Solutions (SLT)</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_Toc215486394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6</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95" w:history="1">
            <w:r w:rsidR="00171C29" w:rsidRPr="00171C29">
              <w:rPr>
                <w:rStyle w:val="Hyperlink"/>
                <w:rFonts w:asciiTheme="minorBidi" w:hAnsiTheme="minorBidi"/>
                <w:noProof/>
                <w:sz w:val="22"/>
                <w:szCs w:val="22"/>
              </w:rPr>
              <w:t>Conclusion</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_Toc215486395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7</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96" w:history="1">
            <w:r w:rsidR="00171C29" w:rsidRPr="00171C29">
              <w:rPr>
                <w:rStyle w:val="Hyperlink"/>
                <w:rFonts w:asciiTheme="minorBidi" w:hAnsiTheme="minorBidi"/>
                <w:noProof/>
                <w:sz w:val="22"/>
                <w:szCs w:val="22"/>
              </w:rPr>
              <w:t>References</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_Toc215486396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7</w:t>
            </w:r>
            <w:r w:rsidRPr="00171C29">
              <w:rPr>
                <w:rFonts w:asciiTheme="minorBidi" w:hAnsiTheme="minorBidi"/>
                <w:noProof/>
                <w:webHidden/>
                <w:sz w:val="22"/>
                <w:szCs w:val="22"/>
              </w:rPr>
              <w:fldChar w:fldCharType="end"/>
            </w:r>
          </w:hyperlink>
        </w:p>
        <w:p w:rsidR="00171C29" w:rsidRPr="00171C29" w:rsidRDefault="00471F5D" w:rsidP="00171C29">
          <w:pPr>
            <w:spacing w:line="360" w:lineRule="auto"/>
            <w:rPr>
              <w:rFonts w:asciiTheme="minorBidi" w:hAnsiTheme="minorBidi"/>
              <w:sz w:val="22"/>
              <w:szCs w:val="22"/>
            </w:rPr>
          </w:pPr>
          <w:r w:rsidRPr="00171C29">
            <w:rPr>
              <w:rFonts w:asciiTheme="minorBidi" w:hAnsiTheme="minorBidi"/>
              <w:b/>
              <w:bCs/>
              <w:noProof/>
              <w:sz w:val="22"/>
              <w:szCs w:val="22"/>
            </w:rPr>
            <w:fldChar w:fldCharType="end"/>
          </w:r>
        </w:p>
      </w:sdtContent>
    </w:sdt>
    <w:p w:rsidR="00171C29" w:rsidRPr="00171C29" w:rsidRDefault="00171C29" w:rsidP="00171C29">
      <w:pPr>
        <w:spacing w:line="360" w:lineRule="auto"/>
        <w:rPr>
          <w:rFonts w:asciiTheme="minorBidi" w:hAnsiTheme="minorBidi"/>
          <w:b/>
          <w:bCs/>
          <w:sz w:val="22"/>
          <w:szCs w:val="22"/>
        </w:rPr>
      </w:pPr>
    </w:p>
    <w:p w:rsidR="009853DC" w:rsidRPr="00171C29" w:rsidRDefault="009853DC" w:rsidP="00171C29">
      <w:pPr>
        <w:spacing w:line="360" w:lineRule="auto"/>
        <w:rPr>
          <w:rFonts w:asciiTheme="minorBidi" w:hAnsiTheme="minorBidi"/>
          <w:b/>
          <w:bCs/>
          <w:sz w:val="22"/>
          <w:szCs w:val="22"/>
        </w:rPr>
      </w:pPr>
    </w:p>
    <w:p w:rsidR="009853DC" w:rsidRPr="00171C29" w:rsidRDefault="009853DC"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eastAsiaTheme="majorEastAsia" w:hAnsiTheme="minorBidi"/>
          <w:color w:val="0F4761" w:themeColor="accent1" w:themeShade="BF"/>
          <w:sz w:val="36"/>
          <w:szCs w:val="36"/>
        </w:rPr>
      </w:pPr>
      <w:bookmarkStart w:id="0" w:name="_Toc215486387"/>
      <w:r w:rsidRPr="00171C29">
        <w:rPr>
          <w:rFonts w:asciiTheme="minorBidi" w:hAnsiTheme="minorBidi"/>
          <w:sz w:val="22"/>
          <w:szCs w:val="22"/>
        </w:rPr>
        <w:br w:type="page"/>
      </w:r>
    </w:p>
    <w:p w:rsidR="00EE2D6F" w:rsidRPr="00171C29" w:rsidRDefault="00EE2D6F" w:rsidP="00171C29">
      <w:pPr>
        <w:pStyle w:val="Heading1"/>
        <w:spacing w:line="360" w:lineRule="auto"/>
        <w:jc w:val="both"/>
        <w:rPr>
          <w:rFonts w:asciiTheme="minorBidi" w:hAnsiTheme="minorBidi" w:cstheme="minorBidi"/>
          <w:sz w:val="36"/>
          <w:szCs w:val="36"/>
        </w:rPr>
      </w:pPr>
      <w:r w:rsidRPr="00171C29">
        <w:rPr>
          <w:rFonts w:asciiTheme="minorBidi" w:hAnsiTheme="minorBidi" w:cstheme="minorBidi"/>
          <w:sz w:val="36"/>
          <w:szCs w:val="36"/>
        </w:rPr>
        <w:lastRenderedPageBreak/>
        <w:t>Introduction</w:t>
      </w:r>
      <w:bookmarkEnd w:id="0"/>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There are usually complicated psychological requirements among adults aged 65 and above in dementia care homes since they are affected by advance cognitive injury, emotional weakness, and diminished capability to participate on their own in everyday living. </w:t>
      </w:r>
      <w:proofErr w:type="spellStart"/>
      <w:r w:rsidRPr="00171C29">
        <w:rPr>
          <w:rFonts w:asciiTheme="minorBidi" w:hAnsiTheme="minorBidi"/>
          <w:sz w:val="22"/>
          <w:szCs w:val="22"/>
        </w:rPr>
        <w:t>Aggitation</w:t>
      </w:r>
      <w:proofErr w:type="spellEnd"/>
      <w:r w:rsidRPr="00171C29">
        <w:rPr>
          <w:rFonts w:asciiTheme="minorBidi" w:hAnsiTheme="minorBidi"/>
          <w:sz w:val="22"/>
          <w:szCs w:val="22"/>
        </w:rPr>
        <w:t>, anxiety, withdrawal, mood changes, and behavioural and psychological symptoms of dementia are some of the most problematic issues in residential care environments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Burley et al., 2020). The psychological outcomes of ageing, identity, and wellbeing also depend on how individuals perceive ageing, identity, and wellbeing, which explains the significance of studying the developmental and emotional mechanisms in older age (Westerhof et al., 2023; Westerhof, 2022). To deliver human and caring dementia care, health and social care professionals should thus combine evidence-based dementia care methods with psychological theories (Surr et al., 2023).</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In this report, the researcher will provide advice on the application of psychological theories to help older adults with dementia and offer practical solutions to the behavioural issues and improve the overall wellbeing of the elderly in the care homes.</w:t>
      </w:r>
    </w:p>
    <w:p w:rsidR="00EE2D6F" w:rsidRPr="00171C29" w:rsidRDefault="00EE2D6F" w:rsidP="00171C29">
      <w:pPr>
        <w:pStyle w:val="Heading1"/>
        <w:spacing w:line="360" w:lineRule="auto"/>
        <w:jc w:val="both"/>
        <w:rPr>
          <w:rFonts w:asciiTheme="minorBidi" w:hAnsiTheme="minorBidi" w:cstheme="minorBidi"/>
          <w:sz w:val="36"/>
          <w:szCs w:val="36"/>
        </w:rPr>
      </w:pPr>
      <w:bookmarkStart w:id="1" w:name="_Toc215486388"/>
      <w:r w:rsidRPr="00171C29">
        <w:rPr>
          <w:rFonts w:asciiTheme="minorBidi" w:hAnsiTheme="minorBidi" w:cstheme="minorBidi"/>
          <w:sz w:val="36"/>
          <w:szCs w:val="36"/>
        </w:rPr>
        <w:t>Scenario Overview</w:t>
      </w:r>
      <w:bookmarkEnd w:id="1"/>
      <w:r w:rsidRPr="00171C29">
        <w:rPr>
          <w:rFonts w:asciiTheme="minorBidi" w:hAnsiTheme="minorBidi" w:cstheme="minorBidi"/>
          <w:sz w:val="36"/>
          <w:szCs w:val="36"/>
        </w:rPr>
        <w:t xml:space="preserve"> </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Mrs. A is a 78 years old patient that lives in a specialist dementia care home and has moderate </w:t>
      </w:r>
      <w:r w:rsidR="00F114EC" w:rsidRPr="00171C29">
        <w:rPr>
          <w:rFonts w:asciiTheme="minorBidi" w:hAnsiTheme="minorBidi"/>
          <w:sz w:val="22"/>
          <w:szCs w:val="22"/>
        </w:rPr>
        <w:t>Alzheimer’s</w:t>
      </w:r>
      <w:r w:rsidRPr="00171C29">
        <w:rPr>
          <w:rFonts w:asciiTheme="minorBidi" w:hAnsiTheme="minorBidi"/>
          <w:sz w:val="22"/>
          <w:szCs w:val="22"/>
        </w:rPr>
        <w:t xml:space="preserve"> disease. In the recent past, employees have noticed more agitation during personal care, evening restlessness, dropping out of group activities, and confusion, which are common behavioural and psychological manifestations of dementia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Her mood seems low, and she often complains that she is disoriented in time and location, which has an influence on her confidence and interaction with others. Interpersonal relationships with staff can be viewed as a key factor influencing the quality of her daily life since positive communication and supportive conditions have been documented to directly affect wellbeing in dementia care (Anderson et al., 2016; Beerens et al., 2018).</w:t>
      </w:r>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Mrs. A’s situation represents the larger problems of addressing unmet emotional needs and ensuring dignity, security, and connection to older adults with dementia. Her behaviours will need to be addressed using psychologically informed and person-centred approaches aided by theory and research (Surr et al., 2023).</w:t>
      </w:r>
    </w:p>
    <w:p w:rsidR="00EE2D6F" w:rsidRPr="00171C29" w:rsidRDefault="00EE2D6F" w:rsidP="00171C29">
      <w:pPr>
        <w:pStyle w:val="Heading1"/>
        <w:spacing w:line="360" w:lineRule="auto"/>
        <w:jc w:val="both"/>
        <w:rPr>
          <w:rFonts w:asciiTheme="minorBidi" w:hAnsiTheme="minorBidi" w:cstheme="minorBidi"/>
          <w:sz w:val="36"/>
          <w:szCs w:val="36"/>
        </w:rPr>
      </w:pPr>
      <w:bookmarkStart w:id="2" w:name="_Toc215486389"/>
      <w:r w:rsidRPr="00171C29">
        <w:rPr>
          <w:rFonts w:asciiTheme="minorBidi" w:hAnsiTheme="minorBidi" w:cstheme="minorBidi"/>
          <w:sz w:val="36"/>
          <w:szCs w:val="36"/>
        </w:rPr>
        <w:lastRenderedPageBreak/>
        <w:t>Theory 1: Erikson’s Psychosocial Theory</w:t>
      </w:r>
      <w:bookmarkEnd w:id="2"/>
      <w:r w:rsidRPr="00171C29">
        <w:rPr>
          <w:rFonts w:asciiTheme="minorBidi" w:hAnsiTheme="minorBidi" w:cstheme="minorBidi"/>
          <w:sz w:val="36"/>
          <w:szCs w:val="36"/>
        </w:rPr>
        <w:t xml:space="preserve"> </w:t>
      </w:r>
    </w:p>
    <w:p w:rsidR="009853DC" w:rsidRPr="00171C29" w:rsidRDefault="009853DC" w:rsidP="00171C29">
      <w:pPr>
        <w:spacing w:line="360" w:lineRule="auto"/>
        <w:jc w:val="both"/>
        <w:rPr>
          <w:rFonts w:asciiTheme="minorBidi" w:hAnsiTheme="minorBidi"/>
          <w:b/>
          <w:bCs/>
          <w:sz w:val="22"/>
          <w:szCs w:val="22"/>
        </w:rPr>
      </w:pPr>
      <w:r w:rsidRPr="00171C29">
        <w:rPr>
          <w:rFonts w:asciiTheme="minorBidi" w:hAnsiTheme="minorBidi"/>
          <w:sz w:val="22"/>
          <w:szCs w:val="22"/>
        </w:rPr>
        <w:t>The last psychosocial stage, Integrity vs. Despair, is used to define how adults aged 65 or older revisit their life and consider their accomplishments and seek the sense and meaning in what they live. A successful process of memory and identification makes older adults feel fulfilled and stable emotionally; moreover, conflicts or sense of loss that cannot be resolved can help to create feelings of despair, anxiety, or withdrawal. Despite the disruption of autobiographical memory in dementia, emotional meaning of the past can also be preserved and, therefore, life meaning and identity are particularly relevant in the context of care (Knight, 2004). Dementia in older adults can result in the inability to create coherent narratives, which can influence the mood and general wellbeing. The studies highlight that the subjective perceptions of ageing and perceived life continuity have a significant impact on psychological adaptation in the later life (Westerhof, 2022; Westerhof et al., 2023). Thus, the theory developed by Eriksons is a good approach to emotional needs and identity issues among dementia care residents.</w:t>
      </w:r>
    </w:p>
    <w:p w:rsidR="00EE2D6F" w:rsidRPr="00171C29" w:rsidRDefault="00EE2D6F" w:rsidP="00171C29">
      <w:pPr>
        <w:pStyle w:val="Heading2"/>
        <w:spacing w:line="360" w:lineRule="auto"/>
        <w:jc w:val="both"/>
        <w:rPr>
          <w:rFonts w:asciiTheme="minorBidi" w:hAnsiTheme="minorBidi" w:cstheme="minorBidi"/>
          <w:sz w:val="28"/>
          <w:szCs w:val="28"/>
        </w:rPr>
      </w:pPr>
      <w:bookmarkStart w:id="3" w:name="_Toc215486390"/>
      <w:r w:rsidRPr="00171C29">
        <w:rPr>
          <w:rFonts w:asciiTheme="minorBidi" w:hAnsiTheme="minorBidi" w:cstheme="minorBidi"/>
          <w:sz w:val="28"/>
          <w:szCs w:val="28"/>
        </w:rPr>
        <w:t>Application of Erikson’s Theory in the Care Home</w:t>
      </w:r>
      <w:bookmarkEnd w:id="3"/>
      <w:r w:rsidRPr="00171C29">
        <w:rPr>
          <w:rFonts w:asciiTheme="minorBidi" w:hAnsiTheme="minorBidi" w:cstheme="minorBidi"/>
          <w:sz w:val="28"/>
          <w:szCs w:val="28"/>
        </w:rPr>
        <w:t xml:space="preserve"> </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To apply Eriksons stage of Integrity vs. Despair to the dementia care, the role of the caregiver is to ensure that the elderly can continue to identify himself, have dignity and stay emotionally stable despite the loss of cognitive abilities. The reminiscence exercises and life-review activities, which include photo albums, music of previous decades or objects that carry significance, enable the residents to reach to the retained emotional memories and generate the feeling of coherence (Knight, 2004). Accepting and empathising with the reality of the residents through validation therapy lowers stress and helps to express emotions, especially in cases where memory loss prevents the retrieval of facts (Surr et al., 2023). Residents maintain a sense of control, which is the key factor of wellbeing in later adulthood through autonomy-supportive practices, including the provision of choice in everyday activities (Anderson et al., 2016). When these strategies are incorporated in everyday care, the residents feel like they belong and have a purpose. Such interventions are not only based on </w:t>
      </w:r>
      <w:proofErr w:type="spellStart"/>
      <w:r w:rsidRPr="00171C29">
        <w:rPr>
          <w:rFonts w:asciiTheme="minorBidi" w:hAnsiTheme="minorBidi"/>
          <w:sz w:val="22"/>
          <w:szCs w:val="22"/>
        </w:rPr>
        <w:t>Eriksonian</w:t>
      </w:r>
      <w:proofErr w:type="spellEnd"/>
      <w:r w:rsidRPr="00171C29">
        <w:rPr>
          <w:rFonts w:asciiTheme="minorBidi" w:hAnsiTheme="minorBidi"/>
          <w:sz w:val="22"/>
          <w:szCs w:val="22"/>
        </w:rPr>
        <w:t xml:space="preserve"> concepts but are also correlated with the evidence that emotional involvement and recognizable activities enhance mood and contact in the dementia care environment (Beerens et al., 2018).</w:t>
      </w:r>
    </w:p>
    <w:p w:rsidR="00EE2D6F" w:rsidRPr="00171C29" w:rsidRDefault="00EE2D6F" w:rsidP="00171C29">
      <w:pPr>
        <w:pStyle w:val="Heading2"/>
        <w:spacing w:line="360" w:lineRule="auto"/>
        <w:jc w:val="both"/>
        <w:rPr>
          <w:rFonts w:asciiTheme="minorBidi" w:hAnsiTheme="minorBidi" w:cstheme="minorBidi"/>
          <w:sz w:val="28"/>
          <w:szCs w:val="28"/>
        </w:rPr>
      </w:pPr>
      <w:bookmarkStart w:id="4" w:name="_Toc215486391"/>
      <w:r w:rsidRPr="00171C29">
        <w:rPr>
          <w:rFonts w:asciiTheme="minorBidi" w:hAnsiTheme="minorBidi" w:cstheme="minorBidi"/>
          <w:sz w:val="28"/>
          <w:szCs w:val="28"/>
        </w:rPr>
        <w:t>Challenges &amp; Solutions (Erikson)</w:t>
      </w:r>
      <w:bookmarkEnd w:id="4"/>
      <w:r w:rsidRPr="00171C29">
        <w:rPr>
          <w:rFonts w:asciiTheme="minorBidi" w:hAnsiTheme="minorBidi" w:cstheme="minorBidi"/>
          <w:sz w:val="28"/>
          <w:szCs w:val="28"/>
        </w:rPr>
        <w:t xml:space="preserve"> </w:t>
      </w:r>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Using Eriksons theory in the treatment of dementia patients is difficult because the memory loss, communication problems, and discontinuous histories present difficulties in applying the </w:t>
      </w:r>
      <w:r w:rsidRPr="00171C29">
        <w:rPr>
          <w:rFonts w:asciiTheme="minorBidi" w:hAnsiTheme="minorBidi"/>
          <w:sz w:val="22"/>
          <w:szCs w:val="22"/>
        </w:rPr>
        <w:lastRenderedPageBreak/>
        <w:t>theory to patients who may not be able to participate in the continuous review of their lives. The cognitive decline can also render the conversation about the past confusing or traumatizing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Moreover, employees might not be able to manage emotional assistance and time constraints in a hectic care setting (Anderson et al., 2016). To resolve these problems, professionals may fit </w:t>
      </w:r>
      <w:proofErr w:type="spellStart"/>
      <w:r w:rsidRPr="00171C29">
        <w:rPr>
          <w:rFonts w:asciiTheme="minorBidi" w:hAnsiTheme="minorBidi"/>
          <w:sz w:val="22"/>
          <w:szCs w:val="22"/>
        </w:rPr>
        <w:t>Eriksonian</w:t>
      </w:r>
      <w:proofErr w:type="spellEnd"/>
      <w:r w:rsidRPr="00171C29">
        <w:rPr>
          <w:rFonts w:asciiTheme="minorBidi" w:hAnsiTheme="minorBidi"/>
          <w:sz w:val="22"/>
          <w:szCs w:val="22"/>
        </w:rPr>
        <w:t xml:space="preserve"> interventions to the level of cognitive functioning of the residents </w:t>
      </w:r>
      <w:r w:rsidR="00202EE6" w:rsidRPr="00171C29">
        <w:rPr>
          <w:rFonts w:asciiTheme="minorBidi" w:hAnsiTheme="minorBidi"/>
          <w:sz w:val="22"/>
          <w:szCs w:val="22"/>
        </w:rPr>
        <w:t>using</w:t>
      </w:r>
      <w:r w:rsidRPr="00171C29">
        <w:rPr>
          <w:rFonts w:asciiTheme="minorBidi" w:hAnsiTheme="minorBidi"/>
          <w:sz w:val="22"/>
          <w:szCs w:val="22"/>
        </w:rPr>
        <w:t xml:space="preserve"> brief, emotionally significant reminiscence prompts, i.e., music, sensory objects, or just simple storytelling. Communication methods that are based on validation are useful in the minimization of distress by prioritizing the feelings over accuracy (Surr et al., 2023). Person-centred communication is enhanced with interdisciplinary teamwork and personnel training, which enhance consistency and quality of emotional support (James et al., 2023). The strategies will help care teams support the dignity and mental needs of residents and accept the realities of dementia progression.</w:t>
      </w:r>
    </w:p>
    <w:p w:rsidR="00EE2D6F" w:rsidRPr="00171C29" w:rsidRDefault="00EE2D6F" w:rsidP="00171C29">
      <w:pPr>
        <w:pStyle w:val="Heading1"/>
        <w:spacing w:line="360" w:lineRule="auto"/>
        <w:jc w:val="both"/>
        <w:rPr>
          <w:rFonts w:asciiTheme="minorBidi" w:hAnsiTheme="minorBidi" w:cstheme="minorBidi"/>
          <w:sz w:val="36"/>
          <w:szCs w:val="36"/>
        </w:rPr>
      </w:pPr>
      <w:bookmarkStart w:id="5" w:name="_Toc215486392"/>
      <w:r w:rsidRPr="00171C29">
        <w:rPr>
          <w:rFonts w:asciiTheme="minorBidi" w:hAnsiTheme="minorBidi" w:cstheme="minorBidi"/>
          <w:sz w:val="36"/>
          <w:szCs w:val="36"/>
        </w:rPr>
        <w:t>Theory 2: Bandura’s Social Learning Theory</w:t>
      </w:r>
      <w:bookmarkEnd w:id="5"/>
      <w:r w:rsidRPr="00171C29">
        <w:rPr>
          <w:rFonts w:asciiTheme="minorBidi" w:hAnsiTheme="minorBidi" w:cstheme="minorBidi"/>
          <w:sz w:val="36"/>
          <w:szCs w:val="36"/>
        </w:rPr>
        <w:t xml:space="preserve"> </w:t>
      </w:r>
    </w:p>
    <w:p w:rsidR="009853DC"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The Social Learning Theory by Banduras highlights that behaviour is developed through observation, imitation, reinforcement and environmental feedback. </w:t>
      </w:r>
      <w:r w:rsidR="00202EE6" w:rsidRPr="00171C29">
        <w:rPr>
          <w:rFonts w:asciiTheme="minorBidi" w:hAnsiTheme="minorBidi"/>
          <w:sz w:val="22"/>
          <w:szCs w:val="22"/>
        </w:rPr>
        <w:t>Even though</w:t>
      </w:r>
      <w:r w:rsidRPr="00171C29">
        <w:rPr>
          <w:rFonts w:asciiTheme="minorBidi" w:hAnsiTheme="minorBidi"/>
          <w:sz w:val="22"/>
          <w:szCs w:val="22"/>
        </w:rPr>
        <w:t xml:space="preserve"> dementia restricts new learning, the residents of the facility would still react intensively to the emotional tone, actions, and communication styles demonstrated by care staff. It has been demonstrated that the behaviour of the staff has a direct effect on the mood of the residents, their agitation, and their overall wellbeing in the care homes (Anderson et al., 2016). Caregiver-resident positive interactions (calm communication, slow movements, and reassuring facial expressions) can be used to model such behaviours and induce residents to mimic them, resulting in the elimination of distress. He/she also reinforced the desirable behaviours, like cooperation during personal care or activity engagement, by using reinforcement, like praise or comforting responses (Beerens et al., 2018). Structured routines and predictable surroundings are also forms of environmental cues that facilitate behavioural stability; these options are consistent with the reported non-pharmacological dementia interventions that can reduce challenging behaviours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James et al., 2023). Therefore, SLT is a viable model of the development and modification of behaviour in a dementia care environment.</w:t>
      </w:r>
    </w:p>
    <w:p w:rsidR="00171C29" w:rsidRPr="00171C29" w:rsidRDefault="00171C29" w:rsidP="00171C29">
      <w:pPr>
        <w:spacing w:line="360" w:lineRule="auto"/>
        <w:jc w:val="both"/>
        <w:rPr>
          <w:rFonts w:asciiTheme="minorBidi" w:hAnsiTheme="minorBidi"/>
          <w:sz w:val="22"/>
          <w:szCs w:val="22"/>
        </w:rPr>
      </w:pPr>
    </w:p>
    <w:p w:rsidR="00EE2D6F" w:rsidRPr="00171C29" w:rsidRDefault="00EE2D6F" w:rsidP="00171C29">
      <w:pPr>
        <w:pStyle w:val="Heading2"/>
        <w:spacing w:line="360" w:lineRule="auto"/>
        <w:jc w:val="both"/>
        <w:rPr>
          <w:rFonts w:asciiTheme="minorBidi" w:hAnsiTheme="minorBidi" w:cstheme="minorBidi"/>
          <w:sz w:val="28"/>
          <w:szCs w:val="28"/>
        </w:rPr>
      </w:pPr>
      <w:bookmarkStart w:id="6" w:name="_Toc215486393"/>
      <w:r w:rsidRPr="00171C29">
        <w:rPr>
          <w:rFonts w:asciiTheme="minorBidi" w:hAnsiTheme="minorBidi" w:cstheme="minorBidi"/>
          <w:sz w:val="28"/>
          <w:szCs w:val="28"/>
        </w:rPr>
        <w:lastRenderedPageBreak/>
        <w:t>Application of SLT in the Care Home</w:t>
      </w:r>
      <w:bookmarkEnd w:id="6"/>
      <w:r w:rsidRPr="00171C29">
        <w:rPr>
          <w:rFonts w:asciiTheme="minorBidi" w:hAnsiTheme="minorBidi" w:cstheme="minorBidi"/>
          <w:sz w:val="28"/>
          <w:szCs w:val="28"/>
        </w:rPr>
        <w:t xml:space="preserve"> </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Banduras principles can be implemented in dementia care homes through staff </w:t>
      </w:r>
      <w:proofErr w:type="spellStart"/>
      <w:r w:rsidRPr="00171C29">
        <w:rPr>
          <w:rFonts w:asciiTheme="minorBidi" w:hAnsiTheme="minorBidi"/>
          <w:sz w:val="22"/>
          <w:szCs w:val="22"/>
        </w:rPr>
        <w:t>modeling</w:t>
      </w:r>
      <w:proofErr w:type="spellEnd"/>
      <w:r w:rsidRPr="00171C29">
        <w:rPr>
          <w:rFonts w:asciiTheme="minorBidi" w:hAnsiTheme="minorBidi"/>
          <w:sz w:val="22"/>
          <w:szCs w:val="22"/>
        </w:rPr>
        <w:t xml:space="preserve"> of calm, respectful, and patient behaviour in their daily interaction. Caregivers who are gentle and have a reassuring voice and are consistent in their responses are more likely to influence the residents to adopt these behaviours, which will result in less agitation and improved engagement (Anderson et al., 2016). Reinforcement interventions, including the praise of cooperative behaviour or providing comforting feedback, can be used to strengthen the positive interaction and decrease the behavioural symptoms (Beerens et al., 2018). Scheduled activities are also one of the environmental prompts that contribute to predictability, which is also a key factor in reducing confusion and alleviating restlessness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Non-pharmacological behavioural interventions suggested to control agitation, including effective communication, learning relaxation, and eliminating over-stimulation, are directly related to SLT (James et al., 2023). With the application of these strategies into the daily care setting, the staff members will be able to develop a therapeutic environment that facilitates emotional stability and more adaptive behavioural patterns in residents.</w:t>
      </w:r>
    </w:p>
    <w:p w:rsidR="00EE2D6F" w:rsidRPr="00171C29" w:rsidRDefault="00EE2D6F" w:rsidP="00171C29">
      <w:pPr>
        <w:pStyle w:val="Heading2"/>
        <w:spacing w:line="360" w:lineRule="auto"/>
        <w:jc w:val="both"/>
        <w:rPr>
          <w:rFonts w:asciiTheme="minorBidi" w:hAnsiTheme="minorBidi" w:cstheme="minorBidi"/>
          <w:sz w:val="28"/>
          <w:szCs w:val="28"/>
        </w:rPr>
      </w:pPr>
      <w:bookmarkStart w:id="7" w:name="_Toc215486394"/>
      <w:r w:rsidRPr="00171C29">
        <w:rPr>
          <w:rFonts w:asciiTheme="minorBidi" w:hAnsiTheme="minorBidi" w:cstheme="minorBidi"/>
          <w:sz w:val="28"/>
          <w:szCs w:val="28"/>
        </w:rPr>
        <w:t>Challenges &amp; Solutions (SLT)</w:t>
      </w:r>
      <w:bookmarkEnd w:id="7"/>
      <w:r w:rsidRPr="00171C29">
        <w:rPr>
          <w:rFonts w:asciiTheme="minorBidi" w:hAnsiTheme="minorBidi" w:cstheme="minorBidi"/>
          <w:sz w:val="28"/>
          <w:szCs w:val="28"/>
        </w:rPr>
        <w:t xml:space="preserve"> </w:t>
      </w:r>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The use of Social Learning Theory in dementia care may be difficult following staff inconsistency, overworking, and uncertainty in behavioural response of residents. The staff employs varying communication style and coping mechanisms, which result in conflicting behavioural messages to the resident, decreasing the usefulness of modelling and reinforcement (Anderson et al., 2016). The residents are also not able to repeat the behaviours because of dementia-related symptoms like agitation, disorientation, and mood swings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To resolve these issues, the care homes may introduce regular staff training programmes that guarantee the use of consistent person-focused behavioural strategies (Surr et al., 2023). Multidisciplinary meetings should be made a regular practice so that staff can be able to adopt unified approaches to agitation management (James et al., 2023). It is also possible to promote the learning of residents by creating stable routines and simplified environmental cues, as well as minimizing behavioural unpredictability (Beerens et al., 2018). </w:t>
      </w:r>
    </w:p>
    <w:p w:rsidR="009853DC" w:rsidRPr="00171C29" w:rsidRDefault="009853DC" w:rsidP="00171C29">
      <w:pPr>
        <w:spacing w:line="360" w:lineRule="auto"/>
        <w:jc w:val="both"/>
        <w:rPr>
          <w:rFonts w:asciiTheme="minorBidi" w:hAnsiTheme="minorBidi"/>
          <w:sz w:val="22"/>
          <w:szCs w:val="22"/>
        </w:rPr>
      </w:pPr>
    </w:p>
    <w:p w:rsidR="00EE2D6F" w:rsidRPr="00171C29" w:rsidRDefault="00EE2D6F" w:rsidP="00171C29">
      <w:pPr>
        <w:pStyle w:val="Heading1"/>
        <w:spacing w:line="360" w:lineRule="auto"/>
        <w:jc w:val="both"/>
        <w:rPr>
          <w:rFonts w:asciiTheme="minorBidi" w:hAnsiTheme="minorBidi" w:cstheme="minorBidi"/>
          <w:sz w:val="36"/>
          <w:szCs w:val="36"/>
        </w:rPr>
      </w:pPr>
      <w:bookmarkStart w:id="8" w:name="_Toc215486395"/>
      <w:r w:rsidRPr="00171C29">
        <w:rPr>
          <w:rFonts w:asciiTheme="minorBidi" w:hAnsiTheme="minorBidi" w:cstheme="minorBidi"/>
          <w:sz w:val="36"/>
          <w:szCs w:val="36"/>
        </w:rPr>
        <w:lastRenderedPageBreak/>
        <w:t>Conclusion</w:t>
      </w:r>
      <w:bookmarkEnd w:id="8"/>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The psychological development, behavioural processes and evidence-based care practices should be combined to support older adults with dementia. According to Eriksons theory, identity, continuity of the emotional, and meaning-making play a crucial role in later life, and the approaches that provide support include life-review, validation, and autonomy-supportive, which can improve wellbeing despite cognitive decline (Westerhof, 2022; Knight, 2004). The Social Learning Theory by Banduras also shows that modelling, reinforcement, and structured environments can be used to change the behaviour of residents, as it provides practical solutions to reduce agitation and foster positive interactions (Anderson et al., 2016; Beerens et al., 2018). Nevertheless, such issues as memory loss, communication difficulties, behavioural inconsistency, and staff unreliability demand specific modifications and continuous professional education (Surr et al., 2023). Altogether, the integration of psychosocial and behavioural approaches can help health and social care practitioners to react better to the emotional, relational, and behavioural needs of the older adults. </w:t>
      </w:r>
    </w:p>
    <w:p w:rsidR="00EE2D6F" w:rsidRPr="00171C29" w:rsidRDefault="009853DC" w:rsidP="00171C29">
      <w:pPr>
        <w:pStyle w:val="Heading1"/>
        <w:spacing w:line="360" w:lineRule="auto"/>
        <w:rPr>
          <w:rFonts w:asciiTheme="minorBidi" w:hAnsiTheme="minorBidi" w:cstheme="minorBidi"/>
          <w:sz w:val="36"/>
          <w:szCs w:val="36"/>
        </w:rPr>
      </w:pPr>
      <w:bookmarkStart w:id="9" w:name="_Toc215486396"/>
      <w:r w:rsidRPr="00171C29">
        <w:rPr>
          <w:rFonts w:asciiTheme="minorBidi" w:hAnsiTheme="minorBidi" w:cstheme="minorBidi"/>
          <w:sz w:val="36"/>
          <w:szCs w:val="36"/>
        </w:rPr>
        <w:t>References</w:t>
      </w:r>
      <w:bookmarkEnd w:id="9"/>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Anderson, K., Bird, M., MacPherson, S., &amp; Blair, A. (2016). How do staff influence the quality of long-term dementia care and the lives of residents? A systematic review of the evidence. </w:t>
      </w:r>
      <w:r w:rsidRPr="00171C29">
        <w:rPr>
          <w:rFonts w:asciiTheme="minorBidi" w:hAnsiTheme="minorBidi"/>
          <w:i/>
          <w:iCs/>
          <w:sz w:val="22"/>
          <w:szCs w:val="22"/>
        </w:rPr>
        <w:t>International Psychogeriatrics</w:t>
      </w:r>
      <w:r w:rsidRPr="00171C29">
        <w:rPr>
          <w:rFonts w:asciiTheme="minorBidi" w:hAnsiTheme="minorBidi"/>
          <w:sz w:val="22"/>
          <w:szCs w:val="22"/>
        </w:rPr>
        <w:t>, </w:t>
      </w:r>
      <w:r w:rsidRPr="00171C29">
        <w:rPr>
          <w:rFonts w:asciiTheme="minorBidi" w:hAnsiTheme="minorBidi"/>
          <w:i/>
          <w:iCs/>
          <w:sz w:val="22"/>
          <w:szCs w:val="22"/>
        </w:rPr>
        <w:t>28</w:t>
      </w:r>
      <w:r w:rsidRPr="00171C29">
        <w:rPr>
          <w:rFonts w:asciiTheme="minorBidi" w:hAnsiTheme="minorBidi"/>
          <w:sz w:val="22"/>
          <w:szCs w:val="22"/>
        </w:rPr>
        <w:t>(8), 1263-1281.</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 xml:space="preserve">Beerens, H. C., </w:t>
      </w:r>
      <w:proofErr w:type="spellStart"/>
      <w:r w:rsidRPr="00171C29">
        <w:rPr>
          <w:rFonts w:asciiTheme="minorBidi" w:hAnsiTheme="minorBidi"/>
          <w:sz w:val="22"/>
          <w:szCs w:val="22"/>
        </w:rPr>
        <w:t>Zwakhalen</w:t>
      </w:r>
      <w:proofErr w:type="spellEnd"/>
      <w:r w:rsidRPr="00171C29">
        <w:rPr>
          <w:rFonts w:asciiTheme="minorBidi" w:hAnsiTheme="minorBidi"/>
          <w:sz w:val="22"/>
          <w:szCs w:val="22"/>
        </w:rPr>
        <w:t>, S. M., Verbeek, H., ES Tan, F., Jolani, S., Downs, M., ... &amp; Hamers, J. P. (2018). The relation between mood, activity, and interaction in long-term dementia care. </w:t>
      </w:r>
      <w:r w:rsidRPr="00171C29">
        <w:rPr>
          <w:rFonts w:asciiTheme="minorBidi" w:hAnsiTheme="minorBidi"/>
          <w:i/>
          <w:iCs/>
          <w:sz w:val="22"/>
          <w:szCs w:val="22"/>
        </w:rPr>
        <w:t>Aging &amp; mental health</w:t>
      </w:r>
      <w:r w:rsidRPr="00171C29">
        <w:rPr>
          <w:rFonts w:asciiTheme="minorBidi" w:hAnsiTheme="minorBidi"/>
          <w:sz w:val="22"/>
          <w:szCs w:val="22"/>
        </w:rPr>
        <w:t>, </w:t>
      </w:r>
      <w:r w:rsidRPr="00171C29">
        <w:rPr>
          <w:rFonts w:asciiTheme="minorBidi" w:hAnsiTheme="minorBidi"/>
          <w:i/>
          <w:iCs/>
          <w:sz w:val="22"/>
          <w:szCs w:val="22"/>
        </w:rPr>
        <w:t>22</w:t>
      </w:r>
      <w:r w:rsidRPr="00171C29">
        <w:rPr>
          <w:rFonts w:asciiTheme="minorBidi" w:hAnsiTheme="minorBidi"/>
          <w:sz w:val="22"/>
          <w:szCs w:val="22"/>
        </w:rPr>
        <w:t>(1), 26-32.</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 xml:space="preserve">Burley, C. V., Livingston, G., Knapp, M. R., Wimo, A., Norman, R., &amp; </w:t>
      </w:r>
      <w:proofErr w:type="spellStart"/>
      <w:r w:rsidRPr="00171C29">
        <w:rPr>
          <w:rFonts w:asciiTheme="minorBidi" w:hAnsiTheme="minorBidi"/>
          <w:sz w:val="22"/>
          <w:szCs w:val="22"/>
        </w:rPr>
        <w:t>Brodaty</w:t>
      </w:r>
      <w:proofErr w:type="spellEnd"/>
      <w:r w:rsidRPr="00171C29">
        <w:rPr>
          <w:rFonts w:asciiTheme="minorBidi" w:hAnsiTheme="minorBidi"/>
          <w:sz w:val="22"/>
          <w:szCs w:val="22"/>
        </w:rPr>
        <w:t xml:space="preserve">, H. (2020). Time to invest in prevention and better care of </w:t>
      </w:r>
      <w:proofErr w:type="spellStart"/>
      <w:r w:rsidRPr="00171C29">
        <w:rPr>
          <w:rFonts w:asciiTheme="minorBidi" w:hAnsiTheme="minorBidi"/>
          <w:sz w:val="22"/>
          <w:szCs w:val="22"/>
        </w:rPr>
        <w:t>behaviors</w:t>
      </w:r>
      <w:proofErr w:type="spellEnd"/>
      <w:r w:rsidRPr="00171C29">
        <w:rPr>
          <w:rFonts w:asciiTheme="minorBidi" w:hAnsiTheme="minorBidi"/>
          <w:sz w:val="22"/>
          <w:szCs w:val="22"/>
        </w:rPr>
        <w:t xml:space="preserve"> and psychological symptoms associated with dementia. </w:t>
      </w:r>
      <w:r w:rsidRPr="00171C29">
        <w:rPr>
          <w:rFonts w:asciiTheme="minorBidi" w:hAnsiTheme="minorBidi"/>
          <w:i/>
          <w:iCs/>
          <w:sz w:val="22"/>
          <w:szCs w:val="22"/>
        </w:rPr>
        <w:t>International Psychogeriatrics</w:t>
      </w:r>
      <w:r w:rsidRPr="00171C29">
        <w:rPr>
          <w:rFonts w:asciiTheme="minorBidi" w:hAnsiTheme="minorBidi"/>
          <w:sz w:val="22"/>
          <w:szCs w:val="22"/>
        </w:rPr>
        <w:t>, </w:t>
      </w:r>
      <w:r w:rsidRPr="00171C29">
        <w:rPr>
          <w:rFonts w:asciiTheme="minorBidi" w:hAnsiTheme="minorBidi"/>
          <w:i/>
          <w:iCs/>
          <w:sz w:val="22"/>
          <w:szCs w:val="22"/>
        </w:rPr>
        <w:t>32</w:t>
      </w:r>
      <w:r w:rsidRPr="00171C29">
        <w:rPr>
          <w:rFonts w:asciiTheme="minorBidi" w:hAnsiTheme="minorBidi"/>
          <w:sz w:val="22"/>
          <w:szCs w:val="22"/>
        </w:rPr>
        <w:t>(5), 567-572.</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 xml:space="preserve">Cheng, S. T., Li, K. K., </w:t>
      </w:r>
      <w:proofErr w:type="gramStart"/>
      <w:r w:rsidRPr="00171C29">
        <w:rPr>
          <w:rFonts w:asciiTheme="minorBidi" w:hAnsiTheme="minorBidi"/>
          <w:sz w:val="22"/>
          <w:szCs w:val="22"/>
        </w:rPr>
        <w:t>Or</w:t>
      </w:r>
      <w:proofErr w:type="gramEnd"/>
      <w:r w:rsidRPr="00171C29">
        <w:rPr>
          <w:rFonts w:asciiTheme="minorBidi" w:hAnsiTheme="minorBidi"/>
          <w:sz w:val="22"/>
          <w:szCs w:val="22"/>
        </w:rPr>
        <w:t>, P. P., &amp; Losada, A. (2022). Do caregiver interventions improve outcomes in relatives with dementia and mild cognitive impairment? A comprehensive systematic review and meta-analysis. </w:t>
      </w:r>
      <w:r w:rsidRPr="00171C29">
        <w:rPr>
          <w:rFonts w:asciiTheme="minorBidi" w:hAnsiTheme="minorBidi"/>
          <w:i/>
          <w:iCs/>
          <w:sz w:val="22"/>
          <w:szCs w:val="22"/>
        </w:rPr>
        <w:t>Psychology and Aging</w:t>
      </w:r>
      <w:r w:rsidRPr="00171C29">
        <w:rPr>
          <w:rFonts w:asciiTheme="minorBidi" w:hAnsiTheme="minorBidi"/>
          <w:sz w:val="22"/>
          <w:szCs w:val="22"/>
        </w:rPr>
        <w:t>, </w:t>
      </w:r>
      <w:r w:rsidRPr="00171C29">
        <w:rPr>
          <w:rFonts w:asciiTheme="minorBidi" w:hAnsiTheme="minorBidi"/>
          <w:i/>
          <w:iCs/>
          <w:sz w:val="22"/>
          <w:szCs w:val="22"/>
        </w:rPr>
        <w:t>37</w:t>
      </w:r>
      <w:r w:rsidRPr="00171C29">
        <w:rPr>
          <w:rFonts w:asciiTheme="minorBidi" w:hAnsiTheme="minorBidi"/>
          <w:sz w:val="22"/>
          <w:szCs w:val="22"/>
        </w:rPr>
        <w:t>(8), 929.</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Ingelson, B. F. (2023). Factors that influence nurses’ pain management practices in hospitalized older persons living with dementia.</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lastRenderedPageBreak/>
        <w:t>James, I. A., Reichelt, K., Shirley, L., &amp; Moniz-Cook, E. (2023). Management of agitation in behaviours that challenge in dementia care: multidisciplinary perspectives on non-pharmacological strategies. </w:t>
      </w:r>
      <w:r w:rsidRPr="00171C29">
        <w:rPr>
          <w:rFonts w:asciiTheme="minorBidi" w:hAnsiTheme="minorBidi"/>
          <w:i/>
          <w:iCs/>
          <w:sz w:val="22"/>
          <w:szCs w:val="22"/>
        </w:rPr>
        <w:t>Clinical interventions in aging</w:t>
      </w:r>
      <w:r w:rsidRPr="00171C29">
        <w:rPr>
          <w:rFonts w:asciiTheme="minorBidi" w:hAnsiTheme="minorBidi"/>
          <w:sz w:val="22"/>
          <w:szCs w:val="22"/>
        </w:rPr>
        <w:t>, 219-230.</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Knight, B. G. (2004). </w:t>
      </w:r>
      <w:r w:rsidRPr="00171C29">
        <w:rPr>
          <w:rFonts w:asciiTheme="minorBidi" w:hAnsiTheme="minorBidi"/>
          <w:i/>
          <w:iCs/>
          <w:sz w:val="22"/>
          <w:szCs w:val="22"/>
        </w:rPr>
        <w:t>Psychotherapy with older adults</w:t>
      </w:r>
      <w:r w:rsidRPr="00171C29">
        <w:rPr>
          <w:rFonts w:asciiTheme="minorBidi" w:hAnsiTheme="minorBidi"/>
          <w:sz w:val="22"/>
          <w:szCs w:val="22"/>
        </w:rPr>
        <w:t>. Sage.</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Surr, C., Latham, I., &amp; Smith, S. J. (2023). </w:t>
      </w:r>
      <w:r w:rsidRPr="00171C29">
        <w:rPr>
          <w:rFonts w:asciiTheme="minorBidi" w:hAnsiTheme="minorBidi"/>
          <w:i/>
          <w:iCs/>
          <w:sz w:val="22"/>
          <w:szCs w:val="22"/>
        </w:rPr>
        <w:t>Education and training in dementia care: A person-centred approach</w:t>
      </w:r>
      <w:r w:rsidRPr="00171C29">
        <w:rPr>
          <w:rFonts w:asciiTheme="minorBidi" w:hAnsiTheme="minorBidi"/>
          <w:sz w:val="22"/>
          <w:szCs w:val="22"/>
        </w:rPr>
        <w:t>. McGraw-Hill Education (UK).</w:t>
      </w:r>
    </w:p>
    <w:p w:rsidR="009853DC" w:rsidRPr="00171C29" w:rsidRDefault="009853DC" w:rsidP="00171C29">
      <w:pPr>
        <w:spacing w:line="360" w:lineRule="auto"/>
        <w:ind w:left="720" w:hanging="720"/>
        <w:rPr>
          <w:rFonts w:asciiTheme="minorBidi" w:hAnsiTheme="minorBidi"/>
          <w:sz w:val="22"/>
          <w:szCs w:val="22"/>
        </w:rPr>
      </w:pP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O. P., Riese, F., </w:t>
      </w:r>
      <w:proofErr w:type="spellStart"/>
      <w:r w:rsidRPr="00171C29">
        <w:rPr>
          <w:rFonts w:asciiTheme="minorBidi" w:hAnsiTheme="minorBidi"/>
          <w:sz w:val="22"/>
          <w:szCs w:val="22"/>
        </w:rPr>
        <w:t>Savaskan</w:t>
      </w:r>
      <w:proofErr w:type="spellEnd"/>
      <w:r w:rsidRPr="00171C29">
        <w:rPr>
          <w:rFonts w:asciiTheme="minorBidi" w:hAnsiTheme="minorBidi"/>
          <w:sz w:val="22"/>
          <w:szCs w:val="22"/>
        </w:rPr>
        <w:t>, E., &amp; von Gunten, A. (2017). Best practice in the management of behavioural and psychological symptoms of dementia. </w:t>
      </w:r>
      <w:r w:rsidRPr="00171C29">
        <w:rPr>
          <w:rFonts w:asciiTheme="minorBidi" w:hAnsiTheme="minorBidi"/>
          <w:i/>
          <w:iCs/>
          <w:sz w:val="22"/>
          <w:szCs w:val="22"/>
        </w:rPr>
        <w:t>Therapeutic advances in neurological disorders</w:t>
      </w:r>
      <w:r w:rsidRPr="00171C29">
        <w:rPr>
          <w:rFonts w:asciiTheme="minorBidi" w:hAnsiTheme="minorBidi"/>
          <w:sz w:val="22"/>
          <w:szCs w:val="22"/>
        </w:rPr>
        <w:t>, </w:t>
      </w:r>
      <w:r w:rsidRPr="00171C29">
        <w:rPr>
          <w:rFonts w:asciiTheme="minorBidi" w:hAnsiTheme="minorBidi"/>
          <w:i/>
          <w:iCs/>
          <w:sz w:val="22"/>
          <w:szCs w:val="22"/>
        </w:rPr>
        <w:t>10</w:t>
      </w:r>
      <w:r w:rsidRPr="00171C29">
        <w:rPr>
          <w:rFonts w:asciiTheme="minorBidi" w:hAnsiTheme="minorBidi"/>
          <w:sz w:val="22"/>
          <w:szCs w:val="22"/>
        </w:rPr>
        <w:t>(8), 297-309.</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Westerhof, G. J. (2022). A narrative approach to subjective views of aging: Building new narratives of aging on the diverse lived experience of growing old. In </w:t>
      </w:r>
      <w:r w:rsidRPr="00171C29">
        <w:rPr>
          <w:rFonts w:asciiTheme="minorBidi" w:hAnsiTheme="minorBidi"/>
          <w:i/>
          <w:iCs/>
          <w:sz w:val="22"/>
          <w:szCs w:val="22"/>
        </w:rPr>
        <w:t>Subjective views of aging: Theory, research, and practice</w:t>
      </w:r>
      <w:r w:rsidRPr="00171C29">
        <w:rPr>
          <w:rFonts w:asciiTheme="minorBidi" w:hAnsiTheme="minorBidi"/>
          <w:sz w:val="22"/>
          <w:szCs w:val="22"/>
        </w:rPr>
        <w:t> (pp. 329-345). Cham: Springer International Publishing.</w:t>
      </w:r>
    </w:p>
    <w:p w:rsidR="009853DC" w:rsidRPr="00171C29" w:rsidRDefault="009853DC" w:rsidP="00171C29">
      <w:pPr>
        <w:spacing w:line="360" w:lineRule="auto"/>
        <w:ind w:left="720" w:hanging="720"/>
        <w:rPr>
          <w:rFonts w:asciiTheme="minorBidi" w:hAnsiTheme="minorBidi"/>
          <w:sz w:val="22"/>
          <w:szCs w:val="22"/>
        </w:rPr>
      </w:pPr>
      <w:r w:rsidRPr="00171C29">
        <w:rPr>
          <w:rFonts w:asciiTheme="minorBidi" w:hAnsiTheme="minorBidi"/>
          <w:sz w:val="22"/>
          <w:szCs w:val="22"/>
        </w:rPr>
        <w:t>Westerhof, G. J., Nehrkorn-Bailey, A. M., Tseng, H. Y., Brothers, A., Siebert, J. S., Wurm, S., ... &amp; Diehl, M. (2023). Longitudinal effects of subjective aging on health and longevity: An updated meta-analysis. </w:t>
      </w:r>
      <w:r w:rsidRPr="00171C29">
        <w:rPr>
          <w:rFonts w:asciiTheme="minorBidi" w:hAnsiTheme="minorBidi"/>
          <w:i/>
          <w:iCs/>
          <w:sz w:val="22"/>
          <w:szCs w:val="22"/>
        </w:rPr>
        <w:t>Psychology and aging</w:t>
      </w:r>
      <w:r w:rsidRPr="00171C29">
        <w:rPr>
          <w:rFonts w:asciiTheme="minorBidi" w:hAnsiTheme="minorBidi"/>
          <w:sz w:val="22"/>
          <w:szCs w:val="22"/>
        </w:rPr>
        <w:t>, </w:t>
      </w:r>
      <w:r w:rsidRPr="00171C29">
        <w:rPr>
          <w:rFonts w:asciiTheme="minorBidi" w:hAnsiTheme="minorBidi"/>
          <w:i/>
          <w:iCs/>
          <w:sz w:val="22"/>
          <w:szCs w:val="22"/>
        </w:rPr>
        <w:t>38</w:t>
      </w:r>
      <w:r w:rsidRPr="00171C29">
        <w:rPr>
          <w:rFonts w:asciiTheme="minorBidi" w:hAnsiTheme="minorBidi"/>
          <w:sz w:val="22"/>
          <w:szCs w:val="22"/>
        </w:rPr>
        <w:t>(3), 147.</w:t>
      </w:r>
    </w:p>
    <w:p w:rsidR="000B2E83" w:rsidRPr="00171C29" w:rsidRDefault="000B2E83" w:rsidP="00171C29">
      <w:pPr>
        <w:spacing w:line="360" w:lineRule="auto"/>
        <w:rPr>
          <w:rFonts w:asciiTheme="minorBidi" w:hAnsiTheme="minorBidi"/>
          <w:sz w:val="22"/>
          <w:szCs w:val="22"/>
        </w:rPr>
      </w:pPr>
      <w:r w:rsidRPr="00171C29">
        <w:rPr>
          <w:rFonts w:asciiTheme="minorBidi" w:hAnsiTheme="minorBidi"/>
          <w:sz w:val="22"/>
          <w:szCs w:val="22"/>
        </w:rPr>
        <w:br w:type="page"/>
      </w:r>
    </w:p>
    <w:p w:rsidR="000B2E83" w:rsidRPr="00171C29" w:rsidRDefault="000B2E83" w:rsidP="00171C29">
      <w:pPr>
        <w:spacing w:line="360" w:lineRule="auto"/>
        <w:rPr>
          <w:rFonts w:asciiTheme="minorBidi" w:hAnsiTheme="minorBidi"/>
          <w:sz w:val="22"/>
          <w:szCs w:val="22"/>
        </w:rPr>
      </w:pPr>
      <w:r w:rsidRPr="00171C29">
        <w:rPr>
          <w:rFonts w:asciiTheme="minorBidi" w:hAnsiTheme="minorBidi"/>
          <w:sz w:val="22"/>
          <w:szCs w:val="22"/>
        </w:rPr>
        <w:lastRenderedPageBreak/>
        <w:br w:type="page"/>
      </w:r>
    </w:p>
    <w:p w:rsidR="000B2E83" w:rsidRPr="00171C29" w:rsidRDefault="000B2E83" w:rsidP="00171C29">
      <w:pPr>
        <w:spacing w:line="360" w:lineRule="auto"/>
        <w:rPr>
          <w:rFonts w:asciiTheme="minorBidi" w:hAnsiTheme="minorBidi"/>
          <w:sz w:val="22"/>
          <w:szCs w:val="22"/>
        </w:rPr>
      </w:pPr>
      <w:r w:rsidRPr="00171C29">
        <w:rPr>
          <w:rFonts w:asciiTheme="minorBidi" w:hAnsiTheme="minorBidi"/>
          <w:sz w:val="22"/>
          <w:szCs w:val="22"/>
        </w:rPr>
        <w:lastRenderedPageBreak/>
        <w:br w:type="page"/>
      </w:r>
    </w:p>
    <w:sectPr w:rsidR="000B2E83" w:rsidRPr="00171C29" w:rsidSect="008E1505">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DC3" w:rsidRDefault="008F0DC3" w:rsidP="00F114EC">
      <w:pPr>
        <w:spacing w:after="0" w:line="240" w:lineRule="auto"/>
      </w:pPr>
      <w:r>
        <w:separator/>
      </w:r>
    </w:p>
  </w:endnote>
  <w:endnote w:type="continuationSeparator" w:id="0">
    <w:p w:rsidR="008F0DC3" w:rsidRDefault="008F0DC3" w:rsidP="00F114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BoldMT">
    <w:altName w:val="Arial"/>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843453"/>
      <w:docPartObj>
        <w:docPartGallery w:val="Page Numbers (Bottom of Page)"/>
        <w:docPartUnique/>
      </w:docPartObj>
    </w:sdtPr>
    <w:sdtEndPr>
      <w:rPr>
        <w:color w:val="7F7F7F" w:themeColor="background1" w:themeShade="7F"/>
        <w:spacing w:val="60"/>
      </w:rPr>
    </w:sdtEndPr>
    <w:sdtContent>
      <w:p w:rsidR="00F114EC" w:rsidRDefault="00F114EC">
        <w:pPr>
          <w:pStyle w:val="Footer"/>
          <w:pBdr>
            <w:top w:val="single" w:sz="4" w:space="1" w:color="D9D9D9" w:themeColor="background1" w:themeShade="D9"/>
          </w:pBdr>
          <w:jc w:val="right"/>
        </w:pPr>
        <w:fldSimple w:instr=" PAGE   \* MERGEFORMAT ">
          <w:r>
            <w:rPr>
              <w:noProof/>
            </w:rPr>
            <w:t>1</w:t>
          </w:r>
        </w:fldSimple>
        <w:r>
          <w:t xml:space="preserve"> | </w:t>
        </w:r>
        <w:r>
          <w:rPr>
            <w:color w:val="7F7F7F" w:themeColor="background1" w:themeShade="7F"/>
            <w:spacing w:val="60"/>
          </w:rPr>
          <w:t>Page</w:t>
        </w:r>
      </w:p>
    </w:sdtContent>
  </w:sdt>
  <w:p w:rsidR="00F114EC" w:rsidRDefault="00F114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DC3" w:rsidRDefault="008F0DC3" w:rsidP="00F114EC">
      <w:pPr>
        <w:spacing w:after="0" w:line="240" w:lineRule="auto"/>
      </w:pPr>
      <w:r>
        <w:separator/>
      </w:r>
    </w:p>
  </w:footnote>
  <w:footnote w:type="continuationSeparator" w:id="0">
    <w:p w:rsidR="008F0DC3" w:rsidRDefault="008F0DC3" w:rsidP="00F114E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AA5008"/>
    <w:rsid w:val="00024F8F"/>
    <w:rsid w:val="000B2E83"/>
    <w:rsid w:val="00171C29"/>
    <w:rsid w:val="00202EE6"/>
    <w:rsid w:val="00471F5D"/>
    <w:rsid w:val="005F074D"/>
    <w:rsid w:val="006752CF"/>
    <w:rsid w:val="00731959"/>
    <w:rsid w:val="008E1505"/>
    <w:rsid w:val="008F0DC3"/>
    <w:rsid w:val="009853DC"/>
    <w:rsid w:val="00AA5008"/>
    <w:rsid w:val="00D03E0D"/>
    <w:rsid w:val="00EE2D6F"/>
    <w:rsid w:val="00F114EC"/>
    <w:rsid w:val="00F708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F5D"/>
  </w:style>
  <w:style w:type="paragraph" w:styleId="Heading1">
    <w:name w:val="heading 1"/>
    <w:basedOn w:val="Normal"/>
    <w:next w:val="Normal"/>
    <w:link w:val="Heading1Char"/>
    <w:uiPriority w:val="9"/>
    <w:qFormat/>
    <w:rsid w:val="00AA50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50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0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0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0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0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0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0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0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50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0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0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0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0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0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0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008"/>
    <w:rPr>
      <w:rFonts w:eastAsiaTheme="majorEastAsia" w:cstheme="majorBidi"/>
      <w:color w:val="272727" w:themeColor="text1" w:themeTint="D8"/>
    </w:rPr>
  </w:style>
  <w:style w:type="paragraph" w:styleId="Title">
    <w:name w:val="Title"/>
    <w:basedOn w:val="Normal"/>
    <w:next w:val="Normal"/>
    <w:link w:val="TitleChar"/>
    <w:uiPriority w:val="10"/>
    <w:qFormat/>
    <w:rsid w:val="00AA5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0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0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0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008"/>
    <w:pPr>
      <w:spacing w:before="160"/>
      <w:jc w:val="center"/>
    </w:pPr>
    <w:rPr>
      <w:i/>
      <w:iCs/>
      <w:color w:val="404040" w:themeColor="text1" w:themeTint="BF"/>
    </w:rPr>
  </w:style>
  <w:style w:type="character" w:customStyle="1" w:styleId="QuoteChar">
    <w:name w:val="Quote Char"/>
    <w:basedOn w:val="DefaultParagraphFont"/>
    <w:link w:val="Quote"/>
    <w:uiPriority w:val="29"/>
    <w:rsid w:val="00AA5008"/>
    <w:rPr>
      <w:i/>
      <w:iCs/>
      <w:color w:val="404040" w:themeColor="text1" w:themeTint="BF"/>
    </w:rPr>
  </w:style>
  <w:style w:type="paragraph" w:styleId="ListParagraph">
    <w:name w:val="List Paragraph"/>
    <w:basedOn w:val="Normal"/>
    <w:uiPriority w:val="34"/>
    <w:qFormat/>
    <w:rsid w:val="00AA5008"/>
    <w:pPr>
      <w:ind w:left="720"/>
      <w:contextualSpacing/>
    </w:pPr>
  </w:style>
  <w:style w:type="character" w:styleId="IntenseEmphasis">
    <w:name w:val="Intense Emphasis"/>
    <w:basedOn w:val="DefaultParagraphFont"/>
    <w:uiPriority w:val="21"/>
    <w:qFormat/>
    <w:rsid w:val="00AA5008"/>
    <w:rPr>
      <w:i/>
      <w:iCs/>
      <w:color w:val="0F4761" w:themeColor="accent1" w:themeShade="BF"/>
    </w:rPr>
  </w:style>
  <w:style w:type="paragraph" w:styleId="IntenseQuote">
    <w:name w:val="Intense Quote"/>
    <w:basedOn w:val="Normal"/>
    <w:next w:val="Normal"/>
    <w:link w:val="IntenseQuoteChar"/>
    <w:uiPriority w:val="30"/>
    <w:qFormat/>
    <w:rsid w:val="00AA50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008"/>
    <w:rPr>
      <w:i/>
      <w:iCs/>
      <w:color w:val="0F4761" w:themeColor="accent1" w:themeShade="BF"/>
    </w:rPr>
  </w:style>
  <w:style w:type="character" w:styleId="IntenseReference">
    <w:name w:val="Intense Reference"/>
    <w:basedOn w:val="DefaultParagraphFont"/>
    <w:uiPriority w:val="32"/>
    <w:qFormat/>
    <w:rsid w:val="00AA5008"/>
    <w:rPr>
      <w:b/>
      <w:bCs/>
      <w:smallCaps/>
      <w:color w:val="0F4761" w:themeColor="accent1" w:themeShade="BF"/>
      <w:spacing w:val="5"/>
    </w:rPr>
  </w:style>
  <w:style w:type="character" w:customStyle="1" w:styleId="fontstyle01">
    <w:name w:val="fontstyle01"/>
    <w:basedOn w:val="DefaultParagraphFont"/>
    <w:rsid w:val="009853DC"/>
    <w:rPr>
      <w:rFonts w:ascii="Arial-BoldMT" w:hAnsi="Arial-BoldMT" w:hint="default"/>
      <w:b/>
      <w:bCs/>
      <w:i w:val="0"/>
      <w:iCs w:val="0"/>
      <w:color w:val="000000"/>
      <w:sz w:val="22"/>
      <w:szCs w:val="22"/>
    </w:rPr>
  </w:style>
  <w:style w:type="paragraph" w:styleId="TOCHeading">
    <w:name w:val="TOC Heading"/>
    <w:basedOn w:val="Heading1"/>
    <w:next w:val="Normal"/>
    <w:uiPriority w:val="39"/>
    <w:unhideWhenUsed/>
    <w:qFormat/>
    <w:rsid w:val="00171C29"/>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171C29"/>
    <w:pPr>
      <w:spacing w:after="100"/>
    </w:pPr>
  </w:style>
  <w:style w:type="paragraph" w:styleId="TOC2">
    <w:name w:val="toc 2"/>
    <w:basedOn w:val="Normal"/>
    <w:next w:val="Normal"/>
    <w:autoRedefine/>
    <w:uiPriority w:val="39"/>
    <w:unhideWhenUsed/>
    <w:rsid w:val="00171C29"/>
    <w:pPr>
      <w:spacing w:after="100"/>
      <w:ind w:left="240"/>
    </w:pPr>
  </w:style>
  <w:style w:type="character" w:styleId="Hyperlink">
    <w:name w:val="Hyperlink"/>
    <w:basedOn w:val="DefaultParagraphFont"/>
    <w:uiPriority w:val="99"/>
    <w:unhideWhenUsed/>
    <w:rsid w:val="00171C29"/>
    <w:rPr>
      <w:color w:val="467886" w:themeColor="hyperlink"/>
      <w:u w:val="single"/>
    </w:rPr>
  </w:style>
  <w:style w:type="paragraph" w:styleId="BalloonText">
    <w:name w:val="Balloon Text"/>
    <w:basedOn w:val="Normal"/>
    <w:link w:val="BalloonTextChar"/>
    <w:uiPriority w:val="99"/>
    <w:semiHidden/>
    <w:unhideWhenUsed/>
    <w:rsid w:val="00F1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4EC"/>
    <w:rPr>
      <w:rFonts w:ascii="Tahoma" w:hAnsi="Tahoma" w:cs="Tahoma"/>
      <w:sz w:val="16"/>
      <w:szCs w:val="16"/>
    </w:rPr>
  </w:style>
  <w:style w:type="paragraph" w:styleId="Header">
    <w:name w:val="header"/>
    <w:basedOn w:val="Normal"/>
    <w:link w:val="HeaderChar"/>
    <w:uiPriority w:val="99"/>
    <w:semiHidden/>
    <w:unhideWhenUsed/>
    <w:rsid w:val="00F114EC"/>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F114EC"/>
  </w:style>
  <w:style w:type="paragraph" w:styleId="Footer">
    <w:name w:val="footer"/>
    <w:basedOn w:val="Normal"/>
    <w:link w:val="FooterChar"/>
    <w:uiPriority w:val="99"/>
    <w:unhideWhenUsed/>
    <w:rsid w:val="00F114EC"/>
    <w:pPr>
      <w:tabs>
        <w:tab w:val="center" w:pos="4819"/>
        <w:tab w:val="right" w:pos="9638"/>
      </w:tabs>
      <w:spacing w:after="0" w:line="240" w:lineRule="auto"/>
    </w:pPr>
  </w:style>
  <w:style w:type="character" w:customStyle="1" w:styleId="FooterChar">
    <w:name w:val="Footer Char"/>
    <w:basedOn w:val="DefaultParagraphFont"/>
    <w:link w:val="Footer"/>
    <w:uiPriority w:val="99"/>
    <w:rsid w:val="00F114E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2160</Words>
  <Characters>12550</Characters>
  <Application>Microsoft Office Word</Application>
  <DocSecurity>0</DocSecurity>
  <Lines>278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Marin</cp:lastModifiedBy>
  <cp:revision>3</cp:revision>
  <dcterms:created xsi:type="dcterms:W3CDTF">2025-11-30T16:21:00Z</dcterms:created>
  <dcterms:modified xsi:type="dcterms:W3CDTF">2025-12-09T17:36:00Z</dcterms:modified>
</cp:coreProperties>
</file>