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53C552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756DA">
              <w:rPr>
                <w:rFonts w:ascii="Times New Roman" w:hAnsi="Times New Roman" w:cs="Times New Roman"/>
                <w:b/>
                <w:color w:val="auto"/>
                <w:sz w:val="48"/>
              </w:rPr>
              <w:t>Karma Riddell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BE40E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974418">
              <w:rPr>
                <w:rFonts w:ascii="Times New Roman" w:hAnsi="Times New Roman" w:cs="Times New Roman"/>
                <w:b/>
                <w:color w:val="auto"/>
                <w:sz w:val="48"/>
              </w:rPr>
              <w:t>2518487@student.uwtsd.ac.uk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EFCE5C7" w:rsidR="0085230E" w:rsidRPr="005D3F07" w:rsidRDefault="0097441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2518487</w:t>
            </w: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5E59FBAD" w14:textId="77777777" w:rsidR="00D21EF5" w:rsidRDefault="00D21EF5" w:rsidP="00FF7EBB">
            <w:pPr>
              <w:jc w:val="both"/>
              <w:rPr>
                <w:sz w:val="24"/>
                <w:szCs w:val="24"/>
              </w:rPr>
            </w:pPr>
          </w:p>
          <w:p w14:paraId="1B253FC0" w14:textId="77777777" w:rsidR="00F7605D" w:rsidRPr="00643012" w:rsidRDefault="00F7605D" w:rsidP="00F7605D">
            <w:pPr>
              <w:pStyle w:val="paragraph"/>
              <w:spacing w:before="0" w:beforeAutospacing="0" w:after="0" w:afterAutospacing="0"/>
              <w:textAlignment w:val="baseline"/>
              <w:rPr>
                <w:rFonts w:ascii="Cambria" w:hAnsi="Cambria" w:cs="Segoe UI"/>
                <w:sz w:val="22"/>
                <w:szCs w:val="22"/>
                <w:lang w:val="en-US"/>
              </w:rPr>
            </w:pPr>
            <w:r>
              <w:rPr>
                <w:rStyle w:val="normaltextrun"/>
                <w:rFonts w:ascii="Cambria" w:hAnsi="Cambria" w:cs="Segoe UI"/>
                <w:sz w:val="22"/>
                <w:szCs w:val="22"/>
                <w:lang w:val="en-US"/>
              </w:rPr>
              <w:t xml:space="preserve">My primary area of practice is adult social </w:t>
            </w:r>
            <w:proofErr w:type="gramStart"/>
            <w:r>
              <w:rPr>
                <w:rStyle w:val="normaltextrun"/>
                <w:rFonts w:ascii="Cambria" w:hAnsi="Cambria" w:cs="Segoe UI"/>
                <w:sz w:val="22"/>
                <w:szCs w:val="22"/>
                <w:lang w:val="en-US"/>
              </w:rPr>
              <w:t>care,</w:t>
            </w:r>
            <w:proofErr w:type="gramEnd"/>
            <w:r>
              <w:rPr>
                <w:rStyle w:val="normaltextrun"/>
                <w:rFonts w:ascii="Cambria" w:hAnsi="Cambria" w:cs="Segoe UI"/>
                <w:sz w:val="22"/>
                <w:szCs w:val="22"/>
                <w:lang w:val="en-US"/>
              </w:rPr>
              <w:t xml:space="preserve"> it is important that I understand the safeguarding framework for children and young people. Safeguarding responsibilities </w:t>
            </w:r>
            <w:proofErr w:type="gramStart"/>
            <w:r>
              <w:rPr>
                <w:rStyle w:val="normaltextrun"/>
                <w:rFonts w:ascii="Cambria" w:hAnsi="Cambria" w:cs="Segoe UI"/>
                <w:sz w:val="22"/>
                <w:szCs w:val="22"/>
                <w:lang w:val="en-US"/>
              </w:rPr>
              <w:t>extend</w:t>
            </w:r>
            <w:proofErr w:type="gramEnd"/>
            <w:r>
              <w:rPr>
                <w:rStyle w:val="normaltextrun"/>
                <w:rFonts w:ascii="Cambria" w:hAnsi="Cambria" w:cs="Segoe UI"/>
                <w:sz w:val="22"/>
                <w:szCs w:val="22"/>
                <w:lang w:val="en-US"/>
              </w:rPr>
              <w:t xml:space="preserve"> across all services and working with adults I may come across situations where children are at risk, it is important to have </w:t>
            </w:r>
            <w:proofErr w:type="gramStart"/>
            <w:r>
              <w:rPr>
                <w:rStyle w:val="normaltextrun"/>
                <w:rFonts w:ascii="Cambria" w:hAnsi="Cambria" w:cs="Segoe UI"/>
                <w:sz w:val="22"/>
                <w:szCs w:val="22"/>
                <w:lang w:val="en-US"/>
              </w:rPr>
              <w:t>an  understanding</w:t>
            </w:r>
            <w:proofErr w:type="gramEnd"/>
            <w:r>
              <w:rPr>
                <w:rStyle w:val="normaltextrun"/>
                <w:rFonts w:ascii="Cambria" w:hAnsi="Cambria" w:cs="Segoe UI"/>
                <w:sz w:val="22"/>
                <w:szCs w:val="22"/>
                <w:lang w:val="en-US"/>
              </w:rPr>
              <w:t xml:space="preserve"> of the Child safeguarding procedures. </w:t>
            </w:r>
          </w:p>
          <w:p w14:paraId="7F0B76E6" w14:textId="77777777" w:rsidR="00F7605D" w:rsidRDefault="00F7605D" w:rsidP="00F7605D">
            <w:pPr>
              <w:pStyle w:val="paragraph"/>
              <w:spacing w:before="0" w:beforeAutospacing="0" w:after="0" w:afterAutospacing="0"/>
              <w:textAlignment w:val="baseline"/>
              <w:rPr>
                <w:rStyle w:val="normaltextrun"/>
                <w:rFonts w:ascii="Cambria" w:hAnsi="Cambria" w:cs="Segoe UI"/>
                <w:sz w:val="22"/>
                <w:szCs w:val="22"/>
                <w:lang w:val="en-US"/>
              </w:rPr>
            </w:pPr>
          </w:p>
          <w:p w14:paraId="75DD40B3" w14:textId="77777777" w:rsidR="00F7605D" w:rsidRDefault="00F7605D" w:rsidP="00F7605D">
            <w:pPr>
              <w:pStyle w:val="paragraph"/>
              <w:spacing w:before="0" w:beforeAutospacing="0" w:after="0" w:afterAutospacing="0"/>
              <w:textAlignment w:val="baseline"/>
              <w:rPr>
                <w:rStyle w:val="eop"/>
                <w:rFonts w:ascii="Cambria" w:hAnsi="Cambria" w:cs="Segoe UI"/>
                <w:sz w:val="22"/>
                <w:szCs w:val="22"/>
                <w:bdr w:val="none" w:sz="0" w:space="0" w:color="auto" w:frame="1"/>
                <w:shd w:val="clear" w:color="auto" w:fill="C6C6C6"/>
              </w:rPr>
            </w:pPr>
            <w:r>
              <w:rPr>
                <w:rStyle w:val="normaltextrun"/>
                <w:rFonts w:ascii="Cambria" w:hAnsi="Cambria" w:cs="Segoe UI"/>
                <w:sz w:val="22"/>
                <w:szCs w:val="22"/>
                <w:lang w:val="en-US"/>
              </w:rPr>
              <w:t>The legislation underpinning safeguarding children in Wales is the Social Services and Well-being (Wales) Act 2014 (SSWBA). Section 130 places a duty on agencies such as health, education and police services, to inform the local authority where they have reasonable cause to suspect a child is at risk. The SSWBA sits alongside the Children Act 1989, Section 17 places a duty on local authorities to safeguard and promote the welfare of children in need, Section 47 requires local authorities to undertake enquiries where there is reasonable cause to suspect a child is suffering, or likely to suffer, significant harm. SSWBA 2014 promotes a child centered approach while promoting welfare and protecting them from harm.</w:t>
            </w:r>
            <w:r>
              <w:rPr>
                <w:rStyle w:val="eop"/>
                <w:rFonts w:ascii="Cambria" w:hAnsi="Cambria" w:cs="Segoe UI"/>
                <w:sz w:val="22"/>
                <w:szCs w:val="22"/>
                <w:bdr w:val="none" w:sz="0" w:space="0" w:color="auto" w:frame="1"/>
                <w:shd w:val="clear" w:color="auto" w:fill="C6C6C6"/>
              </w:rPr>
              <w:t> </w:t>
            </w:r>
          </w:p>
          <w:p w14:paraId="440809A4" w14:textId="77777777" w:rsidR="00F7605D" w:rsidRDefault="00F7605D" w:rsidP="00F7605D">
            <w:pPr>
              <w:pStyle w:val="paragraph"/>
              <w:spacing w:before="0" w:beforeAutospacing="0" w:after="0" w:afterAutospacing="0"/>
              <w:textAlignment w:val="baseline"/>
              <w:rPr>
                <w:rFonts w:ascii="Segoe UI" w:hAnsi="Segoe UI" w:cs="Segoe UI"/>
                <w:sz w:val="18"/>
                <w:szCs w:val="18"/>
              </w:rPr>
            </w:pPr>
          </w:p>
          <w:p w14:paraId="0366A0BD" w14:textId="77777777" w:rsidR="00F7605D" w:rsidRDefault="00F7605D" w:rsidP="00F7605D">
            <w:pPr>
              <w:pStyle w:val="paragraph"/>
              <w:spacing w:before="0" w:beforeAutospacing="0" w:after="0" w:afterAutospacing="0"/>
              <w:textAlignment w:val="baseline"/>
              <w:rPr>
                <w:rStyle w:val="eop"/>
                <w:rFonts w:ascii="Cambria" w:hAnsi="Cambria" w:cs="Segoe UI"/>
                <w:sz w:val="22"/>
                <w:szCs w:val="22"/>
                <w:bdr w:val="none" w:sz="0" w:space="0" w:color="auto" w:frame="1"/>
                <w:shd w:val="clear" w:color="auto" w:fill="C6C6C6"/>
              </w:rPr>
            </w:pPr>
            <w:r>
              <w:rPr>
                <w:rStyle w:val="normaltextrun"/>
                <w:rFonts w:ascii="Cambria" w:hAnsi="Cambria" w:cs="Segoe UI"/>
                <w:sz w:val="22"/>
                <w:szCs w:val="22"/>
                <w:lang w:val="en-US"/>
              </w:rPr>
              <w:t xml:space="preserve">Where there are concerns that a child is suffering, or is likely to </w:t>
            </w:r>
            <w:proofErr w:type="gramStart"/>
            <w:r>
              <w:rPr>
                <w:rStyle w:val="normaltextrun"/>
                <w:rFonts w:ascii="Cambria" w:hAnsi="Cambria" w:cs="Segoe UI"/>
                <w:sz w:val="22"/>
                <w:szCs w:val="22"/>
                <w:lang w:val="en-US"/>
              </w:rPr>
              <w:t>suffer,</w:t>
            </w:r>
            <w:proofErr w:type="gramEnd"/>
            <w:r>
              <w:rPr>
                <w:rStyle w:val="normaltextrun"/>
                <w:rFonts w:ascii="Cambria" w:hAnsi="Cambria" w:cs="Segoe UI"/>
                <w:sz w:val="22"/>
                <w:szCs w:val="22"/>
                <w:lang w:val="en-US"/>
              </w:rPr>
              <w:t xml:space="preserve"> significant harm, local authorities must conduct Section 47 enquiries. A decision on whether to initiate or continue enquiries should be made within one working day of a strategy discussion. Enquiries should be completed within ten working days, and where risks are identified an Initial Child Protection Conference should be convened. Within our local authority, the conference is expected to take place within fifteen working days of the </w:t>
            </w:r>
            <w:r>
              <w:rPr>
                <w:rStyle w:val="normaltextrun"/>
                <w:rFonts w:ascii="Cambria" w:hAnsi="Cambria" w:cs="Segoe UI"/>
                <w:sz w:val="22"/>
                <w:szCs w:val="22"/>
                <w:lang w:val="en-US"/>
              </w:rPr>
              <w:lastRenderedPageBreak/>
              <w:t>strategy decision to proceed to Section 47 enquiries. If enquiries identify no ongoing risk of significant harm, this should be clearly recorded and communicated to the family. These duties fall under Section 76 of the SSWBA 2014 and the Wales Safeguarding Procedures.</w:t>
            </w:r>
            <w:r>
              <w:rPr>
                <w:rStyle w:val="eop"/>
                <w:rFonts w:ascii="Cambria" w:hAnsi="Cambria" w:cs="Segoe UI"/>
                <w:sz w:val="22"/>
                <w:szCs w:val="22"/>
                <w:bdr w:val="none" w:sz="0" w:space="0" w:color="auto" w:frame="1"/>
                <w:shd w:val="clear" w:color="auto" w:fill="C6C6C6"/>
              </w:rPr>
              <w:t> </w:t>
            </w:r>
          </w:p>
          <w:p w14:paraId="13312311" w14:textId="77777777" w:rsidR="00F7605D" w:rsidRDefault="00F7605D" w:rsidP="00F7605D">
            <w:pPr>
              <w:pStyle w:val="paragraph"/>
              <w:spacing w:before="0" w:beforeAutospacing="0" w:after="0" w:afterAutospacing="0"/>
              <w:textAlignment w:val="baseline"/>
              <w:rPr>
                <w:rFonts w:ascii="Segoe UI" w:hAnsi="Segoe UI" w:cs="Segoe UI"/>
                <w:sz w:val="18"/>
                <w:szCs w:val="18"/>
              </w:rPr>
            </w:pPr>
          </w:p>
          <w:p w14:paraId="5F1B03B0" w14:textId="77777777" w:rsidR="00F7605D" w:rsidRPr="006462AB" w:rsidRDefault="00F7605D" w:rsidP="00F7605D">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mbria" w:hAnsi="Cambria" w:cs="Segoe UI"/>
                <w:sz w:val="22"/>
                <w:szCs w:val="22"/>
                <w:lang w:val="en-US"/>
              </w:rPr>
              <w:t>The Act also promotes advocacy. Children and young people who become subject to child protection enquiries leading to an Initial Child Protection Conference are entitled to advocacy from an Independent Professional Advocate (IPA). Advocacy supports children to express their views, wishes and feelings, helps understand their lived experiences, and ensures that personal outcomes remain child centered.</w:t>
            </w:r>
          </w:p>
          <w:p w14:paraId="2A695FD7" w14:textId="77777777" w:rsidR="00F7605D" w:rsidRDefault="00F7605D" w:rsidP="00F7605D">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sz w:val="22"/>
                <w:szCs w:val="22"/>
              </w:rPr>
              <w:t> </w:t>
            </w:r>
          </w:p>
          <w:p w14:paraId="278E79F9" w14:textId="77777777" w:rsidR="00F7605D" w:rsidRDefault="00F7605D" w:rsidP="00F7605D">
            <w:pPr>
              <w:pStyle w:val="paragraph"/>
              <w:spacing w:before="0" w:beforeAutospacing="0" w:after="0" w:afterAutospacing="0"/>
              <w:textAlignment w:val="baseline"/>
              <w:rPr>
                <w:rStyle w:val="eop"/>
                <w:rFonts w:ascii="Cambria" w:hAnsi="Cambria" w:cs="Segoe UI"/>
                <w:sz w:val="22"/>
                <w:szCs w:val="22"/>
                <w:bdr w:val="none" w:sz="0" w:space="0" w:color="auto" w:frame="1"/>
                <w:shd w:val="clear" w:color="auto" w:fill="C6C6C6"/>
              </w:rPr>
            </w:pPr>
            <w:r>
              <w:rPr>
                <w:rStyle w:val="normaltextrun"/>
                <w:rFonts w:ascii="Cambria" w:hAnsi="Cambria" w:cs="Segoe UI"/>
                <w:sz w:val="22"/>
                <w:szCs w:val="22"/>
                <w:lang w:val="en-US"/>
              </w:rPr>
              <w:t xml:space="preserve">Safeguarding practice is further informed by the United Nations Convention on the Rights of the Child (UNCRC), </w:t>
            </w:r>
            <w:proofErr w:type="spellStart"/>
            <w:r>
              <w:rPr>
                <w:rStyle w:val="normaltextrun"/>
                <w:rFonts w:ascii="Cambria" w:hAnsi="Cambria" w:cs="Segoe UI"/>
                <w:sz w:val="22"/>
                <w:szCs w:val="22"/>
                <w:lang w:val="en-US"/>
              </w:rPr>
              <w:t>recognising</w:t>
            </w:r>
            <w:proofErr w:type="spellEnd"/>
            <w:r>
              <w:rPr>
                <w:rStyle w:val="normaltextrun"/>
                <w:rFonts w:ascii="Cambria" w:hAnsi="Cambria" w:cs="Segoe UI"/>
                <w:sz w:val="22"/>
                <w:szCs w:val="22"/>
                <w:lang w:val="en-US"/>
              </w:rPr>
              <w:t xml:space="preserve"> children's rights to protection, participation and development. The European Convention on Human Rights protects the rights to life, freedom from inhuman or degrading treatment, liberty, and respect for private and family life. The United Nations Convention on the Rights of Persons with Disabilities is also relevant for disabled children, ensuring equal access to protection and services.</w:t>
            </w:r>
            <w:r>
              <w:rPr>
                <w:rStyle w:val="eop"/>
                <w:rFonts w:ascii="Cambria" w:hAnsi="Cambria" w:cs="Segoe UI"/>
                <w:sz w:val="22"/>
                <w:szCs w:val="22"/>
                <w:bdr w:val="none" w:sz="0" w:space="0" w:color="auto" w:frame="1"/>
                <w:shd w:val="clear" w:color="auto" w:fill="C6C6C6"/>
              </w:rPr>
              <w:t> </w:t>
            </w:r>
          </w:p>
          <w:p w14:paraId="1FEA0825" w14:textId="77777777" w:rsidR="00F7605D" w:rsidRDefault="00F7605D" w:rsidP="00F7605D">
            <w:pPr>
              <w:pStyle w:val="paragraph"/>
              <w:spacing w:before="0" w:beforeAutospacing="0" w:after="0" w:afterAutospacing="0"/>
              <w:textAlignment w:val="baseline"/>
              <w:rPr>
                <w:rFonts w:ascii="Segoe UI" w:hAnsi="Segoe UI" w:cs="Segoe UI"/>
                <w:sz w:val="18"/>
                <w:szCs w:val="18"/>
              </w:rPr>
            </w:pPr>
          </w:p>
          <w:p w14:paraId="7047403E" w14:textId="77777777" w:rsidR="00F7605D" w:rsidRDefault="00F7605D" w:rsidP="00F7605D">
            <w:pPr>
              <w:pStyle w:val="paragraph"/>
              <w:spacing w:before="0" w:beforeAutospacing="0" w:after="0" w:afterAutospacing="0"/>
              <w:textAlignment w:val="baseline"/>
              <w:rPr>
                <w:rStyle w:val="normaltextrun"/>
                <w:rFonts w:ascii="Cambria" w:hAnsi="Cambria" w:cs="Segoe UI"/>
                <w:sz w:val="22"/>
                <w:szCs w:val="22"/>
                <w:lang w:val="en-US"/>
              </w:rPr>
            </w:pPr>
            <w:r>
              <w:rPr>
                <w:rStyle w:val="normaltextrun"/>
                <w:rFonts w:ascii="Cambria" w:hAnsi="Cambria" w:cs="Segoe UI"/>
                <w:sz w:val="22"/>
                <w:szCs w:val="22"/>
                <w:lang w:val="en-US"/>
              </w:rPr>
              <w:t xml:space="preserve">National guidance is provided through the Wales Safeguarding Procedures 2022, within local authorities safeguarding is coordinated by the reginal Safeguarding Board. Agencies must have safeguarding policies covering reporting concerns, information sharing, DBS checks, training, and record keeping. </w:t>
            </w:r>
          </w:p>
          <w:p w14:paraId="78786B54" w14:textId="77777777" w:rsidR="00F7605D" w:rsidRDefault="00F7605D" w:rsidP="00F7605D">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sz w:val="22"/>
                <w:szCs w:val="22"/>
                <w:lang w:val="en-US"/>
              </w:rPr>
              <w:t xml:space="preserve">Professionals are expected to follow the Social Care Wales Codes of Professional </w:t>
            </w:r>
            <w:proofErr w:type="gramStart"/>
            <w:r>
              <w:rPr>
                <w:rStyle w:val="normaltextrun"/>
                <w:rFonts w:ascii="Cambria" w:hAnsi="Cambria" w:cs="Segoe UI"/>
                <w:sz w:val="22"/>
                <w:szCs w:val="22"/>
                <w:lang w:val="en-US"/>
              </w:rPr>
              <w:t>Practice, and</w:t>
            </w:r>
            <w:proofErr w:type="gramEnd"/>
            <w:r>
              <w:rPr>
                <w:rStyle w:val="normaltextrun"/>
                <w:rFonts w:ascii="Cambria" w:hAnsi="Cambria" w:cs="Segoe UI"/>
                <w:sz w:val="22"/>
                <w:szCs w:val="22"/>
                <w:lang w:val="en-US"/>
              </w:rPr>
              <w:t xml:space="preserve"> follow the More Than Just Words Framework to ensure children can communicate in their preferred language. The Violence Against Women, Domestic Abuse and Sexual Violence (Wales) Act 2015 is also relevant, </w:t>
            </w:r>
            <w:proofErr w:type="spellStart"/>
            <w:r>
              <w:rPr>
                <w:rStyle w:val="normaltextrun"/>
                <w:rFonts w:ascii="Cambria" w:hAnsi="Cambria" w:cs="Segoe UI"/>
                <w:sz w:val="22"/>
                <w:szCs w:val="22"/>
                <w:lang w:val="en-US"/>
              </w:rPr>
              <w:t>recognises</w:t>
            </w:r>
            <w:proofErr w:type="spellEnd"/>
            <w:r>
              <w:rPr>
                <w:rStyle w:val="normaltextrun"/>
                <w:rFonts w:ascii="Cambria" w:hAnsi="Cambria" w:cs="Segoe UI"/>
                <w:sz w:val="22"/>
                <w:szCs w:val="22"/>
                <w:lang w:val="en-US"/>
              </w:rPr>
              <w:t xml:space="preserve"> the impact domestic abuse can have on children's safety and wellbeing. In some cases, safeguarding concerns may progress through family court proceedings, where Section 7 and Section 37 reports may be requested to assist courts in making decisions on outcomes.</w:t>
            </w:r>
          </w:p>
          <w:p w14:paraId="029EA6B7" w14:textId="016B5B2C" w:rsidR="00D21EF5" w:rsidRDefault="00F7605D" w:rsidP="00FF7EBB">
            <w:pPr>
              <w:jc w:val="both"/>
              <w:rPr>
                <w:sz w:val="24"/>
                <w:szCs w:val="24"/>
              </w:rPr>
            </w:pPr>
            <w:r>
              <w:rPr>
                <w:sz w:val="24"/>
                <w:szCs w:val="24"/>
              </w:rPr>
              <w:t>Word count 545</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7FCA339" w14:textId="77777777" w:rsidR="00523614" w:rsidRDefault="00523614" w:rsidP="00523614">
            <w:pPr>
              <w:rPr>
                <w:rStyle w:val="scxw150002216"/>
                <w:rFonts w:ascii="Cambria" w:hAnsi="Cambria"/>
                <w:sz w:val="22"/>
                <w:szCs w:val="22"/>
                <w:shd w:val="clear" w:color="auto" w:fill="FFFFFF"/>
              </w:rPr>
            </w:pPr>
            <w:r>
              <w:rPr>
                <w:rStyle w:val="normaltextrun"/>
                <w:rFonts w:ascii="Cambria" w:hAnsi="Cambria"/>
                <w:sz w:val="22"/>
                <w:szCs w:val="22"/>
                <w:shd w:val="clear" w:color="auto" w:fill="FFFFFF"/>
                <w:lang w:val="en-US"/>
              </w:rPr>
              <w:t xml:space="preserve">Although safeguarding principles are similar across adult and children's services, there are differences in legislation, practice, and professional responsibilities. </w:t>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normaltextrun"/>
                <w:rFonts w:ascii="Cambria" w:hAnsi="Cambria"/>
                <w:sz w:val="22"/>
                <w:szCs w:val="22"/>
                <w:shd w:val="clear" w:color="auto" w:fill="FFFFFF"/>
                <w:lang w:val="en-US"/>
              </w:rPr>
              <w:t xml:space="preserve">In adult social care, safeguarding focuses on protecting adults who have care and support needs and who may be experiencing, or at risk of, abuse or neglect. A key principle is promoting empowerment and respecting the adult's right to make their own decisions wherever they have the mental capacity to do so. Even where professionals are concerned about an individual's safety, the adult's wishes and desired outcomes should remain central to safeguarding interventions. The Mental Capacity Act 2005 and the Social Services and Well-being (Wales) Act 2014 support a strengths-based approach that balances protection with individual autonomy. It is also important to note that adults have a right to make unwise decisions under the Mental Capacity Act 2005. </w:t>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normaltextrun"/>
                <w:rFonts w:ascii="Cambria" w:hAnsi="Cambria"/>
                <w:sz w:val="22"/>
                <w:szCs w:val="22"/>
                <w:shd w:val="clear" w:color="auto" w:fill="FFFFFF"/>
                <w:lang w:val="en-US"/>
              </w:rPr>
              <w:t>Safeguarding children is based on the principle that the child's welfare is paramount. Children are considered vulnerable due to their age and dependence on adults. While children should be listened to and involved in decisions affecting them, professionals have a greater duty to intervene where there are concerns about significant harm. Unlike adult safeguarding, a child's wishes may not determine the outcome if professionals believe that intervention is necessary to protect them. This reflects the responsibility of the local authority to act in the child's best interests.</w:t>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scxw150002216"/>
                <w:rFonts w:ascii="Cambria" w:hAnsi="Cambria"/>
                <w:sz w:val="22"/>
                <w:szCs w:val="22"/>
                <w:shd w:val="clear" w:color="auto" w:fill="FFFFFF"/>
              </w:rPr>
              <w:lastRenderedPageBreak/>
              <w:t> </w:t>
            </w:r>
            <w:r>
              <w:rPr>
                <w:rFonts w:ascii="Cambria" w:hAnsi="Cambria"/>
                <w:sz w:val="22"/>
                <w:szCs w:val="22"/>
                <w:shd w:val="clear" w:color="auto" w:fill="FFFFFF"/>
              </w:rPr>
              <w:br/>
            </w:r>
            <w:r>
              <w:rPr>
                <w:rStyle w:val="normaltextrun"/>
                <w:rFonts w:ascii="Cambria" w:hAnsi="Cambria"/>
                <w:sz w:val="22"/>
                <w:szCs w:val="22"/>
                <w:shd w:val="clear" w:color="auto" w:fill="FFFFFF"/>
                <w:lang w:val="en-US"/>
              </w:rPr>
              <w:t>Another key difference is the threshold for intervention. In adult safeguarding, concerns often arise where an individual has care and support leaving them unable to protect themselves from abuse or neglect. In children's services, intervention is triggered by concerns about a child's welfare, development, or safety, regardless of any disability or care needs. Child protection processes, such as Section 47 enquiries and Child Protection Conferences, provide a structured framework for assessing and managing risk.</w:t>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normaltextrun"/>
                <w:rFonts w:ascii="Cambria" w:hAnsi="Cambria"/>
                <w:sz w:val="22"/>
                <w:szCs w:val="22"/>
                <w:shd w:val="clear" w:color="auto" w:fill="FFFFFF"/>
                <w:lang w:val="en-US"/>
              </w:rPr>
              <w:t xml:space="preserve">Despite these differences, there are important similarities. Both adults and children have the right to be protected from abuse, neglect, discrimination, and exploitation. Effective safeguarding in both areas requires multi-agency </w:t>
            </w:r>
            <w:proofErr w:type="gramStart"/>
            <w:r>
              <w:rPr>
                <w:rStyle w:val="normaltextrun"/>
                <w:rFonts w:ascii="Cambria" w:hAnsi="Cambria"/>
                <w:sz w:val="22"/>
                <w:szCs w:val="22"/>
                <w:shd w:val="clear" w:color="auto" w:fill="FFFFFF"/>
                <w:lang w:val="en-US"/>
              </w:rPr>
              <w:t>working</w:t>
            </w:r>
            <w:proofErr w:type="gramEnd"/>
            <w:r>
              <w:rPr>
                <w:rStyle w:val="normaltextrun"/>
                <w:rFonts w:ascii="Cambria" w:hAnsi="Cambria"/>
                <w:sz w:val="22"/>
                <w:szCs w:val="22"/>
                <w:shd w:val="clear" w:color="auto" w:fill="FFFFFF"/>
                <w:lang w:val="en-US"/>
              </w:rPr>
              <w:t>, information sharing, professional curiosity, and person-centered practice. In both areas, practitioners must ensure that individuals are listened to, treated with dignity and respect, and supported to achieve positive outcomes.</w:t>
            </w:r>
            <w:r>
              <w:rPr>
                <w:rStyle w:val="scxw150002216"/>
                <w:rFonts w:ascii="Cambria" w:hAnsi="Cambria"/>
                <w:sz w:val="22"/>
                <w:szCs w:val="22"/>
                <w:shd w:val="clear" w:color="auto" w:fill="FFFFFF"/>
              </w:rPr>
              <w:t> </w:t>
            </w:r>
          </w:p>
          <w:p w14:paraId="420E8AFD" w14:textId="77777777" w:rsidR="00523614" w:rsidRDefault="00523614" w:rsidP="00523614">
            <w:r>
              <w:rPr>
                <w:rStyle w:val="scxw150002216"/>
                <w:rFonts w:ascii="Cambria" w:hAnsi="Cambria"/>
                <w:sz w:val="22"/>
                <w:szCs w:val="22"/>
                <w:shd w:val="clear" w:color="auto" w:fill="FFFFFF"/>
              </w:rPr>
              <w:t>The</w:t>
            </w:r>
            <w:r>
              <w:rPr>
                <w:rStyle w:val="normaltextrun"/>
                <w:rFonts w:ascii="Cambria" w:hAnsi="Cambria" w:cs="Segoe UI"/>
                <w:sz w:val="22"/>
                <w:szCs w:val="22"/>
                <w:lang w:val="en-US"/>
              </w:rPr>
              <w:t xml:space="preserve"> Social Services and Well-being (Wales) Act 2014 (SSWBA) is the main legislation that places responsibility on the local authorities</w:t>
            </w:r>
            <w:r>
              <w:rPr>
                <w:rStyle w:val="scxw150002216"/>
                <w:rFonts w:ascii="Cambria" w:hAnsi="Cambria"/>
                <w:sz w:val="22"/>
                <w:szCs w:val="22"/>
                <w:shd w:val="clear" w:color="auto" w:fill="FFFFFF"/>
              </w:rPr>
              <w:t xml:space="preserve"> to investigate safeguarding concerns for both children and adults.  </w:t>
            </w:r>
            <w:r>
              <w:rPr>
                <w:rFonts w:ascii="Cambria" w:hAnsi="Cambria"/>
                <w:sz w:val="22"/>
                <w:szCs w:val="22"/>
                <w:shd w:val="clear" w:color="auto" w:fill="FFFFFF"/>
              </w:rPr>
              <w:br/>
            </w:r>
            <w:r>
              <w:rPr>
                <w:rStyle w:val="scxw150002216"/>
                <w:rFonts w:ascii="Cambria" w:hAnsi="Cambria"/>
                <w:sz w:val="22"/>
                <w:szCs w:val="22"/>
                <w:shd w:val="clear" w:color="auto" w:fill="FFFFFF"/>
              </w:rPr>
              <w:t> </w:t>
            </w:r>
            <w:r>
              <w:rPr>
                <w:rFonts w:ascii="Cambria" w:hAnsi="Cambria"/>
                <w:sz w:val="22"/>
                <w:szCs w:val="22"/>
                <w:shd w:val="clear" w:color="auto" w:fill="FFFFFF"/>
              </w:rPr>
              <w:br/>
            </w:r>
            <w:r>
              <w:rPr>
                <w:rStyle w:val="normaltextrun"/>
                <w:rFonts w:ascii="Cambria" w:hAnsi="Cambria"/>
                <w:sz w:val="22"/>
                <w:szCs w:val="22"/>
                <w:shd w:val="clear" w:color="auto" w:fill="FFFFFF"/>
                <w:lang w:val="en-US"/>
              </w:rPr>
              <w:t xml:space="preserve">Reflecting on my role in adult social care, I </w:t>
            </w:r>
            <w:proofErr w:type="spellStart"/>
            <w:r>
              <w:rPr>
                <w:rStyle w:val="normaltextrun"/>
                <w:rFonts w:ascii="Cambria" w:hAnsi="Cambria"/>
                <w:sz w:val="22"/>
                <w:szCs w:val="22"/>
                <w:shd w:val="clear" w:color="auto" w:fill="FFFFFF"/>
                <w:lang w:val="en-US"/>
              </w:rPr>
              <w:t>recognise</w:t>
            </w:r>
            <w:proofErr w:type="spellEnd"/>
            <w:r>
              <w:rPr>
                <w:rStyle w:val="normaltextrun"/>
                <w:rFonts w:ascii="Cambria" w:hAnsi="Cambria"/>
                <w:sz w:val="22"/>
                <w:szCs w:val="22"/>
                <w:shd w:val="clear" w:color="auto" w:fill="FFFFFF"/>
                <w:lang w:val="en-US"/>
              </w:rPr>
              <w:t xml:space="preserve"> that I may encounter situations where concerns about an adult also indicate risks to a child. This highlights the importance of understanding both safeguarding frameworks and </w:t>
            </w:r>
            <w:proofErr w:type="spellStart"/>
            <w:r>
              <w:rPr>
                <w:rStyle w:val="normaltextrun"/>
                <w:rFonts w:ascii="Cambria" w:hAnsi="Cambria"/>
                <w:sz w:val="22"/>
                <w:szCs w:val="22"/>
                <w:shd w:val="clear" w:color="auto" w:fill="FFFFFF"/>
                <w:lang w:val="en-US"/>
              </w:rPr>
              <w:t>recognising</w:t>
            </w:r>
            <w:proofErr w:type="spellEnd"/>
            <w:r>
              <w:rPr>
                <w:rStyle w:val="normaltextrun"/>
                <w:rFonts w:ascii="Cambria" w:hAnsi="Cambria"/>
                <w:sz w:val="22"/>
                <w:szCs w:val="22"/>
                <w:shd w:val="clear" w:color="auto" w:fill="FFFFFF"/>
                <w:lang w:val="en-US"/>
              </w:rPr>
              <w:t xml:space="preserve"> that safeguarding is everyone's responsibility. Developing knowledge of children's safeguarding strengthens my ability to identify risks early, make appropriate referrals, and contribute to the protection and wellbeing of all individuals.</w:t>
            </w:r>
            <w:r>
              <w:rPr>
                <w:rStyle w:val="eop"/>
                <w:rFonts w:ascii="Cambria" w:hAnsi="Cambria"/>
                <w:sz w:val="22"/>
                <w:szCs w:val="22"/>
                <w:bdr w:val="none" w:sz="0" w:space="0" w:color="auto" w:frame="1"/>
                <w:shd w:val="clear" w:color="auto" w:fill="C6C6C6"/>
              </w:rPr>
              <w:t> </w:t>
            </w:r>
          </w:p>
          <w:p w14:paraId="4CABE426" w14:textId="77777777" w:rsidR="00FC0334" w:rsidRDefault="00FC0334" w:rsidP="00FC0334">
            <w:pPr>
              <w:jc w:val="both"/>
              <w:rPr>
                <w:sz w:val="24"/>
                <w:szCs w:val="24"/>
              </w:rPr>
            </w:pPr>
          </w:p>
          <w:p w14:paraId="795C6051" w14:textId="7790AEAA" w:rsidR="00FC0334" w:rsidRDefault="00523614" w:rsidP="00FC0334">
            <w:pPr>
              <w:jc w:val="both"/>
              <w:rPr>
                <w:sz w:val="24"/>
                <w:szCs w:val="24"/>
              </w:rPr>
            </w:pPr>
            <w:r>
              <w:rPr>
                <w:sz w:val="24"/>
                <w:szCs w:val="24"/>
              </w:rPr>
              <w:t>Word count 435</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p w14:paraId="3C7A0C4A" w14:textId="77777777" w:rsidR="002A7601" w:rsidRDefault="002A7601" w:rsidP="00FC0334">
      <w:pPr>
        <w:rPr>
          <w:sz w:val="24"/>
          <w:szCs w:val="24"/>
        </w:rPr>
      </w:pPr>
    </w:p>
    <w:p w14:paraId="0A585053" w14:textId="77777777" w:rsidR="002A7601" w:rsidRDefault="002A7601" w:rsidP="00FC0334">
      <w:pPr>
        <w:rPr>
          <w:sz w:val="24"/>
          <w:szCs w:val="24"/>
        </w:rPr>
      </w:pPr>
    </w:p>
    <w:p w14:paraId="2FE5646A" w14:textId="77777777" w:rsidR="002A7601" w:rsidRDefault="002A7601" w:rsidP="00FC0334">
      <w:pPr>
        <w:rPr>
          <w:sz w:val="24"/>
          <w:szCs w:val="24"/>
        </w:rPr>
      </w:pPr>
    </w:p>
    <w:p w14:paraId="623DDB66" w14:textId="4C4B9670" w:rsidR="00637A1E" w:rsidRDefault="00637A1E" w:rsidP="00FC0334">
      <w:pPr>
        <w:rPr>
          <w:sz w:val="24"/>
          <w:szCs w:val="24"/>
        </w:rPr>
      </w:pPr>
      <w:r>
        <w:rPr>
          <w:sz w:val="24"/>
          <w:szCs w:val="24"/>
        </w:rPr>
        <w:t xml:space="preserve"> </w:t>
      </w:r>
    </w:p>
    <w:sectPr w:rsidR="00637A1E"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0F100" w14:textId="77777777" w:rsidR="00333FB9" w:rsidRDefault="00333FB9">
      <w:r>
        <w:separator/>
      </w:r>
    </w:p>
  </w:endnote>
  <w:endnote w:type="continuationSeparator" w:id="0">
    <w:p w14:paraId="397E7955" w14:textId="77777777" w:rsidR="00333FB9" w:rsidRDefault="00333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1BD9F7A4" w:rsidR="00A5656A" w:rsidRDefault="00A5656A">
    <w:pPr>
      <w:pStyle w:val="Footer"/>
      <w:jc w:val="right"/>
    </w:pPr>
    <w:r>
      <w:fldChar w:fldCharType="begin"/>
    </w:r>
    <w:r>
      <w:instrText xml:space="preserve"> PAGE   \* MERGEFORMAT </w:instrText>
    </w:r>
    <w:r>
      <w:fldChar w:fldCharType="separate"/>
    </w:r>
    <w:r w:rsidR="00B8793D">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9355A" w14:textId="77777777" w:rsidR="00333FB9" w:rsidRDefault="00333FB9">
      <w:r>
        <w:separator/>
      </w:r>
    </w:p>
  </w:footnote>
  <w:footnote w:type="continuationSeparator" w:id="0">
    <w:p w14:paraId="19EEC7CA" w14:textId="77777777" w:rsidR="00333FB9" w:rsidRDefault="00333F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92541621">
    <w:abstractNumId w:val="1"/>
    <w:lvlOverride w:ilvl="0">
      <w:lvl w:ilvl="0">
        <w:start w:val="1"/>
        <w:numFmt w:val="bullet"/>
        <w:lvlText w:val=""/>
        <w:lvlJc w:val="left"/>
        <w:pPr>
          <w:ind w:left="720" w:hanging="360"/>
        </w:pPr>
        <w:rPr>
          <w:rFonts w:ascii="Symbol" w:hAnsi="Symbol" w:hint="default"/>
        </w:rPr>
      </w:lvl>
    </w:lvlOverride>
  </w:num>
  <w:num w:numId="2" w16cid:durableId="1248732718">
    <w:abstractNumId w:val="22"/>
  </w:num>
  <w:num w:numId="3" w16cid:durableId="403453364">
    <w:abstractNumId w:val="45"/>
  </w:num>
  <w:num w:numId="4" w16cid:durableId="845364793">
    <w:abstractNumId w:val="47"/>
  </w:num>
  <w:num w:numId="5" w16cid:durableId="1873180006">
    <w:abstractNumId w:val="34"/>
  </w:num>
  <w:num w:numId="6" w16cid:durableId="1657416616">
    <w:abstractNumId w:val="32"/>
  </w:num>
  <w:num w:numId="7" w16cid:durableId="405882003">
    <w:abstractNumId w:val="29"/>
  </w:num>
  <w:num w:numId="8" w16cid:durableId="640379671">
    <w:abstractNumId w:val="30"/>
  </w:num>
  <w:num w:numId="9" w16cid:durableId="1091850285">
    <w:abstractNumId w:val="10"/>
  </w:num>
  <w:num w:numId="10" w16cid:durableId="1298954636">
    <w:abstractNumId w:val="33"/>
  </w:num>
  <w:num w:numId="11" w16cid:durableId="160968950">
    <w:abstractNumId w:val="17"/>
  </w:num>
  <w:num w:numId="12" w16cid:durableId="1343704189">
    <w:abstractNumId w:val="16"/>
  </w:num>
  <w:num w:numId="13" w16cid:durableId="1005324401">
    <w:abstractNumId w:val="27"/>
  </w:num>
  <w:num w:numId="14" w16cid:durableId="610434126">
    <w:abstractNumId w:val="8"/>
  </w:num>
  <w:num w:numId="15" w16cid:durableId="387455828">
    <w:abstractNumId w:val="26"/>
  </w:num>
  <w:num w:numId="16" w16cid:durableId="581330546">
    <w:abstractNumId w:val="15"/>
  </w:num>
  <w:num w:numId="17" w16cid:durableId="1470974714">
    <w:abstractNumId w:val="13"/>
  </w:num>
  <w:num w:numId="18" w16cid:durableId="19523475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72292494">
    <w:abstractNumId w:val="23"/>
  </w:num>
  <w:num w:numId="20" w16cid:durableId="115371103">
    <w:abstractNumId w:val="18"/>
  </w:num>
  <w:num w:numId="21" w16cid:durableId="1622375554">
    <w:abstractNumId w:val="14"/>
  </w:num>
  <w:num w:numId="22" w16cid:durableId="351538474">
    <w:abstractNumId w:val="11"/>
  </w:num>
  <w:num w:numId="23" w16cid:durableId="2113938116">
    <w:abstractNumId w:val="28"/>
  </w:num>
  <w:num w:numId="24" w16cid:durableId="1875732446">
    <w:abstractNumId w:val="19"/>
  </w:num>
  <w:num w:numId="25" w16cid:durableId="1555850564">
    <w:abstractNumId w:val="41"/>
  </w:num>
  <w:num w:numId="26" w16cid:durableId="1890411199">
    <w:abstractNumId w:val="35"/>
  </w:num>
  <w:num w:numId="27" w16cid:durableId="965744524">
    <w:abstractNumId w:val="40"/>
  </w:num>
  <w:num w:numId="28" w16cid:durableId="826677671">
    <w:abstractNumId w:val="20"/>
  </w:num>
  <w:num w:numId="29" w16cid:durableId="909384648">
    <w:abstractNumId w:val="43"/>
  </w:num>
  <w:num w:numId="30" w16cid:durableId="144010850">
    <w:abstractNumId w:val="31"/>
  </w:num>
  <w:num w:numId="31" w16cid:durableId="740522004">
    <w:abstractNumId w:val="12"/>
  </w:num>
  <w:num w:numId="32" w16cid:durableId="1801143798">
    <w:abstractNumId w:val="44"/>
  </w:num>
  <w:num w:numId="33" w16cid:durableId="739521351">
    <w:abstractNumId w:val="39"/>
  </w:num>
  <w:num w:numId="34" w16cid:durableId="700056247">
    <w:abstractNumId w:val="5"/>
  </w:num>
  <w:num w:numId="35" w16cid:durableId="1615015462">
    <w:abstractNumId w:val="46"/>
  </w:num>
  <w:num w:numId="36" w16cid:durableId="1502693695">
    <w:abstractNumId w:val="42"/>
  </w:num>
  <w:num w:numId="37" w16cid:durableId="498928743">
    <w:abstractNumId w:val="36"/>
  </w:num>
  <w:num w:numId="38" w16cid:durableId="513959296">
    <w:abstractNumId w:val="37"/>
  </w:num>
  <w:num w:numId="39" w16cid:durableId="2127771812">
    <w:abstractNumId w:val="4"/>
  </w:num>
  <w:num w:numId="40" w16cid:durableId="593897158">
    <w:abstractNumId w:val="6"/>
  </w:num>
  <w:num w:numId="41" w16cid:durableId="1444690908">
    <w:abstractNumId w:val="25"/>
  </w:num>
  <w:num w:numId="42" w16cid:durableId="2097707738">
    <w:abstractNumId w:val="7"/>
  </w:num>
  <w:num w:numId="43" w16cid:durableId="541941081">
    <w:abstractNumId w:val="3"/>
  </w:num>
  <w:num w:numId="44" w16cid:durableId="1455103504">
    <w:abstractNumId w:val="38"/>
  </w:num>
  <w:num w:numId="45" w16cid:durableId="896668277">
    <w:abstractNumId w:val="0"/>
  </w:num>
  <w:num w:numId="46" w16cid:durableId="563486439">
    <w:abstractNumId w:val="14"/>
  </w:num>
  <w:num w:numId="47" w16cid:durableId="854461718">
    <w:abstractNumId w:val="48"/>
  </w:num>
  <w:num w:numId="48" w16cid:durableId="13765428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463930919">
    <w:abstractNumId w:val="11"/>
  </w:num>
  <w:num w:numId="50" w16cid:durableId="370691069">
    <w:abstractNumId w:val="28"/>
  </w:num>
  <w:num w:numId="51" w16cid:durableId="858130654">
    <w:abstractNumId w:val="24"/>
  </w:num>
  <w:num w:numId="52" w16cid:durableId="30736399">
    <w:abstractNumId w:val="21"/>
  </w:num>
  <w:num w:numId="53" w16cid:durableId="31962114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6DA"/>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7601"/>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5C95"/>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FB9"/>
    <w:rsid w:val="00334E7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29A"/>
    <w:rsid w:val="003C19F1"/>
    <w:rsid w:val="003C3C67"/>
    <w:rsid w:val="003C4186"/>
    <w:rsid w:val="003C6185"/>
    <w:rsid w:val="003D0D2D"/>
    <w:rsid w:val="003D1197"/>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437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614"/>
    <w:rsid w:val="005305C6"/>
    <w:rsid w:val="00540EEC"/>
    <w:rsid w:val="005414F4"/>
    <w:rsid w:val="00546187"/>
    <w:rsid w:val="00547B11"/>
    <w:rsid w:val="00557D77"/>
    <w:rsid w:val="00562EAA"/>
    <w:rsid w:val="00563B58"/>
    <w:rsid w:val="005640C4"/>
    <w:rsid w:val="00564520"/>
    <w:rsid w:val="0056684C"/>
    <w:rsid w:val="00574A0C"/>
    <w:rsid w:val="0057780F"/>
    <w:rsid w:val="00581E0A"/>
    <w:rsid w:val="005836B6"/>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7A1E"/>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4EF3"/>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837"/>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4418"/>
    <w:rsid w:val="0098262C"/>
    <w:rsid w:val="0098427C"/>
    <w:rsid w:val="00986B43"/>
    <w:rsid w:val="00986C0B"/>
    <w:rsid w:val="00986D46"/>
    <w:rsid w:val="00991FDA"/>
    <w:rsid w:val="00992ACA"/>
    <w:rsid w:val="0099721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1D1"/>
    <w:rsid w:val="009F0978"/>
    <w:rsid w:val="009F3AEC"/>
    <w:rsid w:val="009F6801"/>
    <w:rsid w:val="00A00081"/>
    <w:rsid w:val="00A06422"/>
    <w:rsid w:val="00A10D56"/>
    <w:rsid w:val="00A12AAE"/>
    <w:rsid w:val="00A12F22"/>
    <w:rsid w:val="00A16DD1"/>
    <w:rsid w:val="00A17DE6"/>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1256"/>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129"/>
    <w:rsid w:val="00B577D3"/>
    <w:rsid w:val="00B60466"/>
    <w:rsid w:val="00B6548F"/>
    <w:rsid w:val="00B71A32"/>
    <w:rsid w:val="00B7502A"/>
    <w:rsid w:val="00B77305"/>
    <w:rsid w:val="00B774BD"/>
    <w:rsid w:val="00B82CC2"/>
    <w:rsid w:val="00B84A89"/>
    <w:rsid w:val="00B8793D"/>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5828"/>
    <w:rsid w:val="00C161FD"/>
    <w:rsid w:val="00C17C9F"/>
    <w:rsid w:val="00C227B6"/>
    <w:rsid w:val="00C23F17"/>
    <w:rsid w:val="00C246F2"/>
    <w:rsid w:val="00C26D0D"/>
    <w:rsid w:val="00C27C95"/>
    <w:rsid w:val="00C300D2"/>
    <w:rsid w:val="00C3270F"/>
    <w:rsid w:val="00C3278B"/>
    <w:rsid w:val="00C33375"/>
    <w:rsid w:val="00C34C23"/>
    <w:rsid w:val="00C368FA"/>
    <w:rsid w:val="00C42005"/>
    <w:rsid w:val="00C4664D"/>
    <w:rsid w:val="00C46FA1"/>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1EF5"/>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77AF"/>
    <w:rsid w:val="00D84841"/>
    <w:rsid w:val="00D86D35"/>
    <w:rsid w:val="00D876E6"/>
    <w:rsid w:val="00D90958"/>
    <w:rsid w:val="00DA1025"/>
    <w:rsid w:val="00DA22EC"/>
    <w:rsid w:val="00DA5682"/>
    <w:rsid w:val="00DA5860"/>
    <w:rsid w:val="00DA5C0C"/>
    <w:rsid w:val="00DB2767"/>
    <w:rsid w:val="00DC02C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578"/>
    <w:rsid w:val="00ED5D03"/>
    <w:rsid w:val="00EE01ED"/>
    <w:rsid w:val="00EE17BF"/>
    <w:rsid w:val="00EE1AC1"/>
    <w:rsid w:val="00EE39D6"/>
    <w:rsid w:val="00EE3BB3"/>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05D"/>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D21EF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D21EF5"/>
    <w:rPr>
      <w:b/>
      <w:bCs/>
    </w:rPr>
  </w:style>
  <w:style w:type="character" w:styleId="Emphasis">
    <w:name w:val="Emphasis"/>
    <w:basedOn w:val="DefaultParagraphFont"/>
    <w:uiPriority w:val="20"/>
    <w:qFormat/>
    <w:rsid w:val="005836B6"/>
    <w:rPr>
      <w:i/>
      <w:iCs/>
    </w:rPr>
  </w:style>
  <w:style w:type="paragraph" w:customStyle="1" w:styleId="paragraph">
    <w:name w:val="paragraph"/>
    <w:basedOn w:val="Normal"/>
    <w:rsid w:val="00F760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F7605D"/>
  </w:style>
  <w:style w:type="character" w:customStyle="1" w:styleId="eop">
    <w:name w:val="eop"/>
    <w:basedOn w:val="DefaultParagraphFont"/>
    <w:rsid w:val="00F7605D"/>
  </w:style>
  <w:style w:type="character" w:customStyle="1" w:styleId="scxw150002216">
    <w:name w:val="scxw150002216"/>
    <w:basedOn w:val="DefaultParagraphFont"/>
    <w:rsid w:val="00523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1b97bfc6-b7f9-4f97-bda1-3491dbcf9c0d"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9" ma:contentTypeDescription="Create a new document." ma:contentTypeScope="" ma:versionID="46e15b06097508c144a9f14b42b36766">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fc95c6ea7d79455af962c08c16777490"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activity" ma:index="2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65B8A2-0763-4D66-B43F-2601E49D40B3}">
  <ds:schemaRefs>
    <ds:schemaRef ds:uri="http://schemas.microsoft.com/office/2006/metadata/properties"/>
    <ds:schemaRef ds:uri="http://schemas.microsoft.com/office/infopath/2007/PartnerControls"/>
    <ds:schemaRef ds:uri="http://schemas.microsoft.com/sharepoint/v3"/>
    <ds:schemaRef ds:uri="1b97bfc6-b7f9-4f97-bda1-3491dbcf9c0d"/>
  </ds:schemaRefs>
</ds:datastoreItem>
</file>

<file path=customXml/itemProps2.xml><?xml version="1.0" encoding="utf-8"?>
<ds:datastoreItem xmlns:ds="http://schemas.openxmlformats.org/officeDocument/2006/customXml" ds:itemID="{ACC62C1E-0B57-48E5-AF42-950DEDC7C15E}">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0DDBB513-4850-4C5C-A575-ADD4EA3B2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1177</Words>
  <Characters>7055</Characters>
  <Application>Microsoft Office Word</Application>
  <DocSecurity>4</DocSecurity>
  <Lines>111</Lines>
  <Paragraphs>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Karma Riddell</cp:lastModifiedBy>
  <cp:revision>2</cp:revision>
  <cp:lastPrinted>2020-02-11T19:20:00Z</cp:lastPrinted>
  <dcterms:created xsi:type="dcterms:W3CDTF">2026-10-06T17:24:00Z</dcterms:created>
  <dcterms:modified xsi:type="dcterms:W3CDTF">2026-10-06T17:24:00Z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