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A2F7CF5" w14:textId="77777777" w:rsidR="00A90B05" w:rsidRDefault="00A90B05" w:rsidP="00A90B05">
      <w:pPr>
        <w:pStyle w:val="Heading2"/>
      </w:pPr>
      <w:bookmarkStart w:id="0" w:name="_Toc56523022"/>
      <w:bookmarkStart w:id="1" w:name="_Toc56523304"/>
      <w:bookmarkStart w:id="2" w:name="_Toc57910112"/>
      <w:bookmarkStart w:id="3" w:name="_Toc58251328"/>
      <w:bookmarkStart w:id="4" w:name="_Toc72413654"/>
      <w:r w:rsidRPr="00BA2696">
        <w:t>CHAPTER 6: DISCUSSION OF FINDINGS</w:t>
      </w:r>
      <w:bookmarkEnd w:id="0"/>
      <w:bookmarkEnd w:id="1"/>
      <w:bookmarkEnd w:id="2"/>
      <w:bookmarkEnd w:id="3"/>
      <w:bookmarkEnd w:id="4"/>
    </w:p>
    <w:p w14:paraId="7AD99040" w14:textId="77777777" w:rsidR="00A90B05" w:rsidRPr="00C9500D" w:rsidRDefault="00A90B05" w:rsidP="00A90B05"/>
    <w:p w14:paraId="077FF1DF" w14:textId="77777777" w:rsidR="00A90B05" w:rsidRDefault="00A90B05" w:rsidP="00A90B05">
      <w:pPr>
        <w:spacing w:after="0" w:line="480" w:lineRule="auto"/>
        <w:rPr>
          <w:rFonts w:cs="Calibri"/>
          <w:sz w:val="24"/>
          <w:szCs w:val="24"/>
        </w:rPr>
      </w:pPr>
      <w:r w:rsidRPr="00BA2696">
        <w:rPr>
          <w:rFonts w:cs="Calibri"/>
          <w:sz w:val="24"/>
          <w:szCs w:val="24"/>
        </w:rPr>
        <w:t>This chapter will consider the four themes which were identified in this research</w:t>
      </w:r>
      <w:r>
        <w:rPr>
          <w:rFonts w:cs="Calibri"/>
          <w:sz w:val="24"/>
          <w:szCs w:val="24"/>
        </w:rPr>
        <w:t>:</w:t>
      </w:r>
    </w:p>
    <w:p w14:paraId="526EACFC" w14:textId="77777777" w:rsidR="00A90B05" w:rsidRPr="008F5941" w:rsidRDefault="00A90B05" w:rsidP="00A90B05">
      <w:pPr>
        <w:numPr>
          <w:ilvl w:val="0"/>
          <w:numId w:val="35"/>
        </w:numPr>
        <w:suppressAutoHyphens w:val="0"/>
        <w:autoSpaceDN/>
        <w:spacing w:after="0" w:line="240" w:lineRule="auto"/>
        <w:ind w:left="714" w:hanging="357"/>
        <w:textAlignment w:val="auto"/>
        <w:rPr>
          <w:rFonts w:cs="Calibri"/>
          <w:sz w:val="24"/>
          <w:szCs w:val="24"/>
        </w:rPr>
      </w:pPr>
      <w:r>
        <w:rPr>
          <w:rFonts w:cs="Calibri"/>
          <w:sz w:val="24"/>
          <w:szCs w:val="24"/>
        </w:rPr>
        <w:t>(</w:t>
      </w:r>
      <w:r w:rsidRPr="008F5941">
        <w:rPr>
          <w:rFonts w:cs="Calibri"/>
          <w:sz w:val="24"/>
          <w:szCs w:val="24"/>
        </w:rPr>
        <w:t xml:space="preserve">Mis)Understanding ‘Race’ and Racism </w:t>
      </w:r>
    </w:p>
    <w:p w14:paraId="7AEF297E" w14:textId="77777777" w:rsidR="00A90B05" w:rsidRPr="008F5941" w:rsidRDefault="00A90B05" w:rsidP="00A90B05">
      <w:pPr>
        <w:numPr>
          <w:ilvl w:val="0"/>
          <w:numId w:val="35"/>
        </w:numPr>
        <w:suppressAutoHyphens w:val="0"/>
        <w:autoSpaceDN/>
        <w:spacing w:after="0" w:line="240" w:lineRule="auto"/>
        <w:ind w:left="714" w:hanging="357"/>
        <w:textAlignment w:val="auto"/>
        <w:rPr>
          <w:rFonts w:cs="Calibri"/>
          <w:sz w:val="24"/>
          <w:szCs w:val="24"/>
        </w:rPr>
      </w:pPr>
      <w:r w:rsidRPr="008F5941">
        <w:rPr>
          <w:rFonts w:cs="Calibri"/>
          <w:sz w:val="24"/>
          <w:szCs w:val="24"/>
        </w:rPr>
        <w:t>White (Un)Awareness</w:t>
      </w:r>
    </w:p>
    <w:p w14:paraId="4417C0D5" w14:textId="77777777" w:rsidR="00A90B05" w:rsidRPr="008F5941" w:rsidRDefault="00A90B05" w:rsidP="00A90B05">
      <w:pPr>
        <w:numPr>
          <w:ilvl w:val="0"/>
          <w:numId w:val="35"/>
        </w:numPr>
        <w:suppressAutoHyphens w:val="0"/>
        <w:autoSpaceDN/>
        <w:spacing w:after="0" w:line="240" w:lineRule="auto"/>
        <w:ind w:left="714" w:hanging="357"/>
        <w:textAlignment w:val="auto"/>
        <w:rPr>
          <w:rFonts w:cs="Calibri"/>
          <w:sz w:val="24"/>
          <w:szCs w:val="24"/>
        </w:rPr>
      </w:pPr>
      <w:r w:rsidRPr="008F5941">
        <w:rPr>
          <w:rFonts w:cs="Calibri"/>
          <w:sz w:val="24"/>
          <w:szCs w:val="24"/>
        </w:rPr>
        <w:t xml:space="preserve">Barriers to Racial Discourse </w:t>
      </w:r>
    </w:p>
    <w:p w14:paraId="5E4D812C" w14:textId="77777777" w:rsidR="00A90B05" w:rsidRPr="008F5941" w:rsidRDefault="00A90B05" w:rsidP="00A90B05">
      <w:pPr>
        <w:numPr>
          <w:ilvl w:val="0"/>
          <w:numId w:val="35"/>
        </w:numPr>
        <w:suppressAutoHyphens w:val="0"/>
        <w:autoSpaceDN/>
        <w:spacing w:after="0" w:line="240" w:lineRule="auto"/>
        <w:ind w:left="714" w:hanging="357"/>
        <w:textAlignment w:val="auto"/>
        <w:rPr>
          <w:rFonts w:cs="Calibri"/>
          <w:sz w:val="24"/>
          <w:szCs w:val="24"/>
        </w:rPr>
      </w:pPr>
      <w:r w:rsidRPr="008F5941">
        <w:rPr>
          <w:rFonts w:cs="Calibri"/>
          <w:sz w:val="24"/>
          <w:szCs w:val="24"/>
        </w:rPr>
        <w:t xml:space="preserve">Socio-political (Dis)Connection.  </w:t>
      </w:r>
    </w:p>
    <w:p w14:paraId="5E614DFF" w14:textId="77777777" w:rsidR="00A90B05" w:rsidRDefault="00A90B05" w:rsidP="00A90B05">
      <w:pPr>
        <w:spacing w:after="0" w:line="480" w:lineRule="auto"/>
        <w:rPr>
          <w:rFonts w:cs="Calibri"/>
          <w:sz w:val="24"/>
          <w:szCs w:val="24"/>
        </w:rPr>
      </w:pPr>
    </w:p>
    <w:p w14:paraId="55FA27BF" w14:textId="77777777" w:rsidR="00A90B05" w:rsidRPr="00BA2696" w:rsidRDefault="00A90B05" w:rsidP="00A90B05">
      <w:pPr>
        <w:spacing w:after="0" w:line="480" w:lineRule="auto"/>
        <w:rPr>
          <w:sz w:val="24"/>
          <w:szCs w:val="24"/>
        </w:rPr>
      </w:pPr>
      <w:r>
        <w:rPr>
          <w:rFonts w:cs="Calibri"/>
          <w:sz w:val="24"/>
          <w:szCs w:val="24"/>
        </w:rPr>
        <w:t xml:space="preserve">It will also </w:t>
      </w:r>
      <w:r w:rsidRPr="00BA2696">
        <w:rPr>
          <w:rFonts w:cs="Calibri"/>
          <w:sz w:val="24"/>
          <w:szCs w:val="24"/>
        </w:rPr>
        <w:t xml:space="preserve">consider the theoretical and practice implications of those themes (Table </w:t>
      </w:r>
      <w:r>
        <w:rPr>
          <w:rFonts w:cs="Calibri"/>
          <w:sz w:val="24"/>
          <w:szCs w:val="24"/>
        </w:rPr>
        <w:t>20</w:t>
      </w:r>
      <w:r w:rsidRPr="00BA2696">
        <w:rPr>
          <w:rFonts w:cs="Calibri"/>
          <w:sz w:val="24"/>
          <w:szCs w:val="24"/>
        </w:rPr>
        <w:t xml:space="preserve">). </w:t>
      </w:r>
      <w:r w:rsidRPr="00BA2696">
        <w:rPr>
          <w:sz w:val="24"/>
          <w:szCs w:val="24"/>
        </w:rPr>
        <w:t>The research questions were:</w:t>
      </w:r>
    </w:p>
    <w:p w14:paraId="78D3AABE" w14:textId="77777777" w:rsidR="00A90B05" w:rsidRPr="00BA2696" w:rsidRDefault="00A90B05" w:rsidP="00A90B05">
      <w:pPr>
        <w:numPr>
          <w:ilvl w:val="0"/>
          <w:numId w:val="1"/>
        </w:numPr>
        <w:spacing w:after="0" w:line="240" w:lineRule="auto"/>
        <w:rPr>
          <w:sz w:val="24"/>
          <w:szCs w:val="24"/>
        </w:rPr>
      </w:pPr>
      <w:r w:rsidRPr="00BA2696">
        <w:rPr>
          <w:sz w:val="24"/>
          <w:szCs w:val="24"/>
        </w:rPr>
        <w:t>How do white counselling trainees understand ‘race’?</w:t>
      </w:r>
    </w:p>
    <w:p w14:paraId="6B4A2B7D" w14:textId="77777777" w:rsidR="00A90B05" w:rsidRPr="00BA2696" w:rsidRDefault="00A90B05" w:rsidP="00A90B05">
      <w:pPr>
        <w:numPr>
          <w:ilvl w:val="0"/>
          <w:numId w:val="1"/>
        </w:numPr>
        <w:spacing w:after="0" w:line="240" w:lineRule="auto"/>
        <w:rPr>
          <w:sz w:val="24"/>
          <w:szCs w:val="24"/>
        </w:rPr>
      </w:pPr>
      <w:r w:rsidRPr="00BA2696">
        <w:rPr>
          <w:sz w:val="24"/>
          <w:szCs w:val="24"/>
        </w:rPr>
        <w:t>Do they understand ‘race’ to be a social construct?</w:t>
      </w:r>
    </w:p>
    <w:p w14:paraId="17734CFA" w14:textId="77777777" w:rsidR="00A90B05" w:rsidRPr="00BA2696" w:rsidRDefault="00A90B05" w:rsidP="00A90B05">
      <w:pPr>
        <w:numPr>
          <w:ilvl w:val="0"/>
          <w:numId w:val="1"/>
        </w:numPr>
        <w:spacing w:after="0" w:line="240" w:lineRule="auto"/>
        <w:rPr>
          <w:sz w:val="24"/>
          <w:szCs w:val="24"/>
        </w:rPr>
      </w:pPr>
      <w:r w:rsidRPr="00BA2696">
        <w:rPr>
          <w:sz w:val="24"/>
          <w:szCs w:val="24"/>
        </w:rPr>
        <w:t>How do they understand racism?</w:t>
      </w:r>
    </w:p>
    <w:p w14:paraId="3D5CE252" w14:textId="77777777" w:rsidR="00A90B05" w:rsidRPr="00BA2696" w:rsidRDefault="00A90B05" w:rsidP="00A90B05">
      <w:pPr>
        <w:numPr>
          <w:ilvl w:val="0"/>
          <w:numId w:val="1"/>
        </w:numPr>
        <w:spacing w:after="0" w:line="240" w:lineRule="auto"/>
        <w:rPr>
          <w:sz w:val="24"/>
          <w:szCs w:val="24"/>
        </w:rPr>
      </w:pPr>
      <w:r w:rsidRPr="00BA2696">
        <w:rPr>
          <w:sz w:val="24"/>
          <w:szCs w:val="24"/>
        </w:rPr>
        <w:t>Do they perceive whiteness as a racialised identity?</w:t>
      </w:r>
    </w:p>
    <w:p w14:paraId="2F6332EA" w14:textId="77777777" w:rsidR="00A90B05" w:rsidRPr="00BA2696" w:rsidRDefault="00A90B05" w:rsidP="00A90B05">
      <w:pPr>
        <w:numPr>
          <w:ilvl w:val="0"/>
          <w:numId w:val="1"/>
        </w:numPr>
        <w:spacing w:after="0" w:line="240" w:lineRule="auto"/>
        <w:rPr>
          <w:sz w:val="24"/>
          <w:szCs w:val="24"/>
        </w:rPr>
      </w:pPr>
      <w:r w:rsidRPr="00BA2696">
        <w:rPr>
          <w:sz w:val="24"/>
          <w:szCs w:val="24"/>
        </w:rPr>
        <w:t>How do they feel discussing ‘race’ and racism?</w:t>
      </w:r>
    </w:p>
    <w:p w14:paraId="0BA50DA8" w14:textId="77777777" w:rsidR="00A90B05" w:rsidRPr="00BA2696" w:rsidRDefault="00A90B05" w:rsidP="00A90B05">
      <w:pPr>
        <w:suppressAutoHyphens w:val="0"/>
        <w:autoSpaceDN/>
        <w:spacing w:after="0" w:line="480" w:lineRule="auto"/>
        <w:textAlignment w:val="auto"/>
        <w:rPr>
          <w:rFonts w:cs="Calibri"/>
          <w:sz w:val="24"/>
          <w:szCs w:val="24"/>
        </w:rPr>
      </w:pPr>
    </w:p>
    <w:p w14:paraId="5609A6EB" w14:textId="77777777" w:rsidR="00A90B05" w:rsidRPr="000A3D31" w:rsidRDefault="00A90B05" w:rsidP="00A90B05">
      <w:pPr>
        <w:suppressAutoHyphens w:val="0"/>
        <w:autoSpaceDN/>
        <w:spacing w:after="0" w:line="480" w:lineRule="auto"/>
        <w:textAlignment w:val="auto"/>
        <w:rPr>
          <w:sz w:val="24"/>
          <w:szCs w:val="24"/>
        </w:rPr>
      </w:pPr>
      <w:r w:rsidRPr="00BA2696">
        <w:rPr>
          <w:rFonts w:cs="Calibri"/>
          <w:sz w:val="24"/>
          <w:szCs w:val="24"/>
        </w:rPr>
        <w:t xml:space="preserve">In this chapter, the findings will be discussed by contextualising each theme (Table </w:t>
      </w:r>
      <w:r>
        <w:rPr>
          <w:rFonts w:cs="Calibri"/>
          <w:sz w:val="24"/>
          <w:szCs w:val="24"/>
        </w:rPr>
        <w:t>20</w:t>
      </w:r>
      <w:r w:rsidRPr="00BA2696">
        <w:rPr>
          <w:rFonts w:cs="Calibri"/>
          <w:sz w:val="24"/>
          <w:szCs w:val="24"/>
        </w:rPr>
        <w:t xml:space="preserve">) in relation to existing literature on ‘race’, racism and whiteness. In Chapter 7, I will address the overall research question of how white trainee counsellors in South Wales understand ‘race’ (Section 7.4), racism (Section 7.5) and whiteness (Section 7.6). </w:t>
      </w:r>
      <w:r>
        <w:rPr>
          <w:sz w:val="24"/>
          <w:szCs w:val="24"/>
        </w:rPr>
        <w:t xml:space="preserve">The discussion presented in this chapter considers how whiteness was displayed or ‘performed’ </w:t>
      </w:r>
      <w:r w:rsidRPr="007E46A4">
        <w:rPr>
          <w:sz w:val="24"/>
          <w:szCs w:val="24"/>
        </w:rPr>
        <w:t>(Twine and Gallagher, 2007, p. 5)</w:t>
      </w:r>
      <w:r>
        <w:rPr>
          <w:sz w:val="24"/>
          <w:szCs w:val="24"/>
        </w:rPr>
        <w:t xml:space="preserve"> by the research participants when asked about ‘race’, racism and whiteness. Thus, this</w:t>
      </w:r>
      <w:r w:rsidRPr="007E46A4">
        <w:rPr>
          <w:sz w:val="24"/>
          <w:szCs w:val="24"/>
        </w:rPr>
        <w:t xml:space="preserve"> research falls into the </w:t>
      </w:r>
      <w:r>
        <w:rPr>
          <w:sz w:val="24"/>
          <w:szCs w:val="24"/>
        </w:rPr>
        <w:t>‘</w:t>
      </w:r>
      <w:r w:rsidRPr="007E46A4">
        <w:rPr>
          <w:sz w:val="24"/>
          <w:szCs w:val="24"/>
        </w:rPr>
        <w:t>third wave</w:t>
      </w:r>
      <w:r>
        <w:rPr>
          <w:sz w:val="24"/>
          <w:szCs w:val="24"/>
        </w:rPr>
        <w:t xml:space="preserve">’ of critical whiteness studies (Twine and Gallagher, 2007). As mentioned previously (Chapter 3, Section 3.4), performative expressions of whiteness can be seen in participants attempts to distance themselves from racism (Section 6.3) and in their reactions to being asked about being white (Section 6.4). Further, my original concept of the ‘Good White Counsellor (Section 6.2) could be understood as a way of </w:t>
      </w:r>
      <w:r>
        <w:rPr>
          <w:sz w:val="24"/>
          <w:szCs w:val="24"/>
        </w:rPr>
        <w:lastRenderedPageBreak/>
        <w:t>displaying moral goodness as a white professional through the use of colour-blind ideology. Colour-blind attitudes and its significance to my concept of the ‘Good White Counsellor’ is discussed below (Section 6.5).</w:t>
      </w:r>
    </w:p>
    <w:p w14:paraId="4B556AC0" w14:textId="77777777" w:rsidR="00A90B05" w:rsidRDefault="00A90B05" w:rsidP="00A90B05">
      <w:pPr>
        <w:suppressAutoHyphens w:val="0"/>
        <w:autoSpaceDN/>
        <w:spacing w:after="0" w:line="480" w:lineRule="auto"/>
        <w:textAlignment w:val="auto"/>
        <w:rPr>
          <w:rFonts w:cs="Calibri"/>
          <w:sz w:val="24"/>
          <w:szCs w:val="24"/>
        </w:rPr>
      </w:pPr>
    </w:p>
    <w:p w14:paraId="26ED1860" w14:textId="77777777" w:rsidR="00A90B05" w:rsidRPr="00BA2696" w:rsidRDefault="00A90B05" w:rsidP="00A90B05">
      <w:pPr>
        <w:suppressAutoHyphens w:val="0"/>
        <w:autoSpaceDN/>
        <w:spacing w:after="0" w:line="480" w:lineRule="auto"/>
        <w:textAlignment w:val="auto"/>
        <w:rPr>
          <w:rFonts w:cs="Calibri"/>
          <w:sz w:val="24"/>
          <w:szCs w:val="24"/>
        </w:rPr>
      </w:pPr>
      <w:r w:rsidRPr="00BA2696">
        <w:rPr>
          <w:rFonts w:cs="Calibri"/>
          <w:sz w:val="24"/>
          <w:szCs w:val="24"/>
        </w:rPr>
        <w:t xml:space="preserve">The findings were clear from the research and the four themes identified were: </w:t>
      </w:r>
    </w:p>
    <w:p w14:paraId="70CCDF6F" w14:textId="77777777" w:rsidR="00A90B05" w:rsidRPr="00213511" w:rsidRDefault="00A90B05" w:rsidP="00A90B05">
      <w:pPr>
        <w:pStyle w:val="Caption"/>
        <w:rPr>
          <w:sz w:val="24"/>
          <w:szCs w:val="24"/>
        </w:rPr>
      </w:pPr>
      <w:bookmarkStart w:id="5" w:name="_Toc72253534"/>
      <w:bookmarkStart w:id="6" w:name="_Toc72253856"/>
      <w:bookmarkStart w:id="7" w:name="_Toc72253878"/>
      <w:bookmarkStart w:id="8" w:name="_Toc72324681"/>
      <w:r w:rsidRPr="00213511">
        <w:rPr>
          <w:sz w:val="24"/>
          <w:szCs w:val="24"/>
        </w:rPr>
        <w:t xml:space="preserve">Table </w:t>
      </w:r>
      <w:r w:rsidRPr="00213511">
        <w:rPr>
          <w:sz w:val="24"/>
          <w:szCs w:val="24"/>
        </w:rPr>
        <w:fldChar w:fldCharType="begin"/>
      </w:r>
      <w:r w:rsidRPr="00213511">
        <w:rPr>
          <w:sz w:val="24"/>
          <w:szCs w:val="24"/>
        </w:rPr>
        <w:instrText xml:space="preserve"> SEQ Table \* ARABIC </w:instrText>
      </w:r>
      <w:r w:rsidRPr="00213511">
        <w:rPr>
          <w:sz w:val="24"/>
          <w:szCs w:val="24"/>
        </w:rPr>
        <w:fldChar w:fldCharType="separate"/>
      </w:r>
      <w:r w:rsidRPr="00213511">
        <w:rPr>
          <w:sz w:val="24"/>
          <w:szCs w:val="24"/>
        </w:rPr>
        <w:t>20</w:t>
      </w:r>
      <w:r w:rsidRPr="00213511">
        <w:rPr>
          <w:sz w:val="24"/>
          <w:szCs w:val="24"/>
        </w:rPr>
        <w:fldChar w:fldCharType="end"/>
      </w:r>
      <w:r w:rsidRPr="00213511">
        <w:rPr>
          <w:sz w:val="24"/>
          <w:szCs w:val="24"/>
        </w:rPr>
        <w:t xml:space="preserve"> Chapter 6: Research Themes</w:t>
      </w:r>
      <w:bookmarkEnd w:id="5"/>
      <w:bookmarkEnd w:id="6"/>
      <w:bookmarkEnd w:id="7"/>
      <w:bookmarkEnd w:id="8"/>
    </w:p>
    <w:tbl>
      <w:tblPr>
        <w:tblW w:w="0" w:type="auto"/>
        <w:tblBorders>
          <w:top w:val="double" w:sz="4" w:space="0" w:color="auto"/>
          <w:bottom w:val="double" w:sz="4" w:space="0" w:color="auto"/>
          <w:insideH w:val="single" w:sz="6" w:space="0" w:color="auto"/>
          <w:insideV w:val="single" w:sz="6" w:space="0" w:color="auto"/>
        </w:tblBorders>
        <w:tblLook w:val="04A0" w:firstRow="1" w:lastRow="0" w:firstColumn="1" w:lastColumn="0" w:noHBand="0" w:noVBand="1"/>
      </w:tblPr>
      <w:tblGrid>
        <w:gridCol w:w="3695"/>
        <w:gridCol w:w="4764"/>
      </w:tblGrid>
      <w:tr w:rsidR="00A90B05" w:rsidRPr="00BA2696" w14:paraId="478EC168" w14:textId="77777777" w:rsidTr="00C75158">
        <w:tc>
          <w:tcPr>
            <w:tcW w:w="3695" w:type="dxa"/>
            <w:hideMark/>
          </w:tcPr>
          <w:p w14:paraId="7EA486E1" w14:textId="77777777" w:rsidR="00A90B05" w:rsidRPr="00BA2696" w:rsidRDefault="00A90B05" w:rsidP="00C75158">
            <w:pPr>
              <w:spacing w:after="0" w:line="240" w:lineRule="auto"/>
              <w:rPr>
                <w:b/>
                <w:bCs/>
              </w:rPr>
            </w:pPr>
            <w:r w:rsidRPr="00BA2696">
              <w:rPr>
                <w:b/>
                <w:bCs/>
              </w:rPr>
              <w:t>Theme</w:t>
            </w:r>
          </w:p>
        </w:tc>
        <w:tc>
          <w:tcPr>
            <w:tcW w:w="4764" w:type="dxa"/>
            <w:hideMark/>
          </w:tcPr>
          <w:p w14:paraId="08D752C3" w14:textId="77777777" w:rsidR="00A90B05" w:rsidRPr="00BA2696" w:rsidRDefault="00A90B05" w:rsidP="00C75158">
            <w:pPr>
              <w:spacing w:after="0" w:line="240" w:lineRule="auto"/>
              <w:rPr>
                <w:b/>
                <w:bCs/>
              </w:rPr>
            </w:pPr>
            <w:r w:rsidRPr="00BA2696">
              <w:rPr>
                <w:b/>
                <w:bCs/>
              </w:rPr>
              <w:t xml:space="preserve">Subthemes </w:t>
            </w:r>
          </w:p>
        </w:tc>
      </w:tr>
      <w:tr w:rsidR="00A90B05" w:rsidRPr="00BA2696" w14:paraId="418AE825" w14:textId="77777777" w:rsidTr="00C75158">
        <w:tc>
          <w:tcPr>
            <w:tcW w:w="3695" w:type="dxa"/>
            <w:shd w:val="clear" w:color="auto" w:fill="F2F2F2"/>
            <w:hideMark/>
          </w:tcPr>
          <w:p w14:paraId="4A9E7FF5" w14:textId="77777777" w:rsidR="00A90B05" w:rsidRPr="00BA2696" w:rsidRDefault="00A90B05" w:rsidP="00C75158">
            <w:pPr>
              <w:spacing w:after="0" w:line="240" w:lineRule="auto"/>
              <w:rPr>
                <w:b/>
                <w:bCs/>
              </w:rPr>
            </w:pPr>
            <w:r w:rsidRPr="00BA2696">
              <w:rPr>
                <w:b/>
                <w:bCs/>
              </w:rPr>
              <w:t>(Mis)Understanding ‘Race’ and Racism</w:t>
            </w:r>
          </w:p>
        </w:tc>
        <w:tc>
          <w:tcPr>
            <w:tcW w:w="4764" w:type="dxa"/>
            <w:shd w:val="clear" w:color="auto" w:fill="F2F2F2"/>
            <w:hideMark/>
          </w:tcPr>
          <w:p w14:paraId="3D9FB74A" w14:textId="77777777" w:rsidR="00A90B05" w:rsidRPr="009D6ACF" w:rsidRDefault="00A90B05" w:rsidP="00A90B05">
            <w:pPr>
              <w:pStyle w:val="ListParagraph"/>
              <w:numPr>
                <w:ilvl w:val="0"/>
                <w:numId w:val="43"/>
              </w:numPr>
              <w:suppressAutoHyphens w:val="0"/>
              <w:autoSpaceDN/>
              <w:spacing w:after="0"/>
              <w:textAlignment w:val="auto"/>
              <w:rPr>
                <w:b/>
                <w:bCs/>
              </w:rPr>
            </w:pPr>
            <w:r w:rsidRPr="00BA2696">
              <w:t xml:space="preserve">Semantic Understanding  </w:t>
            </w:r>
          </w:p>
          <w:p w14:paraId="33477131" w14:textId="77777777" w:rsidR="00A90B05" w:rsidRPr="00BA2696" w:rsidRDefault="00A90B05" w:rsidP="00A90B05">
            <w:pPr>
              <w:pStyle w:val="ListParagraph"/>
              <w:numPr>
                <w:ilvl w:val="0"/>
                <w:numId w:val="43"/>
              </w:numPr>
              <w:suppressAutoHyphens w:val="0"/>
              <w:autoSpaceDN/>
              <w:spacing w:after="0"/>
              <w:textAlignment w:val="auto"/>
            </w:pPr>
            <w:r w:rsidRPr="00BA2696">
              <w:t xml:space="preserve">Self-consciousness </w:t>
            </w:r>
          </w:p>
          <w:p w14:paraId="56CE4070" w14:textId="77777777" w:rsidR="00A90B05" w:rsidRPr="00BA2696" w:rsidRDefault="00A90B05" w:rsidP="00A90B05">
            <w:pPr>
              <w:pStyle w:val="ListParagraph"/>
              <w:numPr>
                <w:ilvl w:val="0"/>
                <w:numId w:val="43"/>
              </w:numPr>
              <w:suppressAutoHyphens w:val="0"/>
              <w:autoSpaceDN/>
              <w:spacing w:after="0"/>
              <w:textAlignment w:val="auto"/>
            </w:pPr>
            <w:r w:rsidRPr="00BA2696">
              <w:t xml:space="preserve">Distancing self (and others) from racism </w:t>
            </w:r>
          </w:p>
        </w:tc>
      </w:tr>
      <w:tr w:rsidR="00A90B05" w:rsidRPr="00BA2696" w14:paraId="3DA82304" w14:textId="77777777" w:rsidTr="00C75158">
        <w:tc>
          <w:tcPr>
            <w:tcW w:w="3695" w:type="dxa"/>
            <w:hideMark/>
          </w:tcPr>
          <w:p w14:paraId="08F8BD05" w14:textId="77777777" w:rsidR="00A90B05" w:rsidRPr="00BA2696" w:rsidRDefault="00A90B05" w:rsidP="00C75158">
            <w:pPr>
              <w:spacing w:after="0" w:line="240" w:lineRule="auto"/>
              <w:rPr>
                <w:b/>
                <w:bCs/>
              </w:rPr>
            </w:pPr>
            <w:r w:rsidRPr="00BA2696">
              <w:rPr>
                <w:b/>
                <w:bCs/>
              </w:rPr>
              <w:t xml:space="preserve">White (Un)Awareness </w:t>
            </w:r>
          </w:p>
          <w:p w14:paraId="497819AB" w14:textId="77777777" w:rsidR="00A90B05" w:rsidRPr="00BA2696" w:rsidRDefault="00A90B05" w:rsidP="00C75158">
            <w:pPr>
              <w:spacing w:after="0" w:line="240" w:lineRule="auto"/>
              <w:rPr>
                <w:b/>
                <w:bCs/>
              </w:rPr>
            </w:pPr>
          </w:p>
        </w:tc>
        <w:tc>
          <w:tcPr>
            <w:tcW w:w="4764" w:type="dxa"/>
            <w:hideMark/>
          </w:tcPr>
          <w:p w14:paraId="1F7D9F72" w14:textId="77777777" w:rsidR="00A90B05" w:rsidRPr="00BA2696" w:rsidRDefault="00A90B05" w:rsidP="00A90B05">
            <w:pPr>
              <w:numPr>
                <w:ilvl w:val="0"/>
                <w:numId w:val="11"/>
              </w:numPr>
              <w:suppressAutoHyphens w:val="0"/>
              <w:autoSpaceDN/>
              <w:spacing w:after="0" w:line="240" w:lineRule="auto"/>
              <w:textAlignment w:val="auto"/>
            </w:pPr>
            <w:r w:rsidRPr="00BA2696">
              <w:t>Whiteness as meaningless</w:t>
            </w:r>
          </w:p>
          <w:p w14:paraId="315AA897" w14:textId="77777777" w:rsidR="00A90B05" w:rsidRPr="00BA2696" w:rsidRDefault="00A90B05" w:rsidP="00A90B05">
            <w:pPr>
              <w:numPr>
                <w:ilvl w:val="0"/>
                <w:numId w:val="11"/>
              </w:numPr>
              <w:suppressAutoHyphens w:val="0"/>
              <w:autoSpaceDN/>
              <w:spacing w:after="0" w:line="240" w:lineRule="auto"/>
              <w:textAlignment w:val="auto"/>
            </w:pPr>
            <w:r w:rsidRPr="00BA2696">
              <w:t>Reverse racism</w:t>
            </w:r>
          </w:p>
          <w:p w14:paraId="7E0269F7" w14:textId="77777777" w:rsidR="00A90B05" w:rsidRPr="00BA2696" w:rsidRDefault="00A90B05" w:rsidP="00A90B05">
            <w:pPr>
              <w:numPr>
                <w:ilvl w:val="0"/>
                <w:numId w:val="11"/>
              </w:numPr>
              <w:suppressAutoHyphens w:val="0"/>
              <w:autoSpaceDN/>
              <w:spacing w:after="0" w:line="240" w:lineRule="auto"/>
              <w:textAlignment w:val="auto"/>
            </w:pPr>
            <w:r w:rsidRPr="00BA2696">
              <w:t>Complicated recognition of whiteness</w:t>
            </w:r>
          </w:p>
        </w:tc>
      </w:tr>
      <w:tr w:rsidR="00A90B05" w:rsidRPr="00BA2696" w14:paraId="15DD8BCB" w14:textId="77777777" w:rsidTr="00C75158">
        <w:tc>
          <w:tcPr>
            <w:tcW w:w="3695" w:type="dxa"/>
            <w:shd w:val="clear" w:color="auto" w:fill="F2F2F2"/>
            <w:hideMark/>
          </w:tcPr>
          <w:p w14:paraId="765414B6" w14:textId="77777777" w:rsidR="00A90B05" w:rsidRPr="00BA2696" w:rsidRDefault="00A90B05" w:rsidP="00C75158">
            <w:pPr>
              <w:spacing w:after="0" w:line="240" w:lineRule="auto"/>
              <w:rPr>
                <w:b/>
                <w:bCs/>
              </w:rPr>
            </w:pPr>
            <w:r w:rsidRPr="00BA2696">
              <w:rPr>
                <w:b/>
                <w:bCs/>
              </w:rPr>
              <w:t xml:space="preserve">Barriers to Racial Discourse </w:t>
            </w:r>
          </w:p>
        </w:tc>
        <w:tc>
          <w:tcPr>
            <w:tcW w:w="4764" w:type="dxa"/>
            <w:shd w:val="clear" w:color="auto" w:fill="F2F2F2"/>
            <w:hideMark/>
          </w:tcPr>
          <w:p w14:paraId="12AB762B" w14:textId="77777777" w:rsidR="00A90B05" w:rsidRPr="00BA2696" w:rsidRDefault="00A90B05" w:rsidP="00A90B05">
            <w:pPr>
              <w:numPr>
                <w:ilvl w:val="0"/>
                <w:numId w:val="12"/>
              </w:numPr>
              <w:suppressAutoHyphens w:val="0"/>
              <w:autoSpaceDN/>
              <w:spacing w:after="0" w:line="240" w:lineRule="auto"/>
              <w:textAlignment w:val="auto"/>
            </w:pPr>
            <w:r w:rsidRPr="00BA2696">
              <w:t>Lack of contact with People of Colour</w:t>
            </w:r>
          </w:p>
          <w:p w14:paraId="56E10066" w14:textId="77777777" w:rsidR="00A90B05" w:rsidRPr="00BA2696" w:rsidRDefault="00A90B05" w:rsidP="00A90B05">
            <w:pPr>
              <w:numPr>
                <w:ilvl w:val="0"/>
                <w:numId w:val="12"/>
              </w:numPr>
              <w:suppressAutoHyphens w:val="0"/>
              <w:autoSpaceDN/>
              <w:spacing w:after="0" w:line="240" w:lineRule="auto"/>
              <w:textAlignment w:val="auto"/>
            </w:pPr>
            <w:r w:rsidRPr="00BA2696">
              <w:t>Contact with People of Colour</w:t>
            </w:r>
          </w:p>
          <w:p w14:paraId="10D92C6A" w14:textId="77777777" w:rsidR="00A90B05" w:rsidRPr="00BA2696" w:rsidRDefault="00A90B05" w:rsidP="00A90B05">
            <w:pPr>
              <w:numPr>
                <w:ilvl w:val="0"/>
                <w:numId w:val="12"/>
              </w:numPr>
              <w:suppressAutoHyphens w:val="0"/>
              <w:autoSpaceDN/>
              <w:spacing w:after="0" w:line="240" w:lineRule="auto"/>
              <w:textAlignment w:val="auto"/>
            </w:pPr>
            <w:r w:rsidRPr="00BA2696">
              <w:t>Colour-blind attitudes</w:t>
            </w:r>
          </w:p>
          <w:p w14:paraId="76898C70" w14:textId="77777777" w:rsidR="00A90B05" w:rsidRPr="00BA2696" w:rsidRDefault="00A90B05" w:rsidP="00A90B05">
            <w:pPr>
              <w:numPr>
                <w:ilvl w:val="0"/>
                <w:numId w:val="12"/>
              </w:numPr>
              <w:suppressAutoHyphens w:val="0"/>
              <w:autoSpaceDN/>
              <w:spacing w:after="0" w:line="240" w:lineRule="auto"/>
              <w:textAlignment w:val="auto"/>
            </w:pPr>
            <w:r w:rsidRPr="00BA2696">
              <w:t>‘Good White Counsellor’</w:t>
            </w:r>
          </w:p>
        </w:tc>
      </w:tr>
      <w:tr w:rsidR="00A90B05" w:rsidRPr="00BA2696" w14:paraId="35568F2D" w14:textId="77777777" w:rsidTr="00C75158">
        <w:tc>
          <w:tcPr>
            <w:tcW w:w="3695" w:type="dxa"/>
          </w:tcPr>
          <w:p w14:paraId="6F489BD2" w14:textId="77777777" w:rsidR="00A90B05" w:rsidRPr="00BA2696" w:rsidRDefault="00A90B05" w:rsidP="00C75158">
            <w:pPr>
              <w:spacing w:after="0" w:line="240" w:lineRule="auto"/>
              <w:rPr>
                <w:b/>
                <w:bCs/>
              </w:rPr>
            </w:pPr>
            <w:r w:rsidRPr="00BA2696">
              <w:rPr>
                <w:b/>
                <w:bCs/>
              </w:rPr>
              <w:t>Socio-Political (Dis)Connection</w:t>
            </w:r>
          </w:p>
          <w:p w14:paraId="4F8EC684" w14:textId="77777777" w:rsidR="00A90B05" w:rsidRPr="00BA2696" w:rsidRDefault="00A90B05" w:rsidP="00C75158">
            <w:pPr>
              <w:spacing w:after="0" w:line="240" w:lineRule="auto"/>
            </w:pPr>
          </w:p>
        </w:tc>
        <w:tc>
          <w:tcPr>
            <w:tcW w:w="4764" w:type="dxa"/>
            <w:hideMark/>
          </w:tcPr>
          <w:p w14:paraId="3362A047" w14:textId="77777777" w:rsidR="00A90B05" w:rsidRPr="00BA2696" w:rsidRDefault="00A90B05" w:rsidP="00A90B05">
            <w:pPr>
              <w:numPr>
                <w:ilvl w:val="0"/>
                <w:numId w:val="13"/>
              </w:numPr>
              <w:suppressAutoHyphens w:val="0"/>
              <w:autoSpaceDN/>
              <w:spacing w:after="0" w:line="240" w:lineRule="auto"/>
              <w:textAlignment w:val="auto"/>
            </w:pPr>
            <w:r w:rsidRPr="00BA2696">
              <w:t>Student and curriculum disconnection</w:t>
            </w:r>
          </w:p>
          <w:p w14:paraId="69AB93F7" w14:textId="77777777" w:rsidR="00A90B05" w:rsidRPr="00BA2696" w:rsidRDefault="00A90B05" w:rsidP="00A90B05">
            <w:pPr>
              <w:numPr>
                <w:ilvl w:val="0"/>
                <w:numId w:val="13"/>
              </w:numPr>
              <w:suppressAutoHyphens w:val="0"/>
              <w:autoSpaceDN/>
              <w:spacing w:after="0" w:line="240" w:lineRule="auto"/>
              <w:textAlignment w:val="auto"/>
            </w:pPr>
            <w:r w:rsidRPr="00BA2696">
              <w:t>Student and curriculum connection</w:t>
            </w:r>
          </w:p>
          <w:p w14:paraId="76585234" w14:textId="77777777" w:rsidR="00A90B05" w:rsidRPr="00BA2696" w:rsidRDefault="00A90B05" w:rsidP="00A90B05">
            <w:pPr>
              <w:numPr>
                <w:ilvl w:val="0"/>
                <w:numId w:val="13"/>
              </w:numPr>
              <w:suppressAutoHyphens w:val="0"/>
              <w:autoSpaceDN/>
              <w:spacing w:after="0" w:line="240" w:lineRule="auto"/>
              <w:textAlignment w:val="auto"/>
            </w:pPr>
            <w:r w:rsidRPr="00BA2696">
              <w:t>‘Race’ education: Is it racist?</w:t>
            </w:r>
          </w:p>
        </w:tc>
      </w:tr>
    </w:tbl>
    <w:p w14:paraId="54BF759B" w14:textId="77777777" w:rsidR="00A90B05" w:rsidRPr="00BA2696" w:rsidRDefault="00A90B05" w:rsidP="00A90B05">
      <w:pPr>
        <w:suppressAutoHyphens w:val="0"/>
        <w:autoSpaceDN/>
        <w:spacing w:after="0" w:line="480" w:lineRule="auto"/>
        <w:textAlignment w:val="auto"/>
        <w:rPr>
          <w:rFonts w:cs="Calibri"/>
          <w:sz w:val="24"/>
          <w:szCs w:val="24"/>
        </w:rPr>
      </w:pPr>
    </w:p>
    <w:p w14:paraId="500FA75B" w14:textId="77777777" w:rsidR="00A90B05" w:rsidRPr="00BA2696" w:rsidRDefault="00A90B05" w:rsidP="00A90B05">
      <w:pPr>
        <w:spacing w:after="0" w:line="480" w:lineRule="auto"/>
        <w:rPr>
          <w:sz w:val="24"/>
          <w:szCs w:val="24"/>
        </w:rPr>
      </w:pPr>
      <w:r w:rsidRPr="00BA2696">
        <w:rPr>
          <w:rFonts w:cs="Calibri"/>
          <w:sz w:val="24"/>
          <w:szCs w:val="24"/>
        </w:rPr>
        <w:t>To preface the discussion of findings, I will outline the socio-political context this chapter was written in (Section 6.1) and then introduce my concept</w:t>
      </w:r>
      <w:r>
        <w:rPr>
          <w:rFonts w:cs="Calibri"/>
          <w:sz w:val="24"/>
          <w:szCs w:val="24"/>
        </w:rPr>
        <w:t>s</w:t>
      </w:r>
      <w:r w:rsidRPr="00BA2696">
        <w:rPr>
          <w:rFonts w:cs="Calibri"/>
          <w:sz w:val="24"/>
          <w:szCs w:val="24"/>
        </w:rPr>
        <w:t xml:space="preserve"> of </w:t>
      </w:r>
      <w:r>
        <w:rPr>
          <w:rFonts w:cs="Calibri"/>
          <w:sz w:val="24"/>
          <w:szCs w:val="24"/>
        </w:rPr>
        <w:t>‘</w:t>
      </w:r>
      <w:r w:rsidRPr="00BA2696">
        <w:rPr>
          <w:rFonts w:cs="Calibri"/>
          <w:sz w:val="24"/>
          <w:szCs w:val="24"/>
        </w:rPr>
        <w:t>White Ignorance Disruption</w:t>
      </w:r>
      <w:r>
        <w:rPr>
          <w:rFonts w:cs="Calibri"/>
          <w:sz w:val="24"/>
          <w:szCs w:val="24"/>
        </w:rPr>
        <w:t>’ and the ‘Good White Counsellor’</w:t>
      </w:r>
      <w:r w:rsidRPr="00BA2696">
        <w:rPr>
          <w:rFonts w:cs="Calibri"/>
          <w:sz w:val="24"/>
          <w:szCs w:val="24"/>
        </w:rPr>
        <w:t xml:space="preserve"> (Section 6.2). I will then discuss the four themes outlined in Chapter 5 (Table</w:t>
      </w:r>
      <w:r>
        <w:rPr>
          <w:rFonts w:cs="Calibri"/>
          <w:sz w:val="24"/>
          <w:szCs w:val="24"/>
        </w:rPr>
        <w:t xml:space="preserve"> 20</w:t>
      </w:r>
      <w:r w:rsidRPr="00BA2696">
        <w:rPr>
          <w:rFonts w:cs="Calibri"/>
          <w:sz w:val="24"/>
          <w:szCs w:val="24"/>
        </w:rPr>
        <w:t>) by explaining how White Ignorance Disruption relates to each one. I will also contextualise</w:t>
      </w:r>
      <w:r>
        <w:rPr>
          <w:rFonts w:cs="Calibri"/>
          <w:sz w:val="24"/>
          <w:szCs w:val="24"/>
        </w:rPr>
        <w:t xml:space="preserve"> the</w:t>
      </w:r>
      <w:r w:rsidRPr="00BA2696">
        <w:rPr>
          <w:rFonts w:cs="Calibri"/>
          <w:sz w:val="24"/>
          <w:szCs w:val="24"/>
        </w:rPr>
        <w:t xml:space="preserve"> themes within established theory and research. To do this, I will be drawing upon Chapter 2 of this thesis as well as including </w:t>
      </w:r>
      <w:r>
        <w:rPr>
          <w:rFonts w:cs="Calibri"/>
          <w:sz w:val="24"/>
          <w:szCs w:val="24"/>
        </w:rPr>
        <w:t>additional</w:t>
      </w:r>
      <w:r w:rsidRPr="00BA2696">
        <w:rPr>
          <w:rFonts w:cs="Calibri"/>
          <w:sz w:val="24"/>
          <w:szCs w:val="24"/>
        </w:rPr>
        <w:t xml:space="preserve"> literature that is relevant to the findings. </w:t>
      </w:r>
      <w:r w:rsidRPr="00BA2696">
        <w:rPr>
          <w:sz w:val="24"/>
          <w:szCs w:val="24"/>
        </w:rPr>
        <w:t xml:space="preserve">Furthermore, the methodology of post-critical ethnography used in this research, places value on researcher reflexivity (Noblit, Flores and Murillo, 2004; Anders, 2019), therefore the role of the ‘disruptor’ is also considered. Whilst this concept will be applied directly to </w:t>
      </w:r>
      <w:r w:rsidRPr="00BA2696">
        <w:rPr>
          <w:sz w:val="24"/>
          <w:szCs w:val="24"/>
        </w:rPr>
        <w:lastRenderedPageBreak/>
        <w:t xml:space="preserve">the research themes, in Chapter 7 (Section 7.8), it will </w:t>
      </w:r>
      <w:r>
        <w:rPr>
          <w:sz w:val="24"/>
          <w:szCs w:val="24"/>
        </w:rPr>
        <w:t>be explored</w:t>
      </w:r>
      <w:r w:rsidRPr="00BA2696">
        <w:rPr>
          <w:sz w:val="24"/>
          <w:szCs w:val="24"/>
        </w:rPr>
        <w:t xml:space="preserve"> how White Ignorance Disruption may be applied to counselling pedagogy through the recommendation of ‘Critical Whiteness Counselling Studies’. It is envisaged that Critical Whiteness Counselling Studies will use White Ignorance Disruption as the ‘springboard’ for profession specific approach to critical whiteness studies and thus makes a significant contribution to practice. </w:t>
      </w:r>
    </w:p>
    <w:p w14:paraId="0394250E" w14:textId="77777777" w:rsidR="00A90B05" w:rsidRPr="00BA2696" w:rsidRDefault="00A90B05" w:rsidP="00A90B05">
      <w:pPr>
        <w:spacing w:after="0" w:line="480" w:lineRule="auto"/>
        <w:rPr>
          <w:sz w:val="24"/>
          <w:szCs w:val="24"/>
        </w:rPr>
      </w:pPr>
    </w:p>
    <w:p w14:paraId="655E3924" w14:textId="77777777" w:rsidR="00A90B05" w:rsidRPr="00BA2696" w:rsidRDefault="00A90B05" w:rsidP="00A90B05">
      <w:pPr>
        <w:pStyle w:val="Heading3"/>
      </w:pPr>
      <w:bookmarkStart w:id="9" w:name="_Toc56523023"/>
      <w:bookmarkStart w:id="10" w:name="_Toc56523305"/>
      <w:bookmarkStart w:id="11" w:name="_Toc57910113"/>
      <w:bookmarkStart w:id="12" w:name="_Toc58251329"/>
      <w:bookmarkStart w:id="13" w:name="_Toc56523024"/>
      <w:bookmarkStart w:id="14" w:name="_Toc56523306"/>
      <w:bookmarkStart w:id="15" w:name="_Toc57910114"/>
      <w:bookmarkStart w:id="16" w:name="_Toc58251330"/>
      <w:bookmarkStart w:id="17" w:name="_Toc72413655"/>
      <w:r w:rsidRPr="00BA2696">
        <w:t>6.1 Contextualising the Discussion</w:t>
      </w:r>
      <w:bookmarkEnd w:id="9"/>
      <w:bookmarkEnd w:id="10"/>
      <w:bookmarkEnd w:id="11"/>
      <w:bookmarkEnd w:id="12"/>
      <w:bookmarkEnd w:id="17"/>
      <w:r w:rsidRPr="00BA2696">
        <w:t xml:space="preserve"> </w:t>
      </w:r>
    </w:p>
    <w:p w14:paraId="6AC2F69D" w14:textId="77777777" w:rsidR="00A90B05" w:rsidRPr="00BA2696" w:rsidRDefault="00A90B05" w:rsidP="00A90B05">
      <w:pPr>
        <w:suppressAutoHyphens w:val="0"/>
        <w:autoSpaceDN/>
        <w:spacing w:after="0" w:line="480" w:lineRule="auto"/>
        <w:textAlignment w:val="auto"/>
        <w:rPr>
          <w:rFonts w:cs="Calibri"/>
          <w:sz w:val="24"/>
          <w:szCs w:val="24"/>
        </w:rPr>
      </w:pPr>
      <w:r w:rsidRPr="00BA2696">
        <w:rPr>
          <w:rFonts w:cs="Calibri"/>
          <w:sz w:val="24"/>
          <w:szCs w:val="24"/>
        </w:rPr>
        <w:t>The methodological approach used was post-critical ethnography (Noblit, Flores and Murillo, 2004; Anders, 2019) and the method used to gather the data w</w:t>
      </w:r>
      <w:r>
        <w:rPr>
          <w:rFonts w:cs="Calibri"/>
          <w:sz w:val="24"/>
          <w:szCs w:val="24"/>
        </w:rPr>
        <w:t>as</w:t>
      </w:r>
      <w:r w:rsidRPr="00BA2696">
        <w:rPr>
          <w:rFonts w:cs="Calibri"/>
          <w:sz w:val="24"/>
          <w:szCs w:val="24"/>
        </w:rPr>
        <w:t xml:space="preserve"> participant-observation</w:t>
      </w:r>
      <w:r>
        <w:rPr>
          <w:rFonts w:cs="Calibri"/>
          <w:sz w:val="24"/>
          <w:szCs w:val="24"/>
        </w:rPr>
        <w:t xml:space="preserve">, which included </w:t>
      </w:r>
      <w:r w:rsidRPr="00BA2696">
        <w:rPr>
          <w:rFonts w:cs="Calibri"/>
          <w:sz w:val="24"/>
          <w:szCs w:val="24"/>
        </w:rPr>
        <w:t xml:space="preserve">semi-structured interviews and document analysis. Consistent with the whole thesis, post-critical ethnography’s notion of research being a ‘moral activity’ (Noblit, Flores and Murillo, 2004; </w:t>
      </w:r>
      <w:r w:rsidRPr="00BA2696">
        <w:rPr>
          <w:sz w:val="24"/>
          <w:szCs w:val="24"/>
        </w:rPr>
        <w:t xml:space="preserve">Lester and Anders, 2018) has been carried into the discussion of the research findings. This </w:t>
      </w:r>
      <w:r>
        <w:rPr>
          <w:sz w:val="24"/>
          <w:szCs w:val="24"/>
        </w:rPr>
        <w:t xml:space="preserve">is </w:t>
      </w:r>
      <w:r w:rsidRPr="00BA2696">
        <w:rPr>
          <w:sz w:val="24"/>
          <w:szCs w:val="24"/>
        </w:rPr>
        <w:t>d</w:t>
      </w:r>
      <w:r>
        <w:rPr>
          <w:sz w:val="24"/>
          <w:szCs w:val="24"/>
        </w:rPr>
        <w:t>emonstrated</w:t>
      </w:r>
      <w:r w:rsidRPr="00BA2696">
        <w:rPr>
          <w:sz w:val="24"/>
          <w:szCs w:val="24"/>
        </w:rPr>
        <w:t xml:space="preserve"> through careful consideration </w:t>
      </w:r>
      <w:r>
        <w:rPr>
          <w:sz w:val="24"/>
          <w:szCs w:val="24"/>
        </w:rPr>
        <w:t>about</w:t>
      </w:r>
      <w:r w:rsidRPr="00BA2696">
        <w:rPr>
          <w:sz w:val="24"/>
          <w:szCs w:val="24"/>
        </w:rPr>
        <w:t xml:space="preserve"> how the participants may feel reading their words disseminated and explored theoretically. Post-critical ethnography rejects objectivity whilst acknowledging that:</w:t>
      </w:r>
    </w:p>
    <w:p w14:paraId="547BCB63" w14:textId="77777777" w:rsidR="00A90B05" w:rsidRPr="004939FF" w:rsidRDefault="00A90B05" w:rsidP="00A90B05">
      <w:pPr>
        <w:suppressAutoHyphens w:val="0"/>
        <w:autoSpaceDN/>
        <w:spacing w:after="0" w:line="240" w:lineRule="auto"/>
        <w:ind w:left="567" w:right="567"/>
        <w:textAlignment w:val="auto"/>
        <w:rPr>
          <w:sz w:val="24"/>
          <w:szCs w:val="24"/>
        </w:rPr>
      </w:pPr>
      <w:r w:rsidRPr="00BA2696">
        <w:rPr>
          <w:sz w:val="24"/>
          <w:szCs w:val="24"/>
        </w:rPr>
        <w:t>writing inscribes a critical interpretation that exists beyond the intention of the author to de-objectify, dereify, or demystify what is studied (Noblit, Flores and Murillo, 200</w:t>
      </w:r>
      <w:r w:rsidRPr="004939FF">
        <w:rPr>
          <w:sz w:val="24"/>
          <w:szCs w:val="24"/>
        </w:rPr>
        <w:t xml:space="preserve">4, p. 22). </w:t>
      </w:r>
    </w:p>
    <w:p w14:paraId="2C367373" w14:textId="77777777" w:rsidR="00A90B05" w:rsidRPr="00BA2696" w:rsidRDefault="00A90B05" w:rsidP="00A90B05">
      <w:pPr>
        <w:suppressAutoHyphens w:val="0"/>
        <w:autoSpaceDN/>
        <w:spacing w:after="0" w:line="480" w:lineRule="auto"/>
        <w:ind w:right="567"/>
        <w:textAlignment w:val="auto"/>
        <w:rPr>
          <w:sz w:val="24"/>
          <w:szCs w:val="24"/>
        </w:rPr>
      </w:pPr>
    </w:p>
    <w:p w14:paraId="3FF7DE7D" w14:textId="77777777" w:rsidR="00A90B05" w:rsidRPr="00BA2696" w:rsidRDefault="00A90B05" w:rsidP="00A90B05">
      <w:pPr>
        <w:suppressAutoHyphens w:val="0"/>
        <w:autoSpaceDN/>
        <w:spacing w:after="0" w:line="480" w:lineRule="auto"/>
        <w:textAlignment w:val="auto"/>
        <w:rPr>
          <w:sz w:val="24"/>
          <w:szCs w:val="24"/>
        </w:rPr>
      </w:pPr>
      <w:r w:rsidRPr="00BA2696">
        <w:rPr>
          <w:sz w:val="24"/>
          <w:szCs w:val="24"/>
        </w:rPr>
        <w:t xml:space="preserve">One way I will seek to minimise objectivity through critical interpretation is to employ the notion of crystallization, which refers to research containing multiple perspectives and truths (Richardson, 2003; Ellingson, 2009). Therefore, this discussion chapter is presented with the acknowledgement that the understanding of the data is my </w:t>
      </w:r>
      <w:r w:rsidRPr="00BA2696">
        <w:rPr>
          <w:sz w:val="24"/>
          <w:szCs w:val="24"/>
        </w:rPr>
        <w:lastRenderedPageBreak/>
        <w:t xml:space="preserve">interpretation and accepts that it may not be the only possible interpretation of the findings. The epistemological approach of ‘theorised subjectivity’ (Letherby, 2013) </w:t>
      </w:r>
      <w:r>
        <w:rPr>
          <w:sz w:val="24"/>
          <w:szCs w:val="24"/>
        </w:rPr>
        <w:t xml:space="preserve">is </w:t>
      </w:r>
      <w:r w:rsidRPr="00BA2696">
        <w:rPr>
          <w:sz w:val="24"/>
          <w:szCs w:val="24"/>
        </w:rPr>
        <w:t>used in this research</w:t>
      </w:r>
      <w:r>
        <w:rPr>
          <w:sz w:val="24"/>
          <w:szCs w:val="24"/>
        </w:rPr>
        <w:t xml:space="preserve"> and</w:t>
      </w:r>
      <w:r w:rsidRPr="00BA2696">
        <w:rPr>
          <w:sz w:val="24"/>
          <w:szCs w:val="24"/>
        </w:rPr>
        <w:t xml:space="preserve"> </w:t>
      </w:r>
      <w:r>
        <w:rPr>
          <w:sz w:val="24"/>
          <w:szCs w:val="24"/>
        </w:rPr>
        <w:t xml:space="preserve">posits </w:t>
      </w:r>
      <w:r w:rsidRPr="00BA2696">
        <w:rPr>
          <w:sz w:val="24"/>
          <w:szCs w:val="24"/>
        </w:rPr>
        <w:t>subjective understanding is influenced by political beliefs</w:t>
      </w:r>
      <w:r>
        <w:rPr>
          <w:sz w:val="24"/>
          <w:szCs w:val="24"/>
        </w:rPr>
        <w:t xml:space="preserve"> and </w:t>
      </w:r>
      <w:r w:rsidRPr="00BA2696">
        <w:rPr>
          <w:sz w:val="24"/>
          <w:szCs w:val="24"/>
        </w:rPr>
        <w:t>takes into consideration the emotionality of research for both researcher and participants. This permits an acceptance that extenuating factors may also influence the interpretations of findings. The potential impact of my vicarious traumatisation on the research, the emotional impact of the research and its effect on this research has been considered (Chapter 7, Section 7.8; Smith, 2021, see Appendix v</w:t>
      </w:r>
      <w:r>
        <w:rPr>
          <w:sz w:val="24"/>
          <w:szCs w:val="24"/>
        </w:rPr>
        <w:t>i</w:t>
      </w:r>
      <w:r w:rsidRPr="00BA2696">
        <w:rPr>
          <w:sz w:val="24"/>
          <w:szCs w:val="24"/>
        </w:rPr>
        <w:t>). It</w:t>
      </w:r>
      <w:r>
        <w:rPr>
          <w:sz w:val="24"/>
          <w:szCs w:val="24"/>
        </w:rPr>
        <w:t xml:space="preserve"> is</w:t>
      </w:r>
      <w:r w:rsidRPr="00BA2696">
        <w:rPr>
          <w:sz w:val="24"/>
          <w:szCs w:val="24"/>
        </w:rPr>
        <w:t xml:space="preserve"> also acknowledged that this topic </w:t>
      </w:r>
      <w:r>
        <w:rPr>
          <w:sz w:val="24"/>
          <w:szCs w:val="24"/>
        </w:rPr>
        <w:t>elicited</w:t>
      </w:r>
      <w:r w:rsidRPr="00BA2696">
        <w:rPr>
          <w:sz w:val="24"/>
          <w:szCs w:val="24"/>
        </w:rPr>
        <w:t xml:space="preserve"> complex emotions for the participants (furthered in this chapter). Additionally, my own belief in racial equality and social justice cannot be neatly separated in this discussion and to claim otherwise would be disingenuous. Similarly, when talking about ‘race’, white people will modify their ‘race’ speech and expressions of racism depending on the environment they are in and the company they are with (Picca and Feagin, 2007). Therefore, it would be difficult to ascertain how honest the participants felt they could be in answering the research questions. Thus, the discussion of the findings is predicated on what the participants felt able to share. Hence it would be impossible to make conclusive interpretations about how they </w:t>
      </w:r>
      <w:r w:rsidRPr="00BA2696">
        <w:rPr>
          <w:i/>
          <w:iCs/>
          <w:sz w:val="24"/>
          <w:szCs w:val="24"/>
        </w:rPr>
        <w:t>really</w:t>
      </w:r>
      <w:r w:rsidRPr="00BA2696">
        <w:rPr>
          <w:sz w:val="24"/>
          <w:szCs w:val="24"/>
        </w:rPr>
        <w:t xml:space="preserve"> understand ‘race’, racism and whiteness.</w:t>
      </w:r>
    </w:p>
    <w:p w14:paraId="231F47D7" w14:textId="77777777" w:rsidR="00A90B05" w:rsidRPr="00BA2696" w:rsidRDefault="00A90B05" w:rsidP="00A90B05">
      <w:pPr>
        <w:suppressAutoHyphens w:val="0"/>
        <w:autoSpaceDN/>
        <w:spacing w:after="0" w:line="480" w:lineRule="auto"/>
        <w:textAlignment w:val="auto"/>
        <w:rPr>
          <w:sz w:val="24"/>
          <w:szCs w:val="24"/>
        </w:rPr>
      </w:pPr>
    </w:p>
    <w:p w14:paraId="0213C233" w14:textId="77777777" w:rsidR="00A90B05" w:rsidRPr="00BA2696" w:rsidRDefault="00A90B05" w:rsidP="00A90B05">
      <w:pPr>
        <w:spacing w:after="0" w:line="480" w:lineRule="auto"/>
        <w:rPr>
          <w:rFonts w:cs="Calibri"/>
          <w:bCs/>
          <w:sz w:val="24"/>
          <w:szCs w:val="24"/>
        </w:rPr>
      </w:pPr>
      <w:r w:rsidRPr="00BA2696">
        <w:rPr>
          <w:sz w:val="24"/>
          <w:szCs w:val="24"/>
        </w:rPr>
        <w:t>In regard to the political aspect of theorised subjectivity (Letherby, 2013</w:t>
      </w:r>
      <w:r w:rsidRPr="00BA2696">
        <w:rPr>
          <w:color w:val="7030A0"/>
          <w:sz w:val="24"/>
          <w:szCs w:val="24"/>
        </w:rPr>
        <w:t>)</w:t>
      </w:r>
      <w:r w:rsidRPr="00BA2696">
        <w:rPr>
          <w:rFonts w:cs="Calibri"/>
          <w:sz w:val="24"/>
          <w:szCs w:val="24"/>
        </w:rPr>
        <w:t xml:space="preserve"> and because one of the themes found a socio-political disconnection amongst the participants and counselling curriculum, it seems appropriate to connect the socio-political context that the writing of this chapter took place in, lest I reproduce the same disconnection found in the research. I began writing this discussion of findings before Black Lives </w:t>
      </w:r>
      <w:r w:rsidRPr="00BA2696">
        <w:rPr>
          <w:rFonts w:cs="Calibri"/>
          <w:sz w:val="24"/>
          <w:szCs w:val="24"/>
        </w:rPr>
        <w:lastRenderedPageBreak/>
        <w:t>Matter protests began globally in June 2020 (Reuters, 2020). This was at a time when familiarity of the literature and my own research meant that I felt comfortable in my knowledge of whiteness whilst simultaneously trying to expand it through self-education. From this position, I found that in</w:t>
      </w:r>
      <w:r>
        <w:rPr>
          <w:rFonts w:cs="Calibri"/>
          <w:sz w:val="24"/>
          <w:szCs w:val="24"/>
        </w:rPr>
        <w:t xml:space="preserve"> the</w:t>
      </w:r>
      <w:r w:rsidRPr="00BA2696">
        <w:rPr>
          <w:rFonts w:cs="Calibri"/>
          <w:sz w:val="24"/>
          <w:szCs w:val="24"/>
        </w:rPr>
        <w:t xml:space="preserve"> initial attempts at this chapter I was trying to wrestle the participants’ experiences into neat little theoretical boxes to be analysed. However, with the global events of the Black Lives Matter protests, I witnessed what I understood as a global happening of White Ignorance Disruption, which I introduce below (Section 6.2), whereby white people’s white ignorance (Mills, 1997; 2007, </w:t>
      </w:r>
      <w:r>
        <w:rPr>
          <w:rFonts w:cs="Calibri"/>
          <w:sz w:val="24"/>
          <w:szCs w:val="24"/>
        </w:rPr>
        <w:t xml:space="preserve">Chapter 2, </w:t>
      </w:r>
      <w:r w:rsidRPr="00BA2696">
        <w:rPr>
          <w:rFonts w:cs="Calibri"/>
          <w:sz w:val="24"/>
          <w:szCs w:val="24"/>
        </w:rPr>
        <w:t xml:space="preserve">Section 2.1.5), was disrupted with white people becoming aware of the scale of racial injustice. One way this manifest itself was through some white people supporting calls to remove statues of historical slave holders, whereas other white people defended those statues, seeing their removal as an erasure of British history (Parveen </w:t>
      </w:r>
      <w:r w:rsidRPr="00BA2696">
        <w:rPr>
          <w:rFonts w:cs="Calibri"/>
          <w:i/>
          <w:iCs/>
          <w:sz w:val="24"/>
          <w:szCs w:val="24"/>
        </w:rPr>
        <w:t>et al</w:t>
      </w:r>
      <w:r w:rsidRPr="00BA2696">
        <w:rPr>
          <w:rFonts w:cs="Calibri"/>
          <w:sz w:val="24"/>
          <w:szCs w:val="24"/>
        </w:rPr>
        <w:t>, 2020). In this way, a similarity can be seen in the third theme of this research ‘White (Un)Awareness’ (Chapter 5, Section 5.3), whereby the</w:t>
      </w:r>
      <w:r>
        <w:rPr>
          <w:rFonts w:cs="Calibri"/>
          <w:sz w:val="24"/>
          <w:szCs w:val="24"/>
        </w:rPr>
        <w:t xml:space="preserve"> </w:t>
      </w:r>
      <w:r w:rsidRPr="00BA2696">
        <w:rPr>
          <w:rFonts w:cs="Calibri"/>
          <w:sz w:val="24"/>
          <w:szCs w:val="24"/>
        </w:rPr>
        <w:t xml:space="preserve">participants responded to the question of whiteness either with a burgeoning realisation of what whiteness may mean or countered it with the argument that reverse racism exists and the assertion that it was an irrelevant question. On a personal level, despite being someone who had spent the last five years thinking about ‘race’ and whiteness (Chapter 1, Section 1.1) I felt woefully inadequate to offer advice or guidance to my fellow whites. On social media, I saw white people offering advice and sources of education and although I offered my own reading list, I was surprised </w:t>
      </w:r>
      <w:r>
        <w:rPr>
          <w:rFonts w:cs="Calibri"/>
          <w:sz w:val="24"/>
          <w:szCs w:val="24"/>
        </w:rPr>
        <w:t xml:space="preserve">by </w:t>
      </w:r>
      <w:r w:rsidRPr="00BA2696">
        <w:rPr>
          <w:rFonts w:cs="Calibri"/>
          <w:sz w:val="24"/>
          <w:szCs w:val="24"/>
        </w:rPr>
        <w:t xml:space="preserve">my own hesitancy in doing so. In short, I was afraid of ‘getting it wrong’, of my whiteness monopolising a conversation about blackness, and of offending people. In this way, I was not so different to some of the participants who also feared </w:t>
      </w:r>
      <w:r w:rsidRPr="00BA2696">
        <w:rPr>
          <w:rFonts w:cs="Calibri"/>
          <w:sz w:val="24"/>
          <w:szCs w:val="24"/>
        </w:rPr>
        <w:lastRenderedPageBreak/>
        <w:t>causing offence to people of colour through their answers to my interview questions (Chapter 5, Section 5.2</w:t>
      </w:r>
      <w:r>
        <w:rPr>
          <w:rFonts w:cs="Calibri"/>
          <w:sz w:val="24"/>
          <w:szCs w:val="24"/>
        </w:rPr>
        <w:t>; Appendix v</w:t>
      </w:r>
      <w:r w:rsidRPr="00BA2696">
        <w:rPr>
          <w:rFonts w:cs="Calibri"/>
          <w:sz w:val="24"/>
          <w:szCs w:val="24"/>
        </w:rPr>
        <w:t>). Reconnecting with my own trepidation about 'getting it wrong' helped deepen my empathy toward the research participants. If I felt like this, someone who had been thinking, reading and researching about ‘race’, racism and whiteness for 5 years, then the participants must have felt it acutely in the interviews as they approached a topic they had never thought about before. I realised that perhaps I did not fully appreciate that at the time of the interviews, as possibly my intellectual development meant that I had in some way lost contact with the emotionality of not knowing.</w:t>
      </w:r>
      <w:r w:rsidRPr="00BA2696">
        <w:rPr>
          <w:sz w:val="24"/>
          <w:szCs w:val="24"/>
        </w:rPr>
        <w:t xml:space="preserve"> As Scotland notes (2012, p. 14), critical theory’s quest for social justice can </w:t>
      </w:r>
      <w:r w:rsidRPr="00BA2696">
        <w:rPr>
          <w:rFonts w:cs="Calibri"/>
          <w:sz w:val="24"/>
          <w:szCs w:val="24"/>
        </w:rPr>
        <w:t xml:space="preserve">lead to a ‘despondency’ as ‘blissful ignorance is shattered’ for research participants. This observation is relevant as in this chapter I introduce the concept of White Ignorance Disruption, which refers to the intellectual and emotional process of white ignorance (Mills, 2007) being disrupted. In this way, the participants’ reactions perhaps speak to the bigger context of being white and living within white supremacy, in that white people are not taught about ‘race’, racism and whiteness, we do not need to think about it and when pushed it can elicit a myriad of emotional and intellectual responses. Arguably, we are engaged with the racial contract (Mills, 1997) and even for those of us trying to find a way out, it can still bind us. By which I mean, I began writing this chapter aware that were limits to my own racial awareness, that this would be a lifelong learning process and would not simply finish at the end of this PhD. Yet, along the way I had acquired a sense of surety that I was making progress in this process and I knew the tools needed to continue, i.e., continual self-education. This surety was knocked when racial discourse became globalised and fears of causing offence, lack of confidence in my knowledge and general uncertainty of what I could </w:t>
      </w:r>
      <w:r w:rsidRPr="00BA2696">
        <w:rPr>
          <w:rFonts w:cs="Calibri"/>
          <w:sz w:val="24"/>
          <w:szCs w:val="24"/>
        </w:rPr>
        <w:lastRenderedPageBreak/>
        <w:t xml:space="preserve">offer and how to offer it, surfaced. </w:t>
      </w:r>
      <w:r w:rsidRPr="00BA2696">
        <w:rPr>
          <w:rFonts w:cs="Calibri"/>
          <w:bCs/>
          <w:sz w:val="24"/>
          <w:szCs w:val="24"/>
        </w:rPr>
        <w:t>This uncertainty also foregrounded the realisation that had I been interviewed at the same stage of my counselling training, I too would have expressed many of the same understandings and attitudes around ‘race’, racism and whiteness as the participants did. Specifically, I had also once believed that colour-blind attitudes were an expression of a belief in racial equality.</w:t>
      </w:r>
    </w:p>
    <w:p w14:paraId="4B0DCFC1" w14:textId="77777777" w:rsidR="00A90B05" w:rsidRPr="00BA2696" w:rsidRDefault="00A90B05" w:rsidP="00A90B05">
      <w:pPr>
        <w:spacing w:after="0" w:line="480" w:lineRule="auto"/>
        <w:rPr>
          <w:rFonts w:cs="Calibri"/>
          <w:bCs/>
          <w:sz w:val="24"/>
          <w:szCs w:val="24"/>
        </w:rPr>
      </w:pPr>
    </w:p>
    <w:p w14:paraId="6BE805EA" w14:textId="77777777" w:rsidR="00A90B05" w:rsidRPr="00BA2696" w:rsidRDefault="00A90B05" w:rsidP="00A90B05">
      <w:pPr>
        <w:spacing w:after="0" w:line="480" w:lineRule="auto"/>
        <w:rPr>
          <w:rFonts w:cs="Calibri"/>
          <w:sz w:val="24"/>
          <w:szCs w:val="24"/>
        </w:rPr>
      </w:pPr>
      <w:r w:rsidRPr="00BA2696">
        <w:rPr>
          <w:rFonts w:cs="Calibri"/>
          <w:sz w:val="24"/>
          <w:szCs w:val="24"/>
        </w:rPr>
        <w:t>The impact of this realisation means that a certain humility is brought to this discussion of the findings. In line with the epistemological perspective of subjectivity (Letherby, 2017), with critical theory as research as an emancipatory act (Thomas, 2009; Strydom, 2</w:t>
      </w:r>
      <w:r>
        <w:rPr>
          <w:rFonts w:cs="Calibri"/>
          <w:sz w:val="24"/>
          <w:szCs w:val="24"/>
        </w:rPr>
        <w:t>010</w:t>
      </w:r>
      <w:r w:rsidRPr="00BA2696">
        <w:rPr>
          <w:rFonts w:cs="Calibri"/>
          <w:sz w:val="24"/>
          <w:szCs w:val="24"/>
        </w:rPr>
        <w:t>; Scotland, 2012; Bonner, 2017) and with the methodology (Nobilt, Murillo and Flores, 2004) it was always intended that this research would not proport absolutist claims to knowledge. However, in the wake of Black Lives Matter 2020, this took on less of an intellectual, political and moralistic stance and more of a personal one. Simply: I feel I cannot stand in judgement (and at first, this chapter felt like a judgement) of other white people’s understanding of ‘race’, racism and whiteness when I have so much to learn myself. Trepagnier (2016, pp. 86-102) argues that ‘race’ awareness exists on a continuum, ranging from very low awareness to very high awareness. The Black Lives Matter protests of 2020 taught me at a visceral level that regardless of levels of intellectual and emotional understanding, moments of White Ignorance Disruption will continually come along and knock the scale back down from ‘more aware’ to ‘less aware’</w:t>
      </w:r>
      <w:r>
        <w:rPr>
          <w:rFonts w:cs="Calibri"/>
          <w:sz w:val="24"/>
          <w:szCs w:val="24"/>
        </w:rPr>
        <w:t>,</w:t>
      </w:r>
      <w:r w:rsidRPr="00BA2696">
        <w:rPr>
          <w:rFonts w:cs="Calibri"/>
          <w:sz w:val="24"/>
          <w:szCs w:val="24"/>
        </w:rPr>
        <w:t xml:space="preserve"> and so the learning process to understand ‘race’, racism and whiteness never ends. Thus, as a white PhD researcher whose interest and focus lies in critical whiteness studies, I felt ‘more aware’ than the participants but the Black Lives Matter protests of 2020, knocked my awareness back </w:t>
      </w:r>
      <w:r w:rsidRPr="00BA2696">
        <w:rPr>
          <w:rFonts w:cs="Calibri"/>
          <w:sz w:val="24"/>
          <w:szCs w:val="24"/>
        </w:rPr>
        <w:lastRenderedPageBreak/>
        <w:t xml:space="preserve">down to the continuum to ‘less aware’. This is an example of White Ignorance Disruption as it describes the moments in between ignorance and response (even if that response is misinformed). Therefore, this discussion of findings is presented from a place of intellectual humility and the realisation that an uncertainty around ‘race’, racism and whiteness can exist within all white people, however well-intentioned and eager to learn. </w:t>
      </w:r>
    </w:p>
    <w:p w14:paraId="3F37DAF1" w14:textId="77777777" w:rsidR="00A90B05" w:rsidRPr="00BA2696" w:rsidRDefault="00A90B05" w:rsidP="00A90B05">
      <w:pPr>
        <w:spacing w:after="0" w:line="480" w:lineRule="auto"/>
        <w:rPr>
          <w:rFonts w:cs="Calibri"/>
          <w:sz w:val="24"/>
          <w:szCs w:val="24"/>
        </w:rPr>
      </w:pPr>
    </w:p>
    <w:p w14:paraId="5CD72FFB" w14:textId="77777777" w:rsidR="00A90B05" w:rsidRDefault="00A90B05" w:rsidP="00A90B05">
      <w:pPr>
        <w:spacing w:after="0" w:line="480" w:lineRule="auto"/>
        <w:rPr>
          <w:rFonts w:cs="Calibri"/>
          <w:sz w:val="24"/>
          <w:szCs w:val="24"/>
        </w:rPr>
      </w:pPr>
      <w:r w:rsidRPr="00BA2696">
        <w:rPr>
          <w:rFonts w:cs="Calibri"/>
          <w:sz w:val="24"/>
          <w:szCs w:val="24"/>
        </w:rPr>
        <w:t>This chapter will discuss the four themes found in this research through using the theory presented in Chapter 2 and additional literature. Theory will be used to connect the research findings to wider academic discourse, but it will not seek to make positivist claims of an absolute ‘truth’</w:t>
      </w:r>
      <w:bookmarkStart w:id="18" w:name="_Hlk51143257"/>
      <w:r w:rsidRPr="00BA2696">
        <w:rPr>
          <w:rFonts w:cs="Calibri"/>
          <w:sz w:val="24"/>
          <w:szCs w:val="24"/>
        </w:rPr>
        <w:t xml:space="preserve">. Instead, this chapter can hold a mirror up to show how white trainee counsellors in South Wales understand ‘race’, racism and whiteness at a particular point in time, and consider how this correlates with historical and contemporary understandings. </w:t>
      </w:r>
      <w:bookmarkEnd w:id="18"/>
      <w:r w:rsidRPr="00BA2696">
        <w:rPr>
          <w:rFonts w:cs="Calibri"/>
          <w:sz w:val="24"/>
          <w:szCs w:val="24"/>
        </w:rPr>
        <w:t>It does so comfortable in its uncertainty and is done without judgement as it</w:t>
      </w:r>
      <w:r>
        <w:rPr>
          <w:rFonts w:cs="Calibri"/>
          <w:sz w:val="24"/>
          <w:szCs w:val="24"/>
        </w:rPr>
        <w:t xml:space="preserve"> is</w:t>
      </w:r>
      <w:r w:rsidRPr="00BA2696">
        <w:rPr>
          <w:rFonts w:cs="Calibri"/>
          <w:sz w:val="24"/>
          <w:szCs w:val="24"/>
        </w:rPr>
        <w:t xml:space="preserve"> acknowledged that the participants’ understanding of ‘race’, racism and whiteness is representative of how these issues are perceived in counselling and society (Chapter 7, Section 7.7 explores this further). This stance aligns with post-critical ethnography which ‘</w:t>
      </w:r>
      <w:r w:rsidRPr="00BA2696">
        <w:rPr>
          <w:sz w:val="24"/>
          <w:szCs w:val="24"/>
        </w:rPr>
        <w:t xml:space="preserve">work(s) against unified and final representations’ in research </w:t>
      </w:r>
      <w:r w:rsidRPr="00BA2696">
        <w:rPr>
          <w:rFonts w:cs="Calibri"/>
          <w:sz w:val="24"/>
          <w:szCs w:val="24"/>
        </w:rPr>
        <w:t>(Anders, 2019, p. 2) and accepts ‘that we cannot capture a totality’ (Talburt, 2004, p. 121). In this way, the ambiguity in</w:t>
      </w:r>
      <w:r>
        <w:rPr>
          <w:rFonts w:cs="Calibri"/>
          <w:sz w:val="24"/>
          <w:szCs w:val="24"/>
        </w:rPr>
        <w:t xml:space="preserve"> the</w:t>
      </w:r>
      <w:r w:rsidRPr="00BA2696">
        <w:rPr>
          <w:rFonts w:cs="Calibri"/>
          <w:sz w:val="24"/>
          <w:szCs w:val="24"/>
        </w:rPr>
        <w:t xml:space="preserve"> discussion of findings reflects that racial discourse is not a simple exchange of ideas. As outlined in Chapter 2, it is embedded in our history and our present, it is in the main unacknowledged by white people and when it is, historical fact and contemporary experiences become enmeshed with emotional responses. </w:t>
      </w:r>
    </w:p>
    <w:p w14:paraId="4658A79F" w14:textId="77777777" w:rsidR="00A90B05" w:rsidRPr="00BA2696" w:rsidRDefault="00A90B05" w:rsidP="00A90B05">
      <w:pPr>
        <w:spacing w:after="0" w:line="480" w:lineRule="auto"/>
        <w:rPr>
          <w:rFonts w:cs="Calibri"/>
          <w:sz w:val="24"/>
          <w:szCs w:val="24"/>
        </w:rPr>
      </w:pPr>
    </w:p>
    <w:p w14:paraId="522346C4" w14:textId="77777777" w:rsidR="00A90B05" w:rsidRPr="00BA2696" w:rsidRDefault="00A90B05" w:rsidP="00A90B05">
      <w:pPr>
        <w:suppressAutoHyphens w:val="0"/>
        <w:autoSpaceDN/>
        <w:spacing w:after="0" w:line="480" w:lineRule="auto"/>
        <w:textAlignment w:val="auto"/>
      </w:pPr>
      <w:r w:rsidRPr="00BA2696">
        <w:rPr>
          <w:rFonts w:cs="Calibri"/>
          <w:sz w:val="24"/>
          <w:szCs w:val="24"/>
        </w:rPr>
        <w:t>It is also presented knowing that I have taken it as far as my own knowledge and understanding allows at this time. This is because my own white ignorance (Mills, 2007) may be blocking further insights that may seem apparent to the reader and to my future self. I openly receive critical feedback to facilitate both intellectual and personal growth. </w:t>
      </w:r>
    </w:p>
    <w:p w14:paraId="2E5EBC66" w14:textId="77777777" w:rsidR="00A90B05" w:rsidRPr="00BA2696" w:rsidRDefault="00A90B05" w:rsidP="00A90B05">
      <w:pPr>
        <w:pStyle w:val="Heading3"/>
      </w:pPr>
      <w:bookmarkStart w:id="19" w:name="_Toc72413656"/>
      <w:r w:rsidRPr="00BA2696">
        <w:t>6.2 Original Contribution</w:t>
      </w:r>
      <w:r>
        <w:t>s</w:t>
      </w:r>
      <w:r w:rsidRPr="00BA2696">
        <w:t xml:space="preserve"> to Knowledge: ‘White Ignorance Disruption’</w:t>
      </w:r>
      <w:bookmarkEnd w:id="13"/>
      <w:bookmarkEnd w:id="14"/>
      <w:bookmarkEnd w:id="15"/>
      <w:bookmarkEnd w:id="16"/>
      <w:r>
        <w:t xml:space="preserve"> and the ‘Good White Counsellor’</w:t>
      </w:r>
      <w:bookmarkEnd w:id="19"/>
    </w:p>
    <w:p w14:paraId="036E5DD0" w14:textId="77777777" w:rsidR="00A90B05" w:rsidRPr="00BA2696" w:rsidRDefault="00A90B05" w:rsidP="00A90B05">
      <w:pPr>
        <w:spacing w:after="0" w:line="480" w:lineRule="auto"/>
        <w:rPr>
          <w:sz w:val="24"/>
          <w:szCs w:val="24"/>
        </w:rPr>
      </w:pPr>
      <w:r>
        <w:rPr>
          <w:sz w:val="24"/>
          <w:szCs w:val="24"/>
        </w:rPr>
        <w:t xml:space="preserve">The empirical findings of this research have allowed me to identify and introduce the concept of ‘White Ignorance Disruption’.  </w:t>
      </w:r>
      <w:r w:rsidRPr="00BA2696">
        <w:rPr>
          <w:sz w:val="24"/>
          <w:szCs w:val="24"/>
        </w:rPr>
        <w:t>White ignorance (Mills, 2007) was outlined and discussed in Chapter 2 (Section 2.1.5) and understood as white people’s wilful not-knowing about ‘race’. It can be</w:t>
      </w:r>
      <w:r w:rsidRPr="004939FF">
        <w:rPr>
          <w:sz w:val="24"/>
          <w:szCs w:val="24"/>
        </w:rPr>
        <w:t xml:space="preserve"> a basic ignorance, exhibited by an absence of beliefs or the presence of false belief (Medina, 2013). Alternatively, it can be advanced with various affective, cognitive, bodily and discursive resistances to knowledge (Medina, 2013). It is argued that th</w:t>
      </w:r>
      <w:r w:rsidRPr="00BA2696">
        <w:rPr>
          <w:sz w:val="24"/>
          <w:szCs w:val="24"/>
        </w:rPr>
        <w:t>is ignorance is used to maintain white racial dominance (Sullivan and Tuana, 2007). White ignorance (Mills, 2007) is a theory that unites the four themes identified in this research: (Mis)Understanding ‘Race’ and Racism; White (</w:t>
      </w:r>
      <w:r>
        <w:rPr>
          <w:sz w:val="24"/>
          <w:szCs w:val="24"/>
        </w:rPr>
        <w:t>U</w:t>
      </w:r>
      <w:r w:rsidRPr="00BA2696">
        <w:rPr>
          <w:sz w:val="24"/>
          <w:szCs w:val="24"/>
        </w:rPr>
        <w:t xml:space="preserve">n)Awareness; Barriers to Racial Discourse and Socio-Political (Dis)Connection (Chapter 5). How it was demonstrated in the interviews is discussed in this chapter. </w:t>
      </w:r>
    </w:p>
    <w:p w14:paraId="3C11B65A" w14:textId="77777777" w:rsidR="00A90B05" w:rsidRPr="00BA2696" w:rsidRDefault="00A90B05" w:rsidP="00A90B05">
      <w:pPr>
        <w:spacing w:after="0" w:line="480" w:lineRule="auto"/>
        <w:rPr>
          <w:sz w:val="24"/>
          <w:szCs w:val="24"/>
        </w:rPr>
      </w:pPr>
    </w:p>
    <w:p w14:paraId="0E8D609B" w14:textId="77777777" w:rsidR="00A90B05" w:rsidRPr="00BA2696" w:rsidRDefault="00A90B05" w:rsidP="00A90B05">
      <w:pPr>
        <w:suppressAutoHyphens w:val="0"/>
        <w:autoSpaceDN/>
        <w:spacing w:after="0" w:line="480" w:lineRule="auto"/>
        <w:textAlignment w:val="auto"/>
        <w:rPr>
          <w:rFonts w:cs="Calibri"/>
          <w:sz w:val="24"/>
          <w:szCs w:val="24"/>
        </w:rPr>
      </w:pPr>
      <w:r w:rsidRPr="00BA2696">
        <w:rPr>
          <w:rFonts w:cs="Calibri"/>
          <w:sz w:val="24"/>
          <w:szCs w:val="24"/>
        </w:rPr>
        <w:t xml:space="preserve">I propose that White Ignorance Disruption is the active process of racial epistemic ignorance, i.e., white ignorance (Mills, 2007) being ‘disrupted’ through white trainee counsellors being asked about ‘race’, racism and whiteness. Importantly, the </w:t>
      </w:r>
      <w:r w:rsidRPr="00BA2696">
        <w:rPr>
          <w:rFonts w:cs="Calibri"/>
          <w:sz w:val="24"/>
          <w:szCs w:val="24"/>
        </w:rPr>
        <w:lastRenderedPageBreak/>
        <w:t>disruption is caused by another white person speaking openly (in this case asking research questions</w:t>
      </w:r>
      <w:r>
        <w:rPr>
          <w:rFonts w:cs="Calibri"/>
          <w:sz w:val="24"/>
          <w:szCs w:val="24"/>
        </w:rPr>
        <w:t>; Appendix v</w:t>
      </w:r>
      <w:r w:rsidRPr="00BA2696">
        <w:rPr>
          <w:rFonts w:cs="Calibri"/>
          <w:sz w:val="24"/>
          <w:szCs w:val="24"/>
        </w:rPr>
        <w:t>) about ‘race’, racism and whiteness, thus ‘breaking ranks’ of white collective ignorance. Using reflexivity, I explore what it was like to be perceived as the ‘disruptor’ (Theme 2, Section 6.4). I have conceived of White Ignorance Disruption as a way to describe the moments when the participants white ignorance was, however briefly, shaken before they expressed identifiable forms of white peoples’ reactions to racial discourse, such as white fragility (DiAngelo, 2018), various emotional responses (Spanierman and Cabrera, 2015) or cognitive forms such as distancing from racism (Case and Hemmings, 2005; Lentin, 2015).  Although it is not possible to quantify how much white ignorance was disrupted, and whether it had any lasting effect, it is proposed that during the interviews a disruption took place, when as a white researcher, I asked white participants to talk about ‘race’, racism and whiteness. The themes outlined in Chapter 5, and discussed here, captured the ways in which white ignorance (Mills, 2007) was upheld, the moments it was disrupted, and the attempts used by the participants to retreat back into white ignorance. It is recognised emotional and behavioural responses to White Ignorance Disruption are akin</w:t>
      </w:r>
      <w:r>
        <w:rPr>
          <w:rFonts w:cs="Calibri"/>
          <w:sz w:val="24"/>
          <w:szCs w:val="24"/>
        </w:rPr>
        <w:t xml:space="preserve"> to</w:t>
      </w:r>
      <w:r w:rsidRPr="00BA2696">
        <w:rPr>
          <w:rFonts w:cs="Calibri"/>
          <w:sz w:val="24"/>
          <w:szCs w:val="24"/>
        </w:rPr>
        <w:t xml:space="preserve"> ‘white fragility’ (DiAngelo, 2018). However, where this differs is the connection to white ignorance (Mills, 2007) and is specific to the research participants through the identification of the methods of ignorance they used and moments which disrupted those methods. In this way, White Ignorance Disruption can be seen as the </w:t>
      </w:r>
      <w:r w:rsidRPr="00BA2696">
        <w:rPr>
          <w:rFonts w:cs="Calibri"/>
          <w:i/>
          <w:iCs/>
          <w:sz w:val="24"/>
          <w:szCs w:val="24"/>
        </w:rPr>
        <w:t>process</w:t>
      </w:r>
      <w:r w:rsidRPr="00BA2696">
        <w:rPr>
          <w:rFonts w:cs="Calibri"/>
          <w:sz w:val="24"/>
          <w:szCs w:val="24"/>
        </w:rPr>
        <w:t xml:space="preserve"> that led the responses similar to white fragility. Further, although ‘white fragility’ (DiAngelo, 2018, pp</w:t>
      </w:r>
      <w:r>
        <w:rPr>
          <w:rFonts w:cs="Calibri"/>
          <w:sz w:val="24"/>
          <w:szCs w:val="24"/>
        </w:rPr>
        <w:t>.</w:t>
      </w:r>
      <w:r w:rsidRPr="00BA2696">
        <w:rPr>
          <w:rFonts w:cs="Calibri"/>
          <w:sz w:val="24"/>
          <w:szCs w:val="24"/>
        </w:rPr>
        <w:t xml:space="preserve"> 29-30) mentions the ‘racial contract’ (Mills, 1997, Section 2.1.5), the later theory of white ignorance (Mills, 2007, Section 2.1.5) is overlooked, and tends to avoid ‘race’ by focusing on racism. The introduction of White </w:t>
      </w:r>
      <w:r w:rsidRPr="00BA2696">
        <w:rPr>
          <w:rFonts w:cs="Calibri"/>
          <w:sz w:val="24"/>
          <w:szCs w:val="24"/>
        </w:rPr>
        <w:lastRenderedPageBreak/>
        <w:t>Ignorance Disruption can provide a bridge between ‘race’, white ignorance and the emotional and behavioural responses experienced by white people in relation to racial discourse and the subsequent retreat back into white ignorance or the development of racial awareness.</w:t>
      </w:r>
      <w:r>
        <w:rPr>
          <w:rFonts w:cs="Calibri"/>
          <w:sz w:val="24"/>
          <w:szCs w:val="24"/>
        </w:rPr>
        <w:t xml:space="preserve"> Thus, White Ignorance Disruption addresses the amorphous space that exists between ignorance and awareness.</w:t>
      </w:r>
    </w:p>
    <w:p w14:paraId="60BFDFD7" w14:textId="77777777" w:rsidR="00A90B05" w:rsidRPr="00BA2696" w:rsidRDefault="00A90B05" w:rsidP="00A90B05">
      <w:pPr>
        <w:suppressAutoHyphens w:val="0"/>
        <w:autoSpaceDN/>
        <w:spacing w:after="0" w:line="480" w:lineRule="auto"/>
        <w:textAlignment w:val="auto"/>
        <w:rPr>
          <w:rFonts w:cs="Calibri"/>
          <w:sz w:val="24"/>
          <w:szCs w:val="24"/>
        </w:rPr>
      </w:pPr>
    </w:p>
    <w:p w14:paraId="3BFB2A86" w14:textId="77777777" w:rsidR="00A90B05" w:rsidRPr="00BA2696" w:rsidRDefault="00A90B05" w:rsidP="00A90B05">
      <w:pPr>
        <w:suppressAutoHyphens w:val="0"/>
        <w:autoSpaceDN/>
        <w:spacing w:after="0" w:line="480" w:lineRule="auto"/>
        <w:textAlignment w:val="auto"/>
        <w:rPr>
          <w:rFonts w:cs="Calibri"/>
          <w:sz w:val="24"/>
          <w:szCs w:val="24"/>
        </w:rPr>
      </w:pPr>
      <w:r w:rsidRPr="00BA2696">
        <w:rPr>
          <w:rFonts w:cs="Calibri"/>
          <w:sz w:val="24"/>
          <w:szCs w:val="24"/>
        </w:rPr>
        <w:t>In addition to ‘white fragility’ (DiAngelo, 2018), the work of Spanierman and Cabrera (2015) is also considered as they outline the complexity of emotional responses white people may experience when engaging with racism and anti-racism. Although my concept of White Ignorance Disruption is applied specifically to counselling trainees, I feel that it has</w:t>
      </w:r>
      <w:r>
        <w:rPr>
          <w:rFonts w:cs="Calibri"/>
          <w:sz w:val="24"/>
          <w:szCs w:val="24"/>
        </w:rPr>
        <w:t xml:space="preserve"> the</w:t>
      </w:r>
      <w:r w:rsidRPr="00BA2696">
        <w:rPr>
          <w:rFonts w:cs="Calibri"/>
          <w:sz w:val="24"/>
          <w:szCs w:val="24"/>
        </w:rPr>
        <w:t xml:space="preserve"> potential to be applicable to other groups of white people. It is argued that White Ignorance Disruption is particularly complicated for counselling trainees as they were entering a professional role that they perceived as ‘good’, and who understood talking about ‘race’, racism and whiteness as ‘bad’ (Theme 3, Section 6.5). Thus, the disruption was not only cognitive and emotional, but also put them in a moral dilemma because ‘good’ people do not ‘see’ or talk about ‘race’, but they were being asked to do so by someone they perceived to be a ‘good’ person.</w:t>
      </w:r>
    </w:p>
    <w:p w14:paraId="2D9B3457" w14:textId="77777777" w:rsidR="00A90B05" w:rsidRPr="00BA2696" w:rsidRDefault="00A90B05" w:rsidP="00A90B05">
      <w:pPr>
        <w:suppressAutoHyphens w:val="0"/>
        <w:autoSpaceDN/>
        <w:spacing w:after="0" w:line="480" w:lineRule="auto"/>
        <w:textAlignment w:val="auto"/>
        <w:rPr>
          <w:rFonts w:cs="Calibri"/>
          <w:sz w:val="24"/>
          <w:szCs w:val="24"/>
        </w:rPr>
      </w:pPr>
    </w:p>
    <w:p w14:paraId="3633C965" w14:textId="77777777" w:rsidR="00A90B05" w:rsidRPr="00BA2696" w:rsidRDefault="00A90B05" w:rsidP="00A90B05">
      <w:pPr>
        <w:suppressAutoHyphens w:val="0"/>
        <w:autoSpaceDN/>
        <w:spacing w:after="0" w:line="480" w:lineRule="auto"/>
        <w:textAlignment w:val="auto"/>
        <w:rPr>
          <w:rFonts w:cs="Calibri"/>
          <w:sz w:val="24"/>
          <w:szCs w:val="24"/>
        </w:rPr>
      </w:pPr>
      <w:r w:rsidRPr="00BA2696">
        <w:rPr>
          <w:rFonts w:cs="Calibri"/>
          <w:sz w:val="24"/>
          <w:szCs w:val="24"/>
        </w:rPr>
        <w:t xml:space="preserve">Writing from a theological perspective, Calme (2020) has linked DiAngelo’s (2018) concept of white fragility to what he calls ‘white epistemic disorientation’. This refers to ‘the discomfort of not being a knower’ (Calme, 2020, p. 142). He argues that the white person’s discomfort of not knowing, and what they see as their ‘legitimate’ questioning, is perceived by DiAngelo (2018) as white fragility. This ‘conflict of interpretations of white fragility is an added level of dissonance and disequilibrium’ </w:t>
      </w:r>
      <w:r w:rsidRPr="00BA2696">
        <w:rPr>
          <w:rFonts w:cs="Calibri"/>
          <w:sz w:val="24"/>
          <w:szCs w:val="24"/>
        </w:rPr>
        <w:lastRenderedPageBreak/>
        <w:t xml:space="preserve">(Calme, 2020, p. 142). Using his theological positioning, he suggests the learner needs to adopt humility, akin to Christ’s, in their learning. Setting aside Calme’s (2020) theological stance, it may be possible to argue that his concept of the discomfort of not knowing may be an additional factor that underpins advanced ignorance (Medina, 2016, p. 183), or ‘substantive’ ignorance (Alcoff, 2007, p. 39). Analogous of Calme’s (2020) notion of discomfort being a contributing factor to white people’s epistemic disorientation, Medina (2016, p. 197) has put forward ‘epistemic discomfort’ which also encompasses feelings of disorientation and ‘losing one’s epistemic bearings’. </w:t>
      </w:r>
    </w:p>
    <w:p w14:paraId="7BC1EEB8" w14:textId="77777777" w:rsidR="00A90B05" w:rsidRPr="00BA2696" w:rsidRDefault="00A90B05" w:rsidP="00A90B05">
      <w:pPr>
        <w:suppressAutoHyphens w:val="0"/>
        <w:autoSpaceDN/>
        <w:spacing w:after="0" w:line="480" w:lineRule="auto"/>
        <w:textAlignment w:val="auto"/>
        <w:rPr>
          <w:rFonts w:cs="Calibri"/>
          <w:sz w:val="24"/>
          <w:szCs w:val="24"/>
        </w:rPr>
      </w:pPr>
    </w:p>
    <w:p w14:paraId="59F0108A" w14:textId="77777777" w:rsidR="00A90B05" w:rsidRPr="00BA2696" w:rsidRDefault="00A90B05" w:rsidP="00A90B05">
      <w:pPr>
        <w:suppressAutoHyphens w:val="0"/>
        <w:autoSpaceDN/>
        <w:spacing w:after="0" w:line="480" w:lineRule="auto"/>
        <w:textAlignment w:val="auto"/>
        <w:rPr>
          <w:rFonts w:cs="Calibri"/>
          <w:sz w:val="24"/>
          <w:szCs w:val="24"/>
        </w:rPr>
      </w:pPr>
      <w:r w:rsidRPr="00BA2696">
        <w:rPr>
          <w:rFonts w:cs="Calibri"/>
          <w:sz w:val="24"/>
          <w:szCs w:val="24"/>
        </w:rPr>
        <w:t>I refer to Calme’s (2020) work here as superficially his concept of ‘white epistemic disorientation’ and its connection to white fragility (DiAngelo, 2018) may seem similar to my concept of White Ignorance Disruption. Likewise, Medina’s (2016) idea of epistemic discomfort could also</w:t>
      </w:r>
      <w:r>
        <w:rPr>
          <w:rFonts w:cs="Calibri"/>
          <w:sz w:val="24"/>
          <w:szCs w:val="24"/>
        </w:rPr>
        <w:t xml:space="preserve"> be</w:t>
      </w:r>
      <w:r w:rsidRPr="00BA2696">
        <w:rPr>
          <w:rFonts w:cs="Calibri"/>
          <w:sz w:val="24"/>
          <w:szCs w:val="24"/>
        </w:rPr>
        <w:t xml:space="preserve"> viewed as similar to White Ignorance Disruption, as the participants lost their ‘epistemic bearings’ (Medina, 2016, p. 197). However, White Ignorance Disruption is not theological or purely theoretical. Instead, I understand it as relating</w:t>
      </w:r>
      <w:r>
        <w:rPr>
          <w:rFonts w:cs="Calibri"/>
          <w:sz w:val="24"/>
          <w:szCs w:val="24"/>
        </w:rPr>
        <w:t xml:space="preserve"> to</w:t>
      </w:r>
      <w:r w:rsidRPr="00BA2696">
        <w:rPr>
          <w:rFonts w:cs="Calibri"/>
          <w:sz w:val="24"/>
          <w:szCs w:val="24"/>
        </w:rPr>
        <w:t xml:space="preserve"> the initial stirring of unformed emotional and cognitive responses when a white researcher asked white participants about ‘race’, racism and whiteness. In this way, White Ignorance Disruption is positioned as a theoretical bridge, which can connect Mills (2007) white ignorance to other theories such as the emotions of white racism and anti-racism (Spanierman and Cabrera, 2015), epistemic discomfort (Medina, 2016), white fragility (DiAngelo, 2018) and white epistemic disorientation (Calme, 2020). Thus, White Ignorance Disruption is not simply an indefinite disorientation or discomfort, it is the moment between ignorance and response. In this chapter I have outlined how this process took place in relation to this research. </w:t>
      </w:r>
    </w:p>
    <w:p w14:paraId="69B7562C" w14:textId="77777777" w:rsidR="00A90B05" w:rsidRPr="00BA2696" w:rsidRDefault="00A90B05" w:rsidP="00A90B05">
      <w:pPr>
        <w:suppressAutoHyphens w:val="0"/>
        <w:autoSpaceDN/>
        <w:spacing w:after="0" w:line="480" w:lineRule="auto"/>
        <w:textAlignment w:val="auto"/>
        <w:rPr>
          <w:rFonts w:cs="Calibri"/>
          <w:sz w:val="24"/>
          <w:szCs w:val="24"/>
        </w:rPr>
      </w:pPr>
    </w:p>
    <w:p w14:paraId="3971C03C" w14:textId="77777777" w:rsidR="00A90B05" w:rsidRPr="00F53078" w:rsidRDefault="00A90B05" w:rsidP="00A90B05">
      <w:pPr>
        <w:suppressAutoHyphens w:val="0"/>
        <w:autoSpaceDN/>
        <w:spacing w:after="0" w:line="480" w:lineRule="auto"/>
        <w:textAlignment w:val="auto"/>
        <w:rPr>
          <w:rFonts w:cs="Calibri"/>
          <w:sz w:val="24"/>
          <w:szCs w:val="24"/>
        </w:rPr>
      </w:pPr>
      <w:r w:rsidRPr="00BA2696">
        <w:rPr>
          <w:rFonts w:cs="Calibri"/>
          <w:sz w:val="24"/>
          <w:szCs w:val="24"/>
        </w:rPr>
        <w:t xml:space="preserve">Although I have previously stated that the findings of this research are comfortable in their ambiguity and cannot be wrestled into theoretical boxes, I have presented White Ignorance Disruption (Table </w:t>
      </w:r>
      <w:r>
        <w:rPr>
          <w:rFonts w:cs="Calibri"/>
          <w:sz w:val="24"/>
          <w:szCs w:val="24"/>
        </w:rPr>
        <w:t>21</w:t>
      </w:r>
      <w:r w:rsidRPr="00BA2696">
        <w:rPr>
          <w:rFonts w:cs="Calibri"/>
          <w:sz w:val="24"/>
          <w:szCs w:val="24"/>
        </w:rPr>
        <w:t xml:space="preserve">), below. </w:t>
      </w:r>
      <w:r w:rsidRPr="00F53078">
        <w:rPr>
          <w:rFonts w:cs="Calibri"/>
          <w:sz w:val="24"/>
          <w:szCs w:val="24"/>
        </w:rPr>
        <w:t>White Ignorance Disruption is conceptualised as being a flexible theory which could potentially manifest in multiple ways</w:t>
      </w:r>
      <w:r>
        <w:rPr>
          <w:rFonts w:cs="Calibri"/>
          <w:sz w:val="24"/>
          <w:szCs w:val="24"/>
        </w:rPr>
        <w:t>. This concept was</w:t>
      </w:r>
      <w:r w:rsidRPr="00F53078">
        <w:rPr>
          <w:rFonts w:cs="Calibri"/>
          <w:sz w:val="24"/>
          <w:szCs w:val="24"/>
        </w:rPr>
        <w:t xml:space="preserve"> formulated through the prism of the themes that </w:t>
      </w:r>
      <w:r>
        <w:rPr>
          <w:rFonts w:cs="Calibri"/>
          <w:sz w:val="24"/>
          <w:szCs w:val="24"/>
        </w:rPr>
        <w:t>were identified in</w:t>
      </w:r>
      <w:r w:rsidRPr="00F53078">
        <w:rPr>
          <w:rFonts w:cs="Calibri"/>
          <w:sz w:val="24"/>
          <w:szCs w:val="24"/>
        </w:rPr>
        <w:t xml:space="preserve"> </w:t>
      </w:r>
      <w:r>
        <w:rPr>
          <w:rFonts w:cs="Calibri"/>
          <w:sz w:val="24"/>
          <w:szCs w:val="24"/>
        </w:rPr>
        <w:t>t</w:t>
      </w:r>
      <w:r w:rsidRPr="00F53078">
        <w:rPr>
          <w:rFonts w:cs="Calibri"/>
          <w:sz w:val="24"/>
          <w:szCs w:val="24"/>
        </w:rPr>
        <w:t>his research and data set. Therefore, a summation of the White Ignorance Disruption in regard to this research is possible:</w:t>
      </w:r>
    </w:p>
    <w:p w14:paraId="5BE88700" w14:textId="77777777" w:rsidR="00A90B05" w:rsidRPr="004939FF" w:rsidRDefault="00A90B05" w:rsidP="00A90B05">
      <w:pPr>
        <w:suppressAutoHyphens w:val="0"/>
        <w:autoSpaceDN/>
        <w:spacing w:after="0" w:line="480" w:lineRule="auto"/>
        <w:textAlignment w:val="auto"/>
        <w:rPr>
          <w:rFonts w:cs="Calibri"/>
          <w:sz w:val="24"/>
          <w:szCs w:val="24"/>
        </w:rPr>
      </w:pPr>
    </w:p>
    <w:p w14:paraId="028FF69A" w14:textId="77777777" w:rsidR="00A90B05" w:rsidRPr="004939FF" w:rsidRDefault="00A90B05" w:rsidP="00A90B05">
      <w:pPr>
        <w:suppressAutoHyphens w:val="0"/>
        <w:autoSpaceDN/>
        <w:spacing w:after="0" w:line="480" w:lineRule="auto"/>
        <w:textAlignment w:val="auto"/>
        <w:rPr>
          <w:rFonts w:cs="Calibri"/>
          <w:sz w:val="24"/>
          <w:szCs w:val="24"/>
        </w:rPr>
      </w:pPr>
    </w:p>
    <w:p w14:paraId="67F41F20" w14:textId="77777777" w:rsidR="00A90B05" w:rsidRPr="00BA2696" w:rsidRDefault="00A90B05" w:rsidP="00A90B05">
      <w:pPr>
        <w:suppressAutoHyphens w:val="0"/>
        <w:autoSpaceDN/>
        <w:spacing w:after="0" w:line="480" w:lineRule="auto"/>
        <w:textAlignment w:val="auto"/>
        <w:rPr>
          <w:rFonts w:cs="Calibri"/>
          <w:i/>
          <w:iCs/>
          <w:sz w:val="24"/>
          <w:szCs w:val="24"/>
        </w:rPr>
        <w:sectPr w:rsidR="00A90B05" w:rsidRPr="00BA2696" w:rsidSect="00D758B3">
          <w:pgSz w:w="11906" w:h="16838"/>
          <w:pgMar w:top="1440" w:right="1440" w:bottom="1440" w:left="1440" w:header="720" w:footer="720" w:gutter="567"/>
          <w:cols w:space="720"/>
          <w:docGrid w:linePitch="299"/>
        </w:sectPr>
      </w:pPr>
      <w:bookmarkStart w:id="20" w:name="_Hlk44243069"/>
    </w:p>
    <w:p w14:paraId="1B5AFCC6" w14:textId="77777777" w:rsidR="00A90B05" w:rsidRPr="009C3ADD" w:rsidRDefault="00A90B05" w:rsidP="00A90B05">
      <w:pPr>
        <w:pStyle w:val="Caption"/>
        <w:keepNext/>
        <w:spacing w:after="0"/>
        <w:rPr>
          <w:sz w:val="24"/>
          <w:szCs w:val="24"/>
        </w:rPr>
      </w:pPr>
      <w:bookmarkStart w:id="21" w:name="_Toc72253535"/>
      <w:bookmarkStart w:id="22" w:name="_Toc72253857"/>
      <w:bookmarkStart w:id="23" w:name="_Toc72253879"/>
      <w:bookmarkStart w:id="24" w:name="_Toc72324682"/>
      <w:bookmarkStart w:id="25" w:name="_Hlk67128487"/>
      <w:r w:rsidRPr="009C3ADD">
        <w:rPr>
          <w:sz w:val="24"/>
          <w:szCs w:val="24"/>
        </w:rPr>
        <w:lastRenderedPageBreak/>
        <w:t xml:space="preserve">Table </w:t>
      </w:r>
      <w:r w:rsidRPr="009C3ADD">
        <w:rPr>
          <w:sz w:val="24"/>
          <w:szCs w:val="24"/>
        </w:rPr>
        <w:fldChar w:fldCharType="begin"/>
      </w:r>
      <w:r w:rsidRPr="009C3ADD">
        <w:rPr>
          <w:sz w:val="24"/>
          <w:szCs w:val="24"/>
        </w:rPr>
        <w:instrText xml:space="preserve"> SEQ Table \* ARABIC </w:instrText>
      </w:r>
      <w:r w:rsidRPr="009C3ADD">
        <w:rPr>
          <w:sz w:val="24"/>
          <w:szCs w:val="24"/>
        </w:rPr>
        <w:fldChar w:fldCharType="separate"/>
      </w:r>
      <w:r w:rsidRPr="009C3ADD">
        <w:rPr>
          <w:noProof/>
          <w:sz w:val="24"/>
          <w:szCs w:val="24"/>
        </w:rPr>
        <w:t>21</w:t>
      </w:r>
      <w:r w:rsidRPr="009C3ADD">
        <w:rPr>
          <w:sz w:val="24"/>
          <w:szCs w:val="24"/>
        </w:rPr>
        <w:fldChar w:fldCharType="end"/>
      </w:r>
      <w:r w:rsidRPr="009C3ADD">
        <w:rPr>
          <w:sz w:val="24"/>
          <w:szCs w:val="24"/>
        </w:rPr>
        <w:t xml:space="preserve"> Summary of the process of White Ignorance Disruption</w:t>
      </w:r>
      <w:bookmarkEnd w:id="21"/>
      <w:bookmarkEnd w:id="22"/>
      <w:bookmarkEnd w:id="23"/>
      <w:bookmarkEnd w:id="24"/>
    </w:p>
    <w:tbl>
      <w:tblPr>
        <w:tblW w:w="0" w:type="auto"/>
        <w:tblBorders>
          <w:top w:val="double" w:sz="4" w:space="0" w:color="auto"/>
          <w:bottom w:val="double" w:sz="4" w:space="0" w:color="auto"/>
          <w:insideH w:val="single" w:sz="6" w:space="0" w:color="auto"/>
          <w:insideV w:val="single" w:sz="6" w:space="0" w:color="auto"/>
        </w:tblBorders>
        <w:tblLook w:val="04A0" w:firstRow="1" w:lastRow="0" w:firstColumn="1" w:lastColumn="0" w:noHBand="0" w:noVBand="1"/>
      </w:tblPr>
      <w:tblGrid>
        <w:gridCol w:w="2946"/>
        <w:gridCol w:w="3336"/>
        <w:gridCol w:w="8396"/>
      </w:tblGrid>
      <w:tr w:rsidR="00A90B05" w:rsidRPr="00BA2696" w14:paraId="743C243F" w14:textId="77777777" w:rsidTr="00C75158">
        <w:tc>
          <w:tcPr>
            <w:tcW w:w="0" w:type="auto"/>
            <w:shd w:val="clear" w:color="auto" w:fill="auto"/>
          </w:tcPr>
          <w:bookmarkEnd w:id="25"/>
          <w:p w14:paraId="0CA002DD" w14:textId="77777777" w:rsidR="00A90B05" w:rsidRPr="00BA2696" w:rsidRDefault="00A90B05" w:rsidP="00C75158">
            <w:pPr>
              <w:suppressAutoHyphens w:val="0"/>
              <w:autoSpaceDN/>
              <w:spacing w:after="0" w:line="240" w:lineRule="auto"/>
              <w:textAlignment w:val="auto"/>
              <w:rPr>
                <w:rFonts w:cs="Calibri"/>
                <w:b/>
                <w:bCs/>
                <w:sz w:val="18"/>
                <w:szCs w:val="20"/>
              </w:rPr>
            </w:pPr>
            <w:r w:rsidRPr="00BA2696">
              <w:rPr>
                <w:rFonts w:cs="Calibri"/>
                <w:b/>
                <w:bCs/>
                <w:sz w:val="18"/>
                <w:szCs w:val="20"/>
              </w:rPr>
              <w:t>Theme</w:t>
            </w:r>
          </w:p>
        </w:tc>
        <w:tc>
          <w:tcPr>
            <w:tcW w:w="3336" w:type="dxa"/>
            <w:shd w:val="clear" w:color="auto" w:fill="auto"/>
          </w:tcPr>
          <w:p w14:paraId="719A7DF9" w14:textId="77777777" w:rsidR="00A90B05" w:rsidRPr="00BA2696" w:rsidRDefault="00A90B05" w:rsidP="00C75158">
            <w:pPr>
              <w:suppressAutoHyphens w:val="0"/>
              <w:autoSpaceDN/>
              <w:spacing w:after="0" w:line="240" w:lineRule="auto"/>
              <w:textAlignment w:val="auto"/>
              <w:rPr>
                <w:rFonts w:cs="Calibri"/>
                <w:b/>
                <w:bCs/>
                <w:sz w:val="18"/>
                <w:szCs w:val="20"/>
              </w:rPr>
            </w:pPr>
            <w:r w:rsidRPr="00BA2696">
              <w:rPr>
                <w:rFonts w:cs="Calibri"/>
                <w:b/>
                <w:bCs/>
                <w:sz w:val="18"/>
                <w:szCs w:val="20"/>
              </w:rPr>
              <w:t>Subthemes</w:t>
            </w:r>
          </w:p>
        </w:tc>
        <w:tc>
          <w:tcPr>
            <w:tcW w:w="8396" w:type="dxa"/>
            <w:shd w:val="clear" w:color="auto" w:fill="auto"/>
          </w:tcPr>
          <w:p w14:paraId="4EDFA14F" w14:textId="77777777" w:rsidR="00A90B05" w:rsidRPr="00BA2696" w:rsidRDefault="00A90B05" w:rsidP="00C75158">
            <w:pPr>
              <w:suppressAutoHyphens w:val="0"/>
              <w:autoSpaceDN/>
              <w:spacing w:after="0" w:line="240" w:lineRule="auto"/>
              <w:textAlignment w:val="auto"/>
              <w:rPr>
                <w:rFonts w:cs="Calibri"/>
                <w:b/>
                <w:bCs/>
                <w:sz w:val="18"/>
                <w:szCs w:val="20"/>
              </w:rPr>
            </w:pPr>
            <w:r w:rsidRPr="00BA2696">
              <w:rPr>
                <w:rFonts w:cs="Calibri"/>
                <w:b/>
                <w:bCs/>
                <w:sz w:val="18"/>
                <w:szCs w:val="20"/>
              </w:rPr>
              <w:t>How White Ignorance Disruption occurred</w:t>
            </w:r>
          </w:p>
        </w:tc>
      </w:tr>
      <w:tr w:rsidR="00A90B05" w:rsidRPr="00BA2696" w14:paraId="1D5249CB" w14:textId="77777777" w:rsidTr="00C75158">
        <w:tc>
          <w:tcPr>
            <w:tcW w:w="0" w:type="auto"/>
            <w:shd w:val="clear" w:color="auto" w:fill="F2F2F2"/>
          </w:tcPr>
          <w:p w14:paraId="424768D7" w14:textId="77777777" w:rsidR="00A90B05" w:rsidRPr="00BA2696" w:rsidRDefault="00A90B05" w:rsidP="00C75158">
            <w:pPr>
              <w:suppressAutoHyphens w:val="0"/>
              <w:autoSpaceDN/>
              <w:spacing w:after="0" w:line="240" w:lineRule="auto"/>
              <w:textAlignment w:val="auto"/>
              <w:rPr>
                <w:rFonts w:cs="Calibri"/>
                <w:b/>
                <w:bCs/>
                <w:sz w:val="18"/>
                <w:szCs w:val="20"/>
              </w:rPr>
            </w:pPr>
            <w:r w:rsidRPr="00BA2696">
              <w:rPr>
                <w:rFonts w:cs="Calibri"/>
                <w:b/>
                <w:bCs/>
                <w:sz w:val="18"/>
                <w:szCs w:val="20"/>
              </w:rPr>
              <w:t>(Mis)Understanding ‘Race’ and Racism</w:t>
            </w:r>
          </w:p>
        </w:tc>
        <w:tc>
          <w:tcPr>
            <w:tcW w:w="3336" w:type="dxa"/>
            <w:shd w:val="clear" w:color="auto" w:fill="F2F2F2"/>
          </w:tcPr>
          <w:p w14:paraId="488DE5EF" w14:textId="77777777" w:rsidR="00A90B05" w:rsidRPr="00BA2696" w:rsidRDefault="00A90B05" w:rsidP="00C75158">
            <w:pPr>
              <w:suppressAutoHyphens w:val="0"/>
              <w:autoSpaceDN/>
              <w:spacing w:after="0" w:line="240" w:lineRule="auto"/>
              <w:textAlignment w:val="auto"/>
              <w:rPr>
                <w:rFonts w:cs="Calibri"/>
                <w:sz w:val="18"/>
                <w:szCs w:val="20"/>
              </w:rPr>
            </w:pPr>
            <w:r w:rsidRPr="00BA2696">
              <w:rPr>
                <w:rFonts w:cs="Calibri"/>
                <w:sz w:val="18"/>
                <w:szCs w:val="20"/>
              </w:rPr>
              <w:t>Semantic understanding</w:t>
            </w:r>
          </w:p>
          <w:p w14:paraId="06BAD5E6" w14:textId="77777777" w:rsidR="00A90B05" w:rsidRPr="00BA2696" w:rsidRDefault="00A90B05" w:rsidP="00C75158">
            <w:pPr>
              <w:suppressAutoHyphens w:val="0"/>
              <w:autoSpaceDN/>
              <w:spacing w:after="0" w:line="240" w:lineRule="auto"/>
              <w:textAlignment w:val="auto"/>
              <w:rPr>
                <w:rFonts w:cs="Calibri"/>
                <w:sz w:val="18"/>
                <w:szCs w:val="20"/>
              </w:rPr>
            </w:pPr>
          </w:p>
          <w:p w14:paraId="48AC8463" w14:textId="77777777" w:rsidR="00A90B05" w:rsidRPr="00BA2696" w:rsidRDefault="00A90B05" w:rsidP="00C75158">
            <w:pPr>
              <w:suppressAutoHyphens w:val="0"/>
              <w:autoSpaceDN/>
              <w:spacing w:after="0" w:line="240" w:lineRule="auto"/>
              <w:textAlignment w:val="auto"/>
              <w:rPr>
                <w:rFonts w:cs="Calibri"/>
                <w:sz w:val="18"/>
                <w:szCs w:val="20"/>
              </w:rPr>
            </w:pPr>
          </w:p>
          <w:p w14:paraId="1D5FADC6" w14:textId="77777777" w:rsidR="00A90B05" w:rsidRPr="00BA2696" w:rsidRDefault="00A90B05" w:rsidP="00C75158">
            <w:pPr>
              <w:suppressAutoHyphens w:val="0"/>
              <w:autoSpaceDN/>
              <w:spacing w:after="0" w:line="240" w:lineRule="auto"/>
              <w:textAlignment w:val="auto"/>
              <w:rPr>
                <w:rFonts w:cs="Calibri"/>
                <w:sz w:val="18"/>
                <w:szCs w:val="20"/>
              </w:rPr>
            </w:pPr>
            <w:r w:rsidRPr="00BA2696">
              <w:rPr>
                <w:rFonts w:cs="Calibri"/>
                <w:sz w:val="18"/>
                <w:szCs w:val="20"/>
              </w:rPr>
              <w:t xml:space="preserve">Self-consciousness </w:t>
            </w:r>
          </w:p>
          <w:p w14:paraId="7A9A364E" w14:textId="77777777" w:rsidR="00A90B05" w:rsidRPr="00BA2696" w:rsidRDefault="00A90B05" w:rsidP="00C75158">
            <w:pPr>
              <w:suppressAutoHyphens w:val="0"/>
              <w:autoSpaceDN/>
              <w:spacing w:after="0" w:line="240" w:lineRule="auto"/>
              <w:textAlignment w:val="auto"/>
              <w:rPr>
                <w:rFonts w:cs="Calibri"/>
                <w:sz w:val="18"/>
                <w:szCs w:val="20"/>
              </w:rPr>
            </w:pPr>
          </w:p>
          <w:p w14:paraId="09224314" w14:textId="77777777" w:rsidR="00A90B05" w:rsidRPr="00BA2696" w:rsidRDefault="00A90B05" w:rsidP="00C75158">
            <w:pPr>
              <w:suppressAutoHyphens w:val="0"/>
              <w:autoSpaceDN/>
              <w:spacing w:after="0" w:line="240" w:lineRule="auto"/>
              <w:textAlignment w:val="auto"/>
              <w:rPr>
                <w:rFonts w:cs="Calibri"/>
                <w:sz w:val="18"/>
                <w:szCs w:val="20"/>
              </w:rPr>
            </w:pPr>
          </w:p>
          <w:p w14:paraId="027409BF" w14:textId="77777777" w:rsidR="00A90B05" w:rsidRPr="00BA2696" w:rsidRDefault="00A90B05" w:rsidP="00C75158">
            <w:pPr>
              <w:suppressAutoHyphens w:val="0"/>
              <w:autoSpaceDN/>
              <w:spacing w:after="0" w:line="240" w:lineRule="auto"/>
              <w:textAlignment w:val="auto"/>
              <w:rPr>
                <w:rFonts w:cs="Calibri"/>
                <w:sz w:val="18"/>
                <w:szCs w:val="20"/>
              </w:rPr>
            </w:pPr>
            <w:r w:rsidRPr="00BA2696">
              <w:rPr>
                <w:rFonts w:cs="Calibri"/>
                <w:sz w:val="18"/>
                <w:szCs w:val="20"/>
              </w:rPr>
              <w:t xml:space="preserve">Distancing self (and others) from racism </w:t>
            </w:r>
          </w:p>
        </w:tc>
        <w:tc>
          <w:tcPr>
            <w:tcW w:w="8396" w:type="dxa"/>
            <w:shd w:val="clear" w:color="auto" w:fill="F2F2F2"/>
          </w:tcPr>
          <w:p w14:paraId="38A68FB2" w14:textId="77777777" w:rsidR="00A90B05" w:rsidRPr="00BA2696" w:rsidRDefault="00A90B05" w:rsidP="00C75158">
            <w:pPr>
              <w:suppressAutoHyphens w:val="0"/>
              <w:autoSpaceDN/>
              <w:spacing w:after="0" w:line="240" w:lineRule="auto"/>
              <w:textAlignment w:val="auto"/>
              <w:rPr>
                <w:rFonts w:cs="Calibri"/>
                <w:sz w:val="18"/>
                <w:szCs w:val="20"/>
              </w:rPr>
            </w:pPr>
            <w:r w:rsidRPr="00BA2696">
              <w:rPr>
                <w:rFonts w:cs="Calibri"/>
                <w:sz w:val="18"/>
                <w:szCs w:val="20"/>
              </w:rPr>
              <w:t>Intellectual disruption: as the person became aware of lack of sema</w:t>
            </w:r>
            <w:r>
              <w:rPr>
                <w:rFonts w:cs="Calibri"/>
                <w:sz w:val="18"/>
                <w:szCs w:val="20"/>
              </w:rPr>
              <w:t>n</w:t>
            </w:r>
            <w:r w:rsidRPr="00BA2696">
              <w:rPr>
                <w:rFonts w:cs="Calibri"/>
                <w:sz w:val="18"/>
                <w:szCs w:val="20"/>
              </w:rPr>
              <w:t xml:space="preserve">tic understanding. </w:t>
            </w:r>
          </w:p>
          <w:p w14:paraId="68E3790E" w14:textId="77777777" w:rsidR="00A90B05" w:rsidRPr="00BA2696" w:rsidRDefault="00A90B05" w:rsidP="00C75158">
            <w:pPr>
              <w:suppressAutoHyphens w:val="0"/>
              <w:autoSpaceDN/>
              <w:spacing w:after="0" w:line="240" w:lineRule="auto"/>
              <w:textAlignment w:val="auto"/>
              <w:rPr>
                <w:rFonts w:cs="Calibri"/>
                <w:sz w:val="18"/>
                <w:szCs w:val="20"/>
              </w:rPr>
            </w:pPr>
          </w:p>
          <w:p w14:paraId="79A7F350" w14:textId="77777777" w:rsidR="00A90B05" w:rsidRPr="00BA2696" w:rsidRDefault="00A90B05" w:rsidP="00C75158">
            <w:pPr>
              <w:suppressAutoHyphens w:val="0"/>
              <w:autoSpaceDN/>
              <w:spacing w:after="0" w:line="240" w:lineRule="auto"/>
              <w:textAlignment w:val="auto"/>
              <w:rPr>
                <w:rFonts w:cs="Calibri"/>
                <w:sz w:val="18"/>
                <w:szCs w:val="20"/>
              </w:rPr>
            </w:pPr>
            <w:r w:rsidRPr="00BA2696">
              <w:rPr>
                <w:rFonts w:cs="Calibri"/>
                <w:sz w:val="18"/>
                <w:szCs w:val="20"/>
              </w:rPr>
              <w:t>Emotional disruption as the person’s lack of semantic understanding, colour-blind beliefs,</w:t>
            </w:r>
            <w:r>
              <w:rPr>
                <w:rFonts w:cs="Calibri"/>
                <w:sz w:val="18"/>
                <w:szCs w:val="20"/>
              </w:rPr>
              <w:t xml:space="preserve"> </w:t>
            </w:r>
            <w:r w:rsidRPr="00BA2696">
              <w:rPr>
                <w:rFonts w:cs="Calibri"/>
                <w:sz w:val="18"/>
                <w:szCs w:val="20"/>
              </w:rPr>
              <w:t>and perception of a ‘good’ person/counsellor clashed with being asked directly about ‘race’ and racism.</w:t>
            </w:r>
          </w:p>
          <w:p w14:paraId="3B2E2D1D" w14:textId="77777777" w:rsidR="00A90B05" w:rsidRPr="00BA2696" w:rsidRDefault="00A90B05" w:rsidP="00C75158">
            <w:pPr>
              <w:suppressAutoHyphens w:val="0"/>
              <w:autoSpaceDN/>
              <w:spacing w:after="0" w:line="240" w:lineRule="auto"/>
              <w:textAlignment w:val="auto"/>
              <w:rPr>
                <w:rFonts w:cs="Calibri"/>
                <w:sz w:val="18"/>
                <w:szCs w:val="20"/>
              </w:rPr>
            </w:pPr>
          </w:p>
          <w:p w14:paraId="75857E7C" w14:textId="77777777" w:rsidR="00A90B05" w:rsidRPr="00BA2696" w:rsidRDefault="00A90B05" w:rsidP="00C75158">
            <w:pPr>
              <w:suppressAutoHyphens w:val="0"/>
              <w:autoSpaceDN/>
              <w:spacing w:after="0" w:line="240" w:lineRule="auto"/>
              <w:textAlignment w:val="auto"/>
              <w:rPr>
                <w:rFonts w:cs="Calibri"/>
                <w:sz w:val="18"/>
                <w:szCs w:val="20"/>
              </w:rPr>
            </w:pPr>
            <w:r w:rsidRPr="00BA2696">
              <w:rPr>
                <w:rFonts w:cs="Calibri"/>
                <w:sz w:val="18"/>
                <w:szCs w:val="20"/>
              </w:rPr>
              <w:t xml:space="preserve">A place of intellectual and emotional safety, by assuring oneself that they are not racist. At this point, the person may retreat back into white ignorance. </w:t>
            </w:r>
          </w:p>
        </w:tc>
      </w:tr>
      <w:tr w:rsidR="00A90B05" w:rsidRPr="00BA2696" w14:paraId="6D8ECF29" w14:textId="77777777" w:rsidTr="00C75158">
        <w:tc>
          <w:tcPr>
            <w:tcW w:w="0" w:type="auto"/>
            <w:shd w:val="clear" w:color="auto" w:fill="auto"/>
          </w:tcPr>
          <w:p w14:paraId="78E5B634" w14:textId="77777777" w:rsidR="00A90B05" w:rsidRPr="00BA2696" w:rsidRDefault="00A90B05" w:rsidP="00C75158">
            <w:pPr>
              <w:suppressAutoHyphens w:val="0"/>
              <w:autoSpaceDN/>
              <w:spacing w:after="0" w:line="240" w:lineRule="auto"/>
              <w:textAlignment w:val="auto"/>
              <w:rPr>
                <w:rFonts w:cs="Calibri"/>
                <w:b/>
                <w:bCs/>
                <w:sz w:val="18"/>
                <w:szCs w:val="20"/>
              </w:rPr>
            </w:pPr>
            <w:r w:rsidRPr="00BA2696">
              <w:rPr>
                <w:rFonts w:cs="Calibri"/>
                <w:b/>
                <w:bCs/>
                <w:sz w:val="18"/>
                <w:szCs w:val="20"/>
              </w:rPr>
              <w:t>White (Un)Awareness</w:t>
            </w:r>
          </w:p>
        </w:tc>
        <w:tc>
          <w:tcPr>
            <w:tcW w:w="3336" w:type="dxa"/>
            <w:shd w:val="clear" w:color="auto" w:fill="auto"/>
          </w:tcPr>
          <w:p w14:paraId="1F8BD158" w14:textId="77777777" w:rsidR="00A90B05" w:rsidRPr="00BA2696" w:rsidRDefault="00A90B05" w:rsidP="00C75158">
            <w:pPr>
              <w:suppressAutoHyphens w:val="0"/>
              <w:autoSpaceDN/>
              <w:spacing w:after="0" w:line="240" w:lineRule="auto"/>
              <w:textAlignment w:val="auto"/>
              <w:rPr>
                <w:rFonts w:cs="Calibri"/>
                <w:sz w:val="18"/>
                <w:szCs w:val="20"/>
              </w:rPr>
            </w:pPr>
            <w:r w:rsidRPr="00BA2696">
              <w:rPr>
                <w:rFonts w:cs="Calibri"/>
                <w:sz w:val="18"/>
                <w:szCs w:val="20"/>
              </w:rPr>
              <w:t>Whiteness as meaningless</w:t>
            </w:r>
          </w:p>
          <w:p w14:paraId="51EAD889" w14:textId="77777777" w:rsidR="00A90B05" w:rsidRPr="00BA2696" w:rsidRDefault="00A90B05" w:rsidP="00C75158">
            <w:pPr>
              <w:suppressAutoHyphens w:val="0"/>
              <w:autoSpaceDN/>
              <w:spacing w:after="0" w:line="240" w:lineRule="auto"/>
              <w:textAlignment w:val="auto"/>
              <w:rPr>
                <w:rFonts w:cs="Calibri"/>
                <w:sz w:val="18"/>
                <w:szCs w:val="20"/>
              </w:rPr>
            </w:pPr>
          </w:p>
          <w:p w14:paraId="3981E91F" w14:textId="77777777" w:rsidR="00A90B05" w:rsidRPr="00BA2696" w:rsidRDefault="00A90B05" w:rsidP="00C75158">
            <w:pPr>
              <w:suppressAutoHyphens w:val="0"/>
              <w:autoSpaceDN/>
              <w:spacing w:after="0" w:line="240" w:lineRule="auto"/>
              <w:textAlignment w:val="auto"/>
              <w:rPr>
                <w:rFonts w:cs="Calibri"/>
                <w:sz w:val="18"/>
                <w:szCs w:val="20"/>
              </w:rPr>
            </w:pPr>
          </w:p>
          <w:p w14:paraId="47D90C93" w14:textId="77777777" w:rsidR="00A90B05" w:rsidRPr="00BA2696" w:rsidRDefault="00A90B05" w:rsidP="00C75158">
            <w:pPr>
              <w:suppressAutoHyphens w:val="0"/>
              <w:autoSpaceDN/>
              <w:spacing w:after="0" w:line="240" w:lineRule="auto"/>
              <w:textAlignment w:val="auto"/>
              <w:rPr>
                <w:rFonts w:cs="Calibri"/>
                <w:sz w:val="18"/>
                <w:szCs w:val="20"/>
              </w:rPr>
            </w:pPr>
            <w:r w:rsidRPr="00BA2696">
              <w:rPr>
                <w:rFonts w:cs="Calibri"/>
                <w:sz w:val="18"/>
                <w:szCs w:val="20"/>
              </w:rPr>
              <w:t>Reverse racism</w:t>
            </w:r>
          </w:p>
          <w:p w14:paraId="6CC433B9" w14:textId="77777777" w:rsidR="00A90B05" w:rsidRPr="00BA2696" w:rsidRDefault="00A90B05" w:rsidP="00C75158">
            <w:pPr>
              <w:suppressAutoHyphens w:val="0"/>
              <w:autoSpaceDN/>
              <w:spacing w:after="0" w:line="240" w:lineRule="auto"/>
              <w:textAlignment w:val="auto"/>
              <w:rPr>
                <w:rFonts w:cs="Calibri"/>
                <w:sz w:val="18"/>
                <w:szCs w:val="20"/>
              </w:rPr>
            </w:pPr>
          </w:p>
          <w:p w14:paraId="3E01359F" w14:textId="77777777" w:rsidR="00A90B05" w:rsidRPr="00BA2696" w:rsidRDefault="00A90B05" w:rsidP="00C75158">
            <w:pPr>
              <w:suppressAutoHyphens w:val="0"/>
              <w:autoSpaceDN/>
              <w:spacing w:after="0" w:line="240" w:lineRule="auto"/>
              <w:textAlignment w:val="auto"/>
              <w:rPr>
                <w:rFonts w:cs="Calibri"/>
                <w:sz w:val="18"/>
                <w:szCs w:val="20"/>
              </w:rPr>
            </w:pPr>
            <w:r w:rsidRPr="00BA2696">
              <w:rPr>
                <w:rFonts w:cs="Calibri"/>
                <w:sz w:val="18"/>
                <w:szCs w:val="20"/>
              </w:rPr>
              <w:t>Complicated recognition of whiteness</w:t>
            </w:r>
          </w:p>
        </w:tc>
        <w:tc>
          <w:tcPr>
            <w:tcW w:w="8396" w:type="dxa"/>
            <w:shd w:val="clear" w:color="auto" w:fill="auto"/>
          </w:tcPr>
          <w:p w14:paraId="4F72E083" w14:textId="77777777" w:rsidR="00A90B05" w:rsidRPr="00BA2696" w:rsidRDefault="00A90B05" w:rsidP="00C75158">
            <w:pPr>
              <w:suppressAutoHyphens w:val="0"/>
              <w:autoSpaceDN/>
              <w:spacing w:after="0" w:line="240" w:lineRule="auto"/>
              <w:textAlignment w:val="auto"/>
              <w:rPr>
                <w:rFonts w:cs="Calibri"/>
                <w:sz w:val="18"/>
                <w:szCs w:val="20"/>
              </w:rPr>
            </w:pPr>
            <w:r w:rsidRPr="00BA2696">
              <w:rPr>
                <w:rFonts w:cs="Calibri"/>
                <w:sz w:val="18"/>
                <w:szCs w:val="20"/>
              </w:rPr>
              <w:t>White ignorance reinforced through not understanding whiteness as racialised. White ignorance disruption occurs through asking about whiteness.</w:t>
            </w:r>
          </w:p>
          <w:p w14:paraId="051BF3EF" w14:textId="77777777" w:rsidR="00A90B05" w:rsidRPr="00BA2696" w:rsidRDefault="00A90B05" w:rsidP="00C75158">
            <w:pPr>
              <w:suppressAutoHyphens w:val="0"/>
              <w:autoSpaceDN/>
              <w:spacing w:after="0" w:line="240" w:lineRule="auto"/>
              <w:textAlignment w:val="auto"/>
              <w:rPr>
                <w:rFonts w:cs="Calibri"/>
                <w:sz w:val="18"/>
                <w:szCs w:val="20"/>
              </w:rPr>
            </w:pPr>
          </w:p>
          <w:p w14:paraId="1C69D259" w14:textId="77777777" w:rsidR="00A90B05" w:rsidRPr="00BA2696" w:rsidRDefault="00A90B05" w:rsidP="00C75158">
            <w:pPr>
              <w:suppressAutoHyphens w:val="0"/>
              <w:autoSpaceDN/>
              <w:spacing w:after="0" w:line="240" w:lineRule="auto"/>
              <w:textAlignment w:val="auto"/>
              <w:rPr>
                <w:rFonts w:cs="Calibri"/>
                <w:sz w:val="18"/>
                <w:szCs w:val="20"/>
              </w:rPr>
            </w:pPr>
            <w:r w:rsidRPr="00BA2696">
              <w:rPr>
                <w:rFonts w:cs="Calibri"/>
                <w:sz w:val="18"/>
                <w:szCs w:val="20"/>
              </w:rPr>
              <w:t xml:space="preserve">Attack used as a form of defence against White Ignorance Disruption. </w:t>
            </w:r>
          </w:p>
          <w:p w14:paraId="22B74E7D" w14:textId="77777777" w:rsidR="00A90B05" w:rsidRPr="00BA2696" w:rsidRDefault="00A90B05" w:rsidP="00C75158">
            <w:pPr>
              <w:suppressAutoHyphens w:val="0"/>
              <w:autoSpaceDN/>
              <w:spacing w:after="0" w:line="240" w:lineRule="auto"/>
              <w:textAlignment w:val="auto"/>
              <w:rPr>
                <w:rFonts w:cs="Calibri"/>
                <w:sz w:val="18"/>
                <w:szCs w:val="20"/>
              </w:rPr>
            </w:pPr>
          </w:p>
          <w:p w14:paraId="6D4AE70D" w14:textId="77777777" w:rsidR="00A90B05" w:rsidRPr="00BA2696" w:rsidRDefault="00A90B05" w:rsidP="00C75158">
            <w:pPr>
              <w:suppressAutoHyphens w:val="0"/>
              <w:autoSpaceDN/>
              <w:spacing w:after="0" w:line="240" w:lineRule="auto"/>
              <w:textAlignment w:val="auto"/>
              <w:rPr>
                <w:rFonts w:cs="Calibri"/>
                <w:sz w:val="18"/>
                <w:szCs w:val="20"/>
              </w:rPr>
            </w:pPr>
            <w:r w:rsidRPr="00BA2696">
              <w:rPr>
                <w:rFonts w:cs="Calibri"/>
                <w:sz w:val="18"/>
                <w:szCs w:val="20"/>
              </w:rPr>
              <w:t>Indication that White Ignorance Disruption has allowed learning to begin</w:t>
            </w:r>
          </w:p>
        </w:tc>
      </w:tr>
      <w:tr w:rsidR="00A90B05" w:rsidRPr="00BA2696" w14:paraId="3C39156F" w14:textId="77777777" w:rsidTr="00C75158">
        <w:tc>
          <w:tcPr>
            <w:tcW w:w="0" w:type="auto"/>
            <w:shd w:val="clear" w:color="auto" w:fill="F2F2F2"/>
          </w:tcPr>
          <w:p w14:paraId="1AAE5866" w14:textId="77777777" w:rsidR="00A90B05" w:rsidRPr="00BA2696" w:rsidRDefault="00A90B05" w:rsidP="00C75158">
            <w:pPr>
              <w:suppressAutoHyphens w:val="0"/>
              <w:autoSpaceDN/>
              <w:spacing w:after="0" w:line="240" w:lineRule="auto"/>
              <w:textAlignment w:val="auto"/>
              <w:rPr>
                <w:rFonts w:cs="Calibri"/>
                <w:b/>
                <w:bCs/>
                <w:sz w:val="18"/>
                <w:szCs w:val="20"/>
              </w:rPr>
            </w:pPr>
            <w:r w:rsidRPr="00BA2696">
              <w:rPr>
                <w:rFonts w:cs="Calibri"/>
                <w:b/>
                <w:bCs/>
                <w:sz w:val="18"/>
                <w:szCs w:val="20"/>
              </w:rPr>
              <w:t>Barriers to Racial Discourse</w:t>
            </w:r>
          </w:p>
        </w:tc>
        <w:tc>
          <w:tcPr>
            <w:tcW w:w="3336" w:type="dxa"/>
            <w:shd w:val="clear" w:color="auto" w:fill="F2F2F2"/>
          </w:tcPr>
          <w:p w14:paraId="2D820850" w14:textId="77777777" w:rsidR="00A90B05" w:rsidRPr="00BA2696" w:rsidRDefault="00A90B05" w:rsidP="00C75158">
            <w:pPr>
              <w:suppressAutoHyphens w:val="0"/>
              <w:autoSpaceDN/>
              <w:spacing w:after="0" w:line="240" w:lineRule="auto"/>
              <w:textAlignment w:val="auto"/>
              <w:rPr>
                <w:rFonts w:cs="Calibri"/>
                <w:sz w:val="18"/>
                <w:szCs w:val="20"/>
              </w:rPr>
            </w:pPr>
            <w:r w:rsidRPr="00BA2696">
              <w:rPr>
                <w:rFonts w:cs="Calibri"/>
                <w:sz w:val="18"/>
                <w:szCs w:val="20"/>
              </w:rPr>
              <w:t>Lack of contact with people of colour</w:t>
            </w:r>
          </w:p>
          <w:p w14:paraId="7085B4EF" w14:textId="77777777" w:rsidR="00A90B05" w:rsidRPr="00BA2696" w:rsidRDefault="00A90B05" w:rsidP="00C75158">
            <w:pPr>
              <w:suppressAutoHyphens w:val="0"/>
              <w:autoSpaceDN/>
              <w:spacing w:after="0" w:line="240" w:lineRule="auto"/>
              <w:textAlignment w:val="auto"/>
              <w:rPr>
                <w:rFonts w:cs="Calibri"/>
                <w:sz w:val="18"/>
                <w:szCs w:val="20"/>
              </w:rPr>
            </w:pPr>
          </w:p>
          <w:p w14:paraId="547B26CA" w14:textId="77777777" w:rsidR="00A90B05" w:rsidRPr="00BA2696" w:rsidRDefault="00A90B05" w:rsidP="00C75158">
            <w:pPr>
              <w:suppressAutoHyphens w:val="0"/>
              <w:autoSpaceDN/>
              <w:spacing w:after="0" w:line="240" w:lineRule="auto"/>
              <w:textAlignment w:val="auto"/>
              <w:rPr>
                <w:rFonts w:cs="Calibri"/>
                <w:sz w:val="18"/>
                <w:szCs w:val="20"/>
              </w:rPr>
            </w:pPr>
          </w:p>
          <w:p w14:paraId="138BF7DD" w14:textId="77777777" w:rsidR="00A90B05" w:rsidRPr="00BA2696" w:rsidRDefault="00A90B05" w:rsidP="00C75158">
            <w:pPr>
              <w:suppressAutoHyphens w:val="0"/>
              <w:autoSpaceDN/>
              <w:spacing w:after="0" w:line="240" w:lineRule="auto"/>
              <w:textAlignment w:val="auto"/>
              <w:rPr>
                <w:rFonts w:cs="Calibri"/>
                <w:sz w:val="18"/>
                <w:szCs w:val="20"/>
              </w:rPr>
            </w:pPr>
            <w:r w:rsidRPr="00BA2696">
              <w:rPr>
                <w:rFonts w:cs="Calibri"/>
                <w:sz w:val="18"/>
                <w:szCs w:val="20"/>
              </w:rPr>
              <w:t>Contact with people of colour.</w:t>
            </w:r>
          </w:p>
          <w:p w14:paraId="7BB0A303" w14:textId="77777777" w:rsidR="00A90B05" w:rsidRPr="00BA2696" w:rsidRDefault="00A90B05" w:rsidP="00C75158">
            <w:pPr>
              <w:suppressAutoHyphens w:val="0"/>
              <w:autoSpaceDN/>
              <w:spacing w:after="0" w:line="240" w:lineRule="auto"/>
              <w:textAlignment w:val="auto"/>
              <w:rPr>
                <w:rFonts w:cs="Calibri"/>
                <w:sz w:val="18"/>
                <w:szCs w:val="20"/>
              </w:rPr>
            </w:pPr>
          </w:p>
          <w:p w14:paraId="426AA01A" w14:textId="77777777" w:rsidR="00A90B05" w:rsidRPr="00BA2696" w:rsidRDefault="00A90B05" w:rsidP="00C75158">
            <w:pPr>
              <w:suppressAutoHyphens w:val="0"/>
              <w:autoSpaceDN/>
              <w:spacing w:after="0" w:line="240" w:lineRule="auto"/>
              <w:textAlignment w:val="auto"/>
              <w:rPr>
                <w:rFonts w:cs="Calibri"/>
                <w:sz w:val="18"/>
                <w:szCs w:val="20"/>
              </w:rPr>
            </w:pPr>
          </w:p>
          <w:p w14:paraId="0F8CE296" w14:textId="77777777" w:rsidR="00A90B05" w:rsidRPr="00BA2696" w:rsidRDefault="00A90B05" w:rsidP="00C75158">
            <w:pPr>
              <w:suppressAutoHyphens w:val="0"/>
              <w:autoSpaceDN/>
              <w:spacing w:after="0" w:line="240" w:lineRule="auto"/>
              <w:textAlignment w:val="auto"/>
              <w:rPr>
                <w:rFonts w:cs="Calibri"/>
                <w:sz w:val="18"/>
                <w:szCs w:val="20"/>
              </w:rPr>
            </w:pPr>
            <w:r w:rsidRPr="00BA2696">
              <w:rPr>
                <w:rFonts w:cs="Calibri"/>
                <w:sz w:val="18"/>
                <w:szCs w:val="20"/>
              </w:rPr>
              <w:t>Colour-blind attitudes</w:t>
            </w:r>
          </w:p>
          <w:p w14:paraId="2ADD3F81" w14:textId="77777777" w:rsidR="00A90B05" w:rsidRPr="00BA2696" w:rsidRDefault="00A90B05" w:rsidP="00C75158">
            <w:pPr>
              <w:suppressAutoHyphens w:val="0"/>
              <w:autoSpaceDN/>
              <w:spacing w:after="0" w:line="240" w:lineRule="auto"/>
              <w:textAlignment w:val="auto"/>
              <w:rPr>
                <w:rFonts w:cs="Calibri"/>
                <w:sz w:val="18"/>
                <w:szCs w:val="20"/>
              </w:rPr>
            </w:pPr>
          </w:p>
          <w:p w14:paraId="04D9F562" w14:textId="77777777" w:rsidR="00A90B05" w:rsidRPr="00BA2696" w:rsidRDefault="00A90B05" w:rsidP="00C75158">
            <w:pPr>
              <w:suppressAutoHyphens w:val="0"/>
              <w:autoSpaceDN/>
              <w:spacing w:after="0" w:line="240" w:lineRule="auto"/>
              <w:textAlignment w:val="auto"/>
              <w:rPr>
                <w:rFonts w:cs="Calibri"/>
                <w:sz w:val="18"/>
                <w:szCs w:val="20"/>
              </w:rPr>
            </w:pPr>
          </w:p>
          <w:p w14:paraId="38A768F3" w14:textId="77777777" w:rsidR="00A90B05" w:rsidRPr="00BA2696" w:rsidRDefault="00A90B05" w:rsidP="00C75158">
            <w:pPr>
              <w:suppressAutoHyphens w:val="0"/>
              <w:autoSpaceDN/>
              <w:spacing w:after="0" w:line="240" w:lineRule="auto"/>
              <w:textAlignment w:val="auto"/>
              <w:rPr>
                <w:rFonts w:cs="Calibri"/>
                <w:sz w:val="18"/>
                <w:szCs w:val="20"/>
              </w:rPr>
            </w:pPr>
            <w:r w:rsidRPr="00BA2696">
              <w:rPr>
                <w:rFonts w:cs="Calibri"/>
                <w:sz w:val="18"/>
                <w:szCs w:val="20"/>
              </w:rPr>
              <w:t>‘Good White Counsellor’</w:t>
            </w:r>
          </w:p>
        </w:tc>
        <w:tc>
          <w:tcPr>
            <w:tcW w:w="8396" w:type="dxa"/>
            <w:shd w:val="clear" w:color="auto" w:fill="F2F2F2"/>
          </w:tcPr>
          <w:p w14:paraId="0971FC89" w14:textId="77777777" w:rsidR="00A90B05" w:rsidRPr="00BA2696" w:rsidRDefault="00A90B05" w:rsidP="00C75158">
            <w:pPr>
              <w:suppressAutoHyphens w:val="0"/>
              <w:autoSpaceDN/>
              <w:spacing w:after="0" w:line="240" w:lineRule="auto"/>
              <w:textAlignment w:val="auto"/>
              <w:rPr>
                <w:rFonts w:cs="Calibri"/>
                <w:sz w:val="18"/>
                <w:szCs w:val="20"/>
              </w:rPr>
            </w:pPr>
            <w:r w:rsidRPr="00BA2696">
              <w:rPr>
                <w:rFonts w:cs="Calibri"/>
                <w:sz w:val="18"/>
                <w:szCs w:val="20"/>
              </w:rPr>
              <w:t xml:space="preserve">White ignorance reinforced through ‘not needing’ to engage with racial discourse. Used as intellectual/emotional resistance to White Ignorance Disruption. </w:t>
            </w:r>
          </w:p>
          <w:p w14:paraId="74F1C778" w14:textId="77777777" w:rsidR="00A90B05" w:rsidRPr="00BA2696" w:rsidRDefault="00A90B05" w:rsidP="00C75158">
            <w:pPr>
              <w:suppressAutoHyphens w:val="0"/>
              <w:autoSpaceDN/>
              <w:spacing w:after="0" w:line="240" w:lineRule="auto"/>
              <w:textAlignment w:val="auto"/>
              <w:rPr>
                <w:rFonts w:cs="Calibri"/>
                <w:sz w:val="18"/>
                <w:szCs w:val="20"/>
              </w:rPr>
            </w:pPr>
          </w:p>
          <w:p w14:paraId="7A7E2D2B" w14:textId="77777777" w:rsidR="00A90B05" w:rsidRPr="00BA2696" w:rsidRDefault="00A90B05" w:rsidP="00C75158">
            <w:pPr>
              <w:suppressAutoHyphens w:val="0"/>
              <w:autoSpaceDN/>
              <w:spacing w:after="0" w:line="240" w:lineRule="auto"/>
              <w:textAlignment w:val="auto"/>
              <w:rPr>
                <w:rFonts w:cs="Calibri"/>
                <w:sz w:val="18"/>
                <w:szCs w:val="20"/>
              </w:rPr>
            </w:pPr>
            <w:r w:rsidRPr="00BA2696">
              <w:rPr>
                <w:rFonts w:cs="Calibri"/>
                <w:sz w:val="18"/>
                <w:szCs w:val="20"/>
              </w:rPr>
              <w:t xml:space="preserve">Friendships/colleagues with people of colour, seen as sufficient evidence of racial awareness. Also used as intellectual/emotional resistance to White Ignorance Disruption. </w:t>
            </w:r>
          </w:p>
          <w:p w14:paraId="5597BE16" w14:textId="77777777" w:rsidR="00A90B05" w:rsidRPr="00BA2696" w:rsidRDefault="00A90B05" w:rsidP="00C75158">
            <w:pPr>
              <w:suppressAutoHyphens w:val="0"/>
              <w:autoSpaceDN/>
              <w:spacing w:after="0" w:line="240" w:lineRule="auto"/>
              <w:textAlignment w:val="auto"/>
              <w:rPr>
                <w:rFonts w:cs="Calibri"/>
                <w:sz w:val="18"/>
                <w:szCs w:val="20"/>
              </w:rPr>
            </w:pPr>
          </w:p>
          <w:p w14:paraId="39642863" w14:textId="77777777" w:rsidR="00A90B05" w:rsidRPr="00BA2696" w:rsidRDefault="00A90B05" w:rsidP="00C75158">
            <w:pPr>
              <w:suppressAutoHyphens w:val="0"/>
              <w:autoSpaceDN/>
              <w:spacing w:after="0" w:line="240" w:lineRule="auto"/>
              <w:textAlignment w:val="auto"/>
              <w:rPr>
                <w:rFonts w:cs="Calibri"/>
                <w:sz w:val="18"/>
                <w:szCs w:val="20"/>
              </w:rPr>
            </w:pPr>
            <w:r w:rsidRPr="00BA2696">
              <w:rPr>
                <w:rFonts w:cs="Calibri"/>
                <w:sz w:val="18"/>
                <w:szCs w:val="20"/>
              </w:rPr>
              <w:t>Racial discourse seen as racist and used as a rationale to not engage with ‘race’. Also used as intellectual/emotional resistance to White Ignorance Disruption.</w:t>
            </w:r>
          </w:p>
          <w:p w14:paraId="526E2200" w14:textId="77777777" w:rsidR="00A90B05" w:rsidRPr="00BA2696" w:rsidRDefault="00A90B05" w:rsidP="00C75158">
            <w:pPr>
              <w:suppressAutoHyphens w:val="0"/>
              <w:autoSpaceDN/>
              <w:spacing w:after="0" w:line="240" w:lineRule="auto"/>
              <w:textAlignment w:val="auto"/>
              <w:rPr>
                <w:rFonts w:cs="Calibri"/>
                <w:sz w:val="18"/>
                <w:szCs w:val="20"/>
              </w:rPr>
            </w:pPr>
            <w:r w:rsidRPr="00BA2696">
              <w:rPr>
                <w:rFonts w:cs="Calibri"/>
                <w:sz w:val="18"/>
                <w:szCs w:val="20"/>
              </w:rPr>
              <w:t xml:space="preserve"> </w:t>
            </w:r>
          </w:p>
          <w:p w14:paraId="661B3124" w14:textId="77777777" w:rsidR="00A90B05" w:rsidRPr="00BA2696" w:rsidRDefault="00A90B05" w:rsidP="00C75158">
            <w:pPr>
              <w:suppressAutoHyphens w:val="0"/>
              <w:autoSpaceDN/>
              <w:spacing w:after="0" w:line="240" w:lineRule="auto"/>
              <w:textAlignment w:val="auto"/>
              <w:rPr>
                <w:rFonts w:cs="Calibri"/>
                <w:sz w:val="18"/>
                <w:szCs w:val="20"/>
              </w:rPr>
            </w:pPr>
            <w:r w:rsidRPr="00BA2696">
              <w:rPr>
                <w:rFonts w:cs="Calibri"/>
                <w:sz w:val="18"/>
                <w:szCs w:val="20"/>
              </w:rPr>
              <w:t>Racial discourse seen as ‘bad’, and counsellor seen as ‘good’. Allows white ignorance to be sustained for moralistic reasoning. Also used as intellectual/emotional resistance to White Ignorance Disruption.</w:t>
            </w:r>
          </w:p>
        </w:tc>
      </w:tr>
      <w:tr w:rsidR="00A90B05" w:rsidRPr="00BA2696" w14:paraId="36DF82CD" w14:textId="77777777" w:rsidTr="00C75158">
        <w:tc>
          <w:tcPr>
            <w:tcW w:w="0" w:type="auto"/>
            <w:shd w:val="clear" w:color="auto" w:fill="auto"/>
          </w:tcPr>
          <w:p w14:paraId="74F8179E" w14:textId="77777777" w:rsidR="00A90B05" w:rsidRPr="00BA2696" w:rsidRDefault="00A90B05" w:rsidP="00C75158">
            <w:pPr>
              <w:suppressAutoHyphens w:val="0"/>
              <w:autoSpaceDN/>
              <w:spacing w:after="0" w:line="240" w:lineRule="auto"/>
              <w:textAlignment w:val="auto"/>
              <w:rPr>
                <w:rFonts w:cs="Calibri"/>
                <w:b/>
                <w:bCs/>
                <w:sz w:val="18"/>
                <w:szCs w:val="20"/>
              </w:rPr>
            </w:pPr>
            <w:r w:rsidRPr="00BA2696">
              <w:rPr>
                <w:rFonts w:cs="Calibri"/>
                <w:b/>
                <w:bCs/>
                <w:sz w:val="18"/>
                <w:szCs w:val="20"/>
              </w:rPr>
              <w:t>Socio-Political (Dis)</w:t>
            </w:r>
            <w:r>
              <w:rPr>
                <w:rFonts w:cs="Calibri"/>
                <w:b/>
                <w:bCs/>
                <w:sz w:val="18"/>
                <w:szCs w:val="20"/>
              </w:rPr>
              <w:t>C</w:t>
            </w:r>
            <w:r w:rsidRPr="00BA2696">
              <w:rPr>
                <w:rFonts w:cs="Calibri"/>
                <w:b/>
                <w:bCs/>
                <w:sz w:val="18"/>
                <w:szCs w:val="20"/>
              </w:rPr>
              <w:t>onnection</w:t>
            </w:r>
          </w:p>
        </w:tc>
        <w:tc>
          <w:tcPr>
            <w:tcW w:w="3336" w:type="dxa"/>
            <w:shd w:val="clear" w:color="auto" w:fill="auto"/>
          </w:tcPr>
          <w:p w14:paraId="6CAEEF7F" w14:textId="77777777" w:rsidR="00A90B05" w:rsidRPr="00BA2696" w:rsidRDefault="00A90B05" w:rsidP="00C75158">
            <w:pPr>
              <w:suppressAutoHyphens w:val="0"/>
              <w:autoSpaceDN/>
              <w:spacing w:after="0" w:line="240" w:lineRule="auto"/>
              <w:textAlignment w:val="auto"/>
              <w:rPr>
                <w:rFonts w:cs="Calibri"/>
                <w:sz w:val="18"/>
                <w:szCs w:val="20"/>
              </w:rPr>
            </w:pPr>
            <w:r w:rsidRPr="00BA2696">
              <w:rPr>
                <w:rFonts w:cs="Calibri"/>
                <w:sz w:val="18"/>
                <w:szCs w:val="20"/>
              </w:rPr>
              <w:t>Student and curriculum disconnection</w:t>
            </w:r>
          </w:p>
          <w:p w14:paraId="0E26D8F2" w14:textId="77777777" w:rsidR="00A90B05" w:rsidRPr="00BA2696" w:rsidRDefault="00A90B05" w:rsidP="00C75158">
            <w:pPr>
              <w:suppressAutoHyphens w:val="0"/>
              <w:autoSpaceDN/>
              <w:spacing w:after="0" w:line="240" w:lineRule="auto"/>
              <w:textAlignment w:val="auto"/>
              <w:rPr>
                <w:rFonts w:cs="Calibri"/>
                <w:sz w:val="18"/>
                <w:szCs w:val="20"/>
              </w:rPr>
            </w:pPr>
          </w:p>
          <w:p w14:paraId="035D6E7F" w14:textId="77777777" w:rsidR="00A90B05" w:rsidRPr="00BA2696" w:rsidRDefault="00A90B05" w:rsidP="00C75158">
            <w:pPr>
              <w:suppressAutoHyphens w:val="0"/>
              <w:autoSpaceDN/>
              <w:spacing w:after="0" w:line="240" w:lineRule="auto"/>
              <w:textAlignment w:val="auto"/>
              <w:rPr>
                <w:rFonts w:cs="Calibri"/>
                <w:sz w:val="18"/>
                <w:szCs w:val="20"/>
              </w:rPr>
            </w:pPr>
          </w:p>
          <w:p w14:paraId="3264A28E" w14:textId="77777777" w:rsidR="00A90B05" w:rsidRPr="00BA2696" w:rsidRDefault="00A90B05" w:rsidP="00C75158">
            <w:pPr>
              <w:suppressAutoHyphens w:val="0"/>
              <w:autoSpaceDN/>
              <w:spacing w:after="0" w:line="240" w:lineRule="auto"/>
              <w:textAlignment w:val="auto"/>
              <w:rPr>
                <w:rFonts w:cs="Calibri"/>
                <w:sz w:val="18"/>
                <w:szCs w:val="20"/>
              </w:rPr>
            </w:pPr>
            <w:r w:rsidRPr="00BA2696">
              <w:rPr>
                <w:rFonts w:cs="Calibri"/>
                <w:sz w:val="18"/>
                <w:szCs w:val="20"/>
              </w:rPr>
              <w:t>Student and curriculum connection</w:t>
            </w:r>
          </w:p>
          <w:p w14:paraId="59BCDFB3" w14:textId="77777777" w:rsidR="00A90B05" w:rsidRPr="00BA2696" w:rsidRDefault="00A90B05" w:rsidP="00C75158">
            <w:pPr>
              <w:suppressAutoHyphens w:val="0"/>
              <w:autoSpaceDN/>
              <w:spacing w:after="0" w:line="240" w:lineRule="auto"/>
              <w:textAlignment w:val="auto"/>
              <w:rPr>
                <w:rFonts w:cs="Calibri"/>
                <w:sz w:val="18"/>
                <w:szCs w:val="20"/>
              </w:rPr>
            </w:pPr>
          </w:p>
          <w:p w14:paraId="3DDEC61F" w14:textId="77777777" w:rsidR="00A90B05" w:rsidRPr="00BA2696" w:rsidRDefault="00A90B05" w:rsidP="00C75158">
            <w:pPr>
              <w:suppressAutoHyphens w:val="0"/>
              <w:autoSpaceDN/>
              <w:spacing w:after="0" w:line="240" w:lineRule="auto"/>
              <w:textAlignment w:val="auto"/>
              <w:rPr>
                <w:rFonts w:cs="Calibri"/>
                <w:sz w:val="18"/>
                <w:szCs w:val="20"/>
              </w:rPr>
            </w:pPr>
            <w:r w:rsidRPr="00BA2696">
              <w:rPr>
                <w:rFonts w:cs="Calibri"/>
                <w:sz w:val="18"/>
                <w:szCs w:val="20"/>
              </w:rPr>
              <w:t xml:space="preserve">‘Race’ Education: Is it racist? </w:t>
            </w:r>
          </w:p>
        </w:tc>
        <w:tc>
          <w:tcPr>
            <w:tcW w:w="8396" w:type="dxa"/>
            <w:shd w:val="clear" w:color="auto" w:fill="auto"/>
          </w:tcPr>
          <w:p w14:paraId="266362EA" w14:textId="77777777" w:rsidR="00A90B05" w:rsidRPr="00BA2696" w:rsidRDefault="00A90B05" w:rsidP="00C75158">
            <w:pPr>
              <w:suppressAutoHyphens w:val="0"/>
              <w:autoSpaceDN/>
              <w:spacing w:after="0" w:line="240" w:lineRule="auto"/>
              <w:textAlignment w:val="auto"/>
              <w:rPr>
                <w:rFonts w:cs="Calibri"/>
                <w:sz w:val="18"/>
                <w:szCs w:val="20"/>
              </w:rPr>
            </w:pPr>
            <w:r w:rsidRPr="00BA2696">
              <w:rPr>
                <w:rFonts w:cs="Calibri"/>
                <w:sz w:val="18"/>
                <w:szCs w:val="20"/>
              </w:rPr>
              <w:t>White ignorance co-constructed and reciprocal. White Ignorance Disruption needs to be systemic, e.g., de-colonialising the curriculum.</w:t>
            </w:r>
          </w:p>
          <w:p w14:paraId="4DD661B4" w14:textId="77777777" w:rsidR="00A90B05" w:rsidRPr="00BA2696" w:rsidRDefault="00A90B05" w:rsidP="00C75158">
            <w:pPr>
              <w:suppressAutoHyphens w:val="0"/>
              <w:autoSpaceDN/>
              <w:spacing w:after="0" w:line="240" w:lineRule="auto"/>
              <w:textAlignment w:val="auto"/>
              <w:rPr>
                <w:rFonts w:cs="Calibri"/>
                <w:sz w:val="18"/>
                <w:szCs w:val="20"/>
              </w:rPr>
            </w:pPr>
          </w:p>
          <w:p w14:paraId="346F2729" w14:textId="77777777" w:rsidR="00A90B05" w:rsidRPr="00BA2696" w:rsidRDefault="00A90B05" w:rsidP="00C75158">
            <w:pPr>
              <w:suppressAutoHyphens w:val="0"/>
              <w:autoSpaceDN/>
              <w:spacing w:after="0" w:line="240" w:lineRule="auto"/>
              <w:textAlignment w:val="auto"/>
              <w:rPr>
                <w:rFonts w:cs="Calibri"/>
                <w:sz w:val="18"/>
                <w:szCs w:val="20"/>
              </w:rPr>
            </w:pPr>
            <w:r w:rsidRPr="00BA2696">
              <w:rPr>
                <w:rFonts w:cs="Calibri"/>
                <w:sz w:val="18"/>
                <w:szCs w:val="20"/>
              </w:rPr>
              <w:t>Places where white ignorance was disrupted and allows for opportunities for racial discourse.</w:t>
            </w:r>
          </w:p>
          <w:p w14:paraId="273E1189" w14:textId="77777777" w:rsidR="00A90B05" w:rsidRPr="00BA2696" w:rsidRDefault="00A90B05" w:rsidP="00C75158">
            <w:pPr>
              <w:suppressAutoHyphens w:val="0"/>
              <w:autoSpaceDN/>
              <w:spacing w:after="0" w:line="240" w:lineRule="auto"/>
              <w:textAlignment w:val="auto"/>
              <w:rPr>
                <w:rFonts w:cs="Calibri"/>
                <w:sz w:val="18"/>
                <w:szCs w:val="20"/>
              </w:rPr>
            </w:pPr>
          </w:p>
          <w:p w14:paraId="13336CBE" w14:textId="77777777" w:rsidR="00A90B05" w:rsidRPr="00BA2696" w:rsidRDefault="00A90B05" w:rsidP="00C75158">
            <w:pPr>
              <w:suppressAutoHyphens w:val="0"/>
              <w:autoSpaceDN/>
              <w:spacing w:after="0" w:line="240" w:lineRule="auto"/>
              <w:textAlignment w:val="auto"/>
              <w:rPr>
                <w:rFonts w:cs="Calibri"/>
                <w:sz w:val="18"/>
                <w:szCs w:val="20"/>
              </w:rPr>
            </w:pPr>
            <w:r w:rsidRPr="00BA2696">
              <w:rPr>
                <w:rFonts w:cs="Calibri"/>
                <w:sz w:val="18"/>
                <w:szCs w:val="20"/>
              </w:rPr>
              <w:t xml:space="preserve">Perception of ‘race’ education mixed, encompasses wanting to sustain white ignorance </w:t>
            </w:r>
            <w:r w:rsidRPr="00BA2696">
              <w:rPr>
                <w:rFonts w:cs="Calibri"/>
                <w:i/>
                <w:iCs/>
                <w:sz w:val="18"/>
                <w:szCs w:val="20"/>
              </w:rPr>
              <w:t>and</w:t>
            </w:r>
            <w:r w:rsidRPr="00BA2696">
              <w:rPr>
                <w:rFonts w:cs="Calibri"/>
                <w:sz w:val="18"/>
                <w:szCs w:val="20"/>
              </w:rPr>
              <w:t xml:space="preserve"> a curiosity in disrupting that ignorance. </w:t>
            </w:r>
          </w:p>
        </w:tc>
      </w:tr>
      <w:bookmarkEnd w:id="20"/>
    </w:tbl>
    <w:p w14:paraId="37A9BAC7" w14:textId="77777777" w:rsidR="00A90B05" w:rsidRPr="00BA2696" w:rsidRDefault="00A90B05" w:rsidP="00A90B05">
      <w:pPr>
        <w:suppressAutoHyphens w:val="0"/>
        <w:autoSpaceDN/>
        <w:spacing w:after="0" w:line="480" w:lineRule="auto"/>
        <w:textAlignment w:val="auto"/>
        <w:rPr>
          <w:rFonts w:cs="Calibri"/>
          <w:sz w:val="24"/>
          <w:szCs w:val="24"/>
        </w:rPr>
      </w:pPr>
    </w:p>
    <w:p w14:paraId="056F4900" w14:textId="77777777" w:rsidR="00A90B05" w:rsidRPr="00BA2696" w:rsidRDefault="00A90B05" w:rsidP="00A90B05">
      <w:pPr>
        <w:spacing w:after="0" w:line="480" w:lineRule="auto"/>
        <w:rPr>
          <w:sz w:val="24"/>
          <w:szCs w:val="24"/>
        </w:rPr>
        <w:sectPr w:rsidR="00A90B05" w:rsidRPr="00BA2696" w:rsidSect="00D33326">
          <w:pgSz w:w="16838" w:h="11906" w:orient="landscape"/>
          <w:pgMar w:top="1440" w:right="1080" w:bottom="1440" w:left="1080" w:header="720" w:footer="720" w:gutter="567"/>
          <w:cols w:space="720"/>
          <w:docGrid w:linePitch="299"/>
        </w:sectPr>
      </w:pPr>
    </w:p>
    <w:p w14:paraId="19503D46" w14:textId="77777777" w:rsidR="00A90B05" w:rsidRPr="00BA2696" w:rsidRDefault="00A90B05" w:rsidP="00A90B05">
      <w:pPr>
        <w:suppressAutoHyphens w:val="0"/>
        <w:autoSpaceDN/>
        <w:spacing w:after="0" w:line="480" w:lineRule="auto"/>
        <w:textAlignment w:val="auto"/>
        <w:rPr>
          <w:sz w:val="24"/>
          <w:szCs w:val="24"/>
        </w:rPr>
      </w:pPr>
      <w:r w:rsidRPr="00BA2696">
        <w:rPr>
          <w:sz w:val="24"/>
          <w:szCs w:val="24"/>
        </w:rPr>
        <w:lastRenderedPageBreak/>
        <w:t xml:space="preserve">Further, the process of White Ignorance Disruption occurred in three of the themes </w:t>
      </w:r>
      <w:r w:rsidRPr="00035465">
        <w:rPr>
          <w:sz w:val="24"/>
          <w:szCs w:val="24"/>
        </w:rPr>
        <w:t>that were identified in this research: the first, (Mis)Understanding ‘Race’ and Racism (Section 6.3)</w:t>
      </w:r>
      <w:r w:rsidRPr="00BA2696">
        <w:rPr>
          <w:sz w:val="24"/>
          <w:szCs w:val="24"/>
        </w:rPr>
        <w:t xml:space="preserve">; the second, White (Un)Awareness (Section 6.4); and the third, Barriers to Racial Discourse (Section 6.5), encapsulate the process of White Ignorance Disruption as it happened. The fourth and final theme, Socio-Political (Dis)Connection (Section 6.6), shows how white ignorance (Mills, 2007) and epistemic ignorance (Sullivan and Tuana, 2007) was maintained and co-constructed between the participants and the curriculum. </w:t>
      </w:r>
    </w:p>
    <w:p w14:paraId="364B69B7" w14:textId="77777777" w:rsidR="00A90B05" w:rsidRPr="00BA2696" w:rsidRDefault="00A90B05" w:rsidP="00A90B05">
      <w:pPr>
        <w:suppressAutoHyphens w:val="0"/>
        <w:autoSpaceDN/>
        <w:spacing w:after="0" w:line="480" w:lineRule="auto"/>
        <w:textAlignment w:val="auto"/>
        <w:rPr>
          <w:sz w:val="24"/>
          <w:szCs w:val="24"/>
        </w:rPr>
      </w:pPr>
    </w:p>
    <w:p w14:paraId="06236FAB" w14:textId="77777777" w:rsidR="00A90B05" w:rsidRPr="00BA2696" w:rsidRDefault="00A90B05" w:rsidP="00A90B05">
      <w:pPr>
        <w:suppressAutoHyphens w:val="0"/>
        <w:autoSpaceDN/>
        <w:spacing w:after="0" w:line="480" w:lineRule="auto"/>
        <w:textAlignment w:val="auto"/>
        <w:rPr>
          <w:rFonts w:cs="Calibri"/>
          <w:sz w:val="24"/>
          <w:szCs w:val="24"/>
        </w:rPr>
      </w:pPr>
      <w:r w:rsidRPr="00BA2696">
        <w:rPr>
          <w:rFonts w:cs="Calibri"/>
          <w:sz w:val="24"/>
          <w:szCs w:val="24"/>
        </w:rPr>
        <w:t xml:space="preserve">To present White Ignorance Disruption, the research themes will be discussed and contextualised through using literature from Chapter 2, additional literature and </w:t>
      </w:r>
      <w:r>
        <w:rPr>
          <w:rFonts w:cs="Calibri"/>
          <w:sz w:val="24"/>
          <w:szCs w:val="24"/>
        </w:rPr>
        <w:t xml:space="preserve">is </w:t>
      </w:r>
      <w:r w:rsidRPr="00BA2696">
        <w:rPr>
          <w:rFonts w:cs="Calibri"/>
          <w:sz w:val="24"/>
          <w:szCs w:val="24"/>
        </w:rPr>
        <w:t>situated within the concept of white ignorance (Mills, 2007).</w:t>
      </w:r>
    </w:p>
    <w:p w14:paraId="187FB2F6" w14:textId="77777777" w:rsidR="00A90B05" w:rsidRPr="00BA2696" w:rsidRDefault="00A90B05" w:rsidP="00A90B05">
      <w:pPr>
        <w:suppressAutoHyphens w:val="0"/>
        <w:autoSpaceDN/>
        <w:spacing w:after="0" w:line="259" w:lineRule="auto"/>
        <w:textAlignment w:val="auto"/>
        <w:rPr>
          <w:b/>
          <w:bCs/>
        </w:rPr>
      </w:pPr>
    </w:p>
    <w:p w14:paraId="760157EA" w14:textId="77777777" w:rsidR="00A90B05" w:rsidRPr="00BA2696" w:rsidRDefault="00A90B05" w:rsidP="00A90B05">
      <w:pPr>
        <w:pStyle w:val="Heading3"/>
      </w:pPr>
      <w:bookmarkStart w:id="26" w:name="_Toc56523025"/>
      <w:bookmarkStart w:id="27" w:name="_Toc56523307"/>
      <w:bookmarkStart w:id="28" w:name="_Toc57910115"/>
      <w:bookmarkStart w:id="29" w:name="_Toc58251331"/>
      <w:bookmarkStart w:id="30" w:name="_Toc72413657"/>
      <w:r w:rsidRPr="00BA2696">
        <w:t>6.3 Theme 1: (Mis)Understanding ‘race’ and racism</w:t>
      </w:r>
      <w:bookmarkEnd w:id="26"/>
      <w:bookmarkEnd w:id="27"/>
      <w:bookmarkEnd w:id="28"/>
      <w:bookmarkEnd w:id="29"/>
      <w:bookmarkEnd w:id="30"/>
    </w:p>
    <w:p w14:paraId="2C968FF7" w14:textId="77777777" w:rsidR="00A90B05" w:rsidRPr="00BA2696" w:rsidRDefault="00A90B05" w:rsidP="00A90B05">
      <w:pPr>
        <w:suppressAutoHyphens w:val="0"/>
        <w:autoSpaceDN/>
        <w:spacing w:after="0" w:line="480" w:lineRule="auto"/>
        <w:textAlignment w:val="auto"/>
        <w:rPr>
          <w:rFonts w:cs="Calibri"/>
          <w:sz w:val="24"/>
          <w:szCs w:val="24"/>
        </w:rPr>
      </w:pPr>
      <w:r w:rsidRPr="00BA2696">
        <w:rPr>
          <w:rFonts w:cs="Calibri"/>
          <w:sz w:val="24"/>
          <w:szCs w:val="24"/>
        </w:rPr>
        <w:t>The first theme describes the difficulties the participants faced when talking about ‘race’ and racism. The first was semantic understanding, whereby ‘race’ was understood in terms of skin colour and physiological difference, and racism as an individual act of violence. The second subtheme highlighted</w:t>
      </w:r>
      <w:r w:rsidRPr="00BA2696">
        <w:rPr>
          <w:rFonts w:cs="Calibri"/>
          <w:color w:val="FF0000"/>
          <w:sz w:val="24"/>
          <w:szCs w:val="24"/>
        </w:rPr>
        <w:t xml:space="preserve"> </w:t>
      </w:r>
      <w:r w:rsidRPr="00BA2696">
        <w:rPr>
          <w:rFonts w:cs="Calibri"/>
          <w:sz w:val="24"/>
          <w:szCs w:val="24"/>
        </w:rPr>
        <w:t xml:space="preserve">feelings of self-consciousness </w:t>
      </w:r>
      <w:r>
        <w:rPr>
          <w:rFonts w:cs="Calibri"/>
          <w:sz w:val="24"/>
          <w:szCs w:val="24"/>
        </w:rPr>
        <w:t>in</w:t>
      </w:r>
      <w:r w:rsidRPr="00BA2696">
        <w:rPr>
          <w:rFonts w:cs="Calibri"/>
          <w:sz w:val="24"/>
          <w:szCs w:val="24"/>
        </w:rPr>
        <w:t xml:space="preserve"> not wanting to offend or appear offensive, when talking about ‘race’ and racism. The third subtheme, attempting to distance self (and others) from racism, refers to the participants’ insistence that they (and others) are not racist. </w:t>
      </w:r>
    </w:p>
    <w:p w14:paraId="271DB632" w14:textId="77777777" w:rsidR="00A90B05" w:rsidRPr="00BA2696" w:rsidRDefault="00A90B05" w:rsidP="00A90B05">
      <w:pPr>
        <w:suppressAutoHyphens w:val="0"/>
        <w:autoSpaceDN/>
        <w:spacing w:after="0" w:line="480" w:lineRule="auto"/>
        <w:textAlignment w:val="auto"/>
        <w:rPr>
          <w:rFonts w:cs="Calibri"/>
          <w:sz w:val="24"/>
          <w:szCs w:val="24"/>
        </w:rPr>
      </w:pPr>
    </w:p>
    <w:p w14:paraId="39E3703C" w14:textId="77777777" w:rsidR="00A90B05" w:rsidRPr="00BA2696" w:rsidRDefault="00A90B05" w:rsidP="00A90B05">
      <w:pPr>
        <w:pStyle w:val="Heading4"/>
        <w:spacing w:before="0" w:after="240" w:line="250" w:lineRule="auto"/>
      </w:pPr>
      <w:r w:rsidRPr="00BA2696">
        <w:t xml:space="preserve">Semantic understanding </w:t>
      </w:r>
    </w:p>
    <w:p w14:paraId="65557FFE" w14:textId="77777777" w:rsidR="00A90B05" w:rsidRPr="00BA2696" w:rsidRDefault="00A90B05" w:rsidP="00A90B05">
      <w:pPr>
        <w:suppressAutoHyphens w:val="0"/>
        <w:autoSpaceDN/>
        <w:spacing w:after="0" w:line="480" w:lineRule="auto"/>
        <w:textAlignment w:val="auto"/>
        <w:rPr>
          <w:rFonts w:cs="Calibri"/>
          <w:sz w:val="24"/>
          <w:szCs w:val="24"/>
        </w:rPr>
      </w:pPr>
      <w:r w:rsidRPr="00BA2696">
        <w:rPr>
          <w:sz w:val="24"/>
          <w:szCs w:val="24"/>
        </w:rPr>
        <w:t>This research found that perhaps a cornerstone of white ignorance maintenance is through not having accurate sema</w:t>
      </w:r>
      <w:r>
        <w:rPr>
          <w:sz w:val="24"/>
          <w:szCs w:val="24"/>
        </w:rPr>
        <w:t>n</w:t>
      </w:r>
      <w:r w:rsidRPr="00BA2696">
        <w:rPr>
          <w:sz w:val="24"/>
          <w:szCs w:val="24"/>
        </w:rPr>
        <w:t xml:space="preserve">tic understanding of ‘race’ and racism. The research interview </w:t>
      </w:r>
      <w:r w:rsidRPr="00BA2696">
        <w:rPr>
          <w:sz w:val="24"/>
          <w:szCs w:val="24"/>
        </w:rPr>
        <w:lastRenderedPageBreak/>
        <w:t>questions</w:t>
      </w:r>
      <w:r>
        <w:rPr>
          <w:sz w:val="24"/>
          <w:szCs w:val="24"/>
        </w:rPr>
        <w:t xml:space="preserve"> (Appendix v)</w:t>
      </w:r>
      <w:r w:rsidRPr="00BA2696">
        <w:rPr>
          <w:sz w:val="24"/>
          <w:szCs w:val="24"/>
        </w:rPr>
        <w:t xml:space="preserve"> meant that their lack of awareness, or ignorance, was brought to the participants’ attention. Thus, the process of White Ignorance Disruption began within the interview. When asked how they understood ‘race’, colour was used as </w:t>
      </w:r>
      <w:r>
        <w:rPr>
          <w:sz w:val="24"/>
          <w:szCs w:val="24"/>
        </w:rPr>
        <w:t xml:space="preserve">a </w:t>
      </w:r>
      <w:r w:rsidRPr="00BA2696">
        <w:rPr>
          <w:sz w:val="24"/>
          <w:szCs w:val="24"/>
        </w:rPr>
        <w:t xml:space="preserve">consistent descriptor across the participants. This is supported by Anne, Mary and Phil’s consistent use of the word </w:t>
      </w:r>
      <w:r w:rsidRPr="00BA2696">
        <w:rPr>
          <w:i/>
          <w:iCs/>
          <w:sz w:val="24"/>
          <w:szCs w:val="24"/>
        </w:rPr>
        <w:t>‘coloured’</w:t>
      </w:r>
      <w:r w:rsidRPr="00BA2696">
        <w:rPr>
          <w:sz w:val="24"/>
          <w:szCs w:val="24"/>
        </w:rPr>
        <w:t xml:space="preserve"> to described black people. Using Fernando’s (2010, p. 8) definition that ‘race’, that it is often characterised by physical appearance and presumed to be genetic, it may be possible that the emphasis on physical appearance, specifically skin colour and Vix’s focus on black hair, indicates that the participants believed ‘race’ to be biologically or genetically determined. Although it is not possible to state that my interpretation is correct, there are echoes of Linnaeus’ 18</w:t>
      </w:r>
      <w:r w:rsidRPr="00BA2696">
        <w:rPr>
          <w:sz w:val="24"/>
          <w:szCs w:val="24"/>
          <w:vertAlign w:val="superscript"/>
        </w:rPr>
        <w:t>th</w:t>
      </w:r>
      <w:r w:rsidRPr="00BA2696">
        <w:rPr>
          <w:sz w:val="24"/>
          <w:szCs w:val="24"/>
        </w:rPr>
        <w:t xml:space="preserve"> century taxonomy of humans based upon physical appearance (Fara, 2017), specifically skin colour. Further, when asked how she understood ‘race’, Vix was reminded of a university seminar when students were asked to chronologically categorise human skulls. In Vix’s recollection, students did this based on the skulls’ aesthetic appearance. This anecdote calls to mind another 18</w:t>
      </w:r>
      <w:r w:rsidRPr="00BA2696">
        <w:rPr>
          <w:sz w:val="24"/>
          <w:szCs w:val="24"/>
          <w:vertAlign w:val="superscript"/>
        </w:rPr>
        <w:t>th</w:t>
      </w:r>
      <w:r w:rsidRPr="00BA2696">
        <w:rPr>
          <w:sz w:val="24"/>
          <w:szCs w:val="24"/>
        </w:rPr>
        <w:t xml:space="preserve"> century scientist, Blumenbach, who was also an early contributor to ‘race’ as a scientific concept through the categorisation of human skulls (Painter, 2003; Bhopal, 2007). Although the participants did not seem aware of this, as they did not offer an historical analysis in their answers (with the exception being Vix’s mention of slavery as an ‘</w:t>
      </w:r>
      <w:r w:rsidRPr="00BA2696">
        <w:rPr>
          <w:i/>
          <w:iCs/>
          <w:sz w:val="24"/>
          <w:szCs w:val="24"/>
        </w:rPr>
        <w:t>historical pain’</w:t>
      </w:r>
      <w:r w:rsidRPr="00BA2696">
        <w:rPr>
          <w:sz w:val="24"/>
          <w:szCs w:val="24"/>
        </w:rPr>
        <w:t xml:space="preserve">) it appears that the concept of ‘race’ as a biological idea persists but is divorced from its origins. This supports the argument that one reason white people avoid discussing ‘race’ is due to a lack </w:t>
      </w:r>
      <w:r>
        <w:rPr>
          <w:sz w:val="24"/>
          <w:szCs w:val="24"/>
        </w:rPr>
        <w:t xml:space="preserve">of </w:t>
      </w:r>
      <w:r w:rsidRPr="00BA2696">
        <w:rPr>
          <w:sz w:val="24"/>
          <w:szCs w:val="24"/>
        </w:rPr>
        <w:t xml:space="preserve">understanding </w:t>
      </w:r>
      <w:r>
        <w:rPr>
          <w:sz w:val="24"/>
          <w:szCs w:val="24"/>
        </w:rPr>
        <w:t>of</w:t>
      </w:r>
      <w:r w:rsidRPr="00BA2696">
        <w:rPr>
          <w:sz w:val="24"/>
          <w:szCs w:val="24"/>
        </w:rPr>
        <w:t xml:space="preserve"> its historical context</w:t>
      </w:r>
      <w:bookmarkStart w:id="31" w:name="_Hlk52802494"/>
      <w:r w:rsidRPr="00BA2696">
        <w:rPr>
          <w:sz w:val="24"/>
          <w:szCs w:val="24"/>
        </w:rPr>
        <w:t xml:space="preserve"> (Mazzocco, 2017). </w:t>
      </w:r>
      <w:bookmarkEnd w:id="31"/>
      <w:r w:rsidRPr="00BA2696">
        <w:rPr>
          <w:sz w:val="24"/>
          <w:szCs w:val="24"/>
        </w:rPr>
        <w:t xml:space="preserve">Another interpretation is that the participants, like many white people, are not aware of the historical origins of ‘race’ because of white ignorance. This claim of white ignorance is strengthened by the absence of any socio-political analysis when asked how they understood ‘race’. The words ‘social construct’, </w:t>
      </w:r>
      <w:r w:rsidRPr="00BA2696">
        <w:rPr>
          <w:sz w:val="24"/>
          <w:szCs w:val="24"/>
        </w:rPr>
        <w:lastRenderedPageBreak/>
        <w:t xml:space="preserve">or similar phrases or interpretations, did not feature in their answers, again suggesting that ‘race’ was understood by the participants as something separated from social or political influences. In addition, the participants’ understanding of ‘race’ also encompassed nationality, culture and ethnicity. It has been put forward that white people may avoid using the word </w:t>
      </w:r>
      <w:bookmarkStart w:id="32" w:name="_Hlk52802416"/>
      <w:r w:rsidRPr="00BA2696">
        <w:rPr>
          <w:sz w:val="24"/>
          <w:szCs w:val="24"/>
        </w:rPr>
        <w:t>‘race’ due to their own discomfort and replace it with words such as ‘culture’ (Matias, Montoya and Nibish, 2016)</w:t>
      </w:r>
      <w:bookmarkEnd w:id="32"/>
      <w:r w:rsidRPr="00BA2696">
        <w:rPr>
          <w:sz w:val="24"/>
          <w:szCs w:val="24"/>
        </w:rPr>
        <w:t xml:space="preserve">; the implication being that alternative words are perceived by white people as less powerful. The metaphor of a discursive minefield used in Chapter 5 (Section 5.2), whereby talking about ‘race’ and racism seemed to be dangerous for the participants lest they cause harm to themselves and others, may explain why their understanding of ‘race’ included other related terms. This could be due to their own discomfort (Matias, Montoya and Nibish, 2016) or due to semantic misunderstanding by believing the words are interchangeable. However, the Equality Act 2010 (section 9) defines ‘race’ as ‘colour, nationality, ethnic or national origins’ and does not acknowledge ‘race’ as a social construct. Thus, the participants’ semantic misunderstanding, confusion with other terms, focus on colour and ignorance of the construction of racial categorisation, </w:t>
      </w:r>
      <w:r w:rsidRPr="00BA2696">
        <w:rPr>
          <w:rFonts w:cs="Calibri"/>
          <w:bCs/>
          <w:color w:val="000000"/>
          <w:sz w:val="24"/>
          <w:szCs w:val="24"/>
        </w:rPr>
        <w:t>reflects official legislation. Another perspective is that the silence around racial discourse has given a false impression to white people that ‘race’ based inequality has been dealt with (Bhopal, 2018). Perhaps the participants also felt that ‘race’ was something of the past, not relevant, and therefore not requiring semantic understanding. However, given the absence of historical and contemporary socio-political analysis about ‘race’ from the</w:t>
      </w:r>
      <w:r>
        <w:rPr>
          <w:rFonts w:cs="Calibri"/>
          <w:bCs/>
          <w:color w:val="000000"/>
          <w:sz w:val="24"/>
          <w:szCs w:val="24"/>
        </w:rPr>
        <w:t xml:space="preserve"> </w:t>
      </w:r>
      <w:r w:rsidRPr="00BA2696">
        <w:rPr>
          <w:rFonts w:cs="Calibri"/>
          <w:bCs/>
          <w:color w:val="000000"/>
          <w:sz w:val="24"/>
          <w:szCs w:val="24"/>
        </w:rPr>
        <w:t xml:space="preserve">participants, it seems more likely that inaccurate semantic understanding was due to white ignorance on the topic. This point of view is supported by the fact the participants knew the working title of the research, </w:t>
      </w:r>
      <w:bookmarkStart w:id="33" w:name="_Hlk52883488"/>
      <w:r w:rsidRPr="00BA2696">
        <w:rPr>
          <w:rFonts w:cs="Calibri"/>
          <w:bCs/>
          <w:i/>
          <w:iCs/>
          <w:color w:val="000000"/>
          <w:sz w:val="24"/>
          <w:szCs w:val="24"/>
        </w:rPr>
        <w:t>‘How do white trainee counsellors in South Wales define ‘race’ and racism?’</w:t>
      </w:r>
      <w:r w:rsidRPr="00BA2696">
        <w:rPr>
          <w:rFonts w:cs="Calibri"/>
          <w:bCs/>
          <w:color w:val="000000"/>
          <w:sz w:val="24"/>
          <w:szCs w:val="24"/>
        </w:rPr>
        <w:t>,</w:t>
      </w:r>
      <w:bookmarkEnd w:id="33"/>
      <w:r w:rsidRPr="00BA2696">
        <w:rPr>
          <w:rFonts w:cs="Calibri"/>
          <w:bCs/>
          <w:color w:val="000000"/>
          <w:sz w:val="24"/>
          <w:szCs w:val="24"/>
        </w:rPr>
        <w:t xml:space="preserve"> 12 weeks prior to the interviews taking place. This would have given them opportunity to </w:t>
      </w:r>
      <w:r w:rsidRPr="00BA2696">
        <w:rPr>
          <w:rFonts w:cs="Calibri"/>
          <w:bCs/>
          <w:color w:val="000000"/>
          <w:sz w:val="24"/>
          <w:szCs w:val="24"/>
        </w:rPr>
        <w:lastRenderedPageBreak/>
        <w:t>look up the meaning of the words in preparation for the interviews, that they did not do this indicates that white ignorance was maintained as long as possible. Consequently, the process of White Ignorance Disruption took place within the interviews and began with the question ‘</w:t>
      </w:r>
      <w:r w:rsidRPr="00BA2696">
        <w:rPr>
          <w:rFonts w:cs="Calibri"/>
          <w:bCs/>
          <w:i/>
          <w:iCs/>
          <w:color w:val="000000"/>
          <w:sz w:val="24"/>
          <w:szCs w:val="24"/>
        </w:rPr>
        <w:t>can you tell me</w:t>
      </w:r>
      <w:r w:rsidRPr="00BA2696">
        <w:rPr>
          <w:rFonts w:cs="Calibri"/>
          <w:bCs/>
          <w:color w:val="000000"/>
          <w:sz w:val="24"/>
          <w:szCs w:val="24"/>
        </w:rPr>
        <w:t xml:space="preserve"> </w:t>
      </w:r>
      <w:r w:rsidRPr="00BA2696">
        <w:rPr>
          <w:rFonts w:cs="Calibri"/>
          <w:bCs/>
          <w:i/>
          <w:iCs/>
          <w:color w:val="000000"/>
          <w:sz w:val="24"/>
          <w:szCs w:val="24"/>
        </w:rPr>
        <w:t>how you understand race?’</w:t>
      </w:r>
      <w:r w:rsidRPr="00BA2696">
        <w:rPr>
          <w:rFonts w:cs="Calibri"/>
          <w:bCs/>
          <w:color w:val="000000"/>
          <w:sz w:val="24"/>
          <w:szCs w:val="24"/>
        </w:rPr>
        <w:t xml:space="preserve"> and the realisation that they did not know the answer. </w:t>
      </w:r>
      <w:r w:rsidRPr="00BA2696">
        <w:rPr>
          <w:rFonts w:cs="Calibri"/>
          <w:sz w:val="24"/>
          <w:szCs w:val="24"/>
        </w:rPr>
        <w:t xml:space="preserve">Anne, Betty, Elizabeth, Emily, Mary and Phil’s answers began haltingly, sometimes with an intake of breath. Betty immediately admitted that she was confused about what words she could use, and Phil replied that he did not understand ‘race’. Although Vix was more confident in her answer and referred to the role of culture, her anecdotes of the skulls and black hair echoed the emphasis on physical appearance the other participants also gave. Therefore, in answer to the research question </w:t>
      </w:r>
      <w:r w:rsidRPr="00BA2696">
        <w:rPr>
          <w:rFonts w:cs="Calibri"/>
          <w:i/>
          <w:iCs/>
          <w:sz w:val="24"/>
          <w:szCs w:val="24"/>
        </w:rPr>
        <w:t xml:space="preserve">‘How </w:t>
      </w:r>
      <w:r>
        <w:rPr>
          <w:rFonts w:cs="Calibri"/>
          <w:i/>
          <w:iCs/>
          <w:sz w:val="24"/>
          <w:szCs w:val="24"/>
        </w:rPr>
        <w:t>d</w:t>
      </w:r>
      <w:r w:rsidRPr="00035465">
        <w:rPr>
          <w:rFonts w:cs="Calibri"/>
          <w:i/>
          <w:iCs/>
          <w:sz w:val="24"/>
          <w:szCs w:val="24"/>
        </w:rPr>
        <w:t xml:space="preserve">o white trainee counsellors understand ‘race’?’, </w:t>
      </w:r>
      <w:r w:rsidRPr="00BA2696">
        <w:rPr>
          <w:rFonts w:cs="Calibri"/>
          <w:sz w:val="24"/>
          <w:szCs w:val="24"/>
        </w:rPr>
        <w:t xml:space="preserve">the answer is that their understanding was based primarily on physical appearance and devoid of historical and contemporary socio-political understanding. In addition, white ignorance was maintained as long as possible.  In this way, Medina’s (2016, p. 183) notion of active ignorance, specifically ‘conceptual lacunas’ was present in the participants understanding of ‘race’. However, White Ignorance Disruption did occur through them admitting, or realising, that they did not know what ‘race’ meant. </w:t>
      </w:r>
    </w:p>
    <w:p w14:paraId="1C1C1715" w14:textId="77777777" w:rsidR="00A90B05" w:rsidRPr="00BA2696" w:rsidRDefault="00A90B05" w:rsidP="00A90B05">
      <w:pPr>
        <w:suppressAutoHyphens w:val="0"/>
        <w:autoSpaceDN/>
        <w:spacing w:after="0" w:line="480" w:lineRule="auto"/>
        <w:textAlignment w:val="auto"/>
        <w:rPr>
          <w:color w:val="FF0000"/>
          <w:sz w:val="24"/>
          <w:szCs w:val="24"/>
        </w:rPr>
      </w:pPr>
    </w:p>
    <w:p w14:paraId="7CAE3201" w14:textId="77777777" w:rsidR="00A90B05" w:rsidRPr="00BA2696" w:rsidRDefault="00A90B05" w:rsidP="00A90B05">
      <w:pPr>
        <w:suppressAutoHyphens w:val="0"/>
        <w:autoSpaceDN/>
        <w:spacing w:after="0" w:line="480" w:lineRule="auto"/>
        <w:textAlignment w:val="auto"/>
        <w:rPr>
          <w:rFonts w:cs="Calibri"/>
          <w:bCs/>
          <w:sz w:val="24"/>
          <w:szCs w:val="24"/>
        </w:rPr>
      </w:pPr>
      <w:r w:rsidRPr="00BA2696">
        <w:rPr>
          <w:rFonts w:cs="Calibri"/>
          <w:bCs/>
          <w:color w:val="000000"/>
          <w:sz w:val="24"/>
          <w:szCs w:val="24"/>
        </w:rPr>
        <w:t xml:space="preserve">Similarly, their semantic understanding of racism was not in line with current understandings and was viewed as overt, individual acts of violence. This is supported by the recognition that white people are socialised to think of racism ‘as discrete acts committed by individual people, rather than as a complex, interconnected system’ (DiAngelo, 2018, p. 3). In this way, the participants’ understanding supports the prevalent understanding of racism. Therefore, an awareness of the ‘new’ racisms, or the more covert, invisible forms of racism (Barker, 1981; Bonilla-Silva and Dietrich, 2012) was absent. It could be argued that </w:t>
      </w:r>
      <w:r w:rsidRPr="00BA2696">
        <w:rPr>
          <w:rFonts w:cs="Calibri"/>
          <w:bCs/>
          <w:color w:val="000000"/>
          <w:sz w:val="24"/>
          <w:szCs w:val="24"/>
        </w:rPr>
        <w:lastRenderedPageBreak/>
        <w:t>the participants possessed both a basic and an active form of ignorance (Medina, 2016) in that they had a false belief about what racism is, yet that false belief needed to be sustained through cognitive and affective resistance to learning what constitutes as racism. Moreover, they possessed colour-blind attitudes which has been cited as a form of racism (Bonilla-Silva, 2018); this will be explored in Theme 3 (Section 6.5). Also present were indications of racialisation (Garner, 2017), evidenced in the broad stereotyping of Muslim people when the participants considered how cultural differences may impact the counselling relationship. Emily and Phil both referred to possible challenges their respective genders may have on working with Muslim people of the opposite sex. Additionally, Mary considered how religious practices may impact the grieving process and subsequent bereavement counselling</w:t>
      </w:r>
      <w:r w:rsidRPr="00BA2696">
        <w:rPr>
          <w:rFonts w:cs="Calibri"/>
          <w:sz w:val="24"/>
          <w:szCs w:val="24"/>
        </w:rPr>
        <w:t xml:space="preserve"> because </w:t>
      </w:r>
      <w:r w:rsidRPr="00BA2696">
        <w:rPr>
          <w:rFonts w:cs="Calibri"/>
          <w:i/>
          <w:iCs/>
          <w:sz w:val="24"/>
          <w:szCs w:val="24"/>
        </w:rPr>
        <w:t>‘</w:t>
      </w:r>
      <w:r w:rsidRPr="00BA2696">
        <w:rPr>
          <w:rFonts w:cs="Calibri"/>
          <w:bCs/>
          <w:i/>
          <w:iCs/>
          <w:color w:val="000000"/>
          <w:sz w:val="24"/>
          <w:szCs w:val="24"/>
        </w:rPr>
        <w:t>they do things differently, don't they?’</w:t>
      </w:r>
      <w:r w:rsidRPr="00913616">
        <w:rPr>
          <w:rFonts w:cs="Calibri"/>
          <w:bCs/>
          <w:color w:val="000000"/>
          <w:sz w:val="24"/>
          <w:szCs w:val="24"/>
        </w:rPr>
        <w:t xml:space="preserve">. </w:t>
      </w:r>
      <w:r w:rsidRPr="00BA2696">
        <w:rPr>
          <w:rFonts w:cs="Calibri"/>
          <w:bCs/>
          <w:color w:val="000000"/>
          <w:sz w:val="24"/>
          <w:szCs w:val="24"/>
        </w:rPr>
        <w:t xml:space="preserve">Phil also described Muslim people as a </w:t>
      </w:r>
      <w:r w:rsidRPr="00BA2696">
        <w:rPr>
          <w:rFonts w:cs="Calibri"/>
          <w:bCs/>
          <w:i/>
          <w:iCs/>
          <w:color w:val="000000"/>
          <w:sz w:val="24"/>
          <w:szCs w:val="24"/>
        </w:rPr>
        <w:t>‘closed race’</w:t>
      </w:r>
      <w:r w:rsidRPr="00BA2696">
        <w:rPr>
          <w:rFonts w:cs="Calibri"/>
          <w:bCs/>
          <w:color w:val="000000"/>
          <w:sz w:val="24"/>
          <w:szCs w:val="24"/>
        </w:rPr>
        <w:t xml:space="preserve">. </w:t>
      </w:r>
      <w:r w:rsidRPr="00BA2696">
        <w:rPr>
          <w:rFonts w:cs="Calibri"/>
          <w:bCs/>
          <w:sz w:val="24"/>
          <w:szCs w:val="24"/>
        </w:rPr>
        <w:t xml:space="preserve">This perception could be due to what critical race theory understands as </w:t>
      </w:r>
      <w:bookmarkStart w:id="34" w:name="_Hlk47521602"/>
      <w:r w:rsidRPr="00BA2696">
        <w:rPr>
          <w:rFonts w:cs="Calibri"/>
          <w:bCs/>
          <w:sz w:val="24"/>
          <w:szCs w:val="24"/>
        </w:rPr>
        <w:t xml:space="preserve">‘differential racialisation’ or the way in which ‘dominant society racializes </w:t>
      </w:r>
      <w:r w:rsidRPr="00913616">
        <w:rPr>
          <w:rFonts w:cs="Calibri"/>
          <w:bCs/>
          <w:sz w:val="24"/>
          <w:szCs w:val="24"/>
        </w:rPr>
        <w:t>(</w:t>
      </w:r>
      <w:r w:rsidRPr="00913616">
        <w:rPr>
          <w:rFonts w:cs="Calibri"/>
          <w:bCs/>
          <w:i/>
          <w:iCs/>
          <w:sz w:val="24"/>
          <w:szCs w:val="24"/>
        </w:rPr>
        <w:t>sic</w:t>
      </w:r>
      <w:r w:rsidRPr="00913616">
        <w:rPr>
          <w:rFonts w:cs="Calibri"/>
          <w:bCs/>
          <w:sz w:val="24"/>
          <w:szCs w:val="24"/>
        </w:rPr>
        <w:t>)</w:t>
      </w:r>
      <w:r w:rsidRPr="00BA2696">
        <w:rPr>
          <w:rFonts w:cs="Calibri"/>
          <w:bCs/>
          <w:i/>
          <w:iCs/>
          <w:sz w:val="24"/>
          <w:szCs w:val="24"/>
        </w:rPr>
        <w:t xml:space="preserve"> </w:t>
      </w:r>
      <w:r w:rsidRPr="00BA2696">
        <w:rPr>
          <w:rFonts w:cs="Calibri"/>
          <w:bCs/>
          <w:sz w:val="24"/>
          <w:szCs w:val="24"/>
        </w:rPr>
        <w:t>different minority groups at different times’ (Delgado and Stefancic, 2017, pp. 9-10).</w:t>
      </w:r>
      <w:bookmarkEnd w:id="34"/>
      <w:r w:rsidRPr="00BA2696">
        <w:rPr>
          <w:rFonts w:cs="Calibri"/>
          <w:bCs/>
          <w:sz w:val="24"/>
          <w:szCs w:val="24"/>
        </w:rPr>
        <w:t xml:space="preserve"> Whilst it is not possible to state that this occurred, it was interesting that Muslim people were cited as the racial ‘Other’ when thinking about cross-racial counselling practice and is a potential area for further research. This </w:t>
      </w:r>
      <w:r>
        <w:rPr>
          <w:rFonts w:cs="Calibri"/>
          <w:bCs/>
          <w:sz w:val="24"/>
          <w:szCs w:val="24"/>
        </w:rPr>
        <w:t>will</w:t>
      </w:r>
      <w:r w:rsidRPr="00BA2696">
        <w:rPr>
          <w:rFonts w:cs="Calibri"/>
          <w:bCs/>
          <w:sz w:val="24"/>
          <w:szCs w:val="24"/>
        </w:rPr>
        <w:t xml:space="preserve"> be discussed</w:t>
      </w:r>
      <w:r>
        <w:rPr>
          <w:rFonts w:cs="Calibri"/>
          <w:bCs/>
          <w:sz w:val="24"/>
          <w:szCs w:val="24"/>
        </w:rPr>
        <w:t xml:space="preserve"> further</w:t>
      </w:r>
      <w:r w:rsidRPr="00BA2696">
        <w:rPr>
          <w:rFonts w:cs="Calibri"/>
          <w:bCs/>
          <w:sz w:val="24"/>
          <w:szCs w:val="24"/>
        </w:rPr>
        <w:t xml:space="preserve"> in Section 6.6.</w:t>
      </w:r>
    </w:p>
    <w:p w14:paraId="41C1451A" w14:textId="77777777" w:rsidR="00A90B05" w:rsidRPr="00BA2696" w:rsidRDefault="00A90B05" w:rsidP="00A90B05">
      <w:pPr>
        <w:suppressAutoHyphens w:val="0"/>
        <w:autoSpaceDN/>
        <w:spacing w:after="0" w:line="480" w:lineRule="auto"/>
        <w:textAlignment w:val="auto"/>
        <w:rPr>
          <w:rFonts w:cs="Calibri"/>
          <w:bCs/>
          <w:sz w:val="24"/>
          <w:szCs w:val="24"/>
        </w:rPr>
      </w:pPr>
    </w:p>
    <w:p w14:paraId="2E84D049" w14:textId="77777777" w:rsidR="00A90B05" w:rsidRPr="00BA2696" w:rsidRDefault="00A90B05" w:rsidP="00A90B05">
      <w:pPr>
        <w:suppressAutoHyphens w:val="0"/>
        <w:autoSpaceDN/>
        <w:spacing w:after="0" w:line="480" w:lineRule="auto"/>
        <w:textAlignment w:val="auto"/>
        <w:rPr>
          <w:rFonts w:cs="Calibri"/>
          <w:bCs/>
          <w:color w:val="000000"/>
          <w:sz w:val="24"/>
          <w:szCs w:val="24"/>
        </w:rPr>
      </w:pPr>
      <w:r w:rsidRPr="00BA2696">
        <w:rPr>
          <w:rFonts w:cs="Calibri"/>
          <w:bCs/>
          <w:sz w:val="24"/>
          <w:szCs w:val="24"/>
        </w:rPr>
        <w:t xml:space="preserve">The participants’ understanding of racism as individual acts of violence and hatred contradicts a core tenet of critical race theory: that racism is an everyday occurrence and not an anomaly (Crenshaw </w:t>
      </w:r>
      <w:r w:rsidRPr="00BA2696">
        <w:rPr>
          <w:rFonts w:cs="Calibri"/>
          <w:bCs/>
          <w:i/>
          <w:iCs/>
          <w:sz w:val="24"/>
          <w:szCs w:val="24"/>
        </w:rPr>
        <w:t>et al</w:t>
      </w:r>
      <w:r w:rsidRPr="00BA2696">
        <w:rPr>
          <w:rFonts w:cs="Calibri"/>
          <w:bCs/>
          <w:sz w:val="24"/>
          <w:szCs w:val="24"/>
        </w:rPr>
        <w:t xml:space="preserve">, 1995; Delgado and Stefancic, 2017). Bell (1992) has termed </w:t>
      </w:r>
      <w:r>
        <w:rPr>
          <w:rFonts w:cs="Calibri"/>
          <w:bCs/>
          <w:sz w:val="24"/>
          <w:szCs w:val="24"/>
        </w:rPr>
        <w:t xml:space="preserve">this </w:t>
      </w:r>
      <w:r w:rsidRPr="00BA2696">
        <w:rPr>
          <w:rFonts w:cs="Calibri"/>
          <w:bCs/>
          <w:sz w:val="24"/>
          <w:szCs w:val="24"/>
        </w:rPr>
        <w:t xml:space="preserve">the ‘permanence of racism’. This suggests that white ignorance of racism was upheld through not seeing the everyday, subtle forms racism can take, with only the overt and violent manifestations of racism able to penetrate white ignorance. However, like their </w:t>
      </w:r>
      <w:r w:rsidRPr="00BA2696">
        <w:rPr>
          <w:rFonts w:cs="Calibri"/>
          <w:bCs/>
          <w:sz w:val="24"/>
          <w:szCs w:val="24"/>
        </w:rPr>
        <w:lastRenderedPageBreak/>
        <w:t xml:space="preserve">understanding of ‘race’, their understanding of racism was also devoid of historical or contemporary socio-political understanding. This strengthens the argument that the participants were disconnected from the bigger socio-political picture (Theme 4, Section 6.6). </w:t>
      </w:r>
      <w:r w:rsidRPr="00BA2696">
        <w:rPr>
          <w:rFonts w:cs="Calibri"/>
          <w:bCs/>
          <w:color w:val="000000"/>
          <w:sz w:val="24"/>
          <w:szCs w:val="24"/>
        </w:rPr>
        <w:t xml:space="preserve">It seemed that unless racism is overt, the participants could not ‘see’ it. This supports the fourth frame of colour-blind racism, minimisation which ‘involves regarding discrimination as all-out racist behaviour’ (Bonilla-Silva, 2018, p. 57).  The minimising of racism leads to a ‘narrowing’ of its definition to only ‘explicit’ acts committed by ‘aberrant’ individuals (Garner, 2017, p. 184). </w:t>
      </w:r>
    </w:p>
    <w:p w14:paraId="38375231" w14:textId="77777777" w:rsidR="00A90B05" w:rsidRPr="00BA2696" w:rsidRDefault="00A90B05" w:rsidP="00A90B05">
      <w:pPr>
        <w:suppressAutoHyphens w:val="0"/>
        <w:autoSpaceDN/>
        <w:spacing w:after="0" w:line="480" w:lineRule="auto"/>
        <w:textAlignment w:val="auto"/>
        <w:rPr>
          <w:rFonts w:cs="Calibri"/>
          <w:bCs/>
          <w:color w:val="000000"/>
          <w:sz w:val="24"/>
          <w:szCs w:val="24"/>
        </w:rPr>
      </w:pPr>
    </w:p>
    <w:p w14:paraId="3D58FB31" w14:textId="77777777" w:rsidR="00A90B05" w:rsidRPr="00BA2696" w:rsidRDefault="00A90B05" w:rsidP="00A90B05">
      <w:pPr>
        <w:suppressAutoHyphens w:val="0"/>
        <w:autoSpaceDN/>
        <w:spacing w:after="0" w:line="480" w:lineRule="auto"/>
        <w:textAlignment w:val="auto"/>
        <w:rPr>
          <w:rFonts w:cs="Calibri"/>
          <w:color w:val="000000"/>
          <w:sz w:val="24"/>
          <w:szCs w:val="24"/>
        </w:rPr>
      </w:pPr>
      <w:r w:rsidRPr="00BA2696">
        <w:rPr>
          <w:rFonts w:cs="Calibri"/>
          <w:bCs/>
          <w:color w:val="000000"/>
          <w:sz w:val="24"/>
          <w:szCs w:val="24"/>
        </w:rPr>
        <w:t>Despite the reduction of racism to a simple definition, some participants were confused by what constituted as racism. In the same way that culture, nationality, and ethnicity were confused with ‘race’, other forms of discrimination were confused with racism. The</w:t>
      </w:r>
      <w:r w:rsidRPr="00BA2696">
        <w:rPr>
          <w:rFonts w:cs="Calibri"/>
          <w:color w:val="000000"/>
          <w:sz w:val="24"/>
          <w:szCs w:val="24"/>
        </w:rPr>
        <w:t xml:space="preserve"> hesitancy with which the participants understood ‘race’, was also present in their understanding of racism. This suggests that their white ignorance around racism was disturbed in the interview, as evidenced by Betty and Mary asking, </w:t>
      </w:r>
      <w:r w:rsidRPr="00BA2696">
        <w:rPr>
          <w:rFonts w:cs="Calibri"/>
          <w:i/>
          <w:iCs/>
          <w:color w:val="000000"/>
          <w:sz w:val="24"/>
          <w:szCs w:val="24"/>
        </w:rPr>
        <w:t>‘is that right?’</w:t>
      </w:r>
      <w:r w:rsidRPr="00BA2696">
        <w:rPr>
          <w:rFonts w:cs="Calibri"/>
          <w:color w:val="000000"/>
          <w:sz w:val="24"/>
          <w:szCs w:val="24"/>
        </w:rPr>
        <w:t xml:space="preserve"> Betty and Elizabeth understood the Welsh/English rivalry as racism, rather than xenophobia. The difference between the two being that ‘racism is ideological, and xenophobia is psychological’, with the former rooted in a ‘belief in systemic differences’ and the latter using ‘whatever justification’ it can (Widfeldt, 2015, p. 15). Elizabeth and Mary’s understanding also encompassed homophobia and ableism as forms of racism and Phil’s definition included describing different breeds of dog and nationalities as ‘races’, inferring that enmity between ‘races’, or between dog breeds and nationalities, was racism. Therefore, despite the</w:t>
      </w:r>
      <w:r>
        <w:rPr>
          <w:rFonts w:cs="Calibri"/>
          <w:color w:val="000000"/>
          <w:sz w:val="24"/>
          <w:szCs w:val="24"/>
        </w:rPr>
        <w:t xml:space="preserve"> </w:t>
      </w:r>
      <w:r w:rsidRPr="00BA2696">
        <w:rPr>
          <w:rFonts w:cs="Calibri"/>
          <w:color w:val="000000"/>
          <w:sz w:val="24"/>
          <w:szCs w:val="24"/>
        </w:rPr>
        <w:t xml:space="preserve">participants understanding of racism being minimised and narrowed in accordance with colour-blind racism (Garner, 2017; Bonilla-Silva, 2018) to meaning </w:t>
      </w:r>
      <w:r w:rsidRPr="00BA2696">
        <w:rPr>
          <w:rFonts w:cs="Calibri"/>
          <w:color w:val="000000"/>
          <w:sz w:val="24"/>
          <w:szCs w:val="24"/>
        </w:rPr>
        <w:lastRenderedPageBreak/>
        <w:t>individual, overt acts of violence and hostility, there was confusion as to what it constitutes</w:t>
      </w:r>
      <w:r>
        <w:rPr>
          <w:rFonts w:cs="Calibri"/>
          <w:color w:val="000000"/>
          <w:sz w:val="24"/>
          <w:szCs w:val="24"/>
        </w:rPr>
        <w:t>,</w:t>
      </w:r>
      <w:r w:rsidRPr="00BA2696">
        <w:rPr>
          <w:rFonts w:cs="Calibri"/>
          <w:color w:val="000000"/>
          <w:sz w:val="24"/>
          <w:szCs w:val="24"/>
        </w:rPr>
        <w:t xml:space="preserve"> with different types of discriminatory behaviour also understood as racism. </w:t>
      </w:r>
    </w:p>
    <w:p w14:paraId="19A95507" w14:textId="77777777" w:rsidR="00A90B05" w:rsidRPr="00BA2696" w:rsidRDefault="00A90B05" w:rsidP="00A90B05">
      <w:pPr>
        <w:suppressAutoHyphens w:val="0"/>
        <w:autoSpaceDN/>
        <w:spacing w:after="0" w:line="480" w:lineRule="auto"/>
        <w:textAlignment w:val="auto"/>
        <w:rPr>
          <w:rFonts w:cs="Calibri"/>
          <w:color w:val="000000"/>
          <w:sz w:val="24"/>
          <w:szCs w:val="24"/>
        </w:rPr>
      </w:pPr>
    </w:p>
    <w:p w14:paraId="102FB94C" w14:textId="77777777" w:rsidR="00A90B05" w:rsidRPr="00BA2696" w:rsidRDefault="00A90B05" w:rsidP="00A90B05">
      <w:pPr>
        <w:suppressAutoHyphens w:val="0"/>
        <w:autoSpaceDN/>
        <w:spacing w:after="0" w:line="480" w:lineRule="auto"/>
        <w:textAlignment w:val="auto"/>
        <w:rPr>
          <w:sz w:val="24"/>
          <w:szCs w:val="24"/>
        </w:rPr>
      </w:pPr>
      <w:r w:rsidRPr="00BA2696">
        <w:rPr>
          <w:rFonts w:cs="Calibri"/>
          <w:color w:val="000000"/>
          <w:sz w:val="24"/>
          <w:szCs w:val="24"/>
        </w:rPr>
        <w:t xml:space="preserve">The lack of semantic understanding over what constitutes as racism makes sense when there is also a lack of semantic understanding of what ‘race’ is. </w:t>
      </w:r>
      <w:r w:rsidRPr="00BA2696">
        <w:rPr>
          <w:sz w:val="24"/>
          <w:szCs w:val="24"/>
        </w:rPr>
        <w:t xml:space="preserve">Thus, gaining accurate semantic understanding of what ‘race’ and racism is would be the first intellectual step of White Ignorance Disruption. By asking the question </w:t>
      </w:r>
      <w:r w:rsidRPr="00BA2696">
        <w:rPr>
          <w:i/>
          <w:iCs/>
          <w:sz w:val="24"/>
          <w:szCs w:val="24"/>
        </w:rPr>
        <w:t>‘how do you understand ‘race’/racism?’</w:t>
      </w:r>
      <w:r w:rsidRPr="00BA2696">
        <w:rPr>
          <w:sz w:val="24"/>
          <w:szCs w:val="24"/>
        </w:rPr>
        <w:t xml:space="preserve"> it drew the participants attention to their lack of understanding of these terms. As suggested in Chapter 5 (Section 5.2), effective racial discourse and education may not be able to take place until the basic semantic understanding of ‘race’ and racism is clarified. This would need to be done alongside explaining their historical origins and contemporary consequences. Therefore, accurate semantic understanding could be the foundational step in White Ignorance Disruption when teaching white people about ‘race’ and racism. This could also be applicable to other health and social science disciplines too. </w:t>
      </w:r>
    </w:p>
    <w:p w14:paraId="11E46497" w14:textId="77777777" w:rsidR="00A90B05" w:rsidRPr="00BA2696" w:rsidRDefault="00A90B05" w:rsidP="00A90B05">
      <w:pPr>
        <w:suppressAutoHyphens w:val="0"/>
        <w:autoSpaceDN/>
        <w:spacing w:after="0" w:line="480" w:lineRule="auto"/>
        <w:textAlignment w:val="auto"/>
        <w:rPr>
          <w:rFonts w:cs="Calibri"/>
          <w:color w:val="000000"/>
          <w:sz w:val="24"/>
          <w:szCs w:val="24"/>
        </w:rPr>
      </w:pPr>
    </w:p>
    <w:p w14:paraId="01F3AF61" w14:textId="77777777" w:rsidR="00A90B05" w:rsidRPr="00BA2696" w:rsidRDefault="00A90B05" w:rsidP="00A90B05">
      <w:pPr>
        <w:pStyle w:val="Heading4"/>
        <w:spacing w:before="0" w:after="240" w:line="250" w:lineRule="auto"/>
      </w:pPr>
      <w:r w:rsidRPr="00BA2696">
        <w:t>Self-consciousness</w:t>
      </w:r>
    </w:p>
    <w:p w14:paraId="7C9BCA64" w14:textId="77777777" w:rsidR="00A90B05" w:rsidRPr="00BA2696" w:rsidRDefault="00A90B05" w:rsidP="00A90B05">
      <w:pPr>
        <w:suppressAutoHyphens w:val="0"/>
        <w:autoSpaceDN/>
        <w:spacing w:after="0" w:line="480" w:lineRule="auto"/>
        <w:textAlignment w:val="auto"/>
        <w:rPr>
          <w:sz w:val="24"/>
          <w:szCs w:val="24"/>
        </w:rPr>
      </w:pPr>
      <w:r w:rsidRPr="00BA2696">
        <w:rPr>
          <w:sz w:val="24"/>
          <w:szCs w:val="24"/>
        </w:rPr>
        <w:t xml:space="preserve">Although it is argued that semantic understanding is the foundational step in White Ignorance Disruption, it is recognised that this may not be an uncomplicated process. It was found that the participants experienced feelings of self-consciousness during the interview through not wanting to offend people of colour, or to be seen as offensive. Whilst the participants may not have understood their self-consciousness in relation to ignorance, it may be possible to infer that the two are related. White people who have sustained white ignorance throughout their lives, which this research found included not needing to understand the semantics of ‘race’ and racism, will perhaps feel self-conscious when asked </w:t>
      </w:r>
      <w:r w:rsidRPr="00BA2696">
        <w:rPr>
          <w:sz w:val="24"/>
          <w:szCs w:val="24"/>
        </w:rPr>
        <w:lastRenderedPageBreak/>
        <w:t>to talk about it. Therefore, self-consciousness may be the first emotional step of White Ignorance Disruption. This self-consciousness may stem from the emotional impact of talking about ‘race’ and racism, whereby ‘a seemingly invisible state of emotionality intoxicates us all when we talk about race’ (Matias, 2016, p. 2). Another possible cause for the self-consciousness was an internal conflict the participants may have experienced with their colour-blind beliefs (Theme 3, Section 6.5), the notion that to see (or talk) about ‘race’ is to be racist (Bonilla-Silva, 2018; Burke, 2019)</w:t>
      </w:r>
      <w:r>
        <w:rPr>
          <w:sz w:val="24"/>
          <w:szCs w:val="24"/>
        </w:rPr>
        <w:t xml:space="preserve"> were challenged when asked to engage in racial discourse</w:t>
      </w:r>
      <w:r w:rsidRPr="00BA2696">
        <w:rPr>
          <w:sz w:val="24"/>
          <w:szCs w:val="24"/>
        </w:rPr>
        <w:t xml:space="preserve">.  In the same way, white people tend to perceive racism as something ‘bad’ people do (Sullivan, 2014a; </w:t>
      </w:r>
      <w:r w:rsidRPr="00BA2696">
        <w:rPr>
          <w:rFonts w:cs="Calibri"/>
          <w:bCs/>
          <w:sz w:val="24"/>
          <w:szCs w:val="24"/>
        </w:rPr>
        <w:t>Trepagnier, 2016;</w:t>
      </w:r>
      <w:r w:rsidRPr="00BA2696">
        <w:rPr>
          <w:sz w:val="24"/>
          <w:szCs w:val="24"/>
        </w:rPr>
        <w:t xml:space="preserve"> DiAngelo, 2018) and given the understanding of a counsellor being a ‘good’ person (Theme 3, Section 6.5), there may have been self-consciousness around (a) not wanting to be a ‘bad’ person (b) not wanting to be a ‘bad’ counsellor and (c) not wanting to discriminate but not knowing how due to lack of education. In regard to the latter point, Fricker’s (2007) concept of hermeneutical epistemic injustice is relevant, as the participants did not have the conceptual or semantic tools available to them to understand or discuss ‘race’, racism and whiteness. Therefore, their perception of the interview questions </w:t>
      </w:r>
      <w:r>
        <w:rPr>
          <w:sz w:val="24"/>
          <w:szCs w:val="24"/>
        </w:rPr>
        <w:t>may have</w:t>
      </w:r>
      <w:r w:rsidRPr="00BA2696">
        <w:rPr>
          <w:sz w:val="24"/>
          <w:szCs w:val="24"/>
        </w:rPr>
        <w:t xml:space="preserve"> conflict</w:t>
      </w:r>
      <w:r>
        <w:rPr>
          <w:sz w:val="24"/>
          <w:szCs w:val="24"/>
        </w:rPr>
        <w:t>ed</w:t>
      </w:r>
      <w:r w:rsidRPr="00BA2696">
        <w:rPr>
          <w:sz w:val="24"/>
          <w:szCs w:val="24"/>
        </w:rPr>
        <w:t xml:space="preserve"> with their core beliefs about ‘race’ and racism and with being a ‘good’ counsellor. This was underscored by a lack of knowledge of the topic. Therefore, having colour-blind attitudes which purport that ‘race’ does not matter, understanding racism is only perpetrated by ‘bad’ people, and as trainee counsellors wanting to embody the positive attributes of the role, may have clashed with the interview’s focus on ‘race’ and racism. Factoring in a lack of conceptual knowledge but also not wanting to offend, may have cumulated in feelings of self-consciousness. Also</w:t>
      </w:r>
      <w:r>
        <w:rPr>
          <w:sz w:val="24"/>
          <w:szCs w:val="24"/>
        </w:rPr>
        <w:t xml:space="preserve"> </w:t>
      </w:r>
      <w:r w:rsidRPr="00BA2696">
        <w:rPr>
          <w:sz w:val="24"/>
          <w:szCs w:val="24"/>
        </w:rPr>
        <w:t xml:space="preserve">relevant, is the concept of ‘white fear’ </w:t>
      </w:r>
      <w:bookmarkStart w:id="35" w:name="_Hlk52802814"/>
      <w:r w:rsidRPr="00BA2696">
        <w:rPr>
          <w:sz w:val="24"/>
          <w:szCs w:val="24"/>
        </w:rPr>
        <w:t xml:space="preserve">(Spanierman and Cabrera, 2015) which describes the fear white people experience when encountering ‘race’, be it fear of appearing racist, </w:t>
      </w:r>
      <w:r w:rsidRPr="00BA2696">
        <w:rPr>
          <w:sz w:val="24"/>
          <w:szCs w:val="24"/>
        </w:rPr>
        <w:lastRenderedPageBreak/>
        <w:t>fearing people of colour and fearing one’s own racism. Subsequently, lack of sema</w:t>
      </w:r>
      <w:r>
        <w:rPr>
          <w:sz w:val="24"/>
          <w:szCs w:val="24"/>
        </w:rPr>
        <w:t>n</w:t>
      </w:r>
      <w:r w:rsidRPr="00BA2696">
        <w:rPr>
          <w:sz w:val="24"/>
          <w:szCs w:val="24"/>
        </w:rPr>
        <w:t>tic</w:t>
      </w:r>
      <w:r>
        <w:rPr>
          <w:sz w:val="24"/>
          <w:szCs w:val="24"/>
        </w:rPr>
        <w:t xml:space="preserve"> </w:t>
      </w:r>
      <w:r w:rsidRPr="00BA2696">
        <w:rPr>
          <w:sz w:val="24"/>
          <w:szCs w:val="24"/>
        </w:rPr>
        <w:t>understanding when situated alongside not wanting to be a ‘bad’ person and not having the conceptual tools to talk about ‘race’, racism and whiteness could have led to ‘white fear’ (Spanierman and Cabrera, 2015).</w:t>
      </w:r>
      <w:bookmarkEnd w:id="35"/>
      <w:r w:rsidRPr="00BA2696">
        <w:rPr>
          <w:sz w:val="24"/>
          <w:szCs w:val="24"/>
        </w:rPr>
        <w:t xml:space="preserve"> Hence, feeling self-conscious could be understood as a ‘normal’ response when one does not have semantic tools or knowledge to talk about ‘race’, racism and whiteness.  </w:t>
      </w:r>
    </w:p>
    <w:p w14:paraId="7FB05A55" w14:textId="77777777" w:rsidR="00A90B05" w:rsidRPr="00BA2696" w:rsidRDefault="00A90B05" w:rsidP="00A90B05">
      <w:pPr>
        <w:suppressAutoHyphens w:val="0"/>
        <w:autoSpaceDN/>
        <w:spacing w:after="0" w:line="480" w:lineRule="auto"/>
        <w:textAlignment w:val="auto"/>
        <w:rPr>
          <w:sz w:val="24"/>
          <w:szCs w:val="24"/>
        </w:rPr>
      </w:pPr>
    </w:p>
    <w:p w14:paraId="2B867753" w14:textId="77777777" w:rsidR="00A90B05" w:rsidRDefault="00A90B05" w:rsidP="00A90B05">
      <w:pPr>
        <w:suppressAutoHyphens w:val="0"/>
        <w:autoSpaceDN/>
        <w:spacing w:after="0" w:line="480" w:lineRule="auto"/>
        <w:textAlignment w:val="auto"/>
        <w:rPr>
          <w:sz w:val="24"/>
          <w:szCs w:val="24"/>
        </w:rPr>
      </w:pPr>
      <w:r w:rsidRPr="00BA2696">
        <w:rPr>
          <w:sz w:val="24"/>
          <w:szCs w:val="24"/>
        </w:rPr>
        <w:t xml:space="preserve">In this way, white ignorance was disrupted both intellectually and emotionally, which </w:t>
      </w:r>
      <w:r>
        <w:rPr>
          <w:sz w:val="24"/>
          <w:szCs w:val="24"/>
        </w:rPr>
        <w:t>resulted in</w:t>
      </w:r>
      <w:r w:rsidRPr="00BA2696">
        <w:rPr>
          <w:sz w:val="24"/>
          <w:szCs w:val="24"/>
        </w:rPr>
        <w:t xml:space="preserve"> feelings of self-consciousness.</w:t>
      </w:r>
    </w:p>
    <w:p w14:paraId="609C7C26" w14:textId="77777777" w:rsidR="00A90B05" w:rsidRDefault="00A90B05" w:rsidP="00A90B05">
      <w:pPr>
        <w:suppressAutoHyphens w:val="0"/>
        <w:autoSpaceDN/>
        <w:spacing w:after="0" w:line="480" w:lineRule="auto"/>
        <w:textAlignment w:val="auto"/>
        <w:rPr>
          <w:sz w:val="24"/>
          <w:szCs w:val="24"/>
        </w:rPr>
      </w:pPr>
    </w:p>
    <w:p w14:paraId="6E53A534" w14:textId="77777777" w:rsidR="00A90B05" w:rsidRPr="00BA2696" w:rsidRDefault="00A90B05" w:rsidP="00A90B05">
      <w:pPr>
        <w:suppressAutoHyphens w:val="0"/>
        <w:autoSpaceDN/>
        <w:spacing w:after="0" w:line="480" w:lineRule="auto"/>
        <w:textAlignment w:val="auto"/>
        <w:rPr>
          <w:sz w:val="24"/>
          <w:szCs w:val="24"/>
        </w:rPr>
      </w:pPr>
      <w:r w:rsidRPr="00BA2696">
        <w:rPr>
          <w:sz w:val="24"/>
          <w:szCs w:val="24"/>
        </w:rPr>
        <w:t xml:space="preserve">It has been argued that deflection is used as </w:t>
      </w:r>
      <w:r>
        <w:rPr>
          <w:sz w:val="24"/>
          <w:szCs w:val="24"/>
        </w:rPr>
        <w:t xml:space="preserve">a </w:t>
      </w:r>
      <w:r w:rsidRPr="00BA2696">
        <w:rPr>
          <w:sz w:val="24"/>
          <w:szCs w:val="24"/>
        </w:rPr>
        <w:t>tool when the emotionality of talking about ‘race’ becomes overwhelming for white people (</w:t>
      </w:r>
      <w:bookmarkStart w:id="36" w:name="_Hlk52802891"/>
      <w:r w:rsidRPr="00BA2696">
        <w:rPr>
          <w:sz w:val="24"/>
          <w:szCs w:val="24"/>
        </w:rPr>
        <w:t>Matias, Montoya and Nishi, 2016</w:t>
      </w:r>
      <w:bookmarkEnd w:id="36"/>
      <w:r w:rsidRPr="00BA2696">
        <w:rPr>
          <w:sz w:val="24"/>
          <w:szCs w:val="24"/>
        </w:rPr>
        <w:t>), in this situation, feelings of self-consciousness. This may explain why some of the participants moved away from answering the question ‘</w:t>
      </w:r>
      <w:r w:rsidRPr="00BA2696">
        <w:rPr>
          <w:i/>
          <w:iCs/>
          <w:sz w:val="24"/>
          <w:szCs w:val="24"/>
        </w:rPr>
        <w:t>how do you understand racism?</w:t>
      </w:r>
      <w:r w:rsidRPr="00BA2696">
        <w:rPr>
          <w:sz w:val="24"/>
          <w:szCs w:val="24"/>
        </w:rPr>
        <w:t>’ to making statements that they, and others they knew, were not racist.</w:t>
      </w:r>
    </w:p>
    <w:p w14:paraId="19F5AF35" w14:textId="77777777" w:rsidR="00A90B05" w:rsidRPr="00BA2696" w:rsidRDefault="00A90B05" w:rsidP="00A90B05">
      <w:pPr>
        <w:suppressAutoHyphens w:val="0"/>
        <w:autoSpaceDN/>
        <w:spacing w:after="0" w:line="480" w:lineRule="auto"/>
        <w:textAlignment w:val="auto"/>
        <w:rPr>
          <w:sz w:val="24"/>
          <w:szCs w:val="24"/>
        </w:rPr>
      </w:pPr>
    </w:p>
    <w:p w14:paraId="014F4CB7" w14:textId="77777777" w:rsidR="00A90B05" w:rsidRPr="00BA2696" w:rsidRDefault="00A90B05" w:rsidP="00A90B05">
      <w:pPr>
        <w:pStyle w:val="Heading4"/>
        <w:spacing w:before="0" w:after="240" w:line="250" w:lineRule="auto"/>
      </w:pPr>
      <w:r w:rsidRPr="00BA2696">
        <w:t xml:space="preserve">Distancing self (and others) from racism </w:t>
      </w:r>
    </w:p>
    <w:p w14:paraId="5A3EAE65" w14:textId="77777777" w:rsidR="00A90B05" w:rsidRPr="00BA2696" w:rsidRDefault="00A90B05" w:rsidP="00A90B05">
      <w:pPr>
        <w:suppressAutoHyphens w:val="0"/>
        <w:autoSpaceDN/>
        <w:spacing w:after="0" w:line="480" w:lineRule="auto"/>
        <w:textAlignment w:val="auto"/>
        <w:rPr>
          <w:sz w:val="24"/>
          <w:szCs w:val="24"/>
        </w:rPr>
      </w:pPr>
      <w:r w:rsidRPr="00BA2696">
        <w:rPr>
          <w:sz w:val="24"/>
          <w:szCs w:val="24"/>
        </w:rPr>
        <w:t>It seemed that when the</w:t>
      </w:r>
      <w:r>
        <w:rPr>
          <w:sz w:val="24"/>
          <w:szCs w:val="24"/>
        </w:rPr>
        <w:t>ir</w:t>
      </w:r>
      <w:r w:rsidRPr="00BA2696">
        <w:rPr>
          <w:sz w:val="24"/>
          <w:szCs w:val="24"/>
        </w:rPr>
        <w:t xml:space="preserve"> ignorance was initially disrupted, and uncomfortable emotions emerged, participants sought refuge in the belief that they, and those connect</w:t>
      </w:r>
      <w:r>
        <w:rPr>
          <w:sz w:val="24"/>
          <w:szCs w:val="24"/>
        </w:rPr>
        <w:t>ed</w:t>
      </w:r>
      <w:r w:rsidRPr="00BA2696">
        <w:rPr>
          <w:sz w:val="24"/>
          <w:szCs w:val="24"/>
        </w:rPr>
        <w:t xml:space="preserve"> to them, were not racist. This made the third subtheme ‘Distancing self (and others) from racism’. This can be understood as a place of intellectual and emotional safety for the participants when their white ignorance was disrupted. It seemed to be a way to reassure themselves and perhaps retreat back into white ignorance, i.e. </w:t>
      </w:r>
      <w:r w:rsidRPr="00BA2696">
        <w:rPr>
          <w:i/>
          <w:iCs/>
          <w:sz w:val="24"/>
          <w:szCs w:val="24"/>
        </w:rPr>
        <w:t>‘I am not a racist, therefore I do not need to think/talk about ‘race’/racism anymore’</w:t>
      </w:r>
      <w:r w:rsidRPr="00BA2696">
        <w:rPr>
          <w:sz w:val="24"/>
          <w:szCs w:val="24"/>
        </w:rPr>
        <w:t>. This could be seen as a strategic manoeuvre</w:t>
      </w:r>
      <w:r w:rsidRPr="00BA2696">
        <w:rPr>
          <w:i/>
          <w:iCs/>
          <w:sz w:val="24"/>
          <w:szCs w:val="24"/>
        </w:rPr>
        <w:t xml:space="preserve"> </w:t>
      </w:r>
      <w:r>
        <w:rPr>
          <w:sz w:val="24"/>
          <w:szCs w:val="24"/>
        </w:rPr>
        <w:t>to</w:t>
      </w:r>
      <w:r w:rsidRPr="00BA2696">
        <w:rPr>
          <w:sz w:val="24"/>
          <w:szCs w:val="24"/>
        </w:rPr>
        <w:t xml:space="preserve"> </w:t>
      </w:r>
      <w:r w:rsidRPr="00BA2696">
        <w:rPr>
          <w:sz w:val="24"/>
          <w:szCs w:val="24"/>
        </w:rPr>
        <w:lastRenderedPageBreak/>
        <w:t>end White Ignorance Disruption, perhaps through trying to re-orientate and comfort oneself due to feelings of epistemic discomfort (Medi</w:t>
      </w:r>
      <w:r>
        <w:rPr>
          <w:sz w:val="24"/>
          <w:szCs w:val="24"/>
        </w:rPr>
        <w:t>n</w:t>
      </w:r>
      <w:r w:rsidRPr="00BA2696">
        <w:rPr>
          <w:sz w:val="24"/>
          <w:szCs w:val="24"/>
        </w:rPr>
        <w:t>a, 2016) or to distance oneself from the challenging emotions white people can feel when talking about ‘race’ (Spanierman and Cabrera, 2015). As outlined above, the participants understood racism as individual acts of violence and hostility. It has been put forward that ‘the simplistic idea that racism is limited to individual intentional acts committed by unkind people is at the root of virtually all white defensiveness on this topic’ (DiAngelo, 2018, p. 73). Perhaps the combination of lack of semantic understanding, as well as self-consciousness and a self-image of being a ‘good’ person is what led</w:t>
      </w:r>
      <w:r>
        <w:rPr>
          <w:sz w:val="24"/>
          <w:szCs w:val="24"/>
        </w:rPr>
        <w:t xml:space="preserve"> to</w:t>
      </w:r>
      <w:r w:rsidRPr="00BA2696">
        <w:rPr>
          <w:sz w:val="24"/>
          <w:szCs w:val="24"/>
        </w:rPr>
        <w:t xml:space="preserve"> the participants distancing themselves from racism. Alternatively, the distancing may have emerged from a place of what Calme (2020) refers to as the discomfort of not being the knower, in that the participants were aware of their lack of awareness about racism and sought to avoid the question lest that lack of knowledge became apparent. </w:t>
      </w:r>
      <w:r w:rsidRPr="00BA2696">
        <w:rPr>
          <w:bCs/>
          <w:sz w:val="24"/>
          <w:szCs w:val="24"/>
        </w:rPr>
        <w:t xml:space="preserve">However, it has been argued that the defensiveness white people can experience when talking about racism can result in avoidance strategies. </w:t>
      </w:r>
      <w:r w:rsidRPr="00BA2696">
        <w:rPr>
          <w:sz w:val="24"/>
          <w:szCs w:val="24"/>
        </w:rPr>
        <w:t xml:space="preserve">This supports </w:t>
      </w:r>
      <w:bookmarkStart w:id="37" w:name="_Hlk52878389"/>
      <w:r w:rsidRPr="00BA2696">
        <w:rPr>
          <w:sz w:val="24"/>
          <w:szCs w:val="24"/>
        </w:rPr>
        <w:t xml:space="preserve">what Lentin (2015) calls the ‘three D’s of racial management: </w:t>
      </w:r>
      <w:bookmarkStart w:id="38" w:name="_Hlk40190881"/>
      <w:r w:rsidRPr="00BA2696">
        <w:rPr>
          <w:sz w:val="24"/>
          <w:szCs w:val="24"/>
        </w:rPr>
        <w:t>deflection, distancing and denial</w:t>
      </w:r>
      <w:bookmarkEnd w:id="38"/>
      <w:r w:rsidRPr="00BA2696">
        <w:rPr>
          <w:sz w:val="24"/>
          <w:szCs w:val="24"/>
        </w:rPr>
        <w:t xml:space="preserve">. </w:t>
      </w:r>
      <w:bookmarkEnd w:id="37"/>
      <w:r w:rsidRPr="00BA2696">
        <w:rPr>
          <w:sz w:val="24"/>
          <w:szCs w:val="24"/>
        </w:rPr>
        <w:t>In addition, Titley (2019) has added the fourth ‘</w:t>
      </w:r>
      <w:r>
        <w:rPr>
          <w:sz w:val="24"/>
          <w:szCs w:val="24"/>
        </w:rPr>
        <w:t>D</w:t>
      </w:r>
      <w:r w:rsidRPr="00137401">
        <w:rPr>
          <w:sz w:val="24"/>
          <w:szCs w:val="24"/>
        </w:rPr>
        <w:t>’ of ‘</w:t>
      </w:r>
      <w:r>
        <w:rPr>
          <w:sz w:val="24"/>
          <w:szCs w:val="24"/>
        </w:rPr>
        <w:t>d</w:t>
      </w:r>
      <w:r w:rsidRPr="00137401">
        <w:rPr>
          <w:sz w:val="24"/>
          <w:szCs w:val="24"/>
        </w:rPr>
        <w:t>ebatability’. It is argued that the use of deflection, distancing and denial ‘are key to the separation of racism as event from racism as structural and routine’ (Lentin, 2015,</w:t>
      </w:r>
      <w:r w:rsidRPr="00BA2696">
        <w:rPr>
          <w:sz w:val="24"/>
          <w:szCs w:val="24"/>
        </w:rPr>
        <w:t xml:space="preserve"> p. 7). Doing so keeps the recognition of racism ‘frozen’ in historical reference points, i.e., slavery or the Holocaust and ignores the ‘motility’ of contemporary racism (Lentin, 2015, p. 3). However, this has been furthered to include the idea of ‘not racism’ (Lentin 2018; 2020) whereby white people try to control the discursive meaning of what constitutes as racism, this idea along with ‘debatability’ (Titley, 2019) will be explored</w:t>
      </w:r>
      <w:r>
        <w:rPr>
          <w:sz w:val="24"/>
          <w:szCs w:val="24"/>
        </w:rPr>
        <w:t xml:space="preserve"> in</w:t>
      </w:r>
      <w:r w:rsidRPr="00BA2696">
        <w:rPr>
          <w:sz w:val="24"/>
          <w:szCs w:val="24"/>
        </w:rPr>
        <w:t xml:space="preserve"> Theme 2 (Section 6.4). Although the participants did not include an historical understanding of racism, their understanding of racism as individual acts of violence and </w:t>
      </w:r>
      <w:r w:rsidRPr="00BA2696">
        <w:rPr>
          <w:sz w:val="24"/>
          <w:szCs w:val="24"/>
        </w:rPr>
        <w:lastRenderedPageBreak/>
        <w:t xml:space="preserve">hostility may suggest that their understanding is ‘frozen’ and not in line with contemporary understandings of racism as multifaceted and mutable (Garner, 2017). In this way, white ignorance is sustained through non-engagement with racism and not ‘seeing’ the forms it can take. This sustaining of white ignorance is supported at systemic levels (Sullivan and Tuana, 2007) within the counselling curriculum (Theme 4, Section 6.6) meaning that this is not a simple process of the trainee counsellor not wanting to know, but perhaps not having access to ways of knowing. Additionally, active ignorance is engaged via the use of a defence mechanism (Medina, 2016) which in this research was distancing the self (and others) from racism. </w:t>
      </w:r>
    </w:p>
    <w:p w14:paraId="31B52F16" w14:textId="77777777" w:rsidR="00A90B05" w:rsidRPr="00BA2696" w:rsidRDefault="00A90B05" w:rsidP="00A90B05">
      <w:pPr>
        <w:suppressAutoHyphens w:val="0"/>
        <w:autoSpaceDN/>
        <w:spacing w:after="0" w:line="480" w:lineRule="auto"/>
        <w:textAlignment w:val="auto"/>
        <w:rPr>
          <w:sz w:val="24"/>
          <w:szCs w:val="24"/>
        </w:rPr>
      </w:pPr>
    </w:p>
    <w:p w14:paraId="0EDC2E7F" w14:textId="77777777" w:rsidR="00A90B05" w:rsidRPr="00BA2696" w:rsidRDefault="00A90B05" w:rsidP="00A90B05">
      <w:pPr>
        <w:suppressAutoHyphens w:val="0"/>
        <w:autoSpaceDN/>
        <w:spacing w:after="0" w:line="480" w:lineRule="auto"/>
        <w:textAlignment w:val="auto"/>
        <w:rPr>
          <w:sz w:val="24"/>
          <w:szCs w:val="24"/>
        </w:rPr>
      </w:pPr>
      <w:r w:rsidRPr="00BA2696">
        <w:rPr>
          <w:sz w:val="24"/>
          <w:szCs w:val="24"/>
        </w:rPr>
        <w:t>Consequently, because racism was understood as individual and historical reference points</w:t>
      </w:r>
      <w:r>
        <w:rPr>
          <w:sz w:val="24"/>
          <w:szCs w:val="24"/>
        </w:rPr>
        <w:t xml:space="preserve"> were</w:t>
      </w:r>
      <w:r w:rsidRPr="00BA2696">
        <w:rPr>
          <w:sz w:val="24"/>
          <w:szCs w:val="24"/>
        </w:rPr>
        <w:t xml:space="preserve"> absent, the three d’s strategy (Lentin, 2015) may not have been needed. Thus, distancing alone was sufficient for the participants to manage their lack of awareness and self-consciousness. The tactic of distancing was expressed in different ways. Betty, Phil and Mary distanced themselves with an insistence of </w:t>
      </w:r>
      <w:r w:rsidRPr="00BA2696">
        <w:rPr>
          <w:i/>
          <w:iCs/>
          <w:sz w:val="24"/>
          <w:szCs w:val="24"/>
        </w:rPr>
        <w:t>‘I’m not racist’</w:t>
      </w:r>
      <w:r w:rsidRPr="00BA2696">
        <w:rPr>
          <w:sz w:val="24"/>
          <w:szCs w:val="24"/>
        </w:rPr>
        <w:t xml:space="preserve">. Anne, Elizabeth and Mary reframed the racist behaviour of others as not racist through the use of justification, e.g., the person was not violent/too young/too old. Whereas Vix attempted to understand why someone might be racist toward an acquaintance. In a class seminar, Marie stated that a racist counselling client could be a </w:t>
      </w:r>
      <w:r w:rsidRPr="00BA2696">
        <w:rPr>
          <w:i/>
          <w:iCs/>
          <w:sz w:val="24"/>
          <w:szCs w:val="24"/>
        </w:rPr>
        <w:t xml:space="preserve">‘fascinating experience’ </w:t>
      </w:r>
      <w:r w:rsidRPr="00BA2696">
        <w:rPr>
          <w:sz w:val="24"/>
          <w:szCs w:val="24"/>
        </w:rPr>
        <w:t xml:space="preserve">that could be educative. Likewise, because racism was minimised and simplified </w:t>
      </w:r>
      <w:r>
        <w:rPr>
          <w:sz w:val="24"/>
          <w:szCs w:val="24"/>
        </w:rPr>
        <w:t>to</w:t>
      </w:r>
      <w:r w:rsidRPr="00BA2696">
        <w:rPr>
          <w:sz w:val="24"/>
          <w:szCs w:val="24"/>
        </w:rPr>
        <w:t xml:space="preserve"> its more overt forms (Bonilla-Silva, 2018), distancing through statements of ‘I/others are not racist’,</w:t>
      </w:r>
      <w:r w:rsidRPr="00BA2696">
        <w:rPr>
          <w:i/>
          <w:iCs/>
          <w:sz w:val="24"/>
          <w:szCs w:val="24"/>
        </w:rPr>
        <w:t xml:space="preserve"> </w:t>
      </w:r>
      <w:r w:rsidRPr="00BA2696">
        <w:rPr>
          <w:sz w:val="24"/>
          <w:szCs w:val="24"/>
        </w:rPr>
        <w:t xml:space="preserve">was a straightforward solution. According to Whitt (2016, p. 427), student distancing from injustices, such as racism and sexism, is rooted in Medina’s ‘active ignorance’ (2016) and is ‘pedagogically problematic’ as it stops students understanding and engaging with ‘social facts’. It has also </w:t>
      </w:r>
      <w:r w:rsidRPr="00BA2696">
        <w:rPr>
          <w:sz w:val="24"/>
          <w:szCs w:val="24"/>
        </w:rPr>
        <w:lastRenderedPageBreak/>
        <w:t>been argued that silence is one distancing method white students can use when learning about anti</w:t>
      </w:r>
      <w:r>
        <w:rPr>
          <w:sz w:val="24"/>
          <w:szCs w:val="24"/>
        </w:rPr>
        <w:t>-</w:t>
      </w:r>
      <w:r w:rsidRPr="00BA2696">
        <w:rPr>
          <w:sz w:val="24"/>
          <w:szCs w:val="24"/>
        </w:rPr>
        <w:t>racism to avoid social disapproval from fellow whites and used alongside statements such as ‘I am not racist’ (Case and Hemmings, 2005). During the class observation, it was noted that there was a silence around racism when two opportunities arose to speak about it (working with a racist client and the YouTube video of a black client and white counsellor). Perhaps this was a subtler form of distancing used by the class through a collective silence and shared white ignorance.</w:t>
      </w:r>
    </w:p>
    <w:p w14:paraId="2FF066E6" w14:textId="77777777" w:rsidR="00A90B05" w:rsidRPr="00BA2696" w:rsidRDefault="00A90B05" w:rsidP="00A90B05">
      <w:pPr>
        <w:suppressAutoHyphens w:val="0"/>
        <w:autoSpaceDN/>
        <w:spacing w:after="0" w:line="480" w:lineRule="auto"/>
        <w:textAlignment w:val="auto"/>
        <w:rPr>
          <w:sz w:val="24"/>
          <w:szCs w:val="24"/>
        </w:rPr>
      </w:pPr>
    </w:p>
    <w:p w14:paraId="34A85834" w14:textId="77777777" w:rsidR="00A90B05" w:rsidRPr="00BA2696" w:rsidRDefault="00A90B05" w:rsidP="00A90B05">
      <w:pPr>
        <w:suppressAutoHyphens w:val="0"/>
        <w:autoSpaceDN/>
        <w:spacing w:after="0" w:line="480" w:lineRule="auto"/>
        <w:textAlignment w:val="auto"/>
        <w:rPr>
          <w:sz w:val="24"/>
          <w:szCs w:val="24"/>
        </w:rPr>
      </w:pPr>
      <w:r w:rsidRPr="00BA2696">
        <w:rPr>
          <w:sz w:val="24"/>
          <w:szCs w:val="24"/>
        </w:rPr>
        <w:t>Therefore, distancing could be a pivotal moment in the process of White Ignorance Disruption and in the education</w:t>
      </w:r>
      <w:r>
        <w:rPr>
          <w:sz w:val="24"/>
          <w:szCs w:val="24"/>
        </w:rPr>
        <w:t xml:space="preserve"> of</w:t>
      </w:r>
      <w:r w:rsidRPr="00BA2696">
        <w:rPr>
          <w:sz w:val="24"/>
          <w:szCs w:val="24"/>
        </w:rPr>
        <w:t xml:space="preserve"> white people about ‘race’ and racism, as it may be used as a way to ‘shut down’ the conversation about ‘race’ and racism and provide safe passage back to white ignorance. </w:t>
      </w:r>
    </w:p>
    <w:p w14:paraId="394C83C7" w14:textId="77777777" w:rsidR="00A90B05" w:rsidRPr="00BA2696" w:rsidRDefault="00A90B05" w:rsidP="00A90B05">
      <w:pPr>
        <w:suppressAutoHyphens w:val="0"/>
        <w:autoSpaceDN/>
        <w:spacing w:after="0" w:line="259" w:lineRule="auto"/>
        <w:textAlignment w:val="auto"/>
        <w:rPr>
          <w:b/>
          <w:bCs/>
          <w:color w:val="FF0000"/>
          <w:sz w:val="24"/>
          <w:szCs w:val="24"/>
        </w:rPr>
      </w:pPr>
    </w:p>
    <w:p w14:paraId="47684EAC" w14:textId="77777777" w:rsidR="00A90B05" w:rsidRPr="00BA2696" w:rsidRDefault="00A90B05" w:rsidP="00A90B05">
      <w:pPr>
        <w:pStyle w:val="Heading3"/>
      </w:pPr>
      <w:bookmarkStart w:id="39" w:name="_Toc56523026"/>
      <w:bookmarkStart w:id="40" w:name="_Toc56523308"/>
      <w:bookmarkStart w:id="41" w:name="_Toc57910116"/>
      <w:bookmarkStart w:id="42" w:name="_Toc58251332"/>
      <w:bookmarkStart w:id="43" w:name="_Toc72413658"/>
      <w:r w:rsidRPr="00BA2696">
        <w:t>6.4 Theme 2: White (Un)Awareness</w:t>
      </w:r>
      <w:bookmarkEnd w:id="39"/>
      <w:bookmarkEnd w:id="40"/>
      <w:bookmarkEnd w:id="41"/>
      <w:bookmarkEnd w:id="42"/>
      <w:bookmarkEnd w:id="43"/>
      <w:r w:rsidRPr="00BA2696">
        <w:t xml:space="preserve"> </w:t>
      </w:r>
    </w:p>
    <w:p w14:paraId="079EED1C" w14:textId="77777777" w:rsidR="00A90B05" w:rsidRPr="00BA2696" w:rsidRDefault="00A90B05" w:rsidP="00A90B05">
      <w:pPr>
        <w:suppressAutoHyphens w:val="0"/>
        <w:autoSpaceDN/>
        <w:spacing w:after="0" w:line="480" w:lineRule="auto"/>
        <w:textAlignment w:val="auto"/>
        <w:rPr>
          <w:sz w:val="24"/>
          <w:szCs w:val="24"/>
        </w:rPr>
      </w:pPr>
      <w:r w:rsidRPr="00BA2696">
        <w:rPr>
          <w:sz w:val="24"/>
          <w:szCs w:val="24"/>
        </w:rPr>
        <w:t>Whiteness only comprised one question in the interview: ‘</w:t>
      </w:r>
      <w:r w:rsidRPr="00BA2696">
        <w:rPr>
          <w:i/>
          <w:iCs/>
          <w:sz w:val="24"/>
          <w:szCs w:val="24"/>
        </w:rPr>
        <w:t>what does being white mean to you?’</w:t>
      </w:r>
      <w:r w:rsidRPr="00BA2696">
        <w:rPr>
          <w:sz w:val="24"/>
          <w:szCs w:val="24"/>
        </w:rPr>
        <w:t>, yet it was the question</w:t>
      </w:r>
      <w:r w:rsidRPr="00BA2696">
        <w:rPr>
          <w:i/>
          <w:iCs/>
          <w:sz w:val="24"/>
          <w:szCs w:val="24"/>
        </w:rPr>
        <w:t xml:space="preserve"> </w:t>
      </w:r>
      <w:r w:rsidRPr="00BA2696">
        <w:rPr>
          <w:sz w:val="24"/>
          <w:szCs w:val="24"/>
        </w:rPr>
        <w:t>that elicited the strongest response. This indicates that talking about whiteness has the potential to bring about powerful emotions during White Ignorance Disruption. The concept of ‘white fragility’ is relevant to understand</w:t>
      </w:r>
      <w:r>
        <w:rPr>
          <w:sz w:val="24"/>
          <w:szCs w:val="24"/>
        </w:rPr>
        <w:t>ing</w:t>
      </w:r>
      <w:r w:rsidRPr="00BA2696">
        <w:rPr>
          <w:sz w:val="24"/>
          <w:szCs w:val="24"/>
        </w:rPr>
        <w:t xml:space="preserve"> these strong responses as it refers to defensive emotions and behaviours that are triggered in white people when confronted with ‘racial stress’, in the form of racial discourse (DiAngelo, 2018, p. 2). </w:t>
      </w:r>
    </w:p>
    <w:p w14:paraId="76FB0FBA" w14:textId="77777777" w:rsidR="00A90B05" w:rsidRPr="00BA2696" w:rsidRDefault="00A90B05" w:rsidP="00A90B05">
      <w:pPr>
        <w:suppressAutoHyphens w:val="0"/>
        <w:autoSpaceDN/>
        <w:spacing w:after="0" w:line="480" w:lineRule="auto"/>
        <w:textAlignment w:val="auto"/>
        <w:rPr>
          <w:strike/>
          <w:sz w:val="24"/>
          <w:szCs w:val="24"/>
        </w:rPr>
      </w:pPr>
    </w:p>
    <w:p w14:paraId="18975A7E" w14:textId="77777777" w:rsidR="00A90B05" w:rsidRPr="00BA2696" w:rsidRDefault="00A90B05" w:rsidP="00A90B05">
      <w:pPr>
        <w:suppressAutoHyphens w:val="0"/>
        <w:autoSpaceDN/>
        <w:spacing w:after="0" w:line="480" w:lineRule="auto"/>
        <w:textAlignment w:val="auto"/>
        <w:rPr>
          <w:sz w:val="24"/>
          <w:szCs w:val="24"/>
        </w:rPr>
      </w:pPr>
      <w:r>
        <w:rPr>
          <w:sz w:val="24"/>
          <w:szCs w:val="24"/>
        </w:rPr>
        <w:t>I</w:t>
      </w:r>
      <w:r w:rsidRPr="00BA2696">
        <w:rPr>
          <w:sz w:val="24"/>
          <w:szCs w:val="24"/>
        </w:rPr>
        <w:t xml:space="preserve">t is important to </w:t>
      </w:r>
      <w:r>
        <w:rPr>
          <w:sz w:val="24"/>
          <w:szCs w:val="24"/>
        </w:rPr>
        <w:t>preface this section with the acknowledgement</w:t>
      </w:r>
      <w:r w:rsidRPr="00BA2696">
        <w:rPr>
          <w:sz w:val="24"/>
          <w:szCs w:val="24"/>
        </w:rPr>
        <w:t xml:space="preserve"> that </w:t>
      </w:r>
      <w:r>
        <w:rPr>
          <w:sz w:val="24"/>
          <w:szCs w:val="24"/>
        </w:rPr>
        <w:t xml:space="preserve">some of </w:t>
      </w:r>
      <w:r w:rsidRPr="00BA2696">
        <w:rPr>
          <w:sz w:val="24"/>
          <w:szCs w:val="24"/>
        </w:rPr>
        <w:t>the</w:t>
      </w:r>
      <w:r>
        <w:rPr>
          <w:sz w:val="24"/>
          <w:szCs w:val="24"/>
        </w:rPr>
        <w:t xml:space="preserve"> participants’</w:t>
      </w:r>
      <w:r w:rsidRPr="00BA2696">
        <w:rPr>
          <w:sz w:val="24"/>
          <w:szCs w:val="24"/>
        </w:rPr>
        <w:t xml:space="preserve"> </w:t>
      </w:r>
      <w:r>
        <w:rPr>
          <w:sz w:val="24"/>
          <w:szCs w:val="24"/>
        </w:rPr>
        <w:t>expression of a</w:t>
      </w:r>
      <w:r w:rsidRPr="00BA2696">
        <w:rPr>
          <w:sz w:val="24"/>
          <w:szCs w:val="24"/>
        </w:rPr>
        <w:t xml:space="preserve"> belief in reverse racism was the portion of the interviews that I </w:t>
      </w:r>
      <w:r w:rsidRPr="00BA2696">
        <w:rPr>
          <w:sz w:val="24"/>
          <w:szCs w:val="24"/>
        </w:rPr>
        <w:lastRenderedPageBreak/>
        <w:t>struggled with the most during, and after, the interviews took place. Further, in the process of White Ignorance Disruption, it was this part of the interviews that I became hyper-aware of being a ‘disruptor’.  Admittedly, the notion of reverse racism was an anathema to me. Whilst I could empathise with feelings of self-consciousness, lack of semantic understanding</w:t>
      </w:r>
      <w:r>
        <w:rPr>
          <w:sz w:val="24"/>
          <w:szCs w:val="24"/>
        </w:rPr>
        <w:t xml:space="preserve"> and</w:t>
      </w:r>
      <w:r w:rsidRPr="00BA2696">
        <w:rPr>
          <w:sz w:val="24"/>
          <w:szCs w:val="24"/>
        </w:rPr>
        <w:t xml:space="preserve"> colour-blindness </w:t>
      </w:r>
      <w:r w:rsidRPr="00137401">
        <w:rPr>
          <w:sz w:val="24"/>
          <w:szCs w:val="24"/>
        </w:rPr>
        <w:t xml:space="preserve">I found it harder to do so with reverse racism. Perhaps this </w:t>
      </w:r>
      <w:r w:rsidRPr="00BA2696">
        <w:rPr>
          <w:sz w:val="24"/>
          <w:szCs w:val="24"/>
        </w:rPr>
        <w:t xml:space="preserve">is because even when my own understanding of ‘race’, racism and whiteness was limited, I understood that reverse racism was not possible due </w:t>
      </w:r>
      <w:r>
        <w:rPr>
          <w:sz w:val="24"/>
          <w:szCs w:val="24"/>
        </w:rPr>
        <w:t xml:space="preserve">to </w:t>
      </w:r>
      <w:r w:rsidRPr="00BA2696">
        <w:rPr>
          <w:sz w:val="24"/>
          <w:szCs w:val="24"/>
        </w:rPr>
        <w:t>power imbalances between whites and people of colour. In addition, this was the part of the interview that moved into what felt at times as a personal accusation that I</w:t>
      </w:r>
      <w:r w:rsidRPr="00BA2696">
        <w:rPr>
          <w:i/>
          <w:iCs/>
          <w:sz w:val="24"/>
          <w:szCs w:val="24"/>
        </w:rPr>
        <w:t xml:space="preserve"> </w:t>
      </w:r>
      <w:r w:rsidRPr="00BA2696">
        <w:rPr>
          <w:sz w:val="24"/>
          <w:szCs w:val="24"/>
        </w:rPr>
        <w:t>was racist for researching this topic and asking these questions. Anne and Phil were forthright in this belief. In the interview with those participants, I felt shocked that they felt that way but due to my counselling training and experience, I was able to ‘bracket’ this response. ‘Bracketing’ refers to putting aside one’s own emotions and attitudes to stay present in the moment with the intention of returning to those responses after the counselling session (Joyce and Sills, 2010, pp. 18-20). In the interview itself, I was able to stay with Anne and Phil’s feelings and did not feel a need to mount a defence. However, on the drive home and for days afterwards, Anne and Phil’s accusations of the research (and by extension me) being racist lingered. Although I understood ‘I’m racist and always working on my racisms’ (Lester, Anders and Mariner, 2018, p. 68), I became aware that on another level, perhaps I began to perceive myself as ‘a good white person’ (Sullivan, 2014a, discussed in Section 6.5) and this research was an expression of that goodness. It also led me</w:t>
      </w:r>
      <w:r>
        <w:rPr>
          <w:sz w:val="24"/>
          <w:szCs w:val="24"/>
        </w:rPr>
        <w:t xml:space="preserve"> to</w:t>
      </w:r>
      <w:r w:rsidRPr="00BA2696">
        <w:rPr>
          <w:sz w:val="24"/>
          <w:szCs w:val="24"/>
        </w:rPr>
        <w:t xml:space="preserve"> question whether my research was worthwhile. Indeed, I suggest that a reciprocal process of White Ignorance Disruption took place between myself and the participants. Asking </w:t>
      </w:r>
      <w:r w:rsidRPr="00BA2696">
        <w:rPr>
          <w:i/>
          <w:iCs/>
          <w:sz w:val="24"/>
          <w:szCs w:val="24"/>
        </w:rPr>
        <w:t>‘what does being white mean to you?’</w:t>
      </w:r>
      <w:r w:rsidRPr="00BA2696">
        <w:rPr>
          <w:sz w:val="24"/>
          <w:szCs w:val="24"/>
        </w:rPr>
        <w:t xml:space="preserve"> led to White Ignorance Disruption in the participants, some of whom pushed back or deflected </w:t>
      </w:r>
      <w:r w:rsidRPr="00BA2696">
        <w:rPr>
          <w:sz w:val="24"/>
          <w:szCs w:val="24"/>
        </w:rPr>
        <w:lastRenderedPageBreak/>
        <w:t xml:space="preserve">with accusations of reverse racism, anger and withdrawal, which led to a personal hyper-awareness of being the ‘disruptor’. In turn, this awareness allowed me to experience my own White Ignorance </w:t>
      </w:r>
      <w:r w:rsidRPr="00137401">
        <w:rPr>
          <w:sz w:val="24"/>
          <w:szCs w:val="24"/>
        </w:rPr>
        <w:t>Disruption, specifically around falling into the trap of being the ‘good’ white person (Sullivan, 2014a). This may show how susceptible one can be to this way of thinking</w:t>
      </w:r>
      <w:r w:rsidRPr="00BA2696">
        <w:rPr>
          <w:sz w:val="24"/>
          <w:szCs w:val="24"/>
        </w:rPr>
        <w:t xml:space="preserve"> even with an awareness of ‘race’, racism and whiteness. It is with this recognition, that the topic of reverse racism elicited the most personal and complicated response in the interviews, that it is discussed. </w:t>
      </w:r>
    </w:p>
    <w:p w14:paraId="01775A6F" w14:textId="77777777" w:rsidR="00A90B05" w:rsidRPr="00BA2696" w:rsidRDefault="00A90B05" w:rsidP="00A90B05">
      <w:pPr>
        <w:suppressAutoHyphens w:val="0"/>
        <w:autoSpaceDN/>
        <w:spacing w:after="0" w:line="480" w:lineRule="auto"/>
        <w:textAlignment w:val="auto"/>
        <w:rPr>
          <w:strike/>
          <w:sz w:val="24"/>
          <w:szCs w:val="24"/>
        </w:rPr>
      </w:pPr>
    </w:p>
    <w:p w14:paraId="5AD512D0" w14:textId="77777777" w:rsidR="00A90B05" w:rsidRPr="00BA2696" w:rsidRDefault="00A90B05" w:rsidP="00A90B05">
      <w:pPr>
        <w:pStyle w:val="Heading4"/>
        <w:spacing w:before="0" w:after="240" w:line="250" w:lineRule="auto"/>
      </w:pPr>
      <w:r w:rsidRPr="00BA2696">
        <w:t>Whiteness as meaningless</w:t>
      </w:r>
    </w:p>
    <w:p w14:paraId="3B3FA223" w14:textId="77777777" w:rsidR="00A90B05" w:rsidRPr="00BA2696" w:rsidRDefault="00A90B05" w:rsidP="00A90B05">
      <w:pPr>
        <w:suppressAutoHyphens w:val="0"/>
        <w:autoSpaceDN/>
        <w:spacing w:after="0" w:line="480" w:lineRule="auto"/>
        <w:textAlignment w:val="auto"/>
        <w:rPr>
          <w:sz w:val="24"/>
          <w:szCs w:val="24"/>
        </w:rPr>
      </w:pPr>
      <w:r w:rsidRPr="00BA2696">
        <w:rPr>
          <w:sz w:val="24"/>
          <w:szCs w:val="24"/>
        </w:rPr>
        <w:t xml:space="preserve">When asked what being white meant to them, most of the participants perceived it as devoid of any meaning. Elizabeth’s response to the </w:t>
      </w:r>
      <w:r w:rsidRPr="00BA2696">
        <w:rPr>
          <w:color w:val="000000"/>
          <w:sz w:val="24"/>
          <w:szCs w:val="24"/>
        </w:rPr>
        <w:t>question</w:t>
      </w:r>
      <w:r w:rsidRPr="00BA2696">
        <w:rPr>
          <w:sz w:val="24"/>
          <w:szCs w:val="24"/>
        </w:rPr>
        <w:t xml:space="preserve"> typified the participants understanding of whiteness:</w:t>
      </w:r>
    </w:p>
    <w:p w14:paraId="133BDF3A" w14:textId="77777777" w:rsidR="00A90B05" w:rsidRPr="00BA2696" w:rsidRDefault="00A90B05" w:rsidP="00A90B05">
      <w:pPr>
        <w:suppressAutoHyphens w:val="0"/>
        <w:autoSpaceDN/>
        <w:spacing w:after="120" w:line="240" w:lineRule="auto"/>
        <w:ind w:left="1287" w:right="567" w:hanging="720"/>
        <w:textAlignment w:val="auto"/>
        <w:rPr>
          <w:sz w:val="24"/>
          <w:szCs w:val="24"/>
        </w:rPr>
      </w:pPr>
      <w:r w:rsidRPr="00BA2696">
        <w:rPr>
          <w:sz w:val="24"/>
          <w:szCs w:val="24"/>
        </w:rPr>
        <w:t>Elizabeth: I don't think it has any kind of sentiment to me. It doesn't give me any identity. I think it, it’s very much just my appearance and that's what skin I have…</w:t>
      </w:r>
      <w:r w:rsidRPr="00BA2696">
        <w:rPr>
          <w:rFonts w:cs="Calibri"/>
          <w:sz w:val="24"/>
          <w:szCs w:val="24"/>
        </w:rPr>
        <w:t xml:space="preserve"> </w:t>
      </w:r>
      <w:r w:rsidRPr="00BA2696">
        <w:rPr>
          <w:sz w:val="24"/>
          <w:szCs w:val="24"/>
        </w:rPr>
        <w:t>It just is. Yes. Just my skin.</w:t>
      </w:r>
    </w:p>
    <w:p w14:paraId="7AEF649F" w14:textId="77777777" w:rsidR="00A90B05" w:rsidRPr="00BA2696" w:rsidRDefault="00A90B05" w:rsidP="00A90B05">
      <w:pPr>
        <w:suppressAutoHyphens w:val="0"/>
        <w:autoSpaceDN/>
        <w:spacing w:after="0" w:line="480" w:lineRule="auto"/>
        <w:ind w:right="567"/>
        <w:textAlignment w:val="auto"/>
        <w:rPr>
          <w:sz w:val="24"/>
          <w:szCs w:val="24"/>
        </w:rPr>
      </w:pPr>
    </w:p>
    <w:p w14:paraId="4CF41C93" w14:textId="77777777" w:rsidR="00A90B05" w:rsidRPr="00BA2696" w:rsidRDefault="00A90B05" w:rsidP="00A90B05">
      <w:pPr>
        <w:suppressAutoHyphens w:val="0"/>
        <w:autoSpaceDN/>
        <w:spacing w:after="0" w:line="480" w:lineRule="auto"/>
        <w:textAlignment w:val="auto"/>
        <w:rPr>
          <w:bCs/>
          <w:sz w:val="24"/>
          <w:szCs w:val="24"/>
        </w:rPr>
      </w:pPr>
      <w:r w:rsidRPr="00BA2696">
        <w:rPr>
          <w:sz w:val="24"/>
          <w:szCs w:val="24"/>
        </w:rPr>
        <w:t xml:space="preserve">Further, it also reflects the wider understanding white people have around being white. As Chapter 2 showed, there is a tendency for white people to be disconnected from whiteness, with it being a de-racialised </w:t>
      </w:r>
      <w:r w:rsidRPr="00BA2696">
        <w:rPr>
          <w:color w:val="000000"/>
          <w:sz w:val="24"/>
          <w:szCs w:val="24"/>
        </w:rPr>
        <w:t>identity (Ryde, 2009) and the invisible standard</w:t>
      </w:r>
      <w:r w:rsidRPr="00BA2696">
        <w:rPr>
          <w:sz w:val="24"/>
          <w:szCs w:val="24"/>
        </w:rPr>
        <w:t xml:space="preserve"> </w:t>
      </w:r>
      <w:r w:rsidRPr="00BA2696">
        <w:rPr>
          <w:bCs/>
          <w:sz w:val="24"/>
          <w:szCs w:val="24"/>
        </w:rPr>
        <w:t xml:space="preserve">to which other racialised groups are measured (Halley, Eshleman, and Mahadevan-Vijaya, 2011). In short, to white people, white simply equates being human (Dyer, 2017) and is therefore not racialised. Similarly, the participants did not express any awareness of the history of whiteness (Painter, 2010) or of its fluidity as category (as shown by </w:t>
      </w:r>
      <w:r w:rsidRPr="00BA2696">
        <w:rPr>
          <w:rFonts w:cs="Calibri"/>
          <w:bCs/>
          <w:color w:val="000000"/>
          <w:sz w:val="24"/>
          <w:szCs w:val="24"/>
        </w:rPr>
        <w:t>Ignatiev</w:t>
      </w:r>
      <w:r w:rsidRPr="00BA2696">
        <w:rPr>
          <w:bCs/>
          <w:sz w:val="24"/>
          <w:szCs w:val="24"/>
        </w:rPr>
        <w:t>, 2009). This is not to condemn them, as their understanding of whiteness is representative of the general understanding that white people possess:</w:t>
      </w:r>
    </w:p>
    <w:p w14:paraId="4BF91422" w14:textId="77777777" w:rsidR="00A90B05" w:rsidRPr="00BA2696" w:rsidRDefault="00A90B05" w:rsidP="00A90B05">
      <w:pPr>
        <w:suppressAutoHyphens w:val="0"/>
        <w:autoSpaceDN/>
        <w:spacing w:after="0" w:line="240" w:lineRule="auto"/>
        <w:ind w:left="567" w:right="567"/>
        <w:textAlignment w:val="auto"/>
        <w:rPr>
          <w:bCs/>
          <w:sz w:val="24"/>
          <w:szCs w:val="24"/>
        </w:rPr>
      </w:pPr>
      <w:r w:rsidRPr="00BA2696">
        <w:rPr>
          <w:bCs/>
          <w:sz w:val="24"/>
          <w:szCs w:val="24"/>
        </w:rPr>
        <w:lastRenderedPageBreak/>
        <w:t>whiteness for the majority of white people is so unmarked that in their eyes, it does not actually function as a racial or ethnic identity (Garner, 2007, pp. 34-35)</w:t>
      </w:r>
    </w:p>
    <w:p w14:paraId="2D86494C" w14:textId="77777777" w:rsidR="00A90B05" w:rsidRPr="00BA2696" w:rsidRDefault="00A90B05" w:rsidP="00A90B05">
      <w:pPr>
        <w:suppressAutoHyphens w:val="0"/>
        <w:autoSpaceDN/>
        <w:spacing w:after="0" w:line="480" w:lineRule="auto"/>
        <w:ind w:right="567"/>
        <w:textAlignment w:val="auto"/>
        <w:rPr>
          <w:bCs/>
          <w:sz w:val="24"/>
          <w:szCs w:val="24"/>
        </w:rPr>
      </w:pPr>
    </w:p>
    <w:p w14:paraId="13B6C67F" w14:textId="77777777" w:rsidR="00A90B05" w:rsidRPr="00BA2696" w:rsidRDefault="00A90B05" w:rsidP="00A90B05">
      <w:pPr>
        <w:suppressAutoHyphens w:val="0"/>
        <w:autoSpaceDN/>
        <w:spacing w:after="0" w:line="480" w:lineRule="auto"/>
        <w:textAlignment w:val="auto"/>
        <w:rPr>
          <w:sz w:val="24"/>
          <w:szCs w:val="24"/>
        </w:rPr>
      </w:pPr>
      <w:r w:rsidRPr="00BA2696">
        <w:rPr>
          <w:sz w:val="24"/>
          <w:szCs w:val="24"/>
        </w:rPr>
        <w:t xml:space="preserve">This is supported by Betty’s acknowledgement that </w:t>
      </w:r>
      <w:r w:rsidRPr="00BA2696">
        <w:rPr>
          <w:i/>
          <w:iCs/>
          <w:sz w:val="24"/>
          <w:szCs w:val="24"/>
        </w:rPr>
        <w:t>‘we didn't have to go there’</w:t>
      </w:r>
      <w:r w:rsidRPr="00BA2696">
        <w:rPr>
          <w:sz w:val="24"/>
          <w:szCs w:val="24"/>
        </w:rPr>
        <w:t xml:space="preserve"> [at school]</w:t>
      </w:r>
      <w:r w:rsidRPr="00BA2696">
        <w:rPr>
          <w:i/>
          <w:iCs/>
          <w:sz w:val="24"/>
          <w:szCs w:val="24"/>
        </w:rPr>
        <w:t>,</w:t>
      </w:r>
      <w:r w:rsidRPr="00BA2696">
        <w:rPr>
          <w:sz w:val="24"/>
          <w:szCs w:val="24"/>
        </w:rPr>
        <w:t xml:space="preserve"> with ‘going there’ referring to thinking about ‘race’, specifically whiteness. Another perspective for whiteness being seen as meaningless could be that that the participants did not </w:t>
      </w:r>
      <w:r w:rsidRPr="00BA2696">
        <w:rPr>
          <w:rFonts w:cs="Calibri"/>
          <w:bCs/>
          <w:color w:val="000000"/>
          <w:sz w:val="24"/>
          <w:szCs w:val="24"/>
        </w:rPr>
        <w:t>have</w:t>
      </w:r>
      <w:r w:rsidRPr="00BA2696">
        <w:rPr>
          <w:sz w:val="24"/>
          <w:szCs w:val="24"/>
        </w:rPr>
        <w:t xml:space="preserve"> the emotional tools to </w:t>
      </w:r>
      <w:r w:rsidRPr="00BA2696">
        <w:rPr>
          <w:i/>
          <w:iCs/>
          <w:sz w:val="24"/>
          <w:szCs w:val="24"/>
        </w:rPr>
        <w:t>‘go there’</w:t>
      </w:r>
      <w:r w:rsidRPr="00BA2696">
        <w:rPr>
          <w:sz w:val="24"/>
          <w:szCs w:val="24"/>
        </w:rPr>
        <w:t>, as it has been argued white people tend to numb themselves to the reality of whiteness (Kendell, 2013, p. 61) and that processing the consequences of whiteness can lead to an ‘intolerable level of pain’ (Altman, 2003, p. 97). Therefore, not thinking about whiteness in terms of its historical or contemporary actions or the personal implications of having a white racialised identity, could be seen as</w:t>
      </w:r>
      <w:r>
        <w:rPr>
          <w:sz w:val="24"/>
          <w:szCs w:val="24"/>
        </w:rPr>
        <w:t xml:space="preserve"> a</w:t>
      </w:r>
      <w:r w:rsidRPr="00BA2696">
        <w:rPr>
          <w:sz w:val="24"/>
          <w:szCs w:val="24"/>
        </w:rPr>
        <w:t xml:space="preserve"> psychological reason for white ignorance. In other words, to understand whiteness as meaningless is to see it as inconsequential, and therefore the racial realities of the past and present do not need to be addressed. Hence white ignorance is sustained.</w:t>
      </w:r>
    </w:p>
    <w:p w14:paraId="65E9C077" w14:textId="77777777" w:rsidR="00A90B05" w:rsidRPr="00BA2696" w:rsidRDefault="00A90B05" w:rsidP="00A90B05">
      <w:pPr>
        <w:suppressAutoHyphens w:val="0"/>
        <w:autoSpaceDN/>
        <w:spacing w:after="0" w:line="480" w:lineRule="auto"/>
        <w:textAlignment w:val="auto"/>
        <w:rPr>
          <w:sz w:val="24"/>
          <w:szCs w:val="24"/>
        </w:rPr>
      </w:pPr>
    </w:p>
    <w:p w14:paraId="53897643" w14:textId="77777777" w:rsidR="00A90B05" w:rsidRPr="00BA2696" w:rsidRDefault="00A90B05" w:rsidP="00A90B05">
      <w:pPr>
        <w:suppressAutoHyphens w:val="0"/>
        <w:autoSpaceDN/>
        <w:spacing w:after="0" w:line="480" w:lineRule="auto"/>
        <w:textAlignment w:val="auto"/>
        <w:rPr>
          <w:sz w:val="24"/>
          <w:szCs w:val="24"/>
        </w:rPr>
      </w:pPr>
      <w:r w:rsidRPr="00BA2696">
        <w:rPr>
          <w:sz w:val="24"/>
          <w:szCs w:val="24"/>
        </w:rPr>
        <w:t xml:space="preserve">While Betty, Elizabeth, Emily and Phil had relatively straightforward responses to the question of their whiteness in that they admitted that it meant little to them, (although Phil went on to talk about reverse racism, see below), Anne and Mary had stronger reactions. For Mary, this became an emotional and communicative withdrawal which stood in stark contrast to her previous engagement and expansive answers. This led me to ask Mary directly about this change in mood after the question of whiteness, which she had not realised had occurred. While Mary’s energy seemed to deplete, Anne’s increased, and she became energised with anger at the question of whiteness. Anne’s response will be explored in relation to reverse racism (below). Nonetheless, the participants varied responses to the question of whiteness, from Mary’s withdrawal to Anne’s anger, supports </w:t>
      </w:r>
      <w:r w:rsidRPr="00BA2696">
        <w:rPr>
          <w:sz w:val="24"/>
          <w:szCs w:val="24"/>
        </w:rPr>
        <w:lastRenderedPageBreak/>
        <w:t xml:space="preserve">the behavioural responses of ‘white fragility’ (DiAngelo, 2018, p. 119). This indicates that the question of whiteness was a troubling one for the participants. Underlying the ‘white fragility’ (DiAngelo, 2018), Mary’s withdrawal could be seen as an expression of ‘white fear’ (Spanierman and Cabrera, 2015), perhaps fearing, in the words of Betty, </w:t>
      </w:r>
      <w:r w:rsidRPr="00BA2696">
        <w:rPr>
          <w:i/>
          <w:iCs/>
          <w:sz w:val="24"/>
          <w:szCs w:val="24"/>
        </w:rPr>
        <w:t xml:space="preserve">‘going there’ </w:t>
      </w:r>
      <w:r w:rsidRPr="00BA2696">
        <w:rPr>
          <w:sz w:val="24"/>
          <w:szCs w:val="24"/>
        </w:rPr>
        <w:t xml:space="preserve">and considering the meaning of whiteness. </w:t>
      </w:r>
    </w:p>
    <w:p w14:paraId="5B8ACACB" w14:textId="77777777" w:rsidR="00A90B05" w:rsidRPr="00BA2696" w:rsidRDefault="00A90B05" w:rsidP="00A90B05">
      <w:pPr>
        <w:suppressAutoHyphens w:val="0"/>
        <w:autoSpaceDN/>
        <w:spacing w:after="0" w:line="480" w:lineRule="auto"/>
        <w:textAlignment w:val="auto"/>
        <w:rPr>
          <w:sz w:val="24"/>
          <w:szCs w:val="24"/>
        </w:rPr>
      </w:pPr>
    </w:p>
    <w:p w14:paraId="7692C182" w14:textId="77777777" w:rsidR="00A90B05" w:rsidRPr="00BA2696" w:rsidRDefault="00A90B05" w:rsidP="00A90B05">
      <w:pPr>
        <w:suppressAutoHyphens w:val="0"/>
        <w:autoSpaceDN/>
        <w:spacing w:after="0" w:line="480" w:lineRule="auto"/>
        <w:textAlignment w:val="auto"/>
        <w:rPr>
          <w:sz w:val="24"/>
          <w:szCs w:val="24"/>
        </w:rPr>
      </w:pPr>
      <w:r w:rsidRPr="00BA2696">
        <w:rPr>
          <w:sz w:val="24"/>
          <w:szCs w:val="24"/>
        </w:rPr>
        <w:t xml:space="preserve">Indeed, during the interviews, it was at the point of asking about whiteness that I felt something shift in the room, be it a burgeoning recognition or a resistance to the concept of whiteness. Of course, this could be my personal feelings being projected onto the participants, that perhaps </w:t>
      </w:r>
      <w:r w:rsidRPr="00BA2696">
        <w:rPr>
          <w:i/>
          <w:iCs/>
          <w:sz w:val="24"/>
          <w:szCs w:val="24"/>
        </w:rPr>
        <w:t xml:space="preserve">my </w:t>
      </w:r>
      <w:r w:rsidRPr="00BA2696">
        <w:rPr>
          <w:sz w:val="24"/>
          <w:szCs w:val="24"/>
        </w:rPr>
        <w:t xml:space="preserve">curiosity peaked at how they would answer the question. However, if I had experienced the same response across all the participants, it could be argued that I was supplanting my own expectations onto their answers. Yet the question elicited different responses, from inquisitive to angry, suggesting that the question of whiteness </w:t>
      </w:r>
      <w:r w:rsidRPr="00BA2696">
        <w:rPr>
          <w:i/>
          <w:iCs/>
          <w:sz w:val="24"/>
          <w:szCs w:val="24"/>
        </w:rPr>
        <w:t>did</w:t>
      </w:r>
      <w:r w:rsidRPr="00BA2696">
        <w:rPr>
          <w:sz w:val="24"/>
          <w:szCs w:val="24"/>
        </w:rPr>
        <w:t xml:space="preserve"> provoke an atmospheric change in the interviews. This could be because a question about whiteness juxtaposed to questions about ‘race’ and racism may have seen an anomaly to the participants as whiteness was de-racialised to them. </w:t>
      </w:r>
    </w:p>
    <w:p w14:paraId="77168A6A" w14:textId="77777777" w:rsidR="00A90B05" w:rsidRPr="00BA2696" w:rsidRDefault="00A90B05" w:rsidP="00A90B05">
      <w:pPr>
        <w:suppressAutoHyphens w:val="0"/>
        <w:autoSpaceDN/>
        <w:spacing w:after="0" w:line="480" w:lineRule="auto"/>
        <w:textAlignment w:val="auto"/>
        <w:rPr>
          <w:sz w:val="24"/>
          <w:szCs w:val="24"/>
        </w:rPr>
      </w:pPr>
    </w:p>
    <w:p w14:paraId="36C8FDD1" w14:textId="77777777" w:rsidR="00A90B05" w:rsidRPr="00BA2696" w:rsidRDefault="00A90B05" w:rsidP="00A90B05">
      <w:pPr>
        <w:suppressAutoHyphens w:val="0"/>
        <w:autoSpaceDN/>
        <w:spacing w:after="0" w:line="480" w:lineRule="auto"/>
        <w:textAlignment w:val="auto"/>
        <w:rPr>
          <w:sz w:val="24"/>
          <w:szCs w:val="24"/>
        </w:rPr>
      </w:pPr>
      <w:r w:rsidRPr="00BA2696">
        <w:rPr>
          <w:sz w:val="24"/>
          <w:szCs w:val="24"/>
        </w:rPr>
        <w:t xml:space="preserve">In terms of white identity, it could be argued that the participants were in phase one, status one of Helms’ white identity development model, the ‘contact’ stage (Helms, 1990, pp. 55-58). This is entered with ‘either naïve curiosity or timidity and trepidation about blacks and a superficial and inconsistent awareness of being white’ (Helms, 1990, p. 55). This is supported by the later subthemes of contact/lack of contact with people of colour in the third theme of Barriers to Racial Discourse (Section 6.5) as those in the contact stage have ‘limited inter-racial social or occupational interaction with blacks’ (Helms, 1990, p. 57). </w:t>
      </w:r>
      <w:r w:rsidRPr="00BA2696">
        <w:rPr>
          <w:sz w:val="24"/>
          <w:szCs w:val="24"/>
        </w:rPr>
        <w:lastRenderedPageBreak/>
        <w:t>However, Helms’ (1990) model suggests that in the contact phase there is some</w:t>
      </w:r>
      <w:r w:rsidRPr="00BA2696">
        <w:rPr>
          <w:i/>
          <w:iCs/>
          <w:sz w:val="24"/>
          <w:szCs w:val="24"/>
        </w:rPr>
        <w:t xml:space="preserve">, </w:t>
      </w:r>
      <w:r w:rsidRPr="00BA2696">
        <w:rPr>
          <w:sz w:val="24"/>
          <w:szCs w:val="24"/>
        </w:rPr>
        <w:t xml:space="preserve">albeit inconsistent, awareness of whiteness. Although Betty and Emily were able to contemplate what their whiteness may mean, prior to the interview they had not thought about it. Other than Vix who was aware of her whiteness as a teenager, the other participants understood their whiteness as meaningless. Therefore, white ignorance (Mills, 2007) seems a more appropriate description than Helms’ (1990) contact phase as it suggests that the meaninglessness attached to whiteness came from a place of not knowing. This could be seen as basic ignorance due to an absence of belief or knowledge (Medina, 2016, p. 183) of whiteness as a racialised identity. Asking </w:t>
      </w:r>
      <w:r w:rsidRPr="00BA2696">
        <w:rPr>
          <w:i/>
          <w:iCs/>
          <w:sz w:val="24"/>
          <w:szCs w:val="24"/>
        </w:rPr>
        <w:t>‘what does being white mean to you?’</w:t>
      </w:r>
      <w:r w:rsidRPr="00BA2696">
        <w:rPr>
          <w:sz w:val="24"/>
          <w:szCs w:val="24"/>
        </w:rPr>
        <w:t xml:space="preserve"> led to White Ignorance Disruption for Betty and Emily in their burgeoning complicated recognition of whiteness (see below). However, for others posing the question and the ensuing White Ignorance Disruption, resulted in advanced ignorance strategies (Medina, 2016, p. 183) of affective resistance in Mary’s withdrawal and defence mechanisms in Anne, Phil and Vix’s assertions of reverse racism. This could be seen as methods of ‘push back’ to White Ignorance Disruption.</w:t>
      </w:r>
    </w:p>
    <w:p w14:paraId="57BE17C3" w14:textId="77777777" w:rsidR="00A90B05" w:rsidRPr="00BA2696" w:rsidRDefault="00A90B05" w:rsidP="00A90B05">
      <w:pPr>
        <w:suppressAutoHyphens w:val="0"/>
        <w:autoSpaceDN/>
        <w:spacing w:after="0" w:line="480" w:lineRule="auto"/>
        <w:textAlignment w:val="auto"/>
        <w:rPr>
          <w:sz w:val="24"/>
          <w:szCs w:val="24"/>
        </w:rPr>
      </w:pPr>
    </w:p>
    <w:p w14:paraId="32A26FB4" w14:textId="77777777" w:rsidR="00A90B05" w:rsidRPr="00BA2696" w:rsidRDefault="00A90B05" w:rsidP="00A90B05">
      <w:pPr>
        <w:suppressAutoHyphens w:val="0"/>
        <w:autoSpaceDN/>
        <w:spacing w:after="0" w:line="480" w:lineRule="auto"/>
        <w:textAlignment w:val="auto"/>
        <w:rPr>
          <w:sz w:val="24"/>
          <w:szCs w:val="24"/>
        </w:rPr>
      </w:pPr>
      <w:r w:rsidRPr="00BA2696">
        <w:rPr>
          <w:sz w:val="24"/>
          <w:szCs w:val="24"/>
        </w:rPr>
        <w:t xml:space="preserve">That whiteness was seen as meaningless to the participants is not to judge them but to recognise that their understanding of whiteness is situated in a wider context where whiteness is de-racialised by white people. This is supported by the first two principles of </w:t>
      </w:r>
      <w:bookmarkStart w:id="44" w:name="_Hlk48128154"/>
      <w:r w:rsidRPr="00BA2696">
        <w:rPr>
          <w:sz w:val="24"/>
          <w:szCs w:val="24"/>
        </w:rPr>
        <w:t xml:space="preserve">Hartmann, Gerteis and Crolls’s (2009, pp. 407-409) </w:t>
      </w:r>
      <w:bookmarkEnd w:id="44"/>
      <w:r w:rsidRPr="00BA2696">
        <w:rPr>
          <w:sz w:val="24"/>
          <w:szCs w:val="24"/>
        </w:rPr>
        <w:t xml:space="preserve">three ‘theoretical cores’ of critical whiteness studies in that white people are not aware of their ‘race’ and its social construction and are unaware of the advantages whiteness affords. Their third principle of colour-blind ideology is relevant to the next theme of Barriers to Racial Discourse (Section 6.5). It also concurs with Clarke and Garner’s (2010) categorisation of British sociological </w:t>
      </w:r>
      <w:r w:rsidRPr="00BA2696">
        <w:rPr>
          <w:sz w:val="24"/>
          <w:szCs w:val="24"/>
        </w:rPr>
        <w:lastRenderedPageBreak/>
        <w:t xml:space="preserve">research into whiteness whereby whiteness is de-racialised and invisible. One of the aims of critical whiteness studies is to consider how ‘whiteness as a form of power is defined, displayed, performed, policed and reinvented’ (Twine and Gallagher, 2007, p. 5). In this way, this research’s finding that counselling trainees understood their whiteness as meaningless speaks to the collective perception of whiteness, held by white people. </w:t>
      </w:r>
    </w:p>
    <w:p w14:paraId="1CA41A65" w14:textId="77777777" w:rsidR="00A90B05" w:rsidRPr="00BA2696" w:rsidRDefault="00A90B05" w:rsidP="00A90B05">
      <w:pPr>
        <w:suppressAutoHyphens w:val="0"/>
        <w:autoSpaceDN/>
        <w:spacing w:after="0" w:line="480" w:lineRule="auto"/>
        <w:textAlignment w:val="auto"/>
        <w:rPr>
          <w:sz w:val="24"/>
          <w:szCs w:val="24"/>
        </w:rPr>
      </w:pPr>
    </w:p>
    <w:p w14:paraId="5E954B8A" w14:textId="77777777" w:rsidR="00A90B05" w:rsidRPr="00BA2696" w:rsidRDefault="00A90B05" w:rsidP="00A90B05">
      <w:pPr>
        <w:pStyle w:val="Heading4"/>
        <w:spacing w:before="0" w:after="240" w:line="250" w:lineRule="auto"/>
      </w:pPr>
      <w:r w:rsidRPr="00BA2696">
        <w:t>Reverse racism</w:t>
      </w:r>
    </w:p>
    <w:p w14:paraId="207FC57A" w14:textId="77777777" w:rsidR="00A90B05" w:rsidRPr="00BA2696" w:rsidRDefault="00A90B05" w:rsidP="00A90B05">
      <w:pPr>
        <w:suppressAutoHyphens w:val="0"/>
        <w:autoSpaceDN/>
        <w:spacing w:after="0" w:line="480" w:lineRule="auto"/>
        <w:textAlignment w:val="auto"/>
        <w:rPr>
          <w:sz w:val="24"/>
          <w:szCs w:val="24"/>
        </w:rPr>
      </w:pPr>
      <w:r w:rsidRPr="00BA2696">
        <w:rPr>
          <w:sz w:val="24"/>
          <w:szCs w:val="24"/>
        </w:rPr>
        <w:t>It has been demonstrated thus far, that talking about ‘race’, racism and whiteness was intellectually and emotional</w:t>
      </w:r>
      <w:r>
        <w:rPr>
          <w:sz w:val="24"/>
          <w:szCs w:val="24"/>
        </w:rPr>
        <w:t>ly</w:t>
      </w:r>
      <w:r w:rsidRPr="00BA2696">
        <w:rPr>
          <w:sz w:val="24"/>
          <w:szCs w:val="24"/>
        </w:rPr>
        <w:t xml:space="preserve"> difficult for the participants and may explain why ‘race’ was avoided during the participant-observations in the limited opportunities for discussion within the classroom setting. Thus, the interview itself perhaps allowed the participants white ignorance to be disrupted for the first time. For some of the participants, this White Ignorance Disruption led to attack being used as a form of defence as demonstrated through a belief in reverse racism. Sue (2015, p. 140) suggests that defensiveness and anger are emotions some white people experience when talking about ‘race’. </w:t>
      </w:r>
    </w:p>
    <w:p w14:paraId="60C792B7" w14:textId="77777777" w:rsidR="00A90B05" w:rsidRPr="00BA2696" w:rsidRDefault="00A90B05" w:rsidP="00A90B05">
      <w:pPr>
        <w:suppressAutoHyphens w:val="0"/>
        <w:autoSpaceDN/>
        <w:spacing w:after="0" w:line="480" w:lineRule="auto"/>
        <w:textAlignment w:val="auto"/>
        <w:rPr>
          <w:sz w:val="24"/>
          <w:szCs w:val="24"/>
        </w:rPr>
      </w:pPr>
    </w:p>
    <w:p w14:paraId="63545590" w14:textId="77777777" w:rsidR="00A90B05" w:rsidRPr="00BA2696" w:rsidRDefault="00A90B05" w:rsidP="00A90B05">
      <w:pPr>
        <w:suppressAutoHyphens w:val="0"/>
        <w:autoSpaceDN/>
        <w:spacing w:after="0" w:line="480" w:lineRule="auto"/>
        <w:textAlignment w:val="auto"/>
        <w:rPr>
          <w:sz w:val="24"/>
          <w:szCs w:val="24"/>
        </w:rPr>
      </w:pPr>
      <w:r w:rsidRPr="00BA2696">
        <w:rPr>
          <w:sz w:val="24"/>
          <w:szCs w:val="24"/>
        </w:rPr>
        <w:t xml:space="preserve">Reverse racism is a belief that racism can be experienced by white people at the hands of other racialised groups, without considering the historical and contemporary racial power dynamics between whites and people of colour. Kobler (2017, p. 1) argues that reverse racism is a combination of ‘colour-blindness, the denial of white privilege, and white victimhood’, when combined, these ‘work in concert to perpetuate racial inequalities’ (Kobler, 2017, p. 1). In this research, it was found that the participants had colour-blind attitudes (Theme 3, Section 6.5) and that whiteness was a de-racialised identity; arguably a denial in itself of the historical and contemporary benefits of being white. Reverse racism is </w:t>
      </w:r>
      <w:r w:rsidRPr="00BA2696">
        <w:rPr>
          <w:sz w:val="24"/>
          <w:szCs w:val="24"/>
        </w:rPr>
        <w:lastRenderedPageBreak/>
        <w:t>predicated on a belief that racial minorities progress comes at the cost of anti-white bias (</w:t>
      </w:r>
      <w:bookmarkStart w:id="45" w:name="_Hlk44509318"/>
      <w:r w:rsidRPr="00BA2696">
        <w:rPr>
          <w:sz w:val="24"/>
          <w:szCs w:val="24"/>
        </w:rPr>
        <w:t>Norton and Sommers, 2011</w:t>
      </w:r>
      <w:bookmarkEnd w:id="45"/>
      <w:r w:rsidRPr="00BA2696">
        <w:rPr>
          <w:sz w:val="24"/>
          <w:szCs w:val="24"/>
        </w:rPr>
        <w:t xml:space="preserve">; Wilkens and Kaiser, 2014). However, as demonstrated throughout the findings of this research, there was a disconnection between the participants’ understanding of ‘race’, racism and whiteness and the broader socio-political context. This was seen in Phil’s comment that on social media, there is: </w:t>
      </w:r>
    </w:p>
    <w:p w14:paraId="35636269" w14:textId="77777777" w:rsidR="00A90B05" w:rsidRPr="00BA2696" w:rsidRDefault="00A90B05" w:rsidP="00A90B05">
      <w:pPr>
        <w:suppressAutoHyphens w:val="0"/>
        <w:autoSpaceDN/>
        <w:spacing w:after="120" w:line="240" w:lineRule="auto"/>
        <w:ind w:left="1287" w:right="567" w:hanging="720"/>
        <w:textAlignment w:val="auto"/>
        <w:rPr>
          <w:sz w:val="24"/>
          <w:szCs w:val="24"/>
        </w:rPr>
      </w:pPr>
      <w:r w:rsidRPr="00BA2696">
        <w:rPr>
          <w:sz w:val="24"/>
          <w:szCs w:val="24"/>
        </w:rPr>
        <w:t>Phil: …plenty of black power but you start shouting ‘white power’ it would be a whole different ball game, you’d be arrested for it.</w:t>
      </w:r>
    </w:p>
    <w:p w14:paraId="40C31B9A" w14:textId="77777777" w:rsidR="00A90B05" w:rsidRPr="00BA2696" w:rsidRDefault="00A90B05" w:rsidP="00A90B05">
      <w:pPr>
        <w:suppressAutoHyphens w:val="0"/>
        <w:autoSpaceDN/>
        <w:spacing w:after="0" w:line="480" w:lineRule="auto"/>
        <w:ind w:right="567"/>
        <w:textAlignment w:val="auto"/>
        <w:rPr>
          <w:sz w:val="24"/>
          <w:szCs w:val="24"/>
        </w:rPr>
      </w:pPr>
    </w:p>
    <w:p w14:paraId="1806CB66" w14:textId="77777777" w:rsidR="00A90B05" w:rsidRPr="00BA2696" w:rsidRDefault="00A90B05" w:rsidP="00A90B05">
      <w:pPr>
        <w:suppressAutoHyphens w:val="0"/>
        <w:autoSpaceDN/>
        <w:spacing w:after="0" w:line="480" w:lineRule="auto"/>
        <w:textAlignment w:val="auto"/>
        <w:rPr>
          <w:sz w:val="24"/>
          <w:szCs w:val="24"/>
        </w:rPr>
      </w:pPr>
      <w:r w:rsidRPr="00BA2696">
        <w:rPr>
          <w:sz w:val="24"/>
          <w:szCs w:val="24"/>
        </w:rPr>
        <w:t xml:space="preserve">This illustrates a lack of awareness regarding the political histories of white power and black power and what they mean. Although Anne did not use the term reverse racism, her self-confessed angry response to my question </w:t>
      </w:r>
      <w:r w:rsidRPr="00BA2696">
        <w:rPr>
          <w:i/>
          <w:iCs/>
          <w:sz w:val="24"/>
          <w:szCs w:val="24"/>
        </w:rPr>
        <w:t xml:space="preserve">‘what does being white mean to you?’ </w:t>
      </w:r>
      <w:r w:rsidRPr="00BA2696">
        <w:rPr>
          <w:sz w:val="24"/>
          <w:szCs w:val="24"/>
        </w:rPr>
        <w:t xml:space="preserve">was focused on feelings of discrimination at whiteness being mentioned, contending that: </w:t>
      </w:r>
    </w:p>
    <w:p w14:paraId="57B5C379" w14:textId="77777777" w:rsidR="00A90B05" w:rsidRPr="00BA2696" w:rsidRDefault="00A90B05" w:rsidP="00A90B05">
      <w:pPr>
        <w:suppressAutoHyphens w:val="0"/>
        <w:autoSpaceDN/>
        <w:spacing w:after="120" w:line="240" w:lineRule="auto"/>
        <w:ind w:left="1287" w:right="567" w:hanging="720"/>
        <w:textAlignment w:val="auto"/>
        <w:rPr>
          <w:sz w:val="24"/>
          <w:szCs w:val="24"/>
        </w:rPr>
      </w:pPr>
      <w:r w:rsidRPr="00BA2696">
        <w:rPr>
          <w:sz w:val="24"/>
          <w:szCs w:val="24"/>
        </w:rPr>
        <w:t>Anne: it's a question that doesn't need to be asked.</w:t>
      </w:r>
    </w:p>
    <w:p w14:paraId="7318D45E" w14:textId="77777777" w:rsidR="00A90B05" w:rsidRPr="00BA2696" w:rsidRDefault="00A90B05" w:rsidP="00A90B05">
      <w:pPr>
        <w:suppressAutoHyphens w:val="0"/>
        <w:autoSpaceDN/>
        <w:spacing w:after="0" w:line="480" w:lineRule="auto"/>
        <w:ind w:right="567"/>
        <w:textAlignment w:val="auto"/>
        <w:rPr>
          <w:sz w:val="24"/>
          <w:szCs w:val="24"/>
        </w:rPr>
      </w:pPr>
    </w:p>
    <w:p w14:paraId="1A980B11" w14:textId="77777777" w:rsidR="00A90B05" w:rsidRPr="00BA2696" w:rsidRDefault="00A90B05" w:rsidP="00A90B05">
      <w:pPr>
        <w:suppressAutoHyphens w:val="0"/>
        <w:autoSpaceDN/>
        <w:spacing w:after="0" w:line="480" w:lineRule="auto"/>
        <w:textAlignment w:val="auto"/>
        <w:rPr>
          <w:sz w:val="24"/>
          <w:szCs w:val="24"/>
        </w:rPr>
      </w:pPr>
      <w:r w:rsidRPr="00BA2696">
        <w:rPr>
          <w:sz w:val="24"/>
          <w:szCs w:val="24"/>
        </w:rPr>
        <w:t xml:space="preserve">Moreover, Anne felt </w:t>
      </w:r>
      <w:r w:rsidRPr="00BA2696">
        <w:rPr>
          <w:i/>
          <w:iCs/>
          <w:sz w:val="24"/>
          <w:szCs w:val="24"/>
        </w:rPr>
        <w:t>‘uncomfortable’</w:t>
      </w:r>
      <w:r w:rsidRPr="00BA2696">
        <w:rPr>
          <w:sz w:val="24"/>
          <w:szCs w:val="24"/>
        </w:rPr>
        <w:t xml:space="preserve"> and </w:t>
      </w:r>
      <w:r w:rsidRPr="00BA2696">
        <w:rPr>
          <w:i/>
          <w:iCs/>
          <w:sz w:val="24"/>
          <w:szCs w:val="24"/>
        </w:rPr>
        <w:t>‘insulted’</w:t>
      </w:r>
      <w:r w:rsidRPr="00BA2696">
        <w:rPr>
          <w:sz w:val="24"/>
          <w:szCs w:val="24"/>
        </w:rPr>
        <w:t xml:space="preserve"> by the question. Her demeanour changed to the extent that I said to her: </w:t>
      </w:r>
    </w:p>
    <w:p w14:paraId="55ED5AD3" w14:textId="77777777" w:rsidR="00A90B05" w:rsidRPr="00BA2696" w:rsidRDefault="00A90B05" w:rsidP="00A90B05">
      <w:pPr>
        <w:suppressAutoHyphens w:val="0"/>
        <w:autoSpaceDN/>
        <w:spacing w:after="120" w:line="240" w:lineRule="auto"/>
        <w:ind w:left="1287" w:right="567" w:hanging="720"/>
        <w:textAlignment w:val="auto"/>
        <w:rPr>
          <w:sz w:val="24"/>
          <w:szCs w:val="24"/>
        </w:rPr>
      </w:pPr>
      <w:r w:rsidRPr="00BA2696">
        <w:rPr>
          <w:sz w:val="24"/>
          <w:szCs w:val="24"/>
        </w:rPr>
        <w:t>RS: I can see the colour</w:t>
      </w:r>
      <w:r>
        <w:rPr>
          <w:sz w:val="24"/>
          <w:szCs w:val="24"/>
        </w:rPr>
        <w:t xml:space="preserve"> in</w:t>
      </w:r>
      <w:r w:rsidRPr="00BA2696">
        <w:rPr>
          <w:sz w:val="24"/>
          <w:szCs w:val="24"/>
        </w:rPr>
        <w:t xml:space="preserve"> your cheeks have raised a bit, slightly, as well, so I can see that me asking that question has perhaps annoyed you.</w:t>
      </w:r>
    </w:p>
    <w:p w14:paraId="0DC22DB7" w14:textId="77777777" w:rsidR="00A90B05" w:rsidRPr="00BA2696" w:rsidRDefault="00A90B05" w:rsidP="00A90B05">
      <w:pPr>
        <w:suppressAutoHyphens w:val="0"/>
        <w:autoSpaceDN/>
        <w:spacing w:after="0" w:line="480" w:lineRule="auto"/>
        <w:ind w:right="567"/>
        <w:textAlignment w:val="auto"/>
        <w:rPr>
          <w:sz w:val="24"/>
          <w:szCs w:val="24"/>
        </w:rPr>
      </w:pPr>
    </w:p>
    <w:p w14:paraId="6D608FE2" w14:textId="77777777" w:rsidR="00A90B05" w:rsidRPr="00BA2696" w:rsidRDefault="00A90B05" w:rsidP="00A90B05">
      <w:pPr>
        <w:suppressAutoHyphens w:val="0"/>
        <w:autoSpaceDN/>
        <w:spacing w:after="0" w:line="480" w:lineRule="auto"/>
        <w:textAlignment w:val="auto"/>
        <w:rPr>
          <w:sz w:val="24"/>
          <w:szCs w:val="24"/>
        </w:rPr>
      </w:pPr>
      <w:r w:rsidRPr="00BA2696">
        <w:rPr>
          <w:sz w:val="24"/>
          <w:szCs w:val="24"/>
        </w:rPr>
        <w:t>In this instance my training and experience as a trauma counsellor was useful, as part of</w:t>
      </w:r>
      <w:r>
        <w:rPr>
          <w:sz w:val="24"/>
          <w:szCs w:val="24"/>
        </w:rPr>
        <w:t xml:space="preserve"> the</w:t>
      </w:r>
      <w:r w:rsidRPr="00BA2696">
        <w:rPr>
          <w:sz w:val="24"/>
          <w:szCs w:val="24"/>
        </w:rPr>
        <w:t xml:space="preserve"> role requires listening to not only what is being said and how it is being said, but also being aware of physiological changes in a person which may indicate unspoken feelings. By verbalising that the colour of her cheeks had changed, I was recognising that </w:t>
      </w:r>
      <w:r w:rsidRPr="00BA2696">
        <w:rPr>
          <w:i/>
          <w:iCs/>
          <w:sz w:val="24"/>
          <w:szCs w:val="24"/>
        </w:rPr>
        <w:t>something</w:t>
      </w:r>
      <w:r w:rsidRPr="00BA2696">
        <w:rPr>
          <w:sz w:val="24"/>
          <w:szCs w:val="24"/>
        </w:rPr>
        <w:t xml:space="preserve"> had happened physiologically to Anne in relation to the question of whiteness. Sullivan (2014b) argues that white ignorance functions not only cognitively but physically and that educators should pay as much attention to the physiological reactions of white students as they do to </w:t>
      </w:r>
      <w:r w:rsidRPr="00BA2696">
        <w:rPr>
          <w:sz w:val="24"/>
          <w:szCs w:val="24"/>
        </w:rPr>
        <w:lastRenderedPageBreak/>
        <w:t xml:space="preserve">their cognitive ones. Therefore, the ‘disruptor’ should be aware that White Ignorance Disruption may be expressed physically as well as intellectually and emotionally. </w:t>
      </w:r>
    </w:p>
    <w:p w14:paraId="2C7CB91B" w14:textId="77777777" w:rsidR="00A90B05" w:rsidRPr="00BA2696" w:rsidRDefault="00A90B05" w:rsidP="00A90B05">
      <w:pPr>
        <w:suppressAutoHyphens w:val="0"/>
        <w:autoSpaceDN/>
        <w:spacing w:after="0" w:line="480" w:lineRule="auto"/>
        <w:ind w:right="567"/>
        <w:textAlignment w:val="auto"/>
        <w:rPr>
          <w:sz w:val="24"/>
          <w:szCs w:val="24"/>
        </w:rPr>
      </w:pPr>
    </w:p>
    <w:p w14:paraId="47D5F8C8" w14:textId="77777777" w:rsidR="00A90B05" w:rsidRDefault="00A90B05" w:rsidP="00A90B05">
      <w:pPr>
        <w:suppressAutoHyphens w:val="0"/>
        <w:autoSpaceDN/>
        <w:spacing w:after="0" w:line="480" w:lineRule="auto"/>
        <w:textAlignment w:val="auto"/>
        <w:rPr>
          <w:sz w:val="24"/>
          <w:szCs w:val="24"/>
        </w:rPr>
      </w:pPr>
      <w:r w:rsidRPr="00BA2696">
        <w:rPr>
          <w:sz w:val="24"/>
          <w:szCs w:val="24"/>
        </w:rPr>
        <w:t>In her answer, Anne recognised that being white meant she might not be stopped by the police as much as black person but did not critically engage with this comment. Therefore, it seems unlikely that the expressions of reverse racism by Anne and Phil came from a perception of racial minority advantage due</w:t>
      </w:r>
      <w:r>
        <w:rPr>
          <w:sz w:val="24"/>
          <w:szCs w:val="24"/>
        </w:rPr>
        <w:t xml:space="preserve"> to </w:t>
      </w:r>
      <w:r w:rsidRPr="00BA2696">
        <w:rPr>
          <w:sz w:val="24"/>
          <w:szCs w:val="24"/>
        </w:rPr>
        <w:t xml:space="preserve">anti-white bias (Norton and Sommers, 2011; Wilkens and Kaiser, 2014) as they did not express any resentment toward racial minorities progression. Rather, it seemed to stem from the questioning of whiteness, specifically my research questions.  </w:t>
      </w:r>
    </w:p>
    <w:p w14:paraId="76B5DE6E" w14:textId="77777777" w:rsidR="00A90B05" w:rsidRPr="00D10746" w:rsidRDefault="00A90B05" w:rsidP="00A90B05">
      <w:pPr>
        <w:suppressAutoHyphens w:val="0"/>
        <w:autoSpaceDN/>
        <w:spacing w:after="0" w:line="480" w:lineRule="auto"/>
        <w:textAlignment w:val="auto"/>
        <w:rPr>
          <w:sz w:val="24"/>
          <w:szCs w:val="24"/>
        </w:rPr>
      </w:pPr>
    </w:p>
    <w:p w14:paraId="3A2310A1" w14:textId="77777777" w:rsidR="00A90B05" w:rsidRPr="00D10746" w:rsidRDefault="00A90B05" w:rsidP="00A90B05">
      <w:pPr>
        <w:suppressAutoHyphens w:val="0"/>
        <w:autoSpaceDN/>
        <w:spacing w:after="0" w:line="480" w:lineRule="auto"/>
        <w:textAlignment w:val="auto"/>
        <w:rPr>
          <w:sz w:val="24"/>
          <w:szCs w:val="24"/>
        </w:rPr>
      </w:pPr>
      <w:r w:rsidRPr="00D10746">
        <w:rPr>
          <w:sz w:val="24"/>
          <w:szCs w:val="24"/>
        </w:rPr>
        <w:t>Better suited to understand Anne and Phil’s responses is Titley’s (2019) concept of the ‘debatability’ of racism. This refers to:</w:t>
      </w:r>
    </w:p>
    <w:p w14:paraId="6E41D544" w14:textId="77777777" w:rsidR="00A90B05" w:rsidRPr="00BA2696" w:rsidRDefault="00A90B05" w:rsidP="00A90B05">
      <w:pPr>
        <w:suppressAutoHyphens w:val="0"/>
        <w:autoSpaceDN/>
        <w:spacing w:after="0" w:line="240" w:lineRule="auto"/>
        <w:ind w:left="567" w:right="567"/>
        <w:textAlignment w:val="auto"/>
        <w:rPr>
          <w:sz w:val="24"/>
          <w:szCs w:val="24"/>
        </w:rPr>
      </w:pPr>
      <w:r w:rsidRPr="00BA2696">
        <w:rPr>
          <w:sz w:val="24"/>
          <w:szCs w:val="24"/>
        </w:rPr>
        <w:t>the constant contest as to what constitutes as racism, as to whose ‘definition’ and voice counts, and as to the consequences that should stem from these fractious forms of public recognition and denial (Titley, 2019, p. 3)</w:t>
      </w:r>
    </w:p>
    <w:p w14:paraId="6E9F774E" w14:textId="77777777" w:rsidR="00A90B05" w:rsidRPr="00BA2696" w:rsidRDefault="00A90B05" w:rsidP="00A90B05">
      <w:pPr>
        <w:suppressAutoHyphens w:val="0"/>
        <w:autoSpaceDN/>
        <w:spacing w:after="0" w:line="480" w:lineRule="auto"/>
        <w:ind w:left="567" w:right="567"/>
        <w:textAlignment w:val="auto"/>
        <w:rPr>
          <w:sz w:val="24"/>
          <w:szCs w:val="24"/>
        </w:rPr>
      </w:pPr>
    </w:p>
    <w:p w14:paraId="76B0D0DC" w14:textId="77777777" w:rsidR="00A90B05" w:rsidRDefault="00A90B05" w:rsidP="00A90B05">
      <w:pPr>
        <w:suppressAutoHyphens w:val="0"/>
        <w:autoSpaceDN/>
        <w:spacing w:after="0" w:line="480" w:lineRule="auto"/>
        <w:textAlignment w:val="auto"/>
        <w:rPr>
          <w:sz w:val="24"/>
          <w:szCs w:val="24"/>
        </w:rPr>
      </w:pPr>
      <w:r w:rsidRPr="00BA2696">
        <w:rPr>
          <w:sz w:val="24"/>
          <w:szCs w:val="24"/>
        </w:rPr>
        <w:t xml:space="preserve">Titley (2019) uses debatability to understand media discourse around racism in the so-called ‘post-racial’ era. However, it has resonance here as Anne and Phil engaged in a literal and figurative debate about my questioning of whiteness. It was literal in Anne’s feeling that it had </w:t>
      </w:r>
      <w:r w:rsidRPr="00BA2696">
        <w:rPr>
          <w:i/>
          <w:iCs/>
          <w:sz w:val="24"/>
          <w:szCs w:val="24"/>
        </w:rPr>
        <w:t>‘no purpose’</w:t>
      </w:r>
      <w:r w:rsidRPr="00BA2696">
        <w:rPr>
          <w:sz w:val="24"/>
          <w:szCs w:val="24"/>
        </w:rPr>
        <w:t xml:space="preserve"> or relevance and in Phil’s feeling (and </w:t>
      </w:r>
      <w:r>
        <w:rPr>
          <w:sz w:val="24"/>
          <w:szCs w:val="24"/>
        </w:rPr>
        <w:t>assertion</w:t>
      </w:r>
      <w:r w:rsidRPr="00D10746">
        <w:rPr>
          <w:sz w:val="24"/>
          <w:szCs w:val="24"/>
        </w:rPr>
        <w:t xml:space="preserve"> that other research participants felt the same) that the working title of this research was racist.</w:t>
      </w:r>
      <w:r>
        <w:rPr>
          <w:sz w:val="24"/>
          <w:szCs w:val="24"/>
        </w:rPr>
        <w:t xml:space="preserve"> </w:t>
      </w:r>
      <w:r w:rsidRPr="00BA2696">
        <w:rPr>
          <w:sz w:val="24"/>
          <w:szCs w:val="24"/>
        </w:rPr>
        <w:t xml:space="preserve">It also felt like a figurative debate as they seemed to be debating the purpose of talking about whiteness </w:t>
      </w:r>
      <w:r w:rsidRPr="00BA2696">
        <w:rPr>
          <w:i/>
          <w:iCs/>
          <w:sz w:val="24"/>
          <w:szCs w:val="24"/>
        </w:rPr>
        <w:t>at all.</w:t>
      </w:r>
      <w:r w:rsidRPr="00BA2696">
        <w:rPr>
          <w:sz w:val="24"/>
          <w:szCs w:val="24"/>
        </w:rPr>
        <w:t xml:space="preserve"> As explained earlier, this led me to question why I was doing this</w:t>
      </w:r>
      <w:r>
        <w:rPr>
          <w:sz w:val="24"/>
          <w:szCs w:val="24"/>
        </w:rPr>
        <w:t xml:space="preserve"> research</w:t>
      </w:r>
      <w:r w:rsidRPr="00BA2696">
        <w:rPr>
          <w:sz w:val="24"/>
          <w:szCs w:val="24"/>
        </w:rPr>
        <w:t xml:space="preserve"> and whether I was helping or hindering the field of ‘race’ scholarship. </w:t>
      </w:r>
    </w:p>
    <w:p w14:paraId="78498CEB" w14:textId="77777777" w:rsidR="00A90B05" w:rsidRDefault="00A90B05" w:rsidP="00A90B05">
      <w:pPr>
        <w:suppressAutoHyphens w:val="0"/>
        <w:autoSpaceDN/>
        <w:spacing w:after="0" w:line="480" w:lineRule="auto"/>
        <w:textAlignment w:val="auto"/>
        <w:rPr>
          <w:sz w:val="24"/>
          <w:szCs w:val="24"/>
        </w:rPr>
      </w:pPr>
    </w:p>
    <w:p w14:paraId="38AFFD18" w14:textId="77777777" w:rsidR="00A90B05" w:rsidRPr="00BA2696" w:rsidRDefault="00A90B05" w:rsidP="00A90B05">
      <w:pPr>
        <w:suppressAutoHyphens w:val="0"/>
        <w:autoSpaceDN/>
        <w:spacing w:after="0" w:line="480" w:lineRule="auto"/>
        <w:textAlignment w:val="auto"/>
        <w:rPr>
          <w:sz w:val="24"/>
          <w:szCs w:val="24"/>
        </w:rPr>
      </w:pPr>
      <w:r w:rsidRPr="00BA2696">
        <w:rPr>
          <w:sz w:val="24"/>
          <w:szCs w:val="24"/>
        </w:rPr>
        <w:t>Further, it shook me out of the trap of being the ‘good white person’ (Sullivan, 2014a). Nonetheless, questioning whiteness was understood by Anne and Phil as unnecessary at best and racist at worst. Anne’s anger could also be interpreted as ‘white rage’ or the anger felt when white people feel resentful about racial progress and ‘push back’ against it (Spanierman and Cabrera 2015; Anders</w:t>
      </w:r>
      <w:r>
        <w:rPr>
          <w:sz w:val="24"/>
          <w:szCs w:val="24"/>
        </w:rPr>
        <w:t>e</w:t>
      </w:r>
      <w:r w:rsidRPr="00BA2696">
        <w:rPr>
          <w:sz w:val="24"/>
          <w:szCs w:val="24"/>
        </w:rPr>
        <w:t>n, 2017). However, it did not feel like rage in the room, and it was not linked to verbalised resentment about racial progress. Rather, the anger may have stemmed from being disrupted from her colour-blind attitude through being asked about whiteness and the perception that doing so was racist. Colour-blindness will be discussed in Theme 3 (Section 6.5).</w:t>
      </w:r>
    </w:p>
    <w:p w14:paraId="528D66F2" w14:textId="77777777" w:rsidR="00A90B05" w:rsidRPr="00BA2696" w:rsidRDefault="00A90B05" w:rsidP="00A90B05">
      <w:pPr>
        <w:suppressAutoHyphens w:val="0"/>
        <w:autoSpaceDN/>
        <w:spacing w:after="0" w:line="480" w:lineRule="auto"/>
        <w:textAlignment w:val="auto"/>
        <w:rPr>
          <w:sz w:val="24"/>
          <w:szCs w:val="24"/>
        </w:rPr>
      </w:pPr>
      <w:r w:rsidRPr="00BA2696">
        <w:rPr>
          <w:sz w:val="24"/>
          <w:szCs w:val="24"/>
        </w:rPr>
        <w:t xml:space="preserve">It may seem ironic that Anne and Phil’s understanding of racism was uncertain (along with other participants), yet they seemed sure that the questioning of whiteness was discriminatory, even racist. In this context, Lentin’s (2020) theory of ‘not racism’ is useful. Furthering Titley’s (2019) concept, Lentin (2020, p. 56) uses ‘not racism’ to describe ‘the constant redefinition of racism to suit white agendas’. In this way, white people controlling the definition of racism serves the specific purpose of upholding white supremacy. Lentin (2020) argues that suggestions of white-bias and reverse racism by white people, fall into ‘not racism’. This results in what she calls ‘discursive racist violence’ (Lentin, 2020, p. 62) as the use of ‘not racism’ allows white people to tell people of colour what they are experiencing is not racism and deny their lived reality. </w:t>
      </w:r>
    </w:p>
    <w:p w14:paraId="15B33AF7" w14:textId="77777777" w:rsidR="00A90B05" w:rsidRPr="00BA2696" w:rsidRDefault="00A90B05" w:rsidP="00A90B05">
      <w:pPr>
        <w:suppressAutoHyphens w:val="0"/>
        <w:autoSpaceDN/>
        <w:spacing w:after="0" w:line="480" w:lineRule="auto"/>
        <w:ind w:right="567"/>
        <w:textAlignment w:val="auto"/>
        <w:rPr>
          <w:sz w:val="24"/>
          <w:szCs w:val="24"/>
        </w:rPr>
      </w:pPr>
    </w:p>
    <w:p w14:paraId="17E9E289" w14:textId="77777777" w:rsidR="00A90B05" w:rsidRPr="00BA2696" w:rsidRDefault="00A90B05" w:rsidP="00A90B05">
      <w:pPr>
        <w:suppressAutoHyphens w:val="0"/>
        <w:autoSpaceDN/>
        <w:spacing w:after="0" w:line="480" w:lineRule="auto"/>
        <w:textAlignment w:val="auto"/>
        <w:rPr>
          <w:sz w:val="24"/>
          <w:szCs w:val="24"/>
        </w:rPr>
      </w:pPr>
      <w:r w:rsidRPr="00BA2696">
        <w:rPr>
          <w:sz w:val="24"/>
          <w:szCs w:val="24"/>
        </w:rPr>
        <w:t>Perhaps this could be seen in Vix’s feeling</w:t>
      </w:r>
      <w:r>
        <w:rPr>
          <w:sz w:val="24"/>
          <w:szCs w:val="24"/>
        </w:rPr>
        <w:t xml:space="preserve"> that</w:t>
      </w:r>
      <w:r w:rsidRPr="00BA2696">
        <w:rPr>
          <w:sz w:val="24"/>
          <w:szCs w:val="24"/>
        </w:rPr>
        <w:t xml:space="preserve"> she has experienced reverse racism through online criticism from black women about her enjoyment of styling black hair. Vix was unable </w:t>
      </w:r>
      <w:r w:rsidRPr="00BA2696">
        <w:rPr>
          <w:sz w:val="24"/>
          <w:szCs w:val="24"/>
        </w:rPr>
        <w:lastRenderedPageBreak/>
        <w:t>to view this criticism in a socio-political context, feeling personally attacked for expressing her opinion:</w:t>
      </w:r>
    </w:p>
    <w:p w14:paraId="02A45C38" w14:textId="77777777" w:rsidR="00A90B05" w:rsidRPr="00BA2696" w:rsidRDefault="00A90B05" w:rsidP="00A90B05">
      <w:pPr>
        <w:suppressAutoHyphens w:val="0"/>
        <w:autoSpaceDN/>
        <w:spacing w:after="120" w:line="240" w:lineRule="auto"/>
        <w:ind w:left="1287" w:right="567" w:hanging="720"/>
        <w:textAlignment w:val="auto"/>
        <w:rPr>
          <w:sz w:val="24"/>
          <w:szCs w:val="24"/>
        </w:rPr>
      </w:pPr>
      <w:r w:rsidRPr="00BA2696">
        <w:rPr>
          <w:sz w:val="24"/>
          <w:szCs w:val="24"/>
        </w:rPr>
        <w:t>Vix: …And then you've got these you know, you've got these, these black women who are coming back going, ‘you shouldn't be doing this. This is our domain’. Is that racist? Certainly prejudiced. And if racism is prejudice, then yeah, you know?</w:t>
      </w:r>
    </w:p>
    <w:p w14:paraId="76727787" w14:textId="77777777" w:rsidR="00A90B05" w:rsidRPr="00BA2696" w:rsidRDefault="00A90B05" w:rsidP="00A90B05">
      <w:pPr>
        <w:suppressAutoHyphens w:val="0"/>
        <w:autoSpaceDN/>
        <w:spacing w:after="0" w:line="480" w:lineRule="auto"/>
        <w:textAlignment w:val="auto"/>
        <w:rPr>
          <w:sz w:val="24"/>
          <w:szCs w:val="24"/>
        </w:rPr>
      </w:pPr>
    </w:p>
    <w:p w14:paraId="2060762D" w14:textId="77777777" w:rsidR="00A90B05" w:rsidRPr="00BA2696" w:rsidRDefault="00A90B05" w:rsidP="00A90B05">
      <w:pPr>
        <w:suppressAutoHyphens w:val="0"/>
        <w:autoSpaceDN/>
        <w:spacing w:after="0" w:line="480" w:lineRule="auto"/>
        <w:textAlignment w:val="auto"/>
        <w:rPr>
          <w:sz w:val="24"/>
          <w:szCs w:val="24"/>
        </w:rPr>
      </w:pPr>
      <w:r w:rsidRPr="00BA2696">
        <w:rPr>
          <w:sz w:val="24"/>
          <w:szCs w:val="24"/>
        </w:rPr>
        <w:t xml:space="preserve">Vix’s apparent inability to understand or empathise with the black women’s criticism and feelings about a white woman styling black hair could be seen as ‘not racism’ (Lentin, 2020) in action as Vix re-orientated feelings of prejudice onto herself. This allows insight into how someone may redefine black women’s feelings of racism to position </w:t>
      </w:r>
      <w:r>
        <w:rPr>
          <w:sz w:val="24"/>
          <w:szCs w:val="24"/>
        </w:rPr>
        <w:t>oneself as</w:t>
      </w:r>
      <w:r w:rsidRPr="00BA2696">
        <w:rPr>
          <w:sz w:val="24"/>
          <w:szCs w:val="24"/>
        </w:rPr>
        <w:t xml:space="preserve"> the recipient of reverse racism may be expressed. The socio-political disconnection is also evident as Vix seems unaware of what has been called the ‘politics of black hair’ </w:t>
      </w:r>
      <w:bookmarkStart w:id="46" w:name="_Hlk52884985"/>
      <w:r w:rsidRPr="00BA2696">
        <w:rPr>
          <w:sz w:val="24"/>
          <w:szCs w:val="24"/>
        </w:rPr>
        <w:t>(Barrett, 2016)</w:t>
      </w:r>
      <w:bookmarkEnd w:id="46"/>
      <w:r w:rsidRPr="00BA2696">
        <w:rPr>
          <w:sz w:val="24"/>
          <w:szCs w:val="24"/>
        </w:rPr>
        <w:t xml:space="preserve"> whereby Eurocentric beauty standards are placed onto black women (</w:t>
      </w:r>
      <w:bookmarkStart w:id="47" w:name="_Hlk52884926"/>
      <w:r w:rsidRPr="00BA2696">
        <w:rPr>
          <w:sz w:val="24"/>
          <w:szCs w:val="24"/>
        </w:rPr>
        <w:t xml:space="preserve">Gentles-Peart, 2018). </w:t>
      </w:r>
      <w:bookmarkEnd w:id="47"/>
      <w:r w:rsidRPr="00BA2696">
        <w:rPr>
          <w:sz w:val="24"/>
          <w:szCs w:val="24"/>
        </w:rPr>
        <w:t xml:space="preserve">The tension between white and black women about hair is not a recent phenomenon. During the slave trade, white women would punish black female slaves by shaving their hair for ‘minor transgressions’ </w:t>
      </w:r>
      <w:bookmarkStart w:id="48" w:name="_Hlk52885007"/>
      <w:r w:rsidRPr="00BA2696">
        <w:rPr>
          <w:sz w:val="24"/>
          <w:szCs w:val="24"/>
        </w:rPr>
        <w:t>(Dabiri, 2020</w:t>
      </w:r>
      <w:bookmarkEnd w:id="48"/>
      <w:r w:rsidRPr="00BA2696">
        <w:rPr>
          <w:sz w:val="24"/>
          <w:szCs w:val="24"/>
        </w:rPr>
        <w:t>, p. 116). Consequently, the criticism Vix interpreted as reverse racism, is loaded with historical and contemporary meaning and is representative of power imbalances between black and white women. Additionally, it is relevant that the criticism Vix received took place online, as black women have found online spaces valuable in embracing and accepting their natural hair and rejecting white European beauty ideals (</w:t>
      </w:r>
      <w:bookmarkStart w:id="49" w:name="_Hlk52885055"/>
      <w:r w:rsidRPr="00BA2696">
        <w:rPr>
          <w:sz w:val="24"/>
          <w:szCs w:val="24"/>
        </w:rPr>
        <w:t>Mbunyuza-Memani, 2019</w:t>
      </w:r>
      <w:bookmarkEnd w:id="49"/>
      <w:r w:rsidRPr="00BA2696">
        <w:rPr>
          <w:sz w:val="24"/>
          <w:szCs w:val="24"/>
        </w:rPr>
        <w:t xml:space="preserve">). </w:t>
      </w:r>
    </w:p>
    <w:p w14:paraId="2FA257C4" w14:textId="77777777" w:rsidR="00A90B05" w:rsidRPr="00BA2696" w:rsidRDefault="00A90B05" w:rsidP="00A90B05">
      <w:pPr>
        <w:suppressAutoHyphens w:val="0"/>
        <w:autoSpaceDN/>
        <w:spacing w:after="0" w:line="480" w:lineRule="auto"/>
        <w:textAlignment w:val="auto"/>
        <w:rPr>
          <w:sz w:val="24"/>
          <w:szCs w:val="24"/>
        </w:rPr>
      </w:pPr>
    </w:p>
    <w:p w14:paraId="020DD59F" w14:textId="77777777" w:rsidR="00A90B05" w:rsidRPr="00BA2696" w:rsidRDefault="00A90B05" w:rsidP="00A90B05">
      <w:pPr>
        <w:suppressAutoHyphens w:val="0"/>
        <w:autoSpaceDN/>
        <w:spacing w:after="0" w:line="480" w:lineRule="auto"/>
        <w:textAlignment w:val="auto"/>
        <w:rPr>
          <w:sz w:val="24"/>
          <w:szCs w:val="24"/>
        </w:rPr>
      </w:pPr>
      <w:r w:rsidRPr="00BA2696">
        <w:rPr>
          <w:sz w:val="24"/>
          <w:szCs w:val="24"/>
        </w:rPr>
        <w:t>However, it is recognised that Anne and Phil</w:t>
      </w:r>
      <w:r>
        <w:rPr>
          <w:sz w:val="24"/>
          <w:szCs w:val="24"/>
        </w:rPr>
        <w:t>’s</w:t>
      </w:r>
      <w:r w:rsidRPr="00BA2696">
        <w:rPr>
          <w:sz w:val="24"/>
          <w:szCs w:val="24"/>
        </w:rPr>
        <w:t xml:space="preserve"> assertions of reverse racism may be located in white ignorance (Mills, 2007) in that whiteness was de-racialised and not situated in any meaningful historical or contemporary context. This ignorance meant that this research’s </w:t>
      </w:r>
      <w:r w:rsidRPr="00BA2696">
        <w:rPr>
          <w:sz w:val="24"/>
          <w:szCs w:val="24"/>
        </w:rPr>
        <w:lastRenderedPageBreak/>
        <w:t xml:space="preserve">explicit questioning of whiteness led to White Ignorance Disruption. This resulted in attack being used as a form of defence and expressed through claims of reverse racism. The use of the word ‘attack’ is deliberate because during the interviews it did feel like a personal attack on myself and research, as well as an attack on the questioning of whiteness per se. However, it is possible that any person viewed as the ‘disruptor’ may experience similar strategies of resisting White Ignorance Disruption in an effort to sustain white ignorance (Mills, 2007). </w:t>
      </w:r>
    </w:p>
    <w:p w14:paraId="67C8D8F3" w14:textId="77777777" w:rsidR="00A90B05" w:rsidRPr="00BA2696" w:rsidRDefault="00A90B05" w:rsidP="00A90B05">
      <w:pPr>
        <w:suppressAutoHyphens w:val="0"/>
        <w:autoSpaceDN/>
        <w:spacing w:after="0" w:line="480" w:lineRule="auto"/>
        <w:textAlignment w:val="auto"/>
        <w:rPr>
          <w:sz w:val="24"/>
          <w:szCs w:val="24"/>
        </w:rPr>
      </w:pPr>
    </w:p>
    <w:p w14:paraId="1F37D838" w14:textId="77777777" w:rsidR="00A90B05" w:rsidRPr="00BA2696" w:rsidRDefault="00A90B05" w:rsidP="00A90B05">
      <w:pPr>
        <w:suppressAutoHyphens w:val="0"/>
        <w:autoSpaceDN/>
        <w:spacing w:after="0" w:line="480" w:lineRule="auto"/>
        <w:textAlignment w:val="auto"/>
        <w:rPr>
          <w:sz w:val="24"/>
          <w:szCs w:val="24"/>
        </w:rPr>
      </w:pPr>
      <w:r w:rsidRPr="00BA2696">
        <w:rPr>
          <w:sz w:val="24"/>
          <w:szCs w:val="24"/>
        </w:rPr>
        <w:t xml:space="preserve">Vix’s inability to accept black women’s feelings around white women styling black hair (and the connotations this holds), fits with Lentin’s (2020) ‘not racism’ as she seemed to redefine racism to situate herself as the recipient. Possibly, the criticism from black women meant her white ignorance (Mills, 2007) was disrupted to an extent as she was aware of their opinions but was unable to locate their reasoning in historical racism or Eurocentric beauty standards. It seemed that Vix resisted further engagement or self-reflection through her assertions of reverse racism, consequently white ignorance was sustained. </w:t>
      </w:r>
    </w:p>
    <w:p w14:paraId="3C6EA314" w14:textId="77777777" w:rsidR="00A90B05" w:rsidRPr="00BA2696" w:rsidRDefault="00A90B05" w:rsidP="00A90B05">
      <w:pPr>
        <w:suppressAutoHyphens w:val="0"/>
        <w:autoSpaceDN/>
        <w:spacing w:after="0" w:line="480" w:lineRule="auto"/>
        <w:textAlignment w:val="auto"/>
        <w:rPr>
          <w:sz w:val="24"/>
          <w:szCs w:val="24"/>
        </w:rPr>
      </w:pPr>
    </w:p>
    <w:p w14:paraId="7B72FBB9" w14:textId="77777777" w:rsidR="00A90B05" w:rsidRPr="00BA2696" w:rsidRDefault="00A90B05" w:rsidP="00A90B05">
      <w:pPr>
        <w:suppressAutoHyphens w:val="0"/>
        <w:autoSpaceDN/>
        <w:spacing w:after="0" w:line="480" w:lineRule="auto"/>
        <w:textAlignment w:val="auto"/>
        <w:rPr>
          <w:sz w:val="24"/>
          <w:szCs w:val="24"/>
        </w:rPr>
      </w:pPr>
      <w:r w:rsidRPr="00BA2696">
        <w:rPr>
          <w:sz w:val="24"/>
          <w:szCs w:val="24"/>
        </w:rPr>
        <w:t xml:space="preserve">Therefore, claims of reverse racism through the debatability of racism (Titley, 2019) and the redefinition of racism from a white perspective, known as ‘not racism’ (Lentin, 2020) is understood as the ways in which White Ignorance Disruption was resisted by Anne, Phil and Vix. However, it is also recognised that Anne and Phil’s claims of reverse racism were aimed at me and this research as the question </w:t>
      </w:r>
      <w:r w:rsidRPr="00BA2696">
        <w:rPr>
          <w:i/>
          <w:iCs/>
          <w:sz w:val="24"/>
          <w:szCs w:val="24"/>
        </w:rPr>
        <w:t>‘what does being white mean to you’?</w:t>
      </w:r>
      <w:r w:rsidRPr="00BA2696">
        <w:rPr>
          <w:sz w:val="24"/>
          <w:szCs w:val="24"/>
        </w:rPr>
        <w:t xml:space="preserve"> and the working title of this research</w:t>
      </w:r>
      <w:r w:rsidRPr="00BA2696">
        <w:rPr>
          <w:i/>
          <w:iCs/>
          <w:sz w:val="24"/>
          <w:szCs w:val="24"/>
        </w:rPr>
        <w:t xml:space="preserve"> ‘how do </w:t>
      </w:r>
      <w:r w:rsidRPr="00BA2696">
        <w:rPr>
          <w:sz w:val="24"/>
          <w:szCs w:val="24"/>
        </w:rPr>
        <w:t>white</w:t>
      </w:r>
      <w:r w:rsidRPr="00BA2696">
        <w:rPr>
          <w:i/>
          <w:iCs/>
          <w:sz w:val="24"/>
          <w:szCs w:val="24"/>
        </w:rPr>
        <w:t xml:space="preserve"> trainee counsellors in South Wales define ‘race’ and racism?’</w:t>
      </w:r>
      <w:r w:rsidRPr="00BA2696">
        <w:rPr>
          <w:sz w:val="24"/>
          <w:szCs w:val="24"/>
        </w:rPr>
        <w:t xml:space="preserve"> were seen as racist</w:t>
      </w:r>
      <w:r w:rsidRPr="00BA2696">
        <w:rPr>
          <w:i/>
          <w:iCs/>
          <w:sz w:val="24"/>
          <w:szCs w:val="24"/>
        </w:rPr>
        <w:t>.</w:t>
      </w:r>
      <w:r w:rsidRPr="00BA2696">
        <w:rPr>
          <w:sz w:val="24"/>
          <w:szCs w:val="24"/>
        </w:rPr>
        <w:t xml:space="preserve"> Therefore, any interpretation of their meanings will inevitably be filtered through this accusation. It is acknowledged that this analysis of reverse </w:t>
      </w:r>
      <w:r w:rsidRPr="00BA2696">
        <w:rPr>
          <w:sz w:val="24"/>
          <w:szCs w:val="24"/>
        </w:rPr>
        <w:lastRenderedPageBreak/>
        <w:t>racism and the personal accusations cannot be compartmentalised. Nonetheless, the questioning of whiteness did result in accusations of reverse racism and this is understood as a ‘push back’ against White Ignorance Disruption taking place.</w:t>
      </w:r>
    </w:p>
    <w:p w14:paraId="052FD0A9" w14:textId="77777777" w:rsidR="00A90B05" w:rsidRPr="00BA2696" w:rsidRDefault="00A90B05" w:rsidP="00A90B05">
      <w:pPr>
        <w:suppressAutoHyphens w:val="0"/>
        <w:autoSpaceDN/>
        <w:spacing w:after="0" w:line="480" w:lineRule="auto"/>
        <w:textAlignment w:val="auto"/>
        <w:rPr>
          <w:sz w:val="24"/>
          <w:szCs w:val="24"/>
        </w:rPr>
      </w:pPr>
    </w:p>
    <w:p w14:paraId="16649EF7" w14:textId="77777777" w:rsidR="00A90B05" w:rsidRPr="00BA2696" w:rsidRDefault="00A90B05" w:rsidP="00A90B05">
      <w:pPr>
        <w:pStyle w:val="Heading4"/>
        <w:spacing w:before="0" w:after="240" w:line="250" w:lineRule="auto"/>
      </w:pPr>
      <w:r w:rsidRPr="00BA2696">
        <w:t>Complicated recognition of whiteness</w:t>
      </w:r>
    </w:p>
    <w:p w14:paraId="2D332CB8" w14:textId="77777777" w:rsidR="00A90B05" w:rsidRPr="00BA2696" w:rsidRDefault="00A90B05" w:rsidP="00A90B05">
      <w:pPr>
        <w:suppressAutoHyphens w:val="0"/>
        <w:autoSpaceDN/>
        <w:spacing w:after="0" w:line="480" w:lineRule="auto"/>
        <w:textAlignment w:val="auto"/>
        <w:rPr>
          <w:sz w:val="24"/>
          <w:szCs w:val="24"/>
        </w:rPr>
      </w:pPr>
      <w:r w:rsidRPr="00BA2696">
        <w:rPr>
          <w:sz w:val="24"/>
          <w:szCs w:val="24"/>
        </w:rPr>
        <w:t>Despite whiteness being meaningless and/or its discussion contentious, for three participants, the process of White Ignorance Disruption did lead to tentative steps towards awareness of what their own whiteness, and whiteness more generally, may mean.  Reflecting on what made this complicated recognition of whiteness possible, it is clear the three participants shared the fact they had considered their whiteness in the past. For Vix this was due to her childhood friend’s Chinese mum calling her ‘fat ghost girl’. Whereas Betty and Emily remembered feelings of fear they</w:t>
      </w:r>
      <w:r>
        <w:rPr>
          <w:sz w:val="24"/>
          <w:szCs w:val="24"/>
        </w:rPr>
        <w:t xml:space="preserve"> experienced</w:t>
      </w:r>
      <w:r w:rsidRPr="00BA2696">
        <w:rPr>
          <w:sz w:val="24"/>
          <w:szCs w:val="24"/>
        </w:rPr>
        <w:t xml:space="preserve"> as young white women walking through groups of black men when living in London (explored in Theme 3, Section 6.5 and Theme 4, Section 6.6). Hence, this awareness is complicated as its origins are tied to negative experiences which had not been engaged with prior to the interview taking place. In this way, Betty and Emily’s first meaningful engagement with their whiteness was captured in the interview. This previous awareness of being white perhaps allowed a more contemplative approach when asked </w:t>
      </w:r>
      <w:r w:rsidRPr="00BA2696">
        <w:rPr>
          <w:i/>
          <w:iCs/>
          <w:sz w:val="24"/>
          <w:szCs w:val="24"/>
        </w:rPr>
        <w:t>‘what does being white mean to you?’</w:t>
      </w:r>
    </w:p>
    <w:p w14:paraId="1F475128" w14:textId="77777777" w:rsidR="00A90B05" w:rsidRPr="00BA2696" w:rsidRDefault="00A90B05" w:rsidP="00A90B05">
      <w:pPr>
        <w:suppressAutoHyphens w:val="0"/>
        <w:autoSpaceDN/>
        <w:spacing w:after="0" w:line="480" w:lineRule="auto"/>
        <w:textAlignment w:val="auto"/>
        <w:rPr>
          <w:sz w:val="24"/>
          <w:szCs w:val="24"/>
        </w:rPr>
      </w:pPr>
    </w:p>
    <w:p w14:paraId="0E013BDC" w14:textId="77777777" w:rsidR="00A90B05" w:rsidRPr="00BA2696" w:rsidRDefault="00A90B05" w:rsidP="00A90B05">
      <w:pPr>
        <w:suppressAutoHyphens w:val="0"/>
        <w:autoSpaceDN/>
        <w:spacing w:after="0" w:line="480" w:lineRule="auto"/>
        <w:textAlignment w:val="auto"/>
        <w:rPr>
          <w:sz w:val="24"/>
          <w:szCs w:val="24"/>
        </w:rPr>
      </w:pPr>
      <w:r w:rsidRPr="00BA2696">
        <w:rPr>
          <w:sz w:val="24"/>
          <w:szCs w:val="24"/>
        </w:rPr>
        <w:t xml:space="preserve">Despite this, Betty’s first reaction was similar to Anne, Elizabeth, Mary and Phil’s in that despite expressing a preference for being white, she was unable to articulate why. Betty’s response, through returning to the question of whiteness once the recording device had been turned off and again when it had been turned off a second time, would indicate a </w:t>
      </w:r>
      <w:r w:rsidRPr="00BA2696">
        <w:rPr>
          <w:sz w:val="24"/>
          <w:szCs w:val="24"/>
        </w:rPr>
        <w:lastRenderedPageBreak/>
        <w:t>reticence in verbalising honest thoughts about whiteness. Acknowledging that her preference for being white could be due to a ‘</w:t>
      </w:r>
      <w:r w:rsidRPr="00BA2696">
        <w:rPr>
          <w:i/>
          <w:iCs/>
          <w:sz w:val="24"/>
          <w:szCs w:val="24"/>
        </w:rPr>
        <w:t>slight’</w:t>
      </w:r>
      <w:r w:rsidRPr="00BA2696">
        <w:rPr>
          <w:sz w:val="24"/>
          <w:szCs w:val="24"/>
        </w:rPr>
        <w:t xml:space="preserve"> bit of racism, she stated:</w:t>
      </w:r>
    </w:p>
    <w:p w14:paraId="60620F9B" w14:textId="77777777" w:rsidR="00A90B05" w:rsidRPr="00BA2696" w:rsidRDefault="00A90B05" w:rsidP="00A90B05">
      <w:pPr>
        <w:suppressAutoHyphens w:val="0"/>
        <w:autoSpaceDN/>
        <w:spacing w:after="120" w:line="240" w:lineRule="auto"/>
        <w:ind w:left="1287" w:right="567" w:hanging="720"/>
        <w:textAlignment w:val="auto"/>
        <w:rPr>
          <w:sz w:val="24"/>
          <w:szCs w:val="24"/>
        </w:rPr>
      </w:pPr>
      <w:r w:rsidRPr="00BA2696">
        <w:rPr>
          <w:sz w:val="24"/>
          <w:szCs w:val="24"/>
        </w:rPr>
        <w:t xml:space="preserve">Betty:  I don’t think I wanted to admit it when I was thinking it, because it’s not right </w:t>
      </w:r>
    </w:p>
    <w:p w14:paraId="2CFD9F5A" w14:textId="77777777" w:rsidR="00A90B05" w:rsidRPr="00BA2696" w:rsidRDefault="00A90B05" w:rsidP="00A90B05">
      <w:pPr>
        <w:suppressAutoHyphens w:val="0"/>
        <w:autoSpaceDN/>
        <w:spacing w:after="0" w:line="240" w:lineRule="auto"/>
        <w:ind w:right="567"/>
        <w:textAlignment w:val="auto"/>
        <w:rPr>
          <w:sz w:val="24"/>
          <w:szCs w:val="24"/>
        </w:rPr>
      </w:pPr>
    </w:p>
    <w:p w14:paraId="18D704B5" w14:textId="77777777" w:rsidR="00A90B05" w:rsidRPr="00BA2696" w:rsidRDefault="00A90B05" w:rsidP="00A90B05">
      <w:pPr>
        <w:suppressAutoHyphens w:val="0"/>
        <w:autoSpaceDN/>
        <w:spacing w:after="0" w:line="480" w:lineRule="auto"/>
        <w:textAlignment w:val="auto"/>
        <w:rPr>
          <w:sz w:val="24"/>
          <w:szCs w:val="24"/>
        </w:rPr>
      </w:pPr>
      <w:r w:rsidRPr="00BA2696">
        <w:rPr>
          <w:sz w:val="24"/>
          <w:szCs w:val="24"/>
        </w:rPr>
        <w:t xml:space="preserve">My own interpretation of this, not only from the words Betty used but the whispered and hesitant way in which she said them, was that Betty was experiencing the beginnings of ‘white guilt’. This refers to the emotional response of guilt when realising the realities of one’s white racial positioning and attendant privileges, ‘alerting’ the white person to their complicity in racial inequality (Ryde, 2009, pp 51-52). In her ‘cycle of white awareness’ model, Ryde (2009, pp. 50-55) places guilt and shame as the step which comes after denial and struggling to understand the other but before understanding the self and the integration of learning. Therefore, it could be argued that connecting with guilt is a necessary step in White Ignorance Disruption as it may instigate learning about ‘race’, racism and whiteness. The fact that Betty asked for a list of books to continue her learning at the end of her interview would support this perspective. However, the concept of white guilt has been criticised as a ‘special temptation’ </w:t>
      </w:r>
      <w:bookmarkStart w:id="50" w:name="_Hlk44761346"/>
      <w:r w:rsidRPr="00BA2696">
        <w:rPr>
          <w:sz w:val="24"/>
          <w:szCs w:val="24"/>
        </w:rPr>
        <w:t xml:space="preserve">(Dyer, 2017, p. 11) </w:t>
      </w:r>
      <w:bookmarkEnd w:id="50"/>
      <w:r w:rsidRPr="00BA2696">
        <w:rPr>
          <w:sz w:val="24"/>
          <w:szCs w:val="24"/>
        </w:rPr>
        <w:t>because white people:</w:t>
      </w:r>
    </w:p>
    <w:p w14:paraId="0BDC5266" w14:textId="77777777" w:rsidR="00A90B05" w:rsidRPr="003505D8" w:rsidRDefault="00A90B05" w:rsidP="00A90B05">
      <w:pPr>
        <w:suppressAutoHyphens w:val="0"/>
        <w:autoSpaceDN/>
        <w:spacing w:after="0" w:line="240" w:lineRule="auto"/>
        <w:ind w:left="567" w:right="567"/>
        <w:textAlignment w:val="auto"/>
        <w:rPr>
          <w:sz w:val="24"/>
          <w:szCs w:val="24"/>
        </w:rPr>
      </w:pPr>
      <w:r w:rsidRPr="00BA2696">
        <w:rPr>
          <w:sz w:val="24"/>
          <w:szCs w:val="24"/>
        </w:rPr>
        <w:t xml:space="preserve">may lacerate ourselves with admission of our guilt, but that bears witness to the fineness of a moral spirit that can feel such guilt – the display of our guilt is our calvary </w:t>
      </w:r>
      <w:bookmarkStart w:id="51" w:name="_Hlk44761700"/>
      <w:r w:rsidRPr="003505D8">
        <w:rPr>
          <w:sz w:val="24"/>
          <w:szCs w:val="24"/>
        </w:rPr>
        <w:t>(Dyer, 2017, p. 11)</w:t>
      </w:r>
      <w:bookmarkEnd w:id="51"/>
    </w:p>
    <w:p w14:paraId="1E51C0D7" w14:textId="77777777" w:rsidR="00A90B05" w:rsidRPr="00BA2696" w:rsidRDefault="00A90B05" w:rsidP="00A90B05">
      <w:pPr>
        <w:suppressAutoHyphens w:val="0"/>
        <w:autoSpaceDN/>
        <w:spacing w:after="0" w:line="480" w:lineRule="auto"/>
        <w:ind w:right="567"/>
        <w:textAlignment w:val="auto"/>
        <w:rPr>
          <w:sz w:val="24"/>
          <w:szCs w:val="24"/>
        </w:rPr>
      </w:pPr>
    </w:p>
    <w:p w14:paraId="415FAAE8" w14:textId="77777777" w:rsidR="00A90B05" w:rsidRPr="00BA2696" w:rsidRDefault="00A90B05" w:rsidP="00A90B05">
      <w:pPr>
        <w:suppressAutoHyphens w:val="0"/>
        <w:autoSpaceDN/>
        <w:spacing w:after="0" w:line="480" w:lineRule="auto"/>
        <w:textAlignment w:val="auto"/>
        <w:rPr>
          <w:sz w:val="24"/>
          <w:szCs w:val="24"/>
        </w:rPr>
      </w:pPr>
      <w:r w:rsidRPr="00BA2696">
        <w:rPr>
          <w:sz w:val="24"/>
          <w:szCs w:val="24"/>
        </w:rPr>
        <w:t>In this way, white guilt can be a method of self-flagellation and expression of good moral character without having to meaningfully engag</w:t>
      </w:r>
      <w:r>
        <w:rPr>
          <w:sz w:val="24"/>
          <w:szCs w:val="24"/>
        </w:rPr>
        <w:t>e</w:t>
      </w:r>
      <w:r w:rsidRPr="00BA2696">
        <w:rPr>
          <w:sz w:val="24"/>
          <w:szCs w:val="24"/>
        </w:rPr>
        <w:t xml:space="preserve"> with ‘race’, racism and whiteness. Although Ryde (2009, p. 52) understands guilt and shame as necessary emotions on the path to white awareness, she also recognises that one can become ‘stuck’ in them and lead to white people looking toward black people to ‘absolve’ them of their guilt. It is interesting to consider the words Dyer (2017) and Ryde (2009) use to describe ‘white guilt’: </w:t>
      </w:r>
      <w:r w:rsidRPr="00BA2696">
        <w:rPr>
          <w:sz w:val="24"/>
          <w:szCs w:val="24"/>
        </w:rPr>
        <w:lastRenderedPageBreak/>
        <w:t>‘temptation’, ‘bear witness’, ‘moral spirit’ and ‘absolve’. These words have biblical connotations, inferring that ‘white guilt’ occurs when one connects to the sins of ‘race’, racism and whiteness. Alternatively, white guilt has been called the ‘crucial emotion’ (Spanierman and Cabrera, 2015, p. 16) for white people to develop racial awareness and tak</w:t>
      </w:r>
      <w:r>
        <w:rPr>
          <w:sz w:val="24"/>
          <w:szCs w:val="24"/>
        </w:rPr>
        <w:t>e</w:t>
      </w:r>
      <w:r w:rsidRPr="00BA2696">
        <w:rPr>
          <w:sz w:val="24"/>
          <w:szCs w:val="24"/>
        </w:rPr>
        <w:t xml:space="preserve"> accountability for racism. As a result, white guilt can become a motivating factor in learning about ‘race’, racism and whiteness, as long as one does not become ‘stuck’ in it. </w:t>
      </w:r>
    </w:p>
    <w:p w14:paraId="0E2C65F8" w14:textId="77777777" w:rsidR="00A90B05" w:rsidRPr="00BA2696" w:rsidRDefault="00A90B05" w:rsidP="00A90B05">
      <w:pPr>
        <w:suppressAutoHyphens w:val="0"/>
        <w:autoSpaceDN/>
        <w:spacing w:after="0" w:line="480" w:lineRule="auto"/>
        <w:textAlignment w:val="auto"/>
        <w:rPr>
          <w:sz w:val="24"/>
          <w:szCs w:val="24"/>
        </w:rPr>
      </w:pPr>
    </w:p>
    <w:p w14:paraId="58508CD8" w14:textId="77777777" w:rsidR="00A90B05" w:rsidRPr="00BA2696" w:rsidRDefault="00A90B05" w:rsidP="00A90B05">
      <w:pPr>
        <w:suppressAutoHyphens w:val="0"/>
        <w:autoSpaceDN/>
        <w:spacing w:after="0" w:line="480" w:lineRule="auto"/>
        <w:textAlignment w:val="auto"/>
        <w:rPr>
          <w:sz w:val="24"/>
          <w:szCs w:val="24"/>
        </w:rPr>
      </w:pPr>
      <w:r w:rsidRPr="00BA2696">
        <w:rPr>
          <w:sz w:val="24"/>
          <w:szCs w:val="24"/>
        </w:rPr>
        <w:t xml:space="preserve">However, it is accepted that Betty may not have experienced white guilt as she mentioned that due to her dyslexia, she does not always feel confident in expressing herself and her admittance earlier in the interview to not knowing the correct language to use regarding ‘race’ could also be factors in her reticence in expressing her thoughts. Nonetheless, the concept of white guilt can be viewed as a step toward meaningful engagement with ‘race’, racism and white privilege. However, the ‘disruptor’ needs to be cognisant that it is a step that one can become trapped in. It also emphasises that those in the role of ‘disruptor’ have an ethical obligation to be aware that White Ignorance Disruption may be emotive and when coupled with learning differences, care should be taken. Further, it is not clear as to the role that learning differences, such as dyslexia, may play in learning about ‘race’, racism, and whiteness. This would be an interesting area for further study. </w:t>
      </w:r>
    </w:p>
    <w:p w14:paraId="25382BB0" w14:textId="77777777" w:rsidR="00A90B05" w:rsidRPr="00BA2696" w:rsidRDefault="00A90B05" w:rsidP="00A90B05">
      <w:pPr>
        <w:suppressAutoHyphens w:val="0"/>
        <w:autoSpaceDN/>
        <w:spacing w:after="0" w:line="480" w:lineRule="auto"/>
        <w:textAlignment w:val="auto"/>
        <w:rPr>
          <w:sz w:val="24"/>
          <w:szCs w:val="24"/>
        </w:rPr>
      </w:pPr>
    </w:p>
    <w:p w14:paraId="76F0C405" w14:textId="77777777" w:rsidR="00A90B05" w:rsidRPr="00BA2696" w:rsidRDefault="00A90B05" w:rsidP="00A90B05">
      <w:pPr>
        <w:suppressAutoHyphens w:val="0"/>
        <w:autoSpaceDN/>
        <w:spacing w:after="0" w:line="480" w:lineRule="auto"/>
        <w:textAlignment w:val="auto"/>
        <w:rPr>
          <w:sz w:val="24"/>
          <w:szCs w:val="24"/>
        </w:rPr>
      </w:pPr>
      <w:r w:rsidRPr="00BA2696">
        <w:rPr>
          <w:sz w:val="24"/>
          <w:szCs w:val="24"/>
        </w:rPr>
        <w:t xml:space="preserve">While Betty’s admittance to a </w:t>
      </w:r>
      <w:r w:rsidRPr="00BA2696">
        <w:rPr>
          <w:i/>
          <w:iCs/>
          <w:sz w:val="24"/>
          <w:szCs w:val="24"/>
        </w:rPr>
        <w:t>‘slight’</w:t>
      </w:r>
      <w:r w:rsidRPr="00BA2696">
        <w:rPr>
          <w:sz w:val="24"/>
          <w:szCs w:val="24"/>
        </w:rPr>
        <w:t xml:space="preserve"> bit of racism and awareness of the difficult feelings that emerged could been seen as the beginnings of white guilt, Emily and Vix seemed to become aware of ‘white privilege’ or the unearned advantages of being white (Chapter 2, Section 2.1.4). Additionally, white empathy also seemed to be present. This refers </w:t>
      </w:r>
      <w:r>
        <w:rPr>
          <w:sz w:val="24"/>
          <w:szCs w:val="24"/>
        </w:rPr>
        <w:t xml:space="preserve">to </w:t>
      </w:r>
      <w:r w:rsidRPr="00BA2696">
        <w:rPr>
          <w:sz w:val="24"/>
          <w:szCs w:val="24"/>
        </w:rPr>
        <w:t xml:space="preserve">the development of ‘understanding the dehumanization </w:t>
      </w:r>
      <w:r w:rsidRPr="00BA2696">
        <w:rPr>
          <w:i/>
          <w:iCs/>
          <w:sz w:val="24"/>
          <w:szCs w:val="24"/>
        </w:rPr>
        <w:t>(sic)</w:t>
      </w:r>
      <w:r w:rsidRPr="00BA2696">
        <w:rPr>
          <w:sz w:val="24"/>
          <w:szCs w:val="24"/>
        </w:rPr>
        <w:t xml:space="preserve"> and pain that people of colour </w:t>
      </w:r>
      <w:r w:rsidRPr="00BA2696">
        <w:rPr>
          <w:sz w:val="24"/>
          <w:szCs w:val="24"/>
        </w:rPr>
        <w:lastRenderedPageBreak/>
        <w:t xml:space="preserve">experience as a result of racial oppression’ (Spanierman and Cabrera, 2015, p. 18). Emily began to engage with what being white may mean in cross-racial counselling practice through her consideration that clients of colour may question what a white counsellor could know about their lives. Emily felt this could lead to a </w:t>
      </w:r>
      <w:r w:rsidRPr="00BA2696">
        <w:rPr>
          <w:i/>
          <w:iCs/>
          <w:sz w:val="24"/>
          <w:szCs w:val="24"/>
        </w:rPr>
        <w:t xml:space="preserve">‘block’ </w:t>
      </w:r>
      <w:r w:rsidRPr="00BA2696">
        <w:rPr>
          <w:sz w:val="24"/>
          <w:szCs w:val="24"/>
        </w:rPr>
        <w:t>in the counselling relationship. Additionally, Emily also recognised that white people saw themselves as the ‘</w:t>
      </w:r>
      <w:r w:rsidRPr="00BA2696">
        <w:rPr>
          <w:i/>
          <w:iCs/>
          <w:sz w:val="24"/>
          <w:szCs w:val="24"/>
        </w:rPr>
        <w:t>superior race’:</w:t>
      </w:r>
    </w:p>
    <w:p w14:paraId="0D9CDFCB" w14:textId="77777777" w:rsidR="00A90B05" w:rsidRPr="00BA2696" w:rsidRDefault="00A90B05" w:rsidP="00A90B05">
      <w:pPr>
        <w:suppressAutoHyphens w:val="0"/>
        <w:autoSpaceDN/>
        <w:spacing w:after="120" w:line="240" w:lineRule="auto"/>
        <w:ind w:left="1287" w:right="567" w:hanging="720"/>
        <w:textAlignment w:val="auto"/>
        <w:rPr>
          <w:sz w:val="24"/>
          <w:szCs w:val="24"/>
        </w:rPr>
      </w:pPr>
      <w:r w:rsidRPr="00BA2696">
        <w:rPr>
          <w:sz w:val="24"/>
          <w:szCs w:val="24"/>
        </w:rPr>
        <w:t>Emily: …that we’re something better somehow. Yeah. I don’t know. Strange actually. Yeah. It's not something I think about.</w:t>
      </w:r>
    </w:p>
    <w:p w14:paraId="5642187B" w14:textId="77777777" w:rsidR="00A90B05" w:rsidRPr="00BA2696" w:rsidRDefault="00A90B05" w:rsidP="00A90B05">
      <w:pPr>
        <w:suppressAutoHyphens w:val="0"/>
        <w:autoSpaceDN/>
        <w:spacing w:after="0" w:line="480" w:lineRule="auto"/>
        <w:textAlignment w:val="auto"/>
        <w:rPr>
          <w:sz w:val="24"/>
          <w:szCs w:val="24"/>
        </w:rPr>
      </w:pPr>
    </w:p>
    <w:p w14:paraId="40B20731" w14:textId="77777777" w:rsidR="00A90B05" w:rsidRPr="00BA2696" w:rsidRDefault="00A90B05" w:rsidP="00A90B05">
      <w:pPr>
        <w:suppressAutoHyphens w:val="0"/>
        <w:autoSpaceDN/>
        <w:spacing w:after="0" w:line="480" w:lineRule="auto"/>
        <w:textAlignment w:val="auto"/>
        <w:rPr>
          <w:sz w:val="24"/>
          <w:szCs w:val="24"/>
        </w:rPr>
      </w:pPr>
      <w:r w:rsidRPr="00BA2696">
        <w:rPr>
          <w:sz w:val="24"/>
          <w:szCs w:val="24"/>
        </w:rPr>
        <w:t>In this statement, it seemed that Emily began to verbalise and cogitate thoughts on ‘race’, racism and whiteness for the first time. As she admitted, it was something she had not thought about before, indicating that her white ignorance (Mills, 2007) had be</w:t>
      </w:r>
      <w:r>
        <w:rPr>
          <w:sz w:val="24"/>
          <w:szCs w:val="24"/>
        </w:rPr>
        <w:t>en</w:t>
      </w:r>
      <w:r w:rsidRPr="00BA2696">
        <w:rPr>
          <w:sz w:val="24"/>
          <w:szCs w:val="24"/>
        </w:rPr>
        <w:t xml:space="preserve"> disrupted and allowed her to engage with her thoughts and feelings around ‘race’, racism and whiteness. Emily also showed white empathy as she began to engage with oppression of people of colour (Spanierman and Cabrera, 2015, pp. 18-19) through her comment that white people tended to have a sense of racial superiority. </w:t>
      </w:r>
    </w:p>
    <w:p w14:paraId="08CABAD8" w14:textId="77777777" w:rsidR="00A90B05" w:rsidRPr="00BA2696" w:rsidRDefault="00A90B05" w:rsidP="00A90B05">
      <w:pPr>
        <w:suppressAutoHyphens w:val="0"/>
        <w:autoSpaceDN/>
        <w:spacing w:after="0" w:line="480" w:lineRule="auto"/>
        <w:textAlignment w:val="auto"/>
        <w:rPr>
          <w:sz w:val="24"/>
          <w:szCs w:val="24"/>
        </w:rPr>
      </w:pPr>
    </w:p>
    <w:p w14:paraId="646EB45A" w14:textId="77777777" w:rsidR="00A90B05" w:rsidRPr="00BA2696" w:rsidRDefault="00A90B05" w:rsidP="00A90B05">
      <w:pPr>
        <w:suppressAutoHyphens w:val="0"/>
        <w:autoSpaceDN/>
        <w:spacing w:after="0" w:line="480" w:lineRule="auto"/>
        <w:textAlignment w:val="auto"/>
        <w:rPr>
          <w:sz w:val="24"/>
          <w:szCs w:val="24"/>
        </w:rPr>
      </w:pPr>
      <w:r w:rsidRPr="00BA2696">
        <w:rPr>
          <w:sz w:val="24"/>
          <w:szCs w:val="24"/>
        </w:rPr>
        <w:t xml:space="preserve">Similarly, despite Vix’s earlier claim to the existence of reverse racism she was also able to recognise the privileges being white could afford by contemplating the racialised stereotypes placed upon her Chinese friend: </w:t>
      </w:r>
    </w:p>
    <w:p w14:paraId="0609D044" w14:textId="77777777" w:rsidR="00A90B05" w:rsidRPr="00BA2696" w:rsidRDefault="00A90B05" w:rsidP="00A90B05">
      <w:pPr>
        <w:suppressAutoHyphens w:val="0"/>
        <w:autoSpaceDN/>
        <w:spacing w:after="120" w:line="240" w:lineRule="auto"/>
        <w:ind w:left="1287" w:right="567" w:hanging="720"/>
        <w:textAlignment w:val="auto"/>
        <w:rPr>
          <w:sz w:val="24"/>
          <w:szCs w:val="24"/>
        </w:rPr>
      </w:pPr>
      <w:r w:rsidRPr="00BA2696">
        <w:rPr>
          <w:sz w:val="24"/>
          <w:szCs w:val="24"/>
        </w:rPr>
        <w:t xml:space="preserve">Vix: And I guess, you know, yeah, does white have privilege? Yes, it does because of obvious reasons. Does it necessarily give you an economic advantage? Not necessarily. </w:t>
      </w:r>
    </w:p>
    <w:p w14:paraId="418785F0" w14:textId="77777777" w:rsidR="00A90B05" w:rsidRPr="00BA2696" w:rsidRDefault="00A90B05" w:rsidP="00A90B05">
      <w:pPr>
        <w:suppressAutoHyphens w:val="0"/>
        <w:autoSpaceDN/>
        <w:spacing w:after="0" w:line="480" w:lineRule="auto"/>
        <w:textAlignment w:val="auto"/>
        <w:rPr>
          <w:sz w:val="24"/>
          <w:szCs w:val="24"/>
        </w:rPr>
      </w:pPr>
    </w:p>
    <w:p w14:paraId="072A1BBD" w14:textId="77777777" w:rsidR="00A90B05" w:rsidRPr="00BA2696" w:rsidRDefault="00A90B05" w:rsidP="00A90B05">
      <w:pPr>
        <w:suppressAutoHyphens w:val="0"/>
        <w:autoSpaceDN/>
        <w:spacing w:after="0" w:line="480" w:lineRule="auto"/>
        <w:textAlignment w:val="auto"/>
        <w:rPr>
          <w:sz w:val="24"/>
          <w:szCs w:val="24"/>
        </w:rPr>
      </w:pPr>
      <w:r w:rsidRPr="00BA2696">
        <w:rPr>
          <w:sz w:val="24"/>
          <w:szCs w:val="24"/>
        </w:rPr>
        <w:t xml:space="preserve">Vix’s understanding of white privilege falls in line with Sullivan’s (2017) ‘white priority’ which seeks to remove the economic connotations of ‘privilege’. Vix expressed white empathy (Spanierman and Cabrera, 2015) for her Chinese friend who had certain </w:t>
      </w:r>
      <w:r w:rsidRPr="00BA2696">
        <w:rPr>
          <w:sz w:val="24"/>
          <w:szCs w:val="24"/>
        </w:rPr>
        <w:lastRenderedPageBreak/>
        <w:t xml:space="preserve">stereotypical expectations placed upon her, appreciating that white people </w:t>
      </w:r>
      <w:r w:rsidRPr="00BA2696">
        <w:rPr>
          <w:i/>
          <w:iCs/>
          <w:sz w:val="24"/>
          <w:szCs w:val="24"/>
        </w:rPr>
        <w:t xml:space="preserve">‘don't have that preconceived position’. </w:t>
      </w:r>
      <w:r w:rsidRPr="00BA2696">
        <w:rPr>
          <w:sz w:val="24"/>
          <w:szCs w:val="24"/>
        </w:rPr>
        <w:t xml:space="preserve">Perhaps Vix had the most complicated recognition of whiteness in that she simultaneously expressed a belief in reverse racism while acknowledging white privilege. This demonstrates the complexities of discussing ‘race’, racism and whiteness and supports the argument made earlier in this chapter that the findings cannot be neatly packaged into theoretical boxes (Section 6.1). Further research into reverse racism is recommended to understand the complexities such a belief may contain.  </w:t>
      </w:r>
    </w:p>
    <w:p w14:paraId="7576C313" w14:textId="77777777" w:rsidR="00A90B05" w:rsidRPr="00BA2696" w:rsidRDefault="00A90B05" w:rsidP="00A90B05">
      <w:pPr>
        <w:suppressAutoHyphens w:val="0"/>
        <w:autoSpaceDN/>
        <w:spacing w:after="0" w:line="480" w:lineRule="auto"/>
        <w:textAlignment w:val="auto"/>
        <w:rPr>
          <w:sz w:val="24"/>
          <w:szCs w:val="24"/>
        </w:rPr>
      </w:pPr>
    </w:p>
    <w:p w14:paraId="6826B08D" w14:textId="77777777" w:rsidR="00A90B05" w:rsidRPr="00BA2696" w:rsidRDefault="00A90B05" w:rsidP="00A90B05">
      <w:pPr>
        <w:suppressAutoHyphens w:val="0"/>
        <w:autoSpaceDN/>
        <w:spacing w:after="0" w:line="480" w:lineRule="auto"/>
        <w:textAlignment w:val="auto"/>
        <w:rPr>
          <w:i/>
          <w:iCs/>
          <w:sz w:val="24"/>
          <w:szCs w:val="24"/>
        </w:rPr>
      </w:pPr>
      <w:r w:rsidRPr="00BA2696">
        <w:rPr>
          <w:sz w:val="24"/>
          <w:szCs w:val="24"/>
        </w:rPr>
        <w:t xml:space="preserve">It would appear that Betty, Emily and Vix experienced White Ignorance Disruption in that their advanced ignorance, namely their cognitive and affective ignorance (Medina, p. 183) appeared to be disrupted. This resulted in feelings of guilt and empathy, as well as the recognition of white privilege (McIntosh, 1988; Bhopal, 2018; Ryde 2019). </w:t>
      </w:r>
    </w:p>
    <w:p w14:paraId="2F500CC8" w14:textId="77777777" w:rsidR="00A90B05" w:rsidRPr="00BA2696" w:rsidRDefault="00A90B05" w:rsidP="00A90B05">
      <w:pPr>
        <w:suppressAutoHyphens w:val="0"/>
        <w:autoSpaceDN/>
        <w:spacing w:after="0" w:line="259" w:lineRule="auto"/>
        <w:textAlignment w:val="auto"/>
        <w:rPr>
          <w:i/>
          <w:iCs/>
          <w:sz w:val="24"/>
          <w:szCs w:val="24"/>
        </w:rPr>
      </w:pPr>
    </w:p>
    <w:p w14:paraId="2D071C4A" w14:textId="77777777" w:rsidR="00A90B05" w:rsidRPr="00BA2696" w:rsidRDefault="00A90B05" w:rsidP="00A90B05">
      <w:pPr>
        <w:pStyle w:val="Heading3"/>
      </w:pPr>
      <w:bookmarkStart w:id="52" w:name="_Toc56523027"/>
      <w:bookmarkStart w:id="53" w:name="_Toc56523309"/>
      <w:bookmarkStart w:id="54" w:name="_Toc57910117"/>
      <w:bookmarkStart w:id="55" w:name="_Toc58251333"/>
      <w:bookmarkStart w:id="56" w:name="_Toc72413659"/>
      <w:r w:rsidRPr="00BA2696">
        <w:t>6.5 Theme 3: Barriers to Racial Discourse</w:t>
      </w:r>
      <w:bookmarkEnd w:id="52"/>
      <w:bookmarkEnd w:id="53"/>
      <w:bookmarkEnd w:id="54"/>
      <w:bookmarkEnd w:id="55"/>
      <w:bookmarkEnd w:id="56"/>
    </w:p>
    <w:p w14:paraId="04D50F3D" w14:textId="77777777" w:rsidR="00A90B05" w:rsidRPr="00BA2696" w:rsidRDefault="00A90B05" w:rsidP="00A90B05">
      <w:pPr>
        <w:suppressAutoHyphens w:val="0"/>
        <w:autoSpaceDN/>
        <w:spacing w:after="0" w:line="480" w:lineRule="auto"/>
        <w:textAlignment w:val="auto"/>
        <w:rPr>
          <w:sz w:val="24"/>
          <w:szCs w:val="24"/>
        </w:rPr>
      </w:pPr>
      <w:r w:rsidRPr="00BA2696">
        <w:rPr>
          <w:sz w:val="24"/>
          <w:szCs w:val="24"/>
        </w:rPr>
        <w:t xml:space="preserve">Having white ignorance disrupted meant that the participants put up certain barriers to the racial discourse of the interviews. These barriers can also be understood as methods to halt the disruption of white ignorance, and perhaps </w:t>
      </w:r>
      <w:r>
        <w:rPr>
          <w:sz w:val="24"/>
          <w:szCs w:val="24"/>
        </w:rPr>
        <w:t>were</w:t>
      </w:r>
      <w:r w:rsidRPr="00BA2696">
        <w:rPr>
          <w:sz w:val="24"/>
          <w:szCs w:val="24"/>
        </w:rPr>
        <w:t xml:space="preserve"> places of safety and self-reassurance during the intellectual and emotional disruption. The barriers found in this research were: contact and lack of contact with people of colour, colour-blind ideology and believing the counsellor is a ‘good’ person. </w:t>
      </w:r>
    </w:p>
    <w:p w14:paraId="7CB64E27" w14:textId="77777777" w:rsidR="00A90B05" w:rsidRPr="00BA2696" w:rsidRDefault="00A90B05" w:rsidP="00A90B05">
      <w:pPr>
        <w:suppressAutoHyphens w:val="0"/>
        <w:autoSpaceDN/>
        <w:spacing w:after="0" w:line="480" w:lineRule="auto"/>
        <w:textAlignment w:val="auto"/>
        <w:rPr>
          <w:sz w:val="24"/>
          <w:szCs w:val="24"/>
        </w:rPr>
      </w:pPr>
    </w:p>
    <w:p w14:paraId="78E13ACE" w14:textId="77777777" w:rsidR="00A90B05" w:rsidRPr="00BA2696" w:rsidRDefault="00A90B05" w:rsidP="00A90B05">
      <w:pPr>
        <w:pStyle w:val="Heading4"/>
        <w:spacing w:before="0" w:after="240" w:line="250" w:lineRule="auto"/>
      </w:pPr>
      <w:r w:rsidRPr="00BA2696">
        <w:t xml:space="preserve">Contact and lack of contact with People of Colour. </w:t>
      </w:r>
    </w:p>
    <w:p w14:paraId="7399EECA" w14:textId="77777777" w:rsidR="00A90B05" w:rsidRDefault="00A90B05" w:rsidP="00A90B05">
      <w:pPr>
        <w:suppressAutoHyphens w:val="0"/>
        <w:autoSpaceDN/>
        <w:spacing w:after="0" w:line="480" w:lineRule="auto"/>
        <w:textAlignment w:val="auto"/>
        <w:rPr>
          <w:sz w:val="24"/>
          <w:szCs w:val="24"/>
        </w:rPr>
      </w:pPr>
      <w:r>
        <w:rPr>
          <w:sz w:val="24"/>
          <w:szCs w:val="24"/>
        </w:rPr>
        <w:t xml:space="preserve">In this research, ‘contact’ was understood as having interpersonal relationships with people of colour which could range from acquaintances to lifelong friendships. </w:t>
      </w:r>
    </w:p>
    <w:p w14:paraId="736AA242" w14:textId="77777777" w:rsidR="00A90B05" w:rsidRPr="00BA2696" w:rsidRDefault="00A90B05" w:rsidP="00A90B05">
      <w:pPr>
        <w:suppressAutoHyphens w:val="0"/>
        <w:autoSpaceDN/>
        <w:spacing w:after="0" w:line="480" w:lineRule="auto"/>
        <w:textAlignment w:val="auto"/>
        <w:rPr>
          <w:sz w:val="24"/>
          <w:szCs w:val="24"/>
        </w:rPr>
      </w:pPr>
      <w:r w:rsidRPr="00BA2696">
        <w:rPr>
          <w:sz w:val="24"/>
          <w:szCs w:val="24"/>
        </w:rPr>
        <w:lastRenderedPageBreak/>
        <w:t>Both contact with people of colour and lack of contact with people of colour were cited by the participants as reasons for not engaging with racial discourse.</w:t>
      </w:r>
      <w:r>
        <w:rPr>
          <w:sz w:val="24"/>
          <w:szCs w:val="24"/>
        </w:rPr>
        <w:t xml:space="preserve"> </w:t>
      </w:r>
      <w:r w:rsidRPr="00BA2696">
        <w:rPr>
          <w:sz w:val="24"/>
          <w:szCs w:val="24"/>
        </w:rPr>
        <w:t xml:space="preserve">Betty, Elizabeth, Emily, and Mary referred to having </w:t>
      </w:r>
      <w:r w:rsidRPr="00BA2696">
        <w:rPr>
          <w:i/>
          <w:iCs/>
          <w:sz w:val="24"/>
          <w:szCs w:val="24"/>
        </w:rPr>
        <w:t>‘sheltered’</w:t>
      </w:r>
      <w:r w:rsidRPr="00BA2696">
        <w:rPr>
          <w:sz w:val="24"/>
          <w:szCs w:val="24"/>
        </w:rPr>
        <w:t xml:space="preserve"> upbringings. This rationale was used to explain why racial awareness had not been needed in their lives before. Anne, Phil and Vix’s past and present friendships with people of colour were used as evidence of their racial awareness. These were understood as barriers because it seemed that they were used as justifications for non-engagement with racial discourse. This is because contact and lack of contact with people of colour could be used to sustain white ignorance, i.e., there is no need to engage with ‘race’, racism and whiteness because the individual does not expect to encounter people of colour, or past and present friendships with people of colour are understood </w:t>
      </w:r>
      <w:r>
        <w:rPr>
          <w:sz w:val="24"/>
          <w:szCs w:val="24"/>
        </w:rPr>
        <w:t xml:space="preserve">as </w:t>
      </w:r>
      <w:r w:rsidRPr="00BA2696">
        <w:rPr>
          <w:sz w:val="24"/>
          <w:szCs w:val="24"/>
        </w:rPr>
        <w:t>sufficient evidence of engagement. When situated alongside semantic misunderstanding of ‘race’ and racism, feelings of self-consciousness and with whiteness perceived as meaningless, these justifications may derive from a lack of knowledge about ‘race’, racism and whiteness. Therefore, while superficially they may seem two distinct barriers it would appear that they could serve th</w:t>
      </w:r>
      <w:r>
        <w:rPr>
          <w:sz w:val="24"/>
          <w:szCs w:val="24"/>
        </w:rPr>
        <w:t>e</w:t>
      </w:r>
      <w:r w:rsidRPr="00BA2696">
        <w:rPr>
          <w:sz w:val="24"/>
          <w:szCs w:val="24"/>
        </w:rPr>
        <w:t xml:space="preserve"> same purpose: to sustain white ignorance (Mills, 2007) and resist White Ignorance Disruption. Frankenberg (1993, p. 69) found that whether the childhood experiences of her white female participants were entirely white or had cross-racial interactions, ‘even the presence or absence of people of colour seemed to be as much social-mental construct as</w:t>
      </w:r>
      <w:r>
        <w:rPr>
          <w:sz w:val="24"/>
          <w:szCs w:val="24"/>
        </w:rPr>
        <w:t xml:space="preserve"> a</w:t>
      </w:r>
      <w:r w:rsidRPr="00BA2696">
        <w:rPr>
          <w:sz w:val="24"/>
          <w:szCs w:val="24"/>
        </w:rPr>
        <w:t xml:space="preserve"> social-physical one’. Thus, physical proximity to people of colour does not necessarily result in greater cognitive or emotional awareness of ‘race’. In this way, white ignorance (Mills, 2007) can be sustained despite having contact with people of colour.</w:t>
      </w:r>
    </w:p>
    <w:p w14:paraId="5CDFA6F3" w14:textId="77777777" w:rsidR="00A90B05" w:rsidRPr="00BA2696" w:rsidRDefault="00A90B05" w:rsidP="00A90B05">
      <w:pPr>
        <w:suppressAutoHyphens w:val="0"/>
        <w:autoSpaceDN/>
        <w:spacing w:after="0" w:line="480" w:lineRule="auto"/>
        <w:textAlignment w:val="auto"/>
        <w:rPr>
          <w:sz w:val="24"/>
          <w:szCs w:val="24"/>
        </w:rPr>
      </w:pPr>
    </w:p>
    <w:p w14:paraId="0B14A48D" w14:textId="77777777" w:rsidR="00A90B05" w:rsidRPr="00BA2696" w:rsidRDefault="00A90B05" w:rsidP="00A90B05">
      <w:pPr>
        <w:suppressAutoHyphens w:val="0"/>
        <w:autoSpaceDN/>
        <w:spacing w:after="0" w:line="480" w:lineRule="auto"/>
        <w:textAlignment w:val="auto"/>
        <w:rPr>
          <w:sz w:val="24"/>
          <w:szCs w:val="24"/>
        </w:rPr>
      </w:pPr>
      <w:r w:rsidRPr="00BA2696">
        <w:rPr>
          <w:sz w:val="24"/>
          <w:szCs w:val="24"/>
        </w:rPr>
        <w:lastRenderedPageBreak/>
        <w:t xml:space="preserve">Further, these two barriers can both be understood together through the concept of the ‘intergroup contact hypothesis’ (Allport, 1954) and the role it can play in forming racial attitudes.  The intergroup contact hypothesis posits that positive interpersonal contact between minority and majority groups could be an effective tool in reducing prejudice (Allport, 1954). Even though it is a theory from the mid-twentieth century, it remains influential in the fields of psychology and social science as a way </w:t>
      </w:r>
      <w:r>
        <w:rPr>
          <w:sz w:val="24"/>
          <w:szCs w:val="24"/>
        </w:rPr>
        <w:t>to</w:t>
      </w:r>
      <w:r w:rsidRPr="00BA2696">
        <w:rPr>
          <w:sz w:val="24"/>
          <w:szCs w:val="24"/>
        </w:rPr>
        <w:t xml:space="preserve"> understand prejudice (Dovidio, Glick and Rudman, 2005; O’Connor, 2017). Allport (1954) suggested that for intergroup contact to reduce prejudice, there needed to be four ‘optimal’ conditions: shared goals, cooperation in reaching those goals, equal status amongst group members and support through authorities and laws. Although intergroup contact can change attitudes, </w:t>
      </w:r>
      <w:r>
        <w:rPr>
          <w:sz w:val="24"/>
          <w:szCs w:val="24"/>
        </w:rPr>
        <w:t>it</w:t>
      </w:r>
      <w:r w:rsidRPr="00BA2696">
        <w:rPr>
          <w:sz w:val="24"/>
          <w:szCs w:val="24"/>
        </w:rPr>
        <w:t xml:space="preserve"> does not inevitably lead to social change (Tropp, Mazziotta and Wright, 2018, p. 213). Indeed, it has been stated that: </w:t>
      </w:r>
    </w:p>
    <w:p w14:paraId="31F97AC2" w14:textId="77777777" w:rsidR="00A90B05" w:rsidRPr="00BA2696" w:rsidRDefault="00A90B05" w:rsidP="00A90B05">
      <w:pPr>
        <w:suppressAutoHyphens w:val="0"/>
        <w:autoSpaceDN/>
        <w:spacing w:after="0" w:line="240" w:lineRule="auto"/>
        <w:ind w:left="567" w:right="567"/>
        <w:textAlignment w:val="auto"/>
        <w:rPr>
          <w:sz w:val="24"/>
          <w:szCs w:val="24"/>
        </w:rPr>
      </w:pPr>
      <w:r w:rsidRPr="00BA2696">
        <w:rPr>
          <w:sz w:val="24"/>
          <w:szCs w:val="24"/>
        </w:rPr>
        <w:t xml:space="preserve">any reduction in prejudice associated with positive contact may be counteracted by increases in prejudice that co-concurs with (even limited amounts of) negative contact (Barlow </w:t>
      </w:r>
      <w:r w:rsidRPr="00BA2696">
        <w:rPr>
          <w:i/>
          <w:iCs/>
          <w:sz w:val="24"/>
          <w:szCs w:val="24"/>
        </w:rPr>
        <w:t>et al</w:t>
      </w:r>
      <w:r w:rsidRPr="00BA2696">
        <w:rPr>
          <w:sz w:val="24"/>
          <w:szCs w:val="24"/>
        </w:rPr>
        <w:t>, 2012, p. 1630)</w:t>
      </w:r>
    </w:p>
    <w:p w14:paraId="4AE72D88" w14:textId="77777777" w:rsidR="00A90B05" w:rsidRPr="00BA2696" w:rsidRDefault="00A90B05" w:rsidP="00A90B05">
      <w:pPr>
        <w:suppressAutoHyphens w:val="0"/>
        <w:autoSpaceDN/>
        <w:spacing w:after="0" w:line="480" w:lineRule="auto"/>
        <w:textAlignment w:val="auto"/>
        <w:rPr>
          <w:sz w:val="24"/>
          <w:szCs w:val="24"/>
        </w:rPr>
      </w:pPr>
    </w:p>
    <w:p w14:paraId="21CA9812" w14:textId="77777777" w:rsidR="00A90B05" w:rsidRPr="00BA2696" w:rsidRDefault="00A90B05" w:rsidP="00A90B05">
      <w:pPr>
        <w:suppressAutoHyphens w:val="0"/>
        <w:autoSpaceDN/>
        <w:spacing w:after="0" w:line="480" w:lineRule="auto"/>
        <w:textAlignment w:val="auto"/>
        <w:rPr>
          <w:sz w:val="24"/>
          <w:szCs w:val="24"/>
        </w:rPr>
      </w:pPr>
      <w:r w:rsidRPr="00BA2696">
        <w:rPr>
          <w:sz w:val="24"/>
          <w:szCs w:val="24"/>
        </w:rPr>
        <w:t xml:space="preserve">This may explain Betty and Emily’s contact with ‘gangs’ of black boys left them both feeling frightened and not engaging with ‘race’, racism or whiteness for decades until the research interview took place. Similarly, Vix’s positive contact through her friendships with people of colour was also situated alongside negative contact, such as the criticism from black woman about styling black hair. This may account for her simultaneously believing in reverse racism and recognising white privilege, although it is acknowledged that this may be a simplistic interpretation. </w:t>
      </w:r>
    </w:p>
    <w:p w14:paraId="74389FF6" w14:textId="77777777" w:rsidR="00A90B05" w:rsidRPr="00BA2696" w:rsidRDefault="00A90B05" w:rsidP="00A90B05">
      <w:pPr>
        <w:suppressAutoHyphens w:val="0"/>
        <w:autoSpaceDN/>
        <w:spacing w:after="0" w:line="480" w:lineRule="auto"/>
        <w:textAlignment w:val="auto"/>
        <w:rPr>
          <w:sz w:val="24"/>
          <w:szCs w:val="24"/>
        </w:rPr>
      </w:pPr>
    </w:p>
    <w:p w14:paraId="3B5D8DC3" w14:textId="77777777" w:rsidR="00A90B05" w:rsidRPr="00BA2696" w:rsidRDefault="00A90B05" w:rsidP="00A90B05">
      <w:pPr>
        <w:suppressAutoHyphens w:val="0"/>
        <w:autoSpaceDN/>
        <w:spacing w:after="0" w:line="480" w:lineRule="auto"/>
        <w:textAlignment w:val="auto"/>
        <w:rPr>
          <w:sz w:val="24"/>
          <w:szCs w:val="24"/>
        </w:rPr>
      </w:pPr>
      <w:r w:rsidRPr="00BA2696">
        <w:rPr>
          <w:sz w:val="24"/>
          <w:szCs w:val="24"/>
        </w:rPr>
        <w:lastRenderedPageBreak/>
        <w:t xml:space="preserve">However, intergroup contact through cross-racial friendships alone is not a sufficient predictor of whether racial attitudes will be positively impacted as it has been found that time spent together and self-disclosure were important factors in positive cross-racial friendships (Davies </w:t>
      </w:r>
      <w:r w:rsidRPr="00BA2696">
        <w:rPr>
          <w:i/>
          <w:iCs/>
          <w:sz w:val="24"/>
          <w:szCs w:val="24"/>
        </w:rPr>
        <w:t>et al</w:t>
      </w:r>
      <w:r w:rsidRPr="00BA2696">
        <w:rPr>
          <w:sz w:val="24"/>
          <w:szCs w:val="24"/>
        </w:rPr>
        <w:t xml:space="preserve">., 2011). This is supported by the argument that affective process plays a significant factor in positive intergroup contact (Tropp, Mazziotta and Wright, 2018). It is not possible to state whether these factors were or were not present in Anne, Phil and Vix’s contact with people of colour as that was not the remit of this research and the nuances of their contact was not elicited in the interviews. Similarly, whether Allport’s (1954) ‘optimal’ factors were present in their contact was not obtained from the interviews. Therefore, it may not be possible to fully explain why those three participants had the most intergroup contact yet were the three to express a belief in reverse racism. What may be possible to understand is the confidence, if not accuracy, with which they expressed their opinions about ‘race’, racism and whiteness when compared to the self-described </w:t>
      </w:r>
      <w:r w:rsidRPr="00BA2696">
        <w:rPr>
          <w:i/>
          <w:iCs/>
          <w:sz w:val="24"/>
          <w:szCs w:val="24"/>
        </w:rPr>
        <w:t>‘sheltered’</w:t>
      </w:r>
      <w:r w:rsidRPr="00BA2696">
        <w:rPr>
          <w:sz w:val="24"/>
          <w:szCs w:val="24"/>
        </w:rPr>
        <w:t xml:space="preserve"> participants. This confidence may be because intergroup contact has been found to reduce anxiety in the majority group members, in this situation the white group members (Pettigrew and Tropp, 2008; Pettigrew </w:t>
      </w:r>
      <w:r w:rsidRPr="00BA2696">
        <w:rPr>
          <w:i/>
          <w:iCs/>
          <w:sz w:val="24"/>
          <w:szCs w:val="24"/>
        </w:rPr>
        <w:t>et al</w:t>
      </w:r>
      <w:r w:rsidRPr="00BA2696">
        <w:rPr>
          <w:sz w:val="24"/>
          <w:szCs w:val="24"/>
        </w:rPr>
        <w:t xml:space="preserve">, 2011). Therefore, Anne, Phil and Vix’s confidence may be understood due to reduced anxiety in racial discourse, based on their past contact. Yet Pettigrew and Tropp (2008) found that alongside a reduction in anxiety, majority group members also experienced an increase in knowledge and empathy from intergroup contact. This research found that Anne, Phil and Vix’s knowledge of ‘race’, racism and whiteness was similar to the other participants who had little-to-no contact with people of colour. Additionally, they expressed assertions of reverse racism which does not seem conducive to an empathic response to racism. Therefore, it may be possible to infer that </w:t>
      </w:r>
      <w:r w:rsidRPr="00BA2696">
        <w:rPr>
          <w:sz w:val="24"/>
          <w:szCs w:val="24"/>
        </w:rPr>
        <w:lastRenderedPageBreak/>
        <w:t xml:space="preserve">their contact with people of colour gave them a sense of authority in racial discourse and a confidence in debating what constitutes as racism (Titley, 2019; Lentin, 2020). </w:t>
      </w:r>
    </w:p>
    <w:p w14:paraId="0F14532D" w14:textId="77777777" w:rsidR="00A90B05" w:rsidRPr="00BA2696" w:rsidRDefault="00A90B05" w:rsidP="00A90B05">
      <w:pPr>
        <w:suppressAutoHyphens w:val="0"/>
        <w:autoSpaceDN/>
        <w:spacing w:after="0" w:line="480" w:lineRule="auto"/>
        <w:textAlignment w:val="auto"/>
        <w:rPr>
          <w:sz w:val="24"/>
          <w:szCs w:val="24"/>
        </w:rPr>
      </w:pPr>
    </w:p>
    <w:p w14:paraId="19C796F4" w14:textId="77777777" w:rsidR="00A90B05" w:rsidRPr="00A032A9" w:rsidRDefault="00A90B05" w:rsidP="00A90B05">
      <w:pPr>
        <w:suppressAutoHyphens w:val="0"/>
        <w:autoSpaceDN/>
        <w:spacing w:after="0" w:line="480" w:lineRule="auto"/>
        <w:textAlignment w:val="auto"/>
        <w:rPr>
          <w:sz w:val="24"/>
          <w:szCs w:val="24"/>
        </w:rPr>
      </w:pPr>
      <w:r w:rsidRPr="00BA2696">
        <w:rPr>
          <w:sz w:val="24"/>
          <w:szCs w:val="24"/>
        </w:rPr>
        <w:t xml:space="preserve">Arguably underlying contact and lack of contact with people of colour could be ‘white apathy’ </w:t>
      </w:r>
      <w:bookmarkStart w:id="57" w:name="_Hlk45104791"/>
      <w:r w:rsidRPr="00BA2696">
        <w:rPr>
          <w:sz w:val="24"/>
          <w:szCs w:val="24"/>
        </w:rPr>
        <w:t xml:space="preserve">(Spanierman and Cabrera, 2015). </w:t>
      </w:r>
      <w:bookmarkEnd w:id="57"/>
      <w:r w:rsidRPr="00BA2696">
        <w:rPr>
          <w:sz w:val="24"/>
          <w:szCs w:val="24"/>
        </w:rPr>
        <w:t xml:space="preserve">This pertains to the belief ‘if one does not have </w:t>
      </w:r>
      <w:r w:rsidRPr="00BA2696">
        <w:rPr>
          <w:i/>
          <w:iCs/>
          <w:sz w:val="24"/>
          <w:szCs w:val="24"/>
        </w:rPr>
        <w:t>feelings</w:t>
      </w:r>
      <w:r w:rsidRPr="00BA2696">
        <w:rPr>
          <w:sz w:val="24"/>
          <w:szCs w:val="24"/>
        </w:rPr>
        <w:t xml:space="preserve"> about racism, then racism must not be important’ </w:t>
      </w:r>
      <w:bookmarkStart w:id="58" w:name="_Hlk45105137"/>
      <w:r w:rsidRPr="00BA2696">
        <w:rPr>
          <w:sz w:val="24"/>
          <w:szCs w:val="24"/>
        </w:rPr>
        <w:t>(Spanierman and Cabrera, 2015, p. 11)</w:t>
      </w:r>
      <w:bookmarkEnd w:id="58"/>
      <w:r w:rsidRPr="00BA2696">
        <w:rPr>
          <w:sz w:val="24"/>
          <w:szCs w:val="24"/>
        </w:rPr>
        <w:t>. Therefore, if the participants emotionally believed that ‘race’, racism and whiteness do</w:t>
      </w:r>
      <w:r>
        <w:rPr>
          <w:sz w:val="24"/>
          <w:szCs w:val="24"/>
        </w:rPr>
        <w:t>es</w:t>
      </w:r>
      <w:r w:rsidRPr="00BA2696">
        <w:rPr>
          <w:sz w:val="24"/>
          <w:szCs w:val="24"/>
        </w:rPr>
        <w:t xml:space="preserve"> not matter (as evidenced by colour-blind attitudes, below) then perhaps there was no need to engage with </w:t>
      </w:r>
      <w:r>
        <w:rPr>
          <w:sz w:val="24"/>
          <w:szCs w:val="24"/>
        </w:rPr>
        <w:t>it either cognitively or emotionally</w:t>
      </w:r>
      <w:r w:rsidRPr="00BA2696">
        <w:rPr>
          <w:sz w:val="24"/>
          <w:szCs w:val="24"/>
        </w:rPr>
        <w:t xml:space="preserve">. This then makes their contact with people of colour redundant to their understanding of ‘race’, racism and whiteness. </w:t>
      </w:r>
    </w:p>
    <w:p w14:paraId="18F6CB8F" w14:textId="77777777" w:rsidR="00A90B05" w:rsidRPr="00BA2696" w:rsidRDefault="00A90B05" w:rsidP="00A90B05">
      <w:pPr>
        <w:suppressAutoHyphens w:val="0"/>
        <w:autoSpaceDN/>
        <w:spacing w:after="0" w:line="480" w:lineRule="auto"/>
        <w:textAlignment w:val="auto"/>
        <w:rPr>
          <w:sz w:val="24"/>
          <w:szCs w:val="24"/>
        </w:rPr>
      </w:pPr>
    </w:p>
    <w:p w14:paraId="4EEBFA46" w14:textId="77777777" w:rsidR="00A90B05" w:rsidRPr="00BA2696" w:rsidRDefault="00A90B05" w:rsidP="00A90B05">
      <w:pPr>
        <w:suppressAutoHyphens w:val="0"/>
        <w:autoSpaceDN/>
        <w:spacing w:after="0" w:line="480" w:lineRule="auto"/>
        <w:textAlignment w:val="auto"/>
        <w:rPr>
          <w:sz w:val="24"/>
          <w:szCs w:val="24"/>
        </w:rPr>
      </w:pPr>
      <w:r w:rsidRPr="00BA2696">
        <w:rPr>
          <w:sz w:val="24"/>
          <w:szCs w:val="24"/>
        </w:rPr>
        <w:t xml:space="preserve">Therefore, this research would indicate that contact and lack of contact did not have a significant difference on white trainee counsellors’ understanding of ‘race’, racism and whiteness. Whether the participants lived a self-described </w:t>
      </w:r>
      <w:r w:rsidRPr="00BA2696">
        <w:rPr>
          <w:i/>
          <w:iCs/>
          <w:sz w:val="24"/>
          <w:szCs w:val="24"/>
        </w:rPr>
        <w:t>‘sheltered’</w:t>
      </w:r>
      <w:r w:rsidRPr="00BA2696">
        <w:rPr>
          <w:sz w:val="24"/>
          <w:szCs w:val="24"/>
        </w:rPr>
        <w:t xml:space="preserve"> life or had existing friendships with people of colour, they shared the same challenges in engaging with racial discourse. However, it would appear that both experiences were utilised as rationale for not needing to engage in racial discourse, in sustaining white ignorance (Mills, 2007) and resisting White Ignorance Disruption.</w:t>
      </w:r>
    </w:p>
    <w:p w14:paraId="4DED3AA7" w14:textId="77777777" w:rsidR="00A90B05" w:rsidRPr="00BA2696" w:rsidRDefault="00A90B05" w:rsidP="00A90B05">
      <w:pPr>
        <w:suppressAutoHyphens w:val="0"/>
        <w:autoSpaceDN/>
        <w:spacing w:after="0" w:line="480" w:lineRule="auto"/>
        <w:textAlignment w:val="auto"/>
        <w:rPr>
          <w:sz w:val="24"/>
          <w:szCs w:val="24"/>
        </w:rPr>
      </w:pPr>
    </w:p>
    <w:p w14:paraId="20EFEFBD" w14:textId="77777777" w:rsidR="00A90B05" w:rsidRPr="00BA2696" w:rsidRDefault="00A90B05" w:rsidP="00A90B05">
      <w:pPr>
        <w:pStyle w:val="Heading4"/>
        <w:spacing w:before="0" w:after="240" w:line="250" w:lineRule="auto"/>
      </w:pPr>
      <w:r w:rsidRPr="00BA2696">
        <w:t>Colour-blind</w:t>
      </w:r>
      <w:r>
        <w:t xml:space="preserve"> attitudes</w:t>
      </w:r>
    </w:p>
    <w:p w14:paraId="2FCCDBAF" w14:textId="77777777" w:rsidR="00A90B05" w:rsidRPr="00BA2696" w:rsidRDefault="00A90B05" w:rsidP="00A90B05">
      <w:pPr>
        <w:suppressAutoHyphens w:val="0"/>
        <w:autoSpaceDN/>
        <w:spacing w:after="0" w:line="480" w:lineRule="auto"/>
        <w:textAlignment w:val="auto"/>
        <w:rPr>
          <w:sz w:val="24"/>
          <w:szCs w:val="24"/>
        </w:rPr>
      </w:pPr>
      <w:r w:rsidRPr="00BA2696">
        <w:rPr>
          <w:sz w:val="24"/>
          <w:szCs w:val="24"/>
        </w:rPr>
        <w:t>In the same way that contact and lack of contact with people of colour was used to end White Ignorance Disruption, so it seemed that colour-blindness was used for the same purpose and potentially as a way</w:t>
      </w:r>
      <w:r>
        <w:rPr>
          <w:sz w:val="24"/>
          <w:szCs w:val="24"/>
        </w:rPr>
        <w:t xml:space="preserve"> to</w:t>
      </w:r>
      <w:r w:rsidRPr="00BA2696">
        <w:rPr>
          <w:sz w:val="24"/>
          <w:szCs w:val="24"/>
        </w:rPr>
        <w:t xml:space="preserve"> retreat back into white ignorance. Simply, if colour does not matter, then talking about ‘race’ is not necessary (Bonilla-Silva, 2018; Burke, 2019). </w:t>
      </w:r>
      <w:r w:rsidRPr="00BA2696">
        <w:rPr>
          <w:sz w:val="24"/>
          <w:szCs w:val="24"/>
        </w:rPr>
        <w:lastRenderedPageBreak/>
        <w:t>Uniting the participants was a lack of knowledge about ‘race’, racism and whiteness but also a belief in colour-blind racial ideology as the ideal racial attitude. As has been argued, ignorance can</w:t>
      </w:r>
      <w:r>
        <w:rPr>
          <w:sz w:val="24"/>
          <w:szCs w:val="24"/>
        </w:rPr>
        <w:t xml:space="preserve"> pertain to</w:t>
      </w:r>
      <w:r w:rsidRPr="00BA2696">
        <w:rPr>
          <w:sz w:val="24"/>
          <w:szCs w:val="24"/>
        </w:rPr>
        <w:t xml:space="preserve"> not only a lack of knowledge but the presence of false beliefs (Medina, 2016). In addition, white apathy has been called the ‘emotional equivalent of its cognitive counterpart, colour-blind ideology’ (Spanierman and Cabrera, 2015, p. 11). Therefore, colour-blind racial attitudes could be seen as the presence of a false intellectual belief situated alongside an emotional justification. This may create a double-layered barrier to racial discourse.</w:t>
      </w:r>
    </w:p>
    <w:p w14:paraId="6114A0FD" w14:textId="77777777" w:rsidR="00A90B05" w:rsidRPr="00BA2696" w:rsidRDefault="00A90B05" w:rsidP="00A90B05">
      <w:pPr>
        <w:suppressAutoHyphens w:val="0"/>
        <w:autoSpaceDN/>
        <w:spacing w:after="0" w:line="480" w:lineRule="auto"/>
        <w:textAlignment w:val="auto"/>
        <w:rPr>
          <w:sz w:val="24"/>
          <w:szCs w:val="24"/>
        </w:rPr>
      </w:pPr>
    </w:p>
    <w:p w14:paraId="6F70F0A2" w14:textId="77777777" w:rsidR="00A90B05" w:rsidRPr="00BA2696" w:rsidRDefault="00A90B05" w:rsidP="00A90B05">
      <w:pPr>
        <w:suppressAutoHyphens w:val="0"/>
        <w:autoSpaceDN/>
        <w:spacing w:after="0" w:line="480" w:lineRule="auto"/>
        <w:textAlignment w:val="auto"/>
        <w:rPr>
          <w:sz w:val="24"/>
          <w:szCs w:val="24"/>
        </w:rPr>
      </w:pPr>
      <w:r w:rsidRPr="00BA2696">
        <w:rPr>
          <w:sz w:val="24"/>
          <w:szCs w:val="24"/>
        </w:rPr>
        <w:t xml:space="preserve">Each of the participants made colour-blind statements, feeling that ‘race’ should not matter, particularly in a counselling relationship. When considering the ‘four frames’ of colour-blindness (Bonilla-Silva, 2018, pp. 54-74), it would seem that the two overtly expressed were abstract liberalism and minimisation. Minimisation was discussed previously in this chapter in regard to the semantic understanding of racism (Section 6.3). Abstract liberalism has been called the foundation to colour-blind attitudes and allows white people to take a moralistic stance ‘while opposing almost all practical approaches to deal with de facto racial inequality’ </w:t>
      </w:r>
      <w:bookmarkStart w:id="59" w:name="_Hlk52874690"/>
      <w:r w:rsidRPr="00BA2696">
        <w:rPr>
          <w:sz w:val="24"/>
          <w:szCs w:val="24"/>
        </w:rPr>
        <w:t xml:space="preserve">(Bonilla-Silva, 2018, p. 56). </w:t>
      </w:r>
      <w:bookmarkEnd w:id="59"/>
      <w:r w:rsidRPr="00BA2696">
        <w:rPr>
          <w:sz w:val="24"/>
          <w:szCs w:val="24"/>
        </w:rPr>
        <w:t xml:space="preserve">This was expressed through statements made by the participants that skin colour is irrelevant, that people are equal and in the unspoken belief that talking about ‘race’ was ‘bad’. Lack of support </w:t>
      </w:r>
      <w:r>
        <w:rPr>
          <w:sz w:val="24"/>
          <w:szCs w:val="24"/>
        </w:rPr>
        <w:t>for</w:t>
      </w:r>
      <w:r w:rsidRPr="00BA2696">
        <w:rPr>
          <w:sz w:val="24"/>
          <w:szCs w:val="24"/>
        </w:rPr>
        <w:t xml:space="preserve"> racial equality could be seen in the resistance to ‘race’ education (Theme 4, Section 6.6).</w:t>
      </w:r>
    </w:p>
    <w:p w14:paraId="5ACC782D" w14:textId="77777777" w:rsidR="00A90B05" w:rsidRPr="00BA2696" w:rsidRDefault="00A90B05" w:rsidP="00A90B05">
      <w:pPr>
        <w:suppressAutoHyphens w:val="0"/>
        <w:autoSpaceDN/>
        <w:spacing w:after="0" w:line="480" w:lineRule="auto"/>
        <w:textAlignment w:val="auto"/>
        <w:rPr>
          <w:sz w:val="24"/>
          <w:szCs w:val="24"/>
        </w:rPr>
      </w:pPr>
    </w:p>
    <w:p w14:paraId="712B43F7" w14:textId="77777777" w:rsidR="00A90B05" w:rsidRPr="00BA2696" w:rsidRDefault="00A90B05" w:rsidP="00A90B05">
      <w:pPr>
        <w:suppressAutoHyphens w:val="0"/>
        <w:autoSpaceDN/>
        <w:spacing w:after="0" w:line="480" w:lineRule="auto"/>
        <w:textAlignment w:val="auto"/>
        <w:rPr>
          <w:sz w:val="24"/>
          <w:szCs w:val="24"/>
        </w:rPr>
      </w:pPr>
      <w:r w:rsidRPr="00BA2696">
        <w:rPr>
          <w:sz w:val="24"/>
          <w:szCs w:val="24"/>
        </w:rPr>
        <w:t xml:space="preserve"> In the classroom observations, ‘race’ occurred twice: when discussing whether they could work with a racist client and when watching a video clip of a white male counsellor and a black female client. In a group discussion of the video clip, the ‘races’ of the counsellor and </w:t>
      </w:r>
      <w:r w:rsidRPr="00BA2696">
        <w:rPr>
          <w:sz w:val="24"/>
          <w:szCs w:val="24"/>
        </w:rPr>
        <w:lastRenderedPageBreak/>
        <w:t>client were not mentioned, nor how this could affect the therapeutic relationship. As Marie commented in class (when discussing a case vignette about a Trans</w:t>
      </w:r>
      <w:r>
        <w:rPr>
          <w:sz w:val="24"/>
          <w:szCs w:val="24"/>
        </w:rPr>
        <w:t>gender</w:t>
      </w:r>
      <w:r w:rsidRPr="00BA2696">
        <w:rPr>
          <w:sz w:val="24"/>
          <w:szCs w:val="24"/>
        </w:rPr>
        <w:t xml:space="preserve"> counsellor):</w:t>
      </w:r>
    </w:p>
    <w:p w14:paraId="23DB50F8" w14:textId="77777777" w:rsidR="00A90B05" w:rsidRPr="00BA2696" w:rsidRDefault="00A90B05" w:rsidP="00A90B05">
      <w:pPr>
        <w:suppressAutoHyphens w:val="0"/>
        <w:autoSpaceDN/>
        <w:spacing w:after="120" w:line="240" w:lineRule="auto"/>
        <w:ind w:left="1287" w:right="567" w:hanging="720"/>
        <w:textAlignment w:val="auto"/>
        <w:rPr>
          <w:sz w:val="24"/>
          <w:szCs w:val="24"/>
        </w:rPr>
      </w:pPr>
      <w:r w:rsidRPr="00BA2696">
        <w:rPr>
          <w:sz w:val="24"/>
          <w:szCs w:val="24"/>
        </w:rPr>
        <w:t>Marie: In this politically correct world we’re obligated to pretend we don’t notice people are Trans</w:t>
      </w:r>
      <w:r>
        <w:rPr>
          <w:sz w:val="24"/>
          <w:szCs w:val="24"/>
        </w:rPr>
        <w:t>[gender]</w:t>
      </w:r>
      <w:r w:rsidRPr="00BA2696">
        <w:rPr>
          <w:sz w:val="24"/>
          <w:szCs w:val="24"/>
        </w:rPr>
        <w:t xml:space="preserve"> or their race.</w:t>
      </w:r>
    </w:p>
    <w:p w14:paraId="2FBE05D9" w14:textId="77777777" w:rsidR="00A90B05" w:rsidRPr="00BA2696" w:rsidRDefault="00A90B05" w:rsidP="00A90B05">
      <w:pPr>
        <w:suppressAutoHyphens w:val="0"/>
        <w:autoSpaceDN/>
        <w:spacing w:after="0" w:line="480" w:lineRule="auto"/>
        <w:textAlignment w:val="auto"/>
        <w:rPr>
          <w:sz w:val="24"/>
          <w:szCs w:val="24"/>
        </w:rPr>
      </w:pPr>
    </w:p>
    <w:p w14:paraId="27F321D0" w14:textId="77777777" w:rsidR="00A90B05" w:rsidRPr="00BA2696" w:rsidRDefault="00A90B05" w:rsidP="00A90B05">
      <w:pPr>
        <w:suppressAutoHyphens w:val="0"/>
        <w:autoSpaceDN/>
        <w:spacing w:after="0" w:line="480" w:lineRule="auto"/>
        <w:textAlignment w:val="auto"/>
        <w:rPr>
          <w:sz w:val="24"/>
          <w:szCs w:val="24"/>
        </w:rPr>
      </w:pPr>
      <w:r w:rsidRPr="00BA2696">
        <w:rPr>
          <w:sz w:val="24"/>
          <w:szCs w:val="24"/>
        </w:rPr>
        <w:t xml:space="preserve">Therefore, it seemed that the class did not ‘notice’ ‘race’ either and colour-blindness was evident by racial difference in the video being met with silence. I had a similar experience as a trainee counsellor, whereby my class watched a video with a black male client. When asked as a group to talk about the video, the client’s ‘race’ was not mentioned for most of the discussion, until one member of the group mentioned that the client was black. I can recall the strength of my feelings that this peer was being racist for mentioning the client’s ‘race’, and I verbalised the sentiment that ‘race’ is irrelevant. The tutor (not the tutor discussed in this research) stayed silent but shot me a conspiratorial eye-roll which I interpreted as support for my comment and affirmation that colour-blindness was the correct racial attitude. This shows how colour-blindness can be perceived as the ‘right’ attitude, was reinforced through my classroom’s silence, the ‘disruptor’ (in this case my peer) being criticised and a tutor’s tacit support. The pervasive silence around pedagogical racial discourse has been termed ‘white silence’ </w:t>
      </w:r>
      <w:bookmarkStart w:id="60" w:name="_Hlk52878671"/>
      <w:r w:rsidRPr="00BA2696">
        <w:rPr>
          <w:sz w:val="24"/>
          <w:szCs w:val="24"/>
        </w:rPr>
        <w:t xml:space="preserve">(DiAngelo, 2012; Applebaum, 2016b) </w:t>
      </w:r>
      <w:bookmarkEnd w:id="60"/>
      <w:r w:rsidRPr="00BA2696">
        <w:rPr>
          <w:sz w:val="24"/>
          <w:szCs w:val="24"/>
        </w:rPr>
        <w:t xml:space="preserve">and will be explored in Theme 4 (Section 6.6). </w:t>
      </w:r>
    </w:p>
    <w:p w14:paraId="3564E315" w14:textId="77777777" w:rsidR="00A90B05" w:rsidRPr="00BA2696" w:rsidRDefault="00A90B05" w:rsidP="00A90B05">
      <w:pPr>
        <w:suppressAutoHyphens w:val="0"/>
        <w:autoSpaceDN/>
        <w:spacing w:after="0" w:line="480" w:lineRule="auto"/>
        <w:textAlignment w:val="auto"/>
        <w:rPr>
          <w:sz w:val="24"/>
          <w:szCs w:val="24"/>
        </w:rPr>
      </w:pPr>
    </w:p>
    <w:p w14:paraId="7A687125" w14:textId="77777777" w:rsidR="00A90B05" w:rsidRPr="00BA2696" w:rsidRDefault="00A90B05" w:rsidP="00A90B05">
      <w:pPr>
        <w:suppressAutoHyphens w:val="0"/>
        <w:autoSpaceDN/>
        <w:spacing w:after="0" w:line="480" w:lineRule="auto"/>
        <w:textAlignment w:val="auto"/>
        <w:rPr>
          <w:sz w:val="24"/>
          <w:szCs w:val="24"/>
        </w:rPr>
      </w:pPr>
      <w:bookmarkStart w:id="61" w:name="_Hlk52874740"/>
      <w:r w:rsidRPr="00BA2696">
        <w:rPr>
          <w:sz w:val="24"/>
          <w:szCs w:val="24"/>
        </w:rPr>
        <w:t>Mills (1997, p. 93) argues that one aspect of the racial contract is that</w:t>
      </w:r>
      <w:r>
        <w:rPr>
          <w:sz w:val="24"/>
          <w:szCs w:val="24"/>
        </w:rPr>
        <w:t xml:space="preserve"> it</w:t>
      </w:r>
      <w:r w:rsidRPr="00BA2696">
        <w:rPr>
          <w:sz w:val="24"/>
          <w:szCs w:val="24"/>
        </w:rPr>
        <w:t xml:space="preserve"> ‘creates a racialized moral psychology</w:t>
      </w:r>
      <w:bookmarkEnd w:id="61"/>
      <w:r w:rsidRPr="00BA2696">
        <w:rPr>
          <w:sz w:val="24"/>
          <w:szCs w:val="24"/>
        </w:rPr>
        <w:t>’ whereby white people will ‘act in racist ways while thinking of themselves as acting morally’. This concurs with the argument that colour-blindness allows whites to resist racial equality whil</w:t>
      </w:r>
      <w:r>
        <w:rPr>
          <w:sz w:val="24"/>
          <w:szCs w:val="24"/>
        </w:rPr>
        <w:t>e</w:t>
      </w:r>
      <w:r w:rsidRPr="00BA2696">
        <w:rPr>
          <w:sz w:val="24"/>
          <w:szCs w:val="24"/>
        </w:rPr>
        <w:t xml:space="preserve"> believing they are moral for not ‘seeing’ ‘race’ (Bonilla-Silva, 2018). For the participants, it seemed that colour-blindness was understood as the morally </w:t>
      </w:r>
      <w:r w:rsidRPr="00BA2696">
        <w:rPr>
          <w:sz w:val="24"/>
          <w:szCs w:val="24"/>
        </w:rPr>
        <w:lastRenderedPageBreak/>
        <w:t>correct attitude to ‘race’ and the process of asking about ‘race’ in the interview contradicted that perception. As the ‘disruptor’, it felt at times that I was perceived as</w:t>
      </w:r>
      <w:r>
        <w:rPr>
          <w:sz w:val="24"/>
          <w:szCs w:val="24"/>
        </w:rPr>
        <w:t xml:space="preserve"> behaving</w:t>
      </w:r>
      <w:r w:rsidRPr="00BA2696">
        <w:rPr>
          <w:sz w:val="24"/>
          <w:szCs w:val="24"/>
        </w:rPr>
        <w:t xml:space="preserve"> ‘bad</w:t>
      </w:r>
      <w:r>
        <w:rPr>
          <w:sz w:val="24"/>
          <w:szCs w:val="24"/>
        </w:rPr>
        <w:t>ly</w:t>
      </w:r>
      <w:r w:rsidRPr="00BA2696">
        <w:rPr>
          <w:sz w:val="24"/>
          <w:szCs w:val="24"/>
        </w:rPr>
        <w:t>’ as the research questions directly and unambiguously brought ‘race’, racism and whiteness into conversation. This is something potential ‘disruptors’ should be aware of: that the intellectual and emotional rationale that colour-blindness is the correct way to understand ‘race’, racism and whiteness can mean that those ‘disrupting’ are repositioned as the ‘bad’ person. In addition, it has been put forward that colour-blindness can be used as</w:t>
      </w:r>
      <w:r>
        <w:rPr>
          <w:sz w:val="24"/>
          <w:szCs w:val="24"/>
        </w:rPr>
        <w:t xml:space="preserve"> a</w:t>
      </w:r>
      <w:r w:rsidRPr="00BA2696">
        <w:rPr>
          <w:sz w:val="24"/>
          <w:szCs w:val="24"/>
        </w:rPr>
        <w:t xml:space="preserve"> way to retreat back </w:t>
      </w:r>
      <w:r>
        <w:rPr>
          <w:sz w:val="24"/>
          <w:szCs w:val="24"/>
        </w:rPr>
        <w:t>in</w:t>
      </w:r>
      <w:r w:rsidRPr="00BA2696">
        <w:rPr>
          <w:sz w:val="24"/>
          <w:szCs w:val="24"/>
        </w:rPr>
        <w:t>to wilful ignorance when confronted with racial injustice (Mueller, 2017).</w:t>
      </w:r>
    </w:p>
    <w:p w14:paraId="13C99473" w14:textId="77777777" w:rsidR="00A90B05" w:rsidRPr="00BA2696" w:rsidRDefault="00A90B05" w:rsidP="00A90B05">
      <w:pPr>
        <w:suppressAutoHyphens w:val="0"/>
        <w:autoSpaceDN/>
        <w:spacing w:after="0" w:line="480" w:lineRule="auto"/>
        <w:textAlignment w:val="auto"/>
        <w:rPr>
          <w:sz w:val="24"/>
          <w:szCs w:val="24"/>
        </w:rPr>
      </w:pPr>
    </w:p>
    <w:p w14:paraId="3750CAEE" w14:textId="77777777" w:rsidR="00A90B05" w:rsidRPr="00BA2696" w:rsidRDefault="00A90B05" w:rsidP="00A90B05">
      <w:pPr>
        <w:suppressAutoHyphens w:val="0"/>
        <w:autoSpaceDN/>
        <w:spacing w:after="0" w:line="480" w:lineRule="auto"/>
        <w:textAlignment w:val="auto"/>
        <w:rPr>
          <w:sz w:val="24"/>
          <w:szCs w:val="24"/>
        </w:rPr>
      </w:pPr>
      <w:r w:rsidRPr="00BA2696">
        <w:rPr>
          <w:sz w:val="24"/>
          <w:szCs w:val="24"/>
        </w:rPr>
        <w:t xml:space="preserve">An example of this is how Anne reacted to the research questions. She had the strongest colour-blind beliefs of the participants, repeating throughout the interview that she sees people as individuals and does not see skin colour. Anne also had a strong reaction when asked how she felt about being white, feeling that it was an </w:t>
      </w:r>
      <w:r w:rsidRPr="00BA2696">
        <w:rPr>
          <w:i/>
          <w:iCs/>
          <w:sz w:val="24"/>
          <w:szCs w:val="24"/>
        </w:rPr>
        <w:t>‘insulting’</w:t>
      </w:r>
      <w:r w:rsidRPr="00BA2696">
        <w:rPr>
          <w:sz w:val="24"/>
          <w:szCs w:val="24"/>
        </w:rPr>
        <w:t xml:space="preserve"> question which </w:t>
      </w:r>
      <w:r w:rsidRPr="00BA2696">
        <w:rPr>
          <w:i/>
          <w:iCs/>
          <w:sz w:val="24"/>
          <w:szCs w:val="24"/>
        </w:rPr>
        <w:t xml:space="preserve">‘doesn’t need to be asked’. </w:t>
      </w:r>
      <w:r w:rsidRPr="00BA2696">
        <w:rPr>
          <w:sz w:val="24"/>
          <w:szCs w:val="24"/>
        </w:rPr>
        <w:t>Anne said in the interview that my research questions left her feeling that:</w:t>
      </w:r>
    </w:p>
    <w:p w14:paraId="3185ED6B" w14:textId="77777777" w:rsidR="00A90B05" w:rsidRPr="00BA2696" w:rsidRDefault="00A90B05" w:rsidP="00A90B05">
      <w:pPr>
        <w:suppressAutoHyphens w:val="0"/>
        <w:autoSpaceDN/>
        <w:spacing w:after="120" w:line="240" w:lineRule="auto"/>
        <w:ind w:left="1287" w:right="567" w:hanging="720"/>
        <w:textAlignment w:val="auto"/>
        <w:rPr>
          <w:sz w:val="24"/>
          <w:szCs w:val="24"/>
        </w:rPr>
      </w:pPr>
      <w:r w:rsidRPr="00BA2696">
        <w:rPr>
          <w:sz w:val="24"/>
          <w:szCs w:val="24"/>
        </w:rPr>
        <w:t>Anne: I just</w:t>
      </w:r>
      <w:r>
        <w:rPr>
          <w:sz w:val="24"/>
          <w:szCs w:val="24"/>
        </w:rPr>
        <w:t>,</w:t>
      </w:r>
      <w:r w:rsidRPr="00BA2696">
        <w:rPr>
          <w:sz w:val="24"/>
          <w:szCs w:val="24"/>
        </w:rPr>
        <w:t xml:space="preserve"> I find myself feeling quite defensive for the coloured people… because why, why should they be? Why should they be targeted? </w:t>
      </w:r>
    </w:p>
    <w:p w14:paraId="79F1FD5B" w14:textId="77777777" w:rsidR="00A90B05" w:rsidRPr="00BA2696" w:rsidRDefault="00A90B05" w:rsidP="00A90B05">
      <w:pPr>
        <w:suppressAutoHyphens w:val="0"/>
        <w:autoSpaceDN/>
        <w:spacing w:after="0" w:line="480" w:lineRule="auto"/>
        <w:ind w:right="567"/>
        <w:textAlignment w:val="auto"/>
        <w:rPr>
          <w:sz w:val="24"/>
          <w:szCs w:val="24"/>
        </w:rPr>
      </w:pPr>
    </w:p>
    <w:p w14:paraId="539183F1" w14:textId="77777777" w:rsidR="00A90B05" w:rsidRPr="00BA2696" w:rsidRDefault="00A90B05" w:rsidP="00A90B05">
      <w:pPr>
        <w:suppressAutoHyphens w:val="0"/>
        <w:autoSpaceDN/>
        <w:spacing w:after="0" w:line="480" w:lineRule="auto"/>
        <w:textAlignment w:val="auto"/>
        <w:rPr>
          <w:sz w:val="24"/>
          <w:szCs w:val="24"/>
        </w:rPr>
      </w:pPr>
      <w:r w:rsidRPr="00BA2696">
        <w:rPr>
          <w:sz w:val="24"/>
          <w:szCs w:val="24"/>
        </w:rPr>
        <w:t>Indeed, when I was leaving the classroom on my last day, which was a couple of hours after I interviewed her, Anne said in passing:</w:t>
      </w:r>
    </w:p>
    <w:p w14:paraId="107FA65F" w14:textId="77777777" w:rsidR="00A90B05" w:rsidRPr="00BA2696" w:rsidRDefault="00A90B05" w:rsidP="00A90B05">
      <w:pPr>
        <w:suppressAutoHyphens w:val="0"/>
        <w:autoSpaceDN/>
        <w:spacing w:after="120" w:line="240" w:lineRule="auto"/>
        <w:ind w:left="1287" w:right="567" w:hanging="720"/>
        <w:textAlignment w:val="auto"/>
        <w:rPr>
          <w:sz w:val="24"/>
          <w:szCs w:val="24"/>
        </w:rPr>
      </w:pPr>
      <w:r w:rsidRPr="00BA2696">
        <w:rPr>
          <w:sz w:val="24"/>
          <w:szCs w:val="24"/>
        </w:rPr>
        <w:t xml:space="preserve">Anne: it will be interesting, </w:t>
      </w:r>
      <w:r w:rsidRPr="00BA2696">
        <w:rPr>
          <w:i/>
          <w:iCs/>
          <w:sz w:val="24"/>
          <w:szCs w:val="24"/>
        </w:rPr>
        <w:t xml:space="preserve">very </w:t>
      </w:r>
      <w:r w:rsidRPr="00BA2696">
        <w:rPr>
          <w:sz w:val="24"/>
          <w:szCs w:val="24"/>
        </w:rPr>
        <w:t>interesting, to see your results.</w:t>
      </w:r>
    </w:p>
    <w:p w14:paraId="0C1E3A9F" w14:textId="77777777" w:rsidR="00A90B05" w:rsidRPr="00BA2696" w:rsidRDefault="00A90B05" w:rsidP="00A90B05">
      <w:pPr>
        <w:suppressAutoHyphens w:val="0"/>
        <w:autoSpaceDN/>
        <w:spacing w:after="0" w:line="480" w:lineRule="auto"/>
        <w:textAlignment w:val="auto"/>
        <w:rPr>
          <w:sz w:val="24"/>
          <w:szCs w:val="24"/>
        </w:rPr>
      </w:pPr>
    </w:p>
    <w:p w14:paraId="7EBB8A66" w14:textId="77777777" w:rsidR="00A90B05" w:rsidRPr="00BA2696" w:rsidRDefault="00A90B05" w:rsidP="00A90B05">
      <w:pPr>
        <w:suppressAutoHyphens w:val="0"/>
        <w:autoSpaceDN/>
        <w:spacing w:after="0" w:line="480" w:lineRule="auto"/>
        <w:textAlignment w:val="auto"/>
        <w:rPr>
          <w:sz w:val="24"/>
          <w:szCs w:val="24"/>
        </w:rPr>
      </w:pPr>
      <w:r w:rsidRPr="00BA2696">
        <w:rPr>
          <w:sz w:val="24"/>
          <w:szCs w:val="24"/>
        </w:rPr>
        <w:t xml:space="preserve">These words seemed to be an addendum to her comments in the interview that my research questions left her feeling </w:t>
      </w:r>
      <w:r w:rsidRPr="00BA2696">
        <w:rPr>
          <w:i/>
          <w:iCs/>
          <w:sz w:val="24"/>
          <w:szCs w:val="24"/>
        </w:rPr>
        <w:t>‘insulted’</w:t>
      </w:r>
      <w:r w:rsidRPr="00BA2696">
        <w:rPr>
          <w:sz w:val="24"/>
          <w:szCs w:val="24"/>
        </w:rPr>
        <w:t xml:space="preserve"> and were </w:t>
      </w:r>
      <w:r w:rsidRPr="00BA2696">
        <w:rPr>
          <w:i/>
          <w:iCs/>
          <w:sz w:val="24"/>
          <w:szCs w:val="24"/>
        </w:rPr>
        <w:t>‘targeting’</w:t>
      </w:r>
      <w:r w:rsidRPr="00BA2696">
        <w:rPr>
          <w:sz w:val="24"/>
          <w:szCs w:val="24"/>
        </w:rPr>
        <w:t xml:space="preserve"> people of colour. Her words have stayed with me, more in their delivery than </w:t>
      </w:r>
      <w:r>
        <w:rPr>
          <w:sz w:val="24"/>
          <w:szCs w:val="24"/>
        </w:rPr>
        <w:t xml:space="preserve">their </w:t>
      </w:r>
      <w:r w:rsidRPr="00BA2696">
        <w:rPr>
          <w:sz w:val="24"/>
          <w:szCs w:val="24"/>
        </w:rPr>
        <w:t xml:space="preserve">content. It seemed to me as if </w:t>
      </w:r>
      <w:r w:rsidRPr="00BA2696">
        <w:rPr>
          <w:sz w:val="24"/>
          <w:szCs w:val="24"/>
        </w:rPr>
        <w:lastRenderedPageBreak/>
        <w:t xml:space="preserve">Anne were challenging me, saying: ‘I disagree with what you have said and done, and I want to know what the point was’. This is supported by her comment about whiteness that: </w:t>
      </w:r>
    </w:p>
    <w:p w14:paraId="7BB9646F" w14:textId="77777777" w:rsidR="00A90B05" w:rsidRPr="00BA2696" w:rsidRDefault="00A90B05" w:rsidP="00A90B05">
      <w:pPr>
        <w:suppressAutoHyphens w:val="0"/>
        <w:autoSpaceDN/>
        <w:spacing w:after="120" w:line="240" w:lineRule="auto"/>
        <w:ind w:left="1287" w:right="567" w:hanging="720"/>
        <w:textAlignment w:val="auto"/>
        <w:rPr>
          <w:sz w:val="24"/>
          <w:szCs w:val="24"/>
        </w:rPr>
      </w:pPr>
      <w:r w:rsidRPr="00BA2696">
        <w:rPr>
          <w:sz w:val="24"/>
          <w:szCs w:val="24"/>
        </w:rPr>
        <w:t>Anne: …</w:t>
      </w:r>
      <w:r w:rsidRPr="00BA2696">
        <w:rPr>
          <w:rFonts w:cs="Calibri"/>
          <w:sz w:val="24"/>
          <w:szCs w:val="24"/>
        </w:rPr>
        <w:t xml:space="preserve"> </w:t>
      </w:r>
      <w:r w:rsidRPr="00BA2696">
        <w:rPr>
          <w:sz w:val="24"/>
          <w:szCs w:val="24"/>
        </w:rPr>
        <w:t>There is no purpose to it</w:t>
      </w:r>
      <w:r>
        <w:rPr>
          <w:sz w:val="24"/>
          <w:szCs w:val="24"/>
        </w:rPr>
        <w:t xml:space="preserve"> [asking about whiteness]</w:t>
      </w:r>
      <w:r w:rsidRPr="00BA2696">
        <w:rPr>
          <w:sz w:val="24"/>
          <w:szCs w:val="24"/>
        </w:rPr>
        <w:t>. I don't think there is. It's not a question that needs to be asked.</w:t>
      </w:r>
    </w:p>
    <w:p w14:paraId="124F006C" w14:textId="77777777" w:rsidR="00A90B05" w:rsidRPr="00BA2696" w:rsidRDefault="00A90B05" w:rsidP="00A90B05">
      <w:pPr>
        <w:suppressAutoHyphens w:val="0"/>
        <w:autoSpaceDN/>
        <w:spacing w:after="0" w:line="480" w:lineRule="auto"/>
        <w:ind w:right="567"/>
        <w:textAlignment w:val="auto"/>
        <w:rPr>
          <w:sz w:val="24"/>
          <w:szCs w:val="24"/>
        </w:rPr>
      </w:pPr>
    </w:p>
    <w:p w14:paraId="7BCFD9B7" w14:textId="77777777" w:rsidR="00A90B05" w:rsidRPr="00BA2696" w:rsidRDefault="00A90B05" w:rsidP="00A90B05">
      <w:pPr>
        <w:suppressAutoHyphens w:val="0"/>
        <w:autoSpaceDN/>
        <w:spacing w:after="0" w:line="480" w:lineRule="auto"/>
        <w:textAlignment w:val="auto"/>
        <w:rPr>
          <w:rFonts w:cs="Calibri"/>
          <w:sz w:val="24"/>
          <w:szCs w:val="24"/>
        </w:rPr>
      </w:pPr>
      <w:r w:rsidRPr="00BA2696">
        <w:rPr>
          <w:sz w:val="24"/>
          <w:szCs w:val="24"/>
        </w:rPr>
        <w:t>Indeed, it felt as if Anne could have been saying this about the whole interview. Of course, my interpretation of those words is highly subjective and is filtered through Anne’s emotional response to the interview</w:t>
      </w:r>
      <w:r w:rsidRPr="00BA2696">
        <w:rPr>
          <w:i/>
          <w:iCs/>
          <w:sz w:val="24"/>
          <w:szCs w:val="24"/>
        </w:rPr>
        <w:t xml:space="preserve">. </w:t>
      </w:r>
      <w:r w:rsidRPr="00BA2696">
        <w:rPr>
          <w:sz w:val="24"/>
          <w:szCs w:val="24"/>
        </w:rPr>
        <w:t>They are strengthened by Phil’s belief that my use of the word ‘white’ in the working title of the research was racist. Both of these comments seemed to insinuate that in my role of ‘disruptor’ I had broken the code of racial colour-blindness and consequently</w:t>
      </w:r>
      <w:r>
        <w:rPr>
          <w:sz w:val="24"/>
          <w:szCs w:val="24"/>
        </w:rPr>
        <w:t>, I</w:t>
      </w:r>
      <w:r w:rsidRPr="00BA2696">
        <w:rPr>
          <w:sz w:val="24"/>
          <w:szCs w:val="24"/>
        </w:rPr>
        <w:t xml:space="preserve"> </w:t>
      </w:r>
      <w:r>
        <w:rPr>
          <w:sz w:val="24"/>
          <w:szCs w:val="24"/>
        </w:rPr>
        <w:t xml:space="preserve">was </w:t>
      </w:r>
      <w:r w:rsidRPr="00BA2696">
        <w:rPr>
          <w:sz w:val="24"/>
          <w:szCs w:val="24"/>
        </w:rPr>
        <w:t>targeting people of colour because I was not subscribing to colour-blind ideology</w:t>
      </w:r>
      <w:r w:rsidRPr="00A74D93">
        <w:rPr>
          <w:sz w:val="24"/>
          <w:szCs w:val="24"/>
        </w:rPr>
        <w:t xml:space="preserve"> </w:t>
      </w:r>
      <w:r>
        <w:rPr>
          <w:sz w:val="24"/>
          <w:szCs w:val="24"/>
        </w:rPr>
        <w:t>(</w:t>
      </w:r>
      <w:r w:rsidRPr="00BA2696">
        <w:rPr>
          <w:sz w:val="24"/>
          <w:szCs w:val="24"/>
        </w:rPr>
        <w:t>Bonilla-Silva</w:t>
      </w:r>
      <w:r>
        <w:rPr>
          <w:sz w:val="24"/>
          <w:szCs w:val="24"/>
        </w:rPr>
        <w:t xml:space="preserve">, </w:t>
      </w:r>
      <w:r w:rsidRPr="00BA2696">
        <w:rPr>
          <w:sz w:val="24"/>
          <w:szCs w:val="24"/>
        </w:rPr>
        <w:t>2018</w:t>
      </w:r>
      <w:r>
        <w:rPr>
          <w:sz w:val="24"/>
          <w:szCs w:val="24"/>
        </w:rPr>
        <w:t>)</w:t>
      </w:r>
      <w:r w:rsidRPr="00BA2696">
        <w:rPr>
          <w:sz w:val="24"/>
          <w:szCs w:val="24"/>
        </w:rPr>
        <w:t>. Mills’ (1997) argument that that the racial contract can be rationalised as a moral</w:t>
      </w:r>
      <w:r>
        <w:rPr>
          <w:sz w:val="24"/>
          <w:szCs w:val="24"/>
        </w:rPr>
        <w:t xml:space="preserve"> stance</w:t>
      </w:r>
      <w:r w:rsidRPr="00BA2696">
        <w:rPr>
          <w:sz w:val="24"/>
          <w:szCs w:val="24"/>
        </w:rPr>
        <w:t xml:space="preserve"> seemed to be upheld; therefore, when the ‘disruptor’ breaks the racial contract, they are perceived as immoral. However, given my own reaction as a trainee counsellor to a situation when ‘race’ was verbalised and ‘seen’, I understand that Anne’s reaction was in all likelihood coming from a place of genuine conviction. In this way, she was simply reproducing a pervasive white understanding of ‘race’. Supporting this interpretation is that the dominance of colour-blind ideology amongst white people has been termed one of </w:t>
      </w:r>
      <w:r>
        <w:rPr>
          <w:sz w:val="24"/>
          <w:szCs w:val="24"/>
        </w:rPr>
        <w:t xml:space="preserve">the </w:t>
      </w:r>
      <w:r w:rsidRPr="00BA2696">
        <w:rPr>
          <w:sz w:val="24"/>
          <w:szCs w:val="24"/>
        </w:rPr>
        <w:t>theoretical cores of critical whiteness studies (Hartmann, Gerteis and Croll, 2009). Additionally, being colour-blind has been found to be perceived as a positive identity trait (</w:t>
      </w:r>
      <w:r w:rsidRPr="00BA2696">
        <w:rPr>
          <w:rFonts w:cs="Calibri"/>
          <w:sz w:val="24"/>
          <w:szCs w:val="24"/>
        </w:rPr>
        <w:t xml:space="preserve">Hartmann </w:t>
      </w:r>
      <w:r w:rsidRPr="00BA2696">
        <w:rPr>
          <w:rFonts w:cs="Calibri"/>
          <w:i/>
          <w:iCs/>
          <w:sz w:val="24"/>
          <w:szCs w:val="24"/>
        </w:rPr>
        <w:t>et al</w:t>
      </w:r>
      <w:r w:rsidRPr="00BA2696">
        <w:rPr>
          <w:rFonts w:cs="Calibri"/>
          <w:sz w:val="24"/>
          <w:szCs w:val="24"/>
        </w:rPr>
        <w:t>, 2017).</w:t>
      </w:r>
    </w:p>
    <w:p w14:paraId="6FE0414E" w14:textId="77777777" w:rsidR="00A90B05" w:rsidRPr="00BA2696" w:rsidRDefault="00A90B05" w:rsidP="00A90B05">
      <w:pPr>
        <w:suppressAutoHyphens w:val="0"/>
        <w:autoSpaceDN/>
        <w:spacing w:after="0" w:line="480" w:lineRule="auto"/>
        <w:textAlignment w:val="auto"/>
        <w:rPr>
          <w:color w:val="FF0000"/>
          <w:sz w:val="24"/>
          <w:szCs w:val="24"/>
        </w:rPr>
      </w:pPr>
    </w:p>
    <w:p w14:paraId="0936490C" w14:textId="77777777" w:rsidR="00A90B05" w:rsidRPr="00BA2696" w:rsidRDefault="00A90B05" w:rsidP="00A90B05">
      <w:pPr>
        <w:suppressAutoHyphens w:val="0"/>
        <w:autoSpaceDN/>
        <w:spacing w:after="0" w:line="480" w:lineRule="auto"/>
        <w:textAlignment w:val="auto"/>
        <w:rPr>
          <w:sz w:val="24"/>
          <w:szCs w:val="24"/>
        </w:rPr>
      </w:pPr>
      <w:r w:rsidRPr="00BA2696">
        <w:rPr>
          <w:sz w:val="24"/>
          <w:szCs w:val="24"/>
        </w:rPr>
        <w:t xml:space="preserve">It could be argued that colour-blindness is a convenient position to uphold white ignorance by ‘good’ white people in that it allows the white person to sustain a positive self-perception about their attitudes to ‘race’, without having to meaningfully engage in racial </w:t>
      </w:r>
      <w:r w:rsidRPr="00BA2696">
        <w:rPr>
          <w:sz w:val="24"/>
          <w:szCs w:val="24"/>
        </w:rPr>
        <w:lastRenderedPageBreak/>
        <w:t>awareness or racial equality. It seemed that</w:t>
      </w:r>
      <w:r>
        <w:rPr>
          <w:sz w:val="24"/>
          <w:szCs w:val="24"/>
        </w:rPr>
        <w:t xml:space="preserve"> the participants understood</w:t>
      </w:r>
      <w:r w:rsidRPr="00BA2696">
        <w:rPr>
          <w:sz w:val="24"/>
          <w:szCs w:val="24"/>
        </w:rPr>
        <w:t xml:space="preserve"> colour-blind racial attitudes as the correct and moral way to understand ‘race’, racism and whiteness</w:t>
      </w:r>
      <w:r>
        <w:rPr>
          <w:sz w:val="24"/>
          <w:szCs w:val="24"/>
        </w:rPr>
        <w:t>, thus creating a barrier to racial discourse.</w:t>
      </w:r>
    </w:p>
    <w:p w14:paraId="029D00A5" w14:textId="77777777" w:rsidR="00A90B05" w:rsidRPr="00BA2696" w:rsidRDefault="00A90B05" w:rsidP="00A90B05">
      <w:pPr>
        <w:suppressAutoHyphens w:val="0"/>
        <w:autoSpaceDN/>
        <w:spacing w:after="0" w:line="480" w:lineRule="auto"/>
        <w:textAlignment w:val="auto"/>
        <w:rPr>
          <w:sz w:val="24"/>
          <w:szCs w:val="24"/>
        </w:rPr>
      </w:pPr>
    </w:p>
    <w:p w14:paraId="5C2E5EA8" w14:textId="77777777" w:rsidR="00A90B05" w:rsidRPr="00BA2696" w:rsidRDefault="00A90B05" w:rsidP="00A90B05">
      <w:pPr>
        <w:pStyle w:val="Heading4"/>
        <w:spacing w:before="0" w:after="240" w:line="250" w:lineRule="auto"/>
      </w:pPr>
      <w:r>
        <w:t>‘Good White Counsellor’</w:t>
      </w:r>
    </w:p>
    <w:p w14:paraId="79F22D05" w14:textId="77777777" w:rsidR="00A90B05" w:rsidRPr="00BA2696" w:rsidRDefault="00A90B05" w:rsidP="00A90B05">
      <w:pPr>
        <w:suppressAutoHyphens w:val="0"/>
        <w:autoSpaceDN/>
        <w:spacing w:after="0" w:line="480" w:lineRule="auto"/>
        <w:textAlignment w:val="auto"/>
        <w:rPr>
          <w:sz w:val="24"/>
          <w:szCs w:val="24"/>
        </w:rPr>
      </w:pPr>
      <w:r w:rsidRPr="00BA2696">
        <w:rPr>
          <w:sz w:val="24"/>
          <w:szCs w:val="24"/>
        </w:rPr>
        <w:t>Closely related to colour-blindness, a profession specific barrier was found in the perception of the participants’ perception of the counsellor as a ‘good’ person. The notion that a ‘good’ person does not ‘see’ ‘race’ is therefore strengthened by the view that the participants had of the personality of the counsellor as a person imbued with positive attributes. As with the previous barriers to racial discourse, this could be used as an intellectual rationale and a place of emotional safety, i.e., ‘</w:t>
      </w:r>
      <w:r w:rsidRPr="00BA2696">
        <w:rPr>
          <w:i/>
          <w:iCs/>
          <w:sz w:val="24"/>
          <w:szCs w:val="24"/>
        </w:rPr>
        <w:t>good people do not see/speak about ‘race’, a counsellor is a ‘good’ person, therefore counsellors’ do not talk about race’.</w:t>
      </w:r>
      <w:r w:rsidRPr="00BA2696">
        <w:rPr>
          <w:sz w:val="24"/>
          <w:szCs w:val="24"/>
        </w:rPr>
        <w:t xml:space="preserve"> Again, this may be a simplistic understanding of a complicated topic, but it does seem that colour-blindness and the characteristics of a counsellor can be linked through a sense of moralistic goodness. </w:t>
      </w:r>
    </w:p>
    <w:p w14:paraId="5AB60F6D" w14:textId="77777777" w:rsidR="00A90B05" w:rsidRPr="00BA2696" w:rsidRDefault="00A90B05" w:rsidP="00A90B05">
      <w:pPr>
        <w:suppressAutoHyphens w:val="0"/>
        <w:autoSpaceDN/>
        <w:spacing w:after="0" w:line="480" w:lineRule="auto"/>
        <w:textAlignment w:val="auto"/>
        <w:rPr>
          <w:sz w:val="24"/>
          <w:szCs w:val="24"/>
        </w:rPr>
      </w:pPr>
    </w:p>
    <w:p w14:paraId="157AB71F" w14:textId="77777777" w:rsidR="00A90B05" w:rsidRPr="00BA2696" w:rsidRDefault="00A90B05" w:rsidP="00A90B05">
      <w:pPr>
        <w:suppressAutoHyphens w:val="0"/>
        <w:autoSpaceDN/>
        <w:spacing w:after="0" w:line="480" w:lineRule="auto"/>
        <w:textAlignment w:val="auto"/>
        <w:rPr>
          <w:sz w:val="24"/>
          <w:szCs w:val="24"/>
        </w:rPr>
      </w:pPr>
      <w:r w:rsidRPr="00BA2696">
        <w:rPr>
          <w:sz w:val="24"/>
          <w:szCs w:val="24"/>
        </w:rPr>
        <w:t>As previously</w:t>
      </w:r>
      <w:r>
        <w:rPr>
          <w:sz w:val="24"/>
          <w:szCs w:val="24"/>
        </w:rPr>
        <w:t xml:space="preserve"> stated</w:t>
      </w:r>
      <w:r w:rsidRPr="00BA2696">
        <w:rPr>
          <w:sz w:val="24"/>
          <w:szCs w:val="24"/>
        </w:rPr>
        <w:t xml:space="preserve"> (Section 6.3), the semantic understanding of racism was reduced to the notion of being intentionally cruel and overtly hostile to another perso</w:t>
      </w:r>
      <w:r>
        <w:rPr>
          <w:sz w:val="24"/>
          <w:szCs w:val="24"/>
        </w:rPr>
        <w:t>n. Therefore,</w:t>
      </w:r>
      <w:r w:rsidRPr="00BA2696">
        <w:rPr>
          <w:sz w:val="24"/>
          <w:szCs w:val="24"/>
        </w:rPr>
        <w:t xml:space="preserve"> being racist was </w:t>
      </w:r>
      <w:r>
        <w:rPr>
          <w:sz w:val="24"/>
          <w:szCs w:val="24"/>
        </w:rPr>
        <w:t xml:space="preserve">perceived as </w:t>
      </w:r>
      <w:r w:rsidRPr="00BA2696">
        <w:rPr>
          <w:sz w:val="24"/>
          <w:szCs w:val="24"/>
        </w:rPr>
        <w:t>antithetical to being a ‘good’ counsellor. In the same way, talking about ‘race’ was a semantic, intellectual, and emotional minefield and contradictory to the participants’ colour-blind attitudes, rendering it a ‘bad’ and verboten topic for a ‘good’ counsellor to engage in. This has been termed the good/bad binary of racism, whereby racism is understood as ‘extreme acts of prejudice’ perpetrated by ‘bad’ people, therefore if a person does not commit such acts, they are ‘good’ and not racist (DiAngelo, 2018, p. 71). It has been argued:</w:t>
      </w:r>
    </w:p>
    <w:p w14:paraId="1FCFD0AB" w14:textId="77777777" w:rsidR="00A90B05" w:rsidRPr="00BA2696" w:rsidRDefault="00A90B05" w:rsidP="00A90B05">
      <w:pPr>
        <w:suppressAutoHyphens w:val="0"/>
        <w:autoSpaceDN/>
        <w:spacing w:after="0" w:line="240" w:lineRule="auto"/>
        <w:ind w:left="567" w:right="567"/>
        <w:textAlignment w:val="auto"/>
        <w:rPr>
          <w:sz w:val="24"/>
          <w:szCs w:val="24"/>
        </w:rPr>
      </w:pPr>
      <w:r w:rsidRPr="00BA2696">
        <w:rPr>
          <w:sz w:val="24"/>
          <w:szCs w:val="24"/>
        </w:rPr>
        <w:lastRenderedPageBreak/>
        <w:t xml:space="preserve">this worldview guarantees that I will not build </w:t>
      </w:r>
      <w:r>
        <w:rPr>
          <w:sz w:val="24"/>
          <w:szCs w:val="24"/>
        </w:rPr>
        <w:t>m</w:t>
      </w:r>
      <w:r w:rsidRPr="00BA2696">
        <w:rPr>
          <w:sz w:val="24"/>
          <w:szCs w:val="24"/>
        </w:rPr>
        <w:t>y skills in thinking critically about racism or use my position to challenge racial inequality (DiAngelo, 2018, p. 73).</w:t>
      </w:r>
    </w:p>
    <w:p w14:paraId="0284F0A3" w14:textId="77777777" w:rsidR="00A90B05" w:rsidRPr="00BA2696" w:rsidRDefault="00A90B05" w:rsidP="00A90B05">
      <w:pPr>
        <w:suppressAutoHyphens w:val="0"/>
        <w:autoSpaceDN/>
        <w:spacing w:after="0" w:line="480" w:lineRule="auto"/>
        <w:textAlignment w:val="auto"/>
        <w:rPr>
          <w:sz w:val="24"/>
          <w:szCs w:val="24"/>
        </w:rPr>
      </w:pPr>
    </w:p>
    <w:p w14:paraId="41105FC0" w14:textId="77777777" w:rsidR="00A90B05" w:rsidRPr="00BA2696" w:rsidRDefault="00A90B05" w:rsidP="00A90B05">
      <w:pPr>
        <w:suppressAutoHyphens w:val="0"/>
        <w:autoSpaceDN/>
        <w:spacing w:after="0" w:line="480" w:lineRule="auto"/>
        <w:textAlignment w:val="auto"/>
        <w:rPr>
          <w:rFonts w:cs="Calibri"/>
          <w:sz w:val="24"/>
          <w:szCs w:val="24"/>
        </w:rPr>
      </w:pPr>
      <w:r w:rsidRPr="00BA2696">
        <w:rPr>
          <w:sz w:val="24"/>
          <w:szCs w:val="24"/>
        </w:rPr>
        <w:t>Similarly, Sullivan (2014a) refers to the problem of ‘good white people’, or white people who think of themselves as educated liberals in comparison to the ‘bad’ white people, i.e., uneducated and lower class, who they hold responsible for racism.  Supporting the findings of this research, Sullivan (2014a, p. 87) argues that colour-blindness is a primary method that ‘good white people’ use to show their ‘kindness</w:t>
      </w:r>
      <w:r>
        <w:rPr>
          <w:sz w:val="24"/>
          <w:szCs w:val="24"/>
        </w:rPr>
        <w:t>’</w:t>
      </w:r>
      <w:r w:rsidRPr="00BA2696">
        <w:rPr>
          <w:sz w:val="24"/>
          <w:szCs w:val="24"/>
        </w:rPr>
        <w:t xml:space="preserve"> to people of colour. Linking the concepts of white ignorance, colour-blindness and ‘good white people’, Sullivan (2014a, p. 86) argues that there is a ‘hubristic pride taken in white ignorance, camouflaged as moral innocence and goodness’. However, Sullivan (2014a) focuses on class as a defining characteristic in relation to the self-perception of ‘goodness’ and the positioning of other white people as ‘bad’. This was not found in this research but arguably the understanding that a colour-blind attitude was correct combined with a perception of the inherent ‘goodness’ of a counsellor, entrenches what I have termed a ‘Good White Counsellor’ professional narrative. </w:t>
      </w:r>
      <w:bookmarkStart w:id="62" w:name="_Hlk52880223"/>
      <w:r w:rsidRPr="00BA2696">
        <w:rPr>
          <w:sz w:val="24"/>
          <w:szCs w:val="24"/>
        </w:rPr>
        <w:t xml:space="preserve">This may explain why </w:t>
      </w:r>
      <w:r w:rsidRPr="00BA2696">
        <w:rPr>
          <w:rFonts w:cs="Calibri"/>
          <w:sz w:val="24"/>
          <w:szCs w:val="24"/>
        </w:rPr>
        <w:t>white counsellors would be shocked to think of themselves as racist (Lago and Thompson, 2002)</w:t>
      </w:r>
      <w:bookmarkEnd w:id="62"/>
      <w:r w:rsidRPr="00BA2696">
        <w:rPr>
          <w:rFonts w:cs="Calibri"/>
          <w:sz w:val="24"/>
          <w:szCs w:val="24"/>
        </w:rPr>
        <w:t xml:space="preserve">. This perception is perhaps supported through whiteness being the normalised standard in counselling training (Rotham, Malott and Paone, 2012) and the words ‘race’, racism and whiteness being avoided in guidelines for counselling course accreditation (BACP, 2012, pp. 1-20). This systemic </w:t>
      </w:r>
      <w:r>
        <w:rPr>
          <w:rFonts w:cs="Calibri"/>
          <w:sz w:val="24"/>
          <w:szCs w:val="24"/>
        </w:rPr>
        <w:t>colour-blind approach</w:t>
      </w:r>
      <w:r w:rsidRPr="00BA2696">
        <w:rPr>
          <w:rFonts w:cs="Calibri"/>
          <w:sz w:val="24"/>
          <w:szCs w:val="24"/>
        </w:rPr>
        <w:t xml:space="preserve"> will be explored in Theme 4 (Section 6.6)</w:t>
      </w:r>
      <w:r>
        <w:rPr>
          <w:rFonts w:cs="Calibri"/>
          <w:sz w:val="24"/>
          <w:szCs w:val="24"/>
        </w:rPr>
        <w:t xml:space="preserve"> and Chapter 7 (Section 7.7)</w:t>
      </w:r>
      <w:r w:rsidRPr="00BA2696">
        <w:rPr>
          <w:rFonts w:cs="Calibri"/>
          <w:sz w:val="24"/>
          <w:szCs w:val="24"/>
        </w:rPr>
        <w:t xml:space="preserve">. </w:t>
      </w:r>
    </w:p>
    <w:p w14:paraId="2C362DFB" w14:textId="77777777" w:rsidR="00A90B05" w:rsidRPr="00BA2696" w:rsidRDefault="00A90B05" w:rsidP="00A90B05">
      <w:pPr>
        <w:suppressAutoHyphens w:val="0"/>
        <w:autoSpaceDN/>
        <w:spacing w:after="0" w:line="480" w:lineRule="auto"/>
        <w:textAlignment w:val="auto"/>
        <w:rPr>
          <w:sz w:val="24"/>
          <w:szCs w:val="24"/>
        </w:rPr>
      </w:pPr>
    </w:p>
    <w:p w14:paraId="358ECFE0" w14:textId="77777777" w:rsidR="00A90B05" w:rsidRPr="00BA2696" w:rsidRDefault="00A90B05" w:rsidP="00A90B05">
      <w:pPr>
        <w:suppressAutoHyphens w:val="0"/>
        <w:autoSpaceDN/>
        <w:spacing w:after="0" w:line="480" w:lineRule="auto"/>
        <w:textAlignment w:val="auto"/>
        <w:rPr>
          <w:rFonts w:cs="Calibri"/>
          <w:sz w:val="24"/>
          <w:szCs w:val="24"/>
        </w:rPr>
      </w:pPr>
      <w:r w:rsidRPr="00BA2696">
        <w:rPr>
          <w:rFonts w:cs="Calibri"/>
          <w:sz w:val="24"/>
          <w:szCs w:val="24"/>
        </w:rPr>
        <w:t xml:space="preserve">Understanding racism as existing on a good/bad binary (DiAngelo, 2018) means that white people are unable to see the subtler forms of racism, this has been referred to as ‘silent </w:t>
      </w:r>
      <w:r w:rsidRPr="00BA2696">
        <w:rPr>
          <w:rFonts w:cs="Calibri"/>
          <w:sz w:val="24"/>
          <w:szCs w:val="24"/>
        </w:rPr>
        <w:lastRenderedPageBreak/>
        <w:t xml:space="preserve">racism’ (Trepagnier, 2016). This form of racism is often perpetuated by ‘well-meaning whites’ who may not be aware of it (Trepagnier, 2016, p. 6). This lack of awareness is ‘because they presume that they are not racist’ (Trepagnier, 2016, p. 42). To remedy this, it is argued that </w:t>
      </w:r>
      <w:r>
        <w:rPr>
          <w:rFonts w:cs="Calibri"/>
          <w:sz w:val="24"/>
          <w:szCs w:val="24"/>
        </w:rPr>
        <w:t>it is better to understand</w:t>
      </w:r>
      <w:r w:rsidRPr="00BA2696">
        <w:rPr>
          <w:rFonts w:cs="Calibri"/>
          <w:sz w:val="24"/>
          <w:szCs w:val="24"/>
        </w:rPr>
        <w:t xml:space="preserve"> racism as existing on a continuum, whereby one is more or less racist, rather than simply ‘not racist’ (Trepagnier, 2016). By inference, it allows one to not be wholly ‘good’ or ‘bad’ in regard to ‘race’, racism and whiteness. In doing so, it moves away from the good/bad binary of racism (DiAngelo, 2018) or the presumption of being a ‘good white person’ (Sullivan, 2014a) based on class and education (or being a counsellor). This may be a useful step in White Ignorance Disruption, as it will allow one to reposition themselves as a lifelong learner educating themselves about ‘race’, racism and whiteness and not simply as a ‘good’ or ‘bad’ person. </w:t>
      </w:r>
    </w:p>
    <w:p w14:paraId="42C9881C" w14:textId="77777777" w:rsidR="00A90B05" w:rsidRPr="00BA2696" w:rsidRDefault="00A90B05" w:rsidP="00A90B05">
      <w:pPr>
        <w:suppressAutoHyphens w:val="0"/>
        <w:autoSpaceDN/>
        <w:spacing w:after="0" w:line="480" w:lineRule="auto"/>
        <w:textAlignment w:val="auto"/>
        <w:rPr>
          <w:rFonts w:cs="Calibri"/>
          <w:sz w:val="24"/>
          <w:szCs w:val="24"/>
        </w:rPr>
      </w:pPr>
    </w:p>
    <w:p w14:paraId="48777BCE" w14:textId="77777777" w:rsidR="00A90B05" w:rsidRPr="00BA2696" w:rsidRDefault="00A90B05" w:rsidP="00A90B05">
      <w:pPr>
        <w:suppressAutoHyphens w:val="0"/>
        <w:autoSpaceDN/>
        <w:spacing w:after="0" w:line="480" w:lineRule="auto"/>
        <w:textAlignment w:val="auto"/>
        <w:rPr>
          <w:sz w:val="24"/>
          <w:szCs w:val="24"/>
        </w:rPr>
      </w:pPr>
      <w:r w:rsidRPr="00BA2696">
        <w:rPr>
          <w:sz w:val="24"/>
          <w:szCs w:val="24"/>
        </w:rPr>
        <w:t xml:space="preserve">This is also relevant to my own experience as a white researcher as it felt as times that being the ‘disruptor’ meant my ‘goodness’ was questioned by some participants. They knew that I was a qualified counsellor, appreciated my professional experience and knowledge (as evidenced by them asking me to evaluate their skills practise) and </w:t>
      </w:r>
      <w:r>
        <w:rPr>
          <w:sz w:val="24"/>
          <w:szCs w:val="24"/>
        </w:rPr>
        <w:t>over</w:t>
      </w:r>
      <w:r w:rsidRPr="00BA2696">
        <w:rPr>
          <w:sz w:val="24"/>
          <w:szCs w:val="24"/>
        </w:rPr>
        <w:t xml:space="preserve"> several weeks prior to the interviews </w:t>
      </w:r>
      <w:r>
        <w:rPr>
          <w:sz w:val="24"/>
          <w:szCs w:val="24"/>
        </w:rPr>
        <w:t xml:space="preserve">had </w:t>
      </w:r>
      <w:r w:rsidRPr="00BA2696">
        <w:rPr>
          <w:sz w:val="24"/>
          <w:szCs w:val="24"/>
        </w:rPr>
        <w:t>buil</w:t>
      </w:r>
      <w:r>
        <w:rPr>
          <w:sz w:val="24"/>
          <w:szCs w:val="24"/>
        </w:rPr>
        <w:t>t</w:t>
      </w:r>
      <w:r w:rsidRPr="00BA2696">
        <w:rPr>
          <w:sz w:val="24"/>
          <w:szCs w:val="24"/>
        </w:rPr>
        <w:t xml:space="preserve"> a positive relationship with me. Therefore, it could be argued that my research questions which focused on ‘race’, racism and whiteness, contradicted their understanding of a ‘good’ counsellor (and of a ‘good’ person through breaking colour-blind ideology). In this way, learners’ perception of the ‘disruptor’ during White Ignorance Disruption can potentially contradict their understanding of the ‘disruptor’ prior to racial discourse taking place. Personally, this was an interesting process and at times, it felt as though some of the participants were re-evaluating me alongside engaging in the interview process, all while talking about ‘race’, racism and whiteness for the first time. As discussed </w:t>
      </w:r>
      <w:r w:rsidRPr="00BA2696">
        <w:rPr>
          <w:sz w:val="24"/>
          <w:szCs w:val="24"/>
        </w:rPr>
        <w:lastRenderedPageBreak/>
        <w:t>above (Section 6.1), I had perhaps fallen into the trap that I was a ‘good white person’ (Sullivan, 2014a) and experienced my own White Ignorance Disruption. This indicates that the ‘disruptor’ is not infallible to such thinking</w:t>
      </w:r>
      <w:r>
        <w:rPr>
          <w:sz w:val="24"/>
          <w:szCs w:val="24"/>
        </w:rPr>
        <w:t>.</w:t>
      </w:r>
      <w:r w:rsidRPr="00BA2696">
        <w:rPr>
          <w:sz w:val="24"/>
          <w:szCs w:val="24"/>
        </w:rPr>
        <w:t xml:space="preserve"> </w:t>
      </w:r>
      <w:r>
        <w:rPr>
          <w:sz w:val="24"/>
          <w:szCs w:val="24"/>
        </w:rPr>
        <w:t>A</w:t>
      </w:r>
      <w:r w:rsidRPr="00BA2696">
        <w:rPr>
          <w:sz w:val="24"/>
          <w:szCs w:val="24"/>
        </w:rPr>
        <w:t xml:space="preserve">ccepting that racism exists on a continuum (Trepagnier, 2016) could be a useful way for the ‘disruptor’ to </w:t>
      </w:r>
      <w:r>
        <w:rPr>
          <w:sz w:val="24"/>
          <w:szCs w:val="24"/>
        </w:rPr>
        <w:t>relinquish any conceit of being</w:t>
      </w:r>
      <w:r w:rsidRPr="00BA2696">
        <w:rPr>
          <w:sz w:val="24"/>
          <w:szCs w:val="24"/>
        </w:rPr>
        <w:t xml:space="preserve"> ‘a good white person’ (Sullivan, 2014a). Indeed, Foste (2020) terms this the ‘enlightenment narrative’ whereby white student leaders are more preoccupied with presenting themselves as being ‘good’ rather than actively challenge racism, white privilege, and white supremacy. Likewise, the ‘disruptor’ also needs to be aware of their own self-perception in their role as white researcher/educator and ensure research/education does not become</w:t>
      </w:r>
      <w:r>
        <w:rPr>
          <w:sz w:val="24"/>
          <w:szCs w:val="24"/>
        </w:rPr>
        <w:t xml:space="preserve"> a</w:t>
      </w:r>
      <w:r w:rsidRPr="00BA2696">
        <w:rPr>
          <w:sz w:val="24"/>
          <w:szCs w:val="24"/>
        </w:rPr>
        <w:t xml:space="preserve"> performative gesture (Foste, 2020). Therefore, researcher/educator reflexivity may be a key component to White Ignorance Disruption. In this way, the post-critical ethnographic methodology used in this research (Noblit, Flores and Murillo, 2004; Anders, 2019), with its emphasis on researcher reflexivity and positionality, allowed my own White Ignorance Disruption to take place.</w:t>
      </w:r>
      <w:r>
        <w:rPr>
          <w:sz w:val="24"/>
          <w:szCs w:val="24"/>
        </w:rPr>
        <w:t xml:space="preserve"> </w:t>
      </w:r>
      <w:r w:rsidRPr="00274316">
        <w:rPr>
          <w:sz w:val="24"/>
          <w:szCs w:val="24"/>
        </w:rPr>
        <w:t>Therefore, understanding racism as existing on</w:t>
      </w:r>
      <w:r>
        <w:rPr>
          <w:sz w:val="24"/>
          <w:szCs w:val="24"/>
        </w:rPr>
        <w:t xml:space="preserve"> a</w:t>
      </w:r>
      <w:r w:rsidRPr="00274316">
        <w:rPr>
          <w:sz w:val="24"/>
          <w:szCs w:val="24"/>
        </w:rPr>
        <w:t xml:space="preserve"> good/bad binary (DiAngelo, 2018) and having the self-perception of being a ‘good white person’ (Sullivan, 2014a) could be seen as </w:t>
      </w:r>
      <w:r>
        <w:rPr>
          <w:sz w:val="24"/>
          <w:szCs w:val="24"/>
        </w:rPr>
        <w:t xml:space="preserve">a </w:t>
      </w:r>
      <w:r w:rsidRPr="00274316">
        <w:rPr>
          <w:sz w:val="24"/>
          <w:szCs w:val="24"/>
        </w:rPr>
        <w:t>place of comfort and self-assurance for white pe</w:t>
      </w:r>
      <w:r w:rsidRPr="00BA2696">
        <w:rPr>
          <w:sz w:val="24"/>
          <w:szCs w:val="24"/>
        </w:rPr>
        <w:t xml:space="preserve">ople. When coupled with the understanding that a counsellor is a ‘good’ person and reinforced with colour-blind ideology (Bonilla-Silva, 2018), it potentially creates a profession specific barrier which I have termed the ‘Good White Counsellor’. </w:t>
      </w:r>
    </w:p>
    <w:p w14:paraId="2AD55B50" w14:textId="77777777" w:rsidR="00A90B05" w:rsidRPr="00BA2696" w:rsidRDefault="00A90B05" w:rsidP="00A90B05">
      <w:pPr>
        <w:suppressAutoHyphens w:val="0"/>
        <w:autoSpaceDN/>
        <w:spacing w:after="0" w:line="259" w:lineRule="auto"/>
        <w:textAlignment w:val="auto"/>
        <w:rPr>
          <w:i/>
          <w:iCs/>
          <w:sz w:val="24"/>
          <w:szCs w:val="24"/>
        </w:rPr>
      </w:pPr>
    </w:p>
    <w:p w14:paraId="561CDEDB" w14:textId="77777777" w:rsidR="00A90B05" w:rsidRPr="00BA2696" w:rsidRDefault="00A90B05" w:rsidP="00A90B05">
      <w:pPr>
        <w:pStyle w:val="Heading3"/>
      </w:pPr>
      <w:bookmarkStart w:id="63" w:name="_Toc56523028"/>
      <w:bookmarkStart w:id="64" w:name="_Toc56523310"/>
      <w:bookmarkStart w:id="65" w:name="_Toc57910118"/>
      <w:bookmarkStart w:id="66" w:name="_Toc58251334"/>
      <w:bookmarkStart w:id="67" w:name="_Toc72413660"/>
      <w:r w:rsidRPr="00BA2696">
        <w:t>6.6 Theme 4: Socio-Political (Dis)Connection</w:t>
      </w:r>
      <w:bookmarkEnd w:id="63"/>
      <w:bookmarkEnd w:id="64"/>
      <w:bookmarkEnd w:id="65"/>
      <w:bookmarkEnd w:id="66"/>
      <w:bookmarkEnd w:id="67"/>
      <w:r w:rsidRPr="00BA2696">
        <w:t xml:space="preserve"> </w:t>
      </w:r>
    </w:p>
    <w:p w14:paraId="2C9E6CBF" w14:textId="77777777" w:rsidR="00A90B05" w:rsidRPr="00BA2696" w:rsidRDefault="00A90B05" w:rsidP="00A90B05">
      <w:pPr>
        <w:suppressAutoHyphens w:val="0"/>
        <w:autoSpaceDN/>
        <w:spacing w:after="0" w:line="480" w:lineRule="auto"/>
        <w:textAlignment w:val="auto"/>
        <w:rPr>
          <w:sz w:val="24"/>
          <w:szCs w:val="24"/>
        </w:rPr>
      </w:pPr>
      <w:r w:rsidRPr="00BA2696">
        <w:rPr>
          <w:sz w:val="24"/>
          <w:szCs w:val="24"/>
        </w:rPr>
        <w:t>The three previous themes captured the initial process of White Ignorance Disruption as it happened. The final theme shows how it is co-constructed and maintained. This research</w:t>
      </w:r>
      <w:r w:rsidRPr="00BA2696">
        <w:rPr>
          <w:bCs/>
          <w:sz w:val="24"/>
          <w:szCs w:val="24"/>
        </w:rPr>
        <w:t xml:space="preserve"> found that there was a general disconnection to the historical and contemporary socio-</w:t>
      </w:r>
      <w:r w:rsidRPr="00BA2696">
        <w:rPr>
          <w:bCs/>
          <w:sz w:val="24"/>
          <w:szCs w:val="24"/>
        </w:rPr>
        <w:lastRenderedPageBreak/>
        <w:t>political context in both participants and curriculum. This did not only refer to ‘race’ but to other issues such as gender, gender-based violence, disabilities, and culture. Therefore, it appeared that ‘race’, racism and whiteness were one of various socio-political issues that were avoided by the curriculum and the participants. The reasons for this have been explored in the previous three themes but could perhaps be summarised as: not knowing how to talk about ‘race’, racism and whiteness, feeling it unnecessary and uncomfortable to talk about ‘race’, racism and whiteness (as it would contradict colour-blind ideology), and that counsellors are ‘good’ people and ‘good’ people are not racist. Therefore, the three theoretical cores of critical whiteness studies are upheld: white people are not racially self-aware, white privilege is not understood, and colour-blind ideology is the dominant narrative (</w:t>
      </w:r>
      <w:r w:rsidRPr="00BA2696">
        <w:rPr>
          <w:sz w:val="24"/>
          <w:szCs w:val="24"/>
        </w:rPr>
        <w:t>Hartmann, Gerteis and Croll, 2009, pp. 407-409)</w:t>
      </w:r>
      <w:r>
        <w:rPr>
          <w:sz w:val="24"/>
          <w:szCs w:val="24"/>
        </w:rPr>
        <w:t>.</w:t>
      </w:r>
    </w:p>
    <w:p w14:paraId="54BEB886" w14:textId="77777777" w:rsidR="00A90B05" w:rsidRPr="00BA2696" w:rsidRDefault="00A90B05" w:rsidP="00A90B05">
      <w:pPr>
        <w:suppressAutoHyphens w:val="0"/>
        <w:autoSpaceDN/>
        <w:spacing w:after="0" w:line="480" w:lineRule="auto"/>
        <w:textAlignment w:val="auto"/>
        <w:rPr>
          <w:bCs/>
          <w:i/>
          <w:iCs/>
          <w:sz w:val="24"/>
          <w:szCs w:val="24"/>
        </w:rPr>
      </w:pPr>
    </w:p>
    <w:p w14:paraId="33B9BE0E" w14:textId="77777777" w:rsidR="00A90B05" w:rsidRPr="00BA2696" w:rsidRDefault="00A90B05" w:rsidP="00A90B05">
      <w:pPr>
        <w:pStyle w:val="Heading4"/>
        <w:spacing w:before="0" w:after="240" w:line="250" w:lineRule="auto"/>
      </w:pPr>
      <w:r w:rsidRPr="00BA2696">
        <w:t xml:space="preserve">Student and curriculum disconnection </w:t>
      </w:r>
    </w:p>
    <w:p w14:paraId="77BCDC99" w14:textId="77777777" w:rsidR="00A90B05" w:rsidRPr="00BA2696" w:rsidRDefault="00A90B05" w:rsidP="00A90B05">
      <w:pPr>
        <w:suppressAutoHyphens w:val="0"/>
        <w:autoSpaceDN/>
        <w:spacing w:after="0" w:line="480" w:lineRule="auto"/>
        <w:textAlignment w:val="auto"/>
        <w:rPr>
          <w:rFonts w:cs="Calibri"/>
          <w:bCs/>
          <w:sz w:val="24"/>
          <w:szCs w:val="24"/>
        </w:rPr>
      </w:pPr>
      <w:r w:rsidRPr="00BA2696">
        <w:rPr>
          <w:bCs/>
          <w:sz w:val="24"/>
          <w:szCs w:val="24"/>
        </w:rPr>
        <w:t xml:space="preserve">It was found that both the students and the curriculum were disconnected from the bigger socio-political context. This is not a unique discovery, as outlined in the literature review (Chapter 2, Section 2.2.2), counselling has been criticised for </w:t>
      </w:r>
      <w:r w:rsidRPr="00BA2696">
        <w:rPr>
          <w:rFonts w:cs="Calibri"/>
          <w:bCs/>
          <w:sz w:val="24"/>
          <w:szCs w:val="24"/>
        </w:rPr>
        <w:t xml:space="preserve">neglecting historical and contemporary socio-political factors </w:t>
      </w:r>
      <w:bookmarkStart w:id="68" w:name="_Hlk47874742"/>
      <w:r w:rsidRPr="00BA2696">
        <w:rPr>
          <w:rFonts w:cs="Calibri"/>
          <w:bCs/>
          <w:sz w:val="24"/>
          <w:szCs w:val="24"/>
        </w:rPr>
        <w:t>(Tuckwell, 2002; Ryde, 2011; McLeod, 2013).</w:t>
      </w:r>
      <w:bookmarkEnd w:id="68"/>
      <w:r w:rsidRPr="00BA2696">
        <w:rPr>
          <w:rFonts w:cs="Calibri"/>
          <w:bCs/>
          <w:sz w:val="24"/>
          <w:szCs w:val="24"/>
        </w:rPr>
        <w:t xml:space="preserve"> Therefore, it could be argued that the findings in this theme reflect a long</w:t>
      </w:r>
      <w:r>
        <w:rPr>
          <w:rFonts w:cs="Calibri"/>
          <w:bCs/>
          <w:sz w:val="24"/>
          <w:szCs w:val="24"/>
        </w:rPr>
        <w:t xml:space="preserve">-term </w:t>
      </w:r>
      <w:r w:rsidRPr="00BA2696">
        <w:rPr>
          <w:rFonts w:cs="Calibri"/>
          <w:bCs/>
          <w:sz w:val="24"/>
          <w:szCs w:val="24"/>
        </w:rPr>
        <w:t xml:space="preserve">problem within the counselling profession. Thus, the curriculum and participants observed in this research are not anomalies in being disconnected from the socio-political context but rather they are representative of a wider issue within counselling. </w:t>
      </w:r>
    </w:p>
    <w:p w14:paraId="2367DEA8" w14:textId="77777777" w:rsidR="00A90B05" w:rsidRPr="00BA2696" w:rsidRDefault="00A90B05" w:rsidP="00A90B05">
      <w:pPr>
        <w:suppressAutoHyphens w:val="0"/>
        <w:autoSpaceDN/>
        <w:spacing w:after="0" w:line="480" w:lineRule="auto"/>
        <w:textAlignment w:val="auto"/>
        <w:rPr>
          <w:rFonts w:cs="Calibri"/>
          <w:bCs/>
          <w:sz w:val="24"/>
          <w:szCs w:val="24"/>
        </w:rPr>
      </w:pPr>
    </w:p>
    <w:p w14:paraId="62D59D49" w14:textId="77777777" w:rsidR="00A90B05" w:rsidRPr="00BA2696" w:rsidRDefault="00A90B05" w:rsidP="00A90B05">
      <w:pPr>
        <w:suppressAutoHyphens w:val="0"/>
        <w:autoSpaceDN/>
        <w:spacing w:after="0" w:line="480" w:lineRule="auto"/>
        <w:textAlignment w:val="auto"/>
        <w:rPr>
          <w:rFonts w:cs="Calibri"/>
          <w:sz w:val="24"/>
          <w:szCs w:val="24"/>
        </w:rPr>
      </w:pPr>
      <w:r w:rsidRPr="00BA2696">
        <w:rPr>
          <w:rFonts w:cs="Calibri"/>
          <w:bCs/>
          <w:sz w:val="24"/>
          <w:szCs w:val="24"/>
        </w:rPr>
        <w:t xml:space="preserve">It is relevant to note that the socio-political disconnection within the profession is one reason why I decided to stop counselling practice in 2018 (Smith, 2020). As I had already </w:t>
      </w:r>
      <w:r w:rsidRPr="00BA2696">
        <w:rPr>
          <w:rFonts w:cs="Calibri"/>
          <w:bCs/>
          <w:sz w:val="24"/>
          <w:szCs w:val="24"/>
        </w:rPr>
        <w:lastRenderedPageBreak/>
        <w:t xml:space="preserve">made that decision, almost two years before conducting the fieldwork for this research, it could be argued that I was biased in ‘seeing’ this disconnection during participant-observations. </w:t>
      </w:r>
      <w:r w:rsidRPr="00BA2696">
        <w:rPr>
          <w:bCs/>
          <w:sz w:val="24"/>
          <w:szCs w:val="24"/>
        </w:rPr>
        <w:t xml:space="preserve">In addition, the tutor privately observed to me that diversity was taught at a </w:t>
      </w:r>
      <w:r w:rsidRPr="00BA2696">
        <w:rPr>
          <w:bCs/>
          <w:i/>
          <w:iCs/>
          <w:sz w:val="24"/>
          <w:szCs w:val="24"/>
        </w:rPr>
        <w:t>‘superficial level’</w:t>
      </w:r>
      <w:r w:rsidRPr="00BA2696">
        <w:rPr>
          <w:bCs/>
          <w:sz w:val="24"/>
          <w:szCs w:val="24"/>
        </w:rPr>
        <w:t xml:space="preserve"> as the amount of content </w:t>
      </w:r>
      <w:r>
        <w:rPr>
          <w:bCs/>
          <w:sz w:val="24"/>
          <w:szCs w:val="24"/>
        </w:rPr>
        <w:t xml:space="preserve">which </w:t>
      </w:r>
      <w:r w:rsidRPr="00BA2696">
        <w:rPr>
          <w:bCs/>
          <w:sz w:val="24"/>
          <w:szCs w:val="24"/>
        </w:rPr>
        <w:t xml:space="preserve">needed to be included in the course meant that he felt </w:t>
      </w:r>
      <w:r>
        <w:rPr>
          <w:bCs/>
          <w:sz w:val="24"/>
          <w:szCs w:val="24"/>
        </w:rPr>
        <w:t xml:space="preserve">he </w:t>
      </w:r>
      <w:r w:rsidRPr="00BA2696">
        <w:rPr>
          <w:bCs/>
          <w:sz w:val="24"/>
          <w:szCs w:val="24"/>
        </w:rPr>
        <w:t xml:space="preserve">could not dedicate the time needed to diversity issues. The tutor also mentioned that there had been a challenging group discussion earlier in course, prior to my participant-observations, that meant the trainees may be </w:t>
      </w:r>
      <w:r w:rsidRPr="00BA2696">
        <w:rPr>
          <w:bCs/>
          <w:i/>
          <w:iCs/>
          <w:sz w:val="24"/>
          <w:szCs w:val="24"/>
        </w:rPr>
        <w:t>‘scared’</w:t>
      </w:r>
      <w:r w:rsidRPr="00BA2696">
        <w:rPr>
          <w:bCs/>
          <w:sz w:val="24"/>
          <w:szCs w:val="24"/>
        </w:rPr>
        <w:t xml:space="preserve"> to engage with potentially contentious topics. By inference, it would seem that ‘race’, racism and whiteness could be categorised as contentious topics that may lead to the participants feeling </w:t>
      </w:r>
      <w:r w:rsidRPr="00BA2696">
        <w:rPr>
          <w:bCs/>
          <w:i/>
          <w:iCs/>
          <w:sz w:val="24"/>
          <w:szCs w:val="24"/>
        </w:rPr>
        <w:t xml:space="preserve">‘scared’. </w:t>
      </w:r>
      <w:r w:rsidRPr="00BA2696">
        <w:rPr>
          <w:bCs/>
          <w:sz w:val="24"/>
          <w:szCs w:val="24"/>
        </w:rPr>
        <w:t xml:space="preserve">The reasons for this may be found in the first three themes in this chapter (Sections 6.3, 6.4 and 6.5) and evidenced by the avoidance of talking about ‘race’ and racism when two separate opportunities arose in class seminars. Therefore, the socio-political disconnection observed in both the participants and the curriculum could be due to not </w:t>
      </w:r>
      <w:r>
        <w:rPr>
          <w:bCs/>
          <w:sz w:val="24"/>
          <w:szCs w:val="24"/>
        </w:rPr>
        <w:t xml:space="preserve">solely </w:t>
      </w:r>
      <w:r w:rsidRPr="00BA2696">
        <w:rPr>
          <w:bCs/>
          <w:sz w:val="24"/>
          <w:szCs w:val="24"/>
        </w:rPr>
        <w:t>a lack of interest but as by-products of a full curriculum and not knowing how to engage with socio-political issues in a constructive, non-confrontational way. Supporting this,</w:t>
      </w:r>
      <w:r w:rsidRPr="00BA2696">
        <w:rPr>
          <w:rFonts w:cs="Calibri"/>
          <w:sz w:val="24"/>
          <w:szCs w:val="24"/>
        </w:rPr>
        <w:t xml:space="preserve"> Elizabeth, Emily and Vix expressed feelings of discomfort and concern regarding potential consequences of the group discussing diversity. This may account for the socio-political disconnection found within the classroom.</w:t>
      </w:r>
      <w:r w:rsidRPr="00BA2696">
        <w:rPr>
          <w:bCs/>
          <w:sz w:val="24"/>
          <w:szCs w:val="24"/>
        </w:rPr>
        <w:t xml:space="preserve"> This interpretation could explain what happened during week five of observation when the class were given a case vignette (Appendix iii) to discuss. Phil felt that the male fictional client’s</w:t>
      </w:r>
      <w:r w:rsidRPr="00BA2696">
        <w:rPr>
          <w:rFonts w:cs="Calibri"/>
          <w:sz w:val="24"/>
          <w:szCs w:val="24"/>
        </w:rPr>
        <w:t xml:space="preserve"> self-harming through punching walls, was </w:t>
      </w:r>
      <w:r w:rsidRPr="00BA2696">
        <w:rPr>
          <w:rFonts w:cs="Calibri"/>
          <w:i/>
          <w:iCs/>
          <w:sz w:val="24"/>
          <w:szCs w:val="24"/>
        </w:rPr>
        <w:t xml:space="preserve">‘turning their anger from punching her </w:t>
      </w:r>
      <w:r w:rsidRPr="00BA2696">
        <w:rPr>
          <w:rFonts w:cs="Calibri"/>
          <w:sz w:val="24"/>
          <w:szCs w:val="24"/>
        </w:rPr>
        <w:t xml:space="preserve">[fictional ex-girlfriend in the vignette] </w:t>
      </w:r>
      <w:r w:rsidRPr="00BA2696">
        <w:rPr>
          <w:rFonts w:cs="Calibri"/>
          <w:i/>
          <w:iCs/>
          <w:sz w:val="24"/>
          <w:szCs w:val="24"/>
        </w:rPr>
        <w:t>to punching walls’</w:t>
      </w:r>
      <w:r w:rsidRPr="00BA2696">
        <w:rPr>
          <w:rFonts w:cs="Calibri"/>
          <w:sz w:val="24"/>
          <w:szCs w:val="24"/>
        </w:rPr>
        <w:t xml:space="preserve"> [domestic violence was not mentioned in the vignette]. At the time, and when writing this, this comment felt assumptive and powerful coming from a man, especially when delivered to a class full of women (expect for the male tutor). Yet it went unchallenged and opportunities </w:t>
      </w:r>
      <w:r w:rsidRPr="00BA2696">
        <w:rPr>
          <w:rFonts w:cs="Calibri"/>
          <w:sz w:val="24"/>
          <w:szCs w:val="24"/>
        </w:rPr>
        <w:lastRenderedPageBreak/>
        <w:t xml:space="preserve">for discussion about gender-based violence and domestic abuse were missed. It may also explain the groans when ‘Brexit Day’ was mentioned, Mary and Lee stating their disengagement with politics and Ceri’s feelings that bringing politics into counselling was a </w:t>
      </w:r>
      <w:r w:rsidRPr="00BA2696">
        <w:rPr>
          <w:rFonts w:cs="Calibri"/>
          <w:i/>
          <w:iCs/>
          <w:sz w:val="24"/>
          <w:szCs w:val="24"/>
        </w:rPr>
        <w:t xml:space="preserve">‘definite no-no’. </w:t>
      </w:r>
      <w:r w:rsidRPr="00BA2696">
        <w:rPr>
          <w:rFonts w:cs="Calibri"/>
          <w:sz w:val="24"/>
          <w:szCs w:val="24"/>
        </w:rPr>
        <w:t xml:space="preserve">Ceri’s comment reflects the long held misconception that counselling should be a ‘politically neutral activity’ (Kearney, 1996, p. 6). </w:t>
      </w:r>
    </w:p>
    <w:p w14:paraId="37FFD396" w14:textId="77777777" w:rsidR="00A90B05" w:rsidRPr="00BA2696" w:rsidRDefault="00A90B05" w:rsidP="00A90B05">
      <w:pPr>
        <w:suppressAutoHyphens w:val="0"/>
        <w:autoSpaceDN/>
        <w:spacing w:after="0" w:line="480" w:lineRule="auto"/>
        <w:textAlignment w:val="auto"/>
        <w:rPr>
          <w:bCs/>
          <w:sz w:val="24"/>
          <w:szCs w:val="24"/>
        </w:rPr>
      </w:pPr>
    </w:p>
    <w:p w14:paraId="6C64E1B4" w14:textId="77777777" w:rsidR="00A90B05" w:rsidRPr="00BA2696" w:rsidRDefault="00A90B05" w:rsidP="00A90B05">
      <w:pPr>
        <w:spacing w:after="0" w:line="480" w:lineRule="auto"/>
        <w:rPr>
          <w:rFonts w:cs="Calibri"/>
          <w:sz w:val="24"/>
          <w:szCs w:val="24"/>
        </w:rPr>
      </w:pPr>
      <w:r w:rsidRPr="00BA2696">
        <w:rPr>
          <w:bCs/>
          <w:sz w:val="24"/>
          <w:szCs w:val="24"/>
        </w:rPr>
        <w:t xml:space="preserve">However, it is important to remember that the course studied in this research is a BACP accredited course. Therefore, the BACP can seem like an invisible omnipresence throughout the course, as the curriculum is shaped by their </w:t>
      </w:r>
      <w:bookmarkStart w:id="69" w:name="_Hlk52183925"/>
      <w:r w:rsidRPr="00BA2696">
        <w:rPr>
          <w:bCs/>
          <w:sz w:val="24"/>
          <w:szCs w:val="24"/>
        </w:rPr>
        <w:t xml:space="preserve">course accreditation criteria </w:t>
      </w:r>
      <w:bookmarkStart w:id="70" w:name="_Hlk47982997"/>
      <w:r w:rsidRPr="00BA2696">
        <w:rPr>
          <w:bCs/>
          <w:sz w:val="24"/>
          <w:szCs w:val="24"/>
        </w:rPr>
        <w:t>(BACP, 2012; BACP 2019)</w:t>
      </w:r>
      <w:bookmarkEnd w:id="70"/>
      <w:r w:rsidRPr="00BA2696">
        <w:rPr>
          <w:bCs/>
          <w:sz w:val="24"/>
          <w:szCs w:val="24"/>
        </w:rPr>
        <w:t>,</w:t>
      </w:r>
      <w:r>
        <w:rPr>
          <w:bCs/>
          <w:sz w:val="24"/>
          <w:szCs w:val="24"/>
        </w:rPr>
        <w:t xml:space="preserve"> with</w:t>
      </w:r>
      <w:r w:rsidRPr="00BA2696">
        <w:rPr>
          <w:bCs/>
          <w:sz w:val="24"/>
          <w:szCs w:val="24"/>
        </w:rPr>
        <w:t xml:space="preserve"> the</w:t>
      </w:r>
      <w:r>
        <w:rPr>
          <w:bCs/>
          <w:sz w:val="24"/>
          <w:szCs w:val="24"/>
        </w:rPr>
        <w:t xml:space="preserve"> compulsory requirement that</w:t>
      </w:r>
      <w:r w:rsidRPr="00BA2696">
        <w:rPr>
          <w:bCs/>
          <w:sz w:val="24"/>
          <w:szCs w:val="24"/>
        </w:rPr>
        <w:t xml:space="preserve"> trainees beco</w:t>
      </w:r>
      <w:r>
        <w:rPr>
          <w:bCs/>
          <w:sz w:val="24"/>
          <w:szCs w:val="24"/>
        </w:rPr>
        <w:t>me</w:t>
      </w:r>
      <w:r w:rsidRPr="00BA2696">
        <w:rPr>
          <w:bCs/>
          <w:sz w:val="24"/>
          <w:szCs w:val="24"/>
        </w:rPr>
        <w:t xml:space="preserve"> members of the organisation, are required to meet their training expectations (Student Handbook 2019/2020) and abide by their ethical framework (</w:t>
      </w:r>
      <w:r w:rsidRPr="00BA2696">
        <w:rPr>
          <w:rFonts w:cs="Calibri"/>
          <w:sz w:val="24"/>
          <w:szCs w:val="24"/>
        </w:rPr>
        <w:t>BACP, 2018a</w:t>
      </w:r>
      <w:r w:rsidRPr="00274316">
        <w:rPr>
          <w:rFonts w:cs="Calibri"/>
          <w:sz w:val="24"/>
          <w:szCs w:val="24"/>
        </w:rPr>
        <w:t>)</w:t>
      </w:r>
      <w:bookmarkEnd w:id="69"/>
      <w:r w:rsidRPr="00274316">
        <w:rPr>
          <w:rFonts w:cs="Calibri"/>
          <w:sz w:val="24"/>
          <w:szCs w:val="24"/>
        </w:rPr>
        <w:t xml:space="preserve">. </w:t>
      </w:r>
      <w:r w:rsidRPr="00274316">
        <w:rPr>
          <w:rFonts w:cs="Calibri"/>
          <w:bCs/>
          <w:sz w:val="24"/>
          <w:szCs w:val="24"/>
        </w:rPr>
        <w:t>This allows for another interpretation of the socio-political disconnection</w:t>
      </w:r>
      <w:r w:rsidRPr="00BA2696">
        <w:rPr>
          <w:rFonts w:cs="Calibri"/>
          <w:bCs/>
          <w:sz w:val="24"/>
          <w:szCs w:val="24"/>
        </w:rPr>
        <w:t xml:space="preserve">: </w:t>
      </w:r>
      <w:r w:rsidRPr="00BA2696">
        <w:rPr>
          <w:bCs/>
          <w:sz w:val="24"/>
          <w:szCs w:val="24"/>
        </w:rPr>
        <w:t xml:space="preserve">that it was reinforced by a lack of clear direction in the official training guidelines in regard to ‘race’, racism and whiteness (BACP, 2012, pp. 1-20). </w:t>
      </w:r>
      <w:r w:rsidRPr="00BA2696">
        <w:rPr>
          <w:rFonts w:cs="Calibri"/>
          <w:sz w:val="24"/>
          <w:szCs w:val="24"/>
        </w:rPr>
        <w:t xml:space="preserve">Hence, it appeared that there was a hierarchical socio-political disconnection as </w:t>
      </w:r>
      <w:bookmarkStart w:id="71" w:name="_Hlk47704641"/>
      <w:r w:rsidRPr="00BA2696">
        <w:rPr>
          <w:rFonts w:cs="Calibri"/>
          <w:sz w:val="24"/>
          <w:szCs w:val="24"/>
        </w:rPr>
        <w:t xml:space="preserve">the BACP did not mention ‘race’, racism and whiteness in their course accreditation criteria </w:t>
      </w:r>
      <w:r w:rsidRPr="00BA2696">
        <w:rPr>
          <w:bCs/>
          <w:sz w:val="24"/>
          <w:szCs w:val="24"/>
        </w:rPr>
        <w:t>(BACP, 2012; BACP 2019)</w:t>
      </w:r>
      <w:bookmarkEnd w:id="71"/>
      <w:r w:rsidRPr="00BA2696">
        <w:rPr>
          <w:bCs/>
          <w:sz w:val="24"/>
          <w:szCs w:val="24"/>
        </w:rPr>
        <w:t xml:space="preserve"> and the curriculum did not integrate ‘race’, racism and whiteness or take opportunities to discuss it when it arose. Consequently, the trainees were also silent. This appears to have resulted in white ignorance (Mills, 2007) being sustained at multiple levels of counselling training. Additionally, the socio-political disconnection may explain the dominance of Eurocentric theories in regard to mental health </w:t>
      </w:r>
      <w:r w:rsidRPr="00BA2696">
        <w:rPr>
          <w:rFonts w:cs="Calibri"/>
          <w:sz w:val="24"/>
          <w:szCs w:val="24"/>
        </w:rPr>
        <w:t>(Watters, 2011; Mills, 2014; Fernando and Moodley, 2018)</w:t>
      </w:r>
      <w:r>
        <w:rPr>
          <w:rFonts w:cs="Calibri"/>
          <w:sz w:val="24"/>
          <w:szCs w:val="24"/>
        </w:rPr>
        <w:t xml:space="preserve"> </w:t>
      </w:r>
      <w:r w:rsidRPr="00BA2696">
        <w:rPr>
          <w:rFonts w:cs="Calibri"/>
          <w:sz w:val="24"/>
          <w:szCs w:val="24"/>
        </w:rPr>
        <w:t xml:space="preserve">which are perpetuated unwittingly by white counsellors who are disconnected from racial discourse. </w:t>
      </w:r>
      <w:r w:rsidRPr="00BA2696">
        <w:rPr>
          <w:bCs/>
          <w:sz w:val="24"/>
          <w:szCs w:val="24"/>
        </w:rPr>
        <w:t xml:space="preserve">Indeed, it has been argued that there is </w:t>
      </w:r>
      <w:r w:rsidRPr="00BA2696">
        <w:rPr>
          <w:rFonts w:cs="Calibri"/>
          <w:sz w:val="24"/>
          <w:szCs w:val="24"/>
        </w:rPr>
        <w:t xml:space="preserve">a reluctance to discuss racism and to evaluate Eurocentric </w:t>
      </w:r>
      <w:r w:rsidRPr="00BA2696">
        <w:rPr>
          <w:rFonts w:cs="Calibri"/>
          <w:sz w:val="24"/>
          <w:szCs w:val="24"/>
        </w:rPr>
        <w:lastRenderedPageBreak/>
        <w:t xml:space="preserve">theories in counselling and psychotherapy (McKenzie-Mavinga, 2016). Again, some of the reasons for this reluctance may be found in the previous three themes. The systemic </w:t>
      </w:r>
      <w:r>
        <w:rPr>
          <w:rFonts w:cs="Calibri"/>
          <w:sz w:val="24"/>
          <w:szCs w:val="24"/>
        </w:rPr>
        <w:t>colour-blind attitude in relation to</w:t>
      </w:r>
      <w:r w:rsidRPr="00BA2696">
        <w:rPr>
          <w:rFonts w:cs="Calibri"/>
          <w:sz w:val="24"/>
          <w:szCs w:val="24"/>
        </w:rPr>
        <w:t xml:space="preserve"> ‘race’ is discussed in Section 6.7 and Chapter 7, Section 7.7.</w:t>
      </w:r>
    </w:p>
    <w:p w14:paraId="7533A9C7" w14:textId="77777777" w:rsidR="00A90B05" w:rsidRPr="00BA2696" w:rsidRDefault="00A90B05" w:rsidP="00A90B05">
      <w:pPr>
        <w:spacing w:after="0" w:line="480" w:lineRule="auto"/>
        <w:rPr>
          <w:rFonts w:cs="Calibri"/>
          <w:sz w:val="24"/>
          <w:szCs w:val="24"/>
        </w:rPr>
      </w:pPr>
    </w:p>
    <w:p w14:paraId="5A052D01" w14:textId="77777777" w:rsidR="00A90B05" w:rsidRPr="00BA2696" w:rsidRDefault="00A90B05" w:rsidP="00A90B05">
      <w:pPr>
        <w:spacing w:after="0" w:line="480" w:lineRule="auto"/>
        <w:rPr>
          <w:sz w:val="24"/>
          <w:szCs w:val="24"/>
        </w:rPr>
      </w:pPr>
      <w:r w:rsidRPr="00BA2696">
        <w:rPr>
          <w:rFonts w:cs="Calibri"/>
          <w:sz w:val="24"/>
          <w:szCs w:val="24"/>
        </w:rPr>
        <w:t xml:space="preserve">Taking the perspective that the curriculum and participants’ socio-political disconnection was grounded in limited time and a hesitation about the impact on the group dynamic, it could be argued that the disconnection was hermeneutical injustice (Fricker, 2007). In other words, the curriculum and the participants did not have the conceptual (or temporal) resources available to effectively engage with socio-political issues. However, this understanding stands in contrast to the participants assertion that the group felt </w:t>
      </w:r>
      <w:r w:rsidRPr="00BA2696">
        <w:rPr>
          <w:rFonts w:cs="Calibri"/>
          <w:i/>
          <w:iCs/>
          <w:sz w:val="24"/>
          <w:szCs w:val="24"/>
        </w:rPr>
        <w:t>‘comfortable’</w:t>
      </w:r>
      <w:r w:rsidRPr="00BA2696">
        <w:rPr>
          <w:rFonts w:cs="Calibri"/>
          <w:sz w:val="24"/>
          <w:szCs w:val="24"/>
        </w:rPr>
        <w:t xml:space="preserve"> talking about diversity (which I defined to them as including culture, gender, gender identity, disabilities and sexual orientation). This could suggest that the</w:t>
      </w:r>
      <w:r>
        <w:rPr>
          <w:rFonts w:cs="Calibri"/>
          <w:sz w:val="24"/>
          <w:szCs w:val="24"/>
        </w:rPr>
        <w:t xml:space="preserve"> </w:t>
      </w:r>
      <w:r w:rsidRPr="00BA2696">
        <w:rPr>
          <w:rFonts w:cs="Calibri"/>
          <w:sz w:val="24"/>
          <w:szCs w:val="24"/>
        </w:rPr>
        <w:t>participants felt they did have the resources needed to engage with socio-political issues. It could also be argued that the socio-political disconnection from the BACP, to the curriculum and to the trainee counsellors (individually and as a group) could be examples of advanced ignorance (Medina, 2016, p. 183), in the forms of cognitive resistance through conceptual lacunas, and affective resistance through apathy toward socio-politics. In this way, the socio-political disconnection could be an example of epistemic ignorance as a ‘substantive practice’ (Alcoff, 2007, p. 39). This perspective can be furthered by considering the participants’ silence on the two occasions ‘race’ was mentioned in class. It has been argued that ‘white silence’ in pedagogical racial discourse is used to actively resist engagement with ‘race’ and th</w:t>
      </w:r>
      <w:r>
        <w:rPr>
          <w:rFonts w:cs="Calibri"/>
          <w:sz w:val="24"/>
          <w:szCs w:val="24"/>
        </w:rPr>
        <w:t>is</w:t>
      </w:r>
      <w:r w:rsidRPr="00274316">
        <w:rPr>
          <w:rFonts w:cs="Calibri"/>
          <w:sz w:val="24"/>
          <w:szCs w:val="24"/>
        </w:rPr>
        <w:t xml:space="preserve"> allows the maintenance of white privilege (</w:t>
      </w:r>
      <w:r w:rsidRPr="00274316">
        <w:rPr>
          <w:sz w:val="24"/>
          <w:szCs w:val="24"/>
        </w:rPr>
        <w:t>DiAngelo, 2012). Reflecting</w:t>
      </w:r>
      <w:r w:rsidRPr="00BA2696">
        <w:rPr>
          <w:sz w:val="24"/>
          <w:szCs w:val="24"/>
        </w:rPr>
        <w:t xml:space="preserve"> on teaching critical whiteness studies, Applebaum (2016b) recognises that while white silence can be used to actively resist racial discourse and learning, it can also facilitate ‘listening silence’ </w:t>
      </w:r>
      <w:r w:rsidRPr="00BA2696">
        <w:rPr>
          <w:sz w:val="24"/>
          <w:szCs w:val="24"/>
        </w:rPr>
        <w:lastRenderedPageBreak/>
        <w:t xml:space="preserve">whereby white students are engaged with learning, albeit silently. However, ‘such listening must also be interrogated for its role in sustaining power and privilege’ through considering the context within which the discourse and silence is taking place (Applebaum, 2016b, p. 392). Therefore, white silence can be either a form of resistance or a method of learning, meaning that what may appear as disconnection may be a silent method of connection. However, as Applebaum (2016b) argues, the contextual circumstances that the silence takes place in is significant. In this research, the participants’ silence occurred within a curriculum that did not include ‘race’, racism and whiteness (Student Handbook 2019/2020), this omission is reflected in the course accreditation guidelines (BACP, 2012; 2019) and ethical framework (2018a). This may indicate that the context in which the participants’ white silence occurred was emblematic of a systemic white silence. </w:t>
      </w:r>
      <w:r w:rsidRPr="00BA2696">
        <w:rPr>
          <w:rFonts w:cs="Calibri"/>
          <w:sz w:val="24"/>
          <w:szCs w:val="24"/>
        </w:rPr>
        <w:t xml:space="preserve">Perhaps this socio-political disconnection and white silence is because counselling pedagogy, theory and practice has not yet found what critical race theory calls an </w:t>
      </w:r>
      <w:r w:rsidRPr="00BA2696">
        <w:rPr>
          <w:sz w:val="24"/>
          <w:szCs w:val="24"/>
        </w:rPr>
        <w:t>‘interest convergence’ (</w:t>
      </w:r>
      <w:r w:rsidRPr="00BA2696">
        <w:rPr>
          <w:rFonts w:cs="Calibri"/>
          <w:sz w:val="24"/>
          <w:szCs w:val="24"/>
        </w:rPr>
        <w:t>Bell, 1980;</w:t>
      </w:r>
      <w:r w:rsidRPr="00BA2696">
        <w:rPr>
          <w:sz w:val="24"/>
          <w:szCs w:val="24"/>
        </w:rPr>
        <w:t xml:space="preserve"> </w:t>
      </w:r>
      <w:r w:rsidRPr="00BA2696">
        <w:rPr>
          <w:rFonts w:cs="Calibri"/>
          <w:sz w:val="24"/>
          <w:szCs w:val="24"/>
        </w:rPr>
        <w:t>Delgado and Stefancic, 2017, p. 9)</w:t>
      </w:r>
      <w:r w:rsidRPr="00BA2696">
        <w:rPr>
          <w:sz w:val="24"/>
          <w:szCs w:val="24"/>
        </w:rPr>
        <w:t xml:space="preserve">. In other words, counselling has not found an incentive to challenge the white, Eurocentric status quo of the profession. </w:t>
      </w:r>
    </w:p>
    <w:p w14:paraId="139C66FE" w14:textId="77777777" w:rsidR="00A90B05" w:rsidRPr="00BA2696" w:rsidRDefault="00A90B05" w:rsidP="00A90B05">
      <w:pPr>
        <w:spacing w:after="0" w:line="480" w:lineRule="auto"/>
        <w:rPr>
          <w:rFonts w:cs="Calibri"/>
          <w:sz w:val="24"/>
          <w:szCs w:val="24"/>
        </w:rPr>
      </w:pPr>
    </w:p>
    <w:p w14:paraId="7227D9C4" w14:textId="77777777" w:rsidR="00A90B05" w:rsidRPr="00BA2696" w:rsidRDefault="00A90B05" w:rsidP="00A90B05">
      <w:pPr>
        <w:spacing w:after="0" w:line="480" w:lineRule="auto"/>
        <w:rPr>
          <w:rFonts w:cs="Calibri"/>
          <w:sz w:val="24"/>
          <w:szCs w:val="24"/>
        </w:rPr>
      </w:pPr>
      <w:r w:rsidRPr="00BA2696">
        <w:rPr>
          <w:rFonts w:cs="Calibri"/>
          <w:sz w:val="24"/>
          <w:szCs w:val="24"/>
        </w:rPr>
        <w:t xml:space="preserve">Therefore, White Ignorance Disruption for counsellors will not only require disruption on a personal level, though challenging one’s assumptions, emotions, and knowledge, but also disrupting the curriculum through actively incorporating the socio-political context into counselling training and accreditation guidelines. Social justice counselling is one theoretical model that actively includes socio-politics </w:t>
      </w:r>
      <w:bookmarkStart w:id="72" w:name="_Hlk52802018"/>
      <w:r w:rsidRPr="00BA2696">
        <w:rPr>
          <w:rFonts w:cs="Calibri"/>
          <w:sz w:val="24"/>
          <w:szCs w:val="24"/>
        </w:rPr>
        <w:t xml:space="preserve">(Chung and Bemak, 2012; Ratts, Rafferty McCullough and Rubel, 2016; Rogers-Sirin, 2017) </w:t>
      </w:r>
      <w:bookmarkEnd w:id="72"/>
      <w:r w:rsidRPr="00BA2696">
        <w:rPr>
          <w:rFonts w:cs="Calibri"/>
          <w:sz w:val="24"/>
          <w:szCs w:val="24"/>
        </w:rPr>
        <w:t xml:space="preserve">and could be effectively utilised in counselling training to connect counselling theory and practice to socio-politics. However, to specifically address ‘race’, racism and whiteness, in Chapter 7 (Section 7.8) I will recommend </w:t>
      </w:r>
      <w:r w:rsidRPr="00BA2696">
        <w:rPr>
          <w:rFonts w:cs="Calibri"/>
          <w:sz w:val="24"/>
          <w:szCs w:val="24"/>
        </w:rPr>
        <w:lastRenderedPageBreak/>
        <w:t xml:space="preserve">‘Critical Whiteness Counselling Studies’ as one way to achieve a connection between counselling and critical whiteness studies. Taking this approach will ensure racial discourse (including the historical and contemporary context of ‘race’, racism and whiteness) becomes integral to counselling training and practice. </w:t>
      </w:r>
    </w:p>
    <w:p w14:paraId="7DDA1695" w14:textId="77777777" w:rsidR="00A90B05" w:rsidRPr="00BA2696" w:rsidRDefault="00A90B05" w:rsidP="00A90B05">
      <w:pPr>
        <w:spacing w:after="0" w:line="480" w:lineRule="auto"/>
        <w:rPr>
          <w:rFonts w:cs="Calibri"/>
          <w:sz w:val="24"/>
          <w:szCs w:val="24"/>
        </w:rPr>
      </w:pPr>
    </w:p>
    <w:p w14:paraId="32A13F00" w14:textId="77777777" w:rsidR="00A90B05" w:rsidRPr="00BA2696" w:rsidRDefault="00A90B05" w:rsidP="00A90B05">
      <w:pPr>
        <w:pStyle w:val="Heading4"/>
        <w:spacing w:before="0" w:after="240" w:line="250" w:lineRule="auto"/>
      </w:pPr>
      <w:r w:rsidRPr="00BA2696">
        <w:t xml:space="preserve">Student and curriculum connection </w:t>
      </w:r>
    </w:p>
    <w:p w14:paraId="6EFAB9FD" w14:textId="77777777" w:rsidR="00A90B05" w:rsidRDefault="00A90B05" w:rsidP="00A90B05">
      <w:pPr>
        <w:suppressAutoHyphens w:val="0"/>
        <w:autoSpaceDN/>
        <w:spacing w:after="0" w:line="480" w:lineRule="auto"/>
        <w:textAlignment w:val="auto"/>
        <w:rPr>
          <w:sz w:val="24"/>
          <w:szCs w:val="24"/>
        </w:rPr>
      </w:pPr>
      <w:r w:rsidRPr="00BA2696">
        <w:rPr>
          <w:sz w:val="24"/>
          <w:szCs w:val="24"/>
        </w:rPr>
        <w:t>The second subtheme found that there were points of connection to socio-politics for the students and the curriculum. For the participants this included an interest in learning about gender identity, an awareness of the role media can play in understanding ‘race’, and a curiosity in cultural differences. Within the curriculum, the student handbook stated that students would be deemed ‘incapable’ of counselling practice if they held discriminatory beliefs which they did not modify</w:t>
      </w:r>
      <w:r w:rsidRPr="00BA2696">
        <w:rPr>
          <w:color w:val="FF0000"/>
          <w:sz w:val="24"/>
          <w:szCs w:val="24"/>
        </w:rPr>
        <w:t xml:space="preserve"> </w:t>
      </w:r>
      <w:r w:rsidRPr="00BA2696">
        <w:rPr>
          <w:sz w:val="24"/>
          <w:szCs w:val="24"/>
        </w:rPr>
        <w:t>(</w:t>
      </w:r>
      <w:r w:rsidRPr="00BA2696">
        <w:rPr>
          <w:rFonts w:cs="Calibri"/>
          <w:sz w:val="24"/>
          <w:szCs w:val="24"/>
        </w:rPr>
        <w:t>Student Handbook, 2019/2020</w:t>
      </w:r>
      <w:r w:rsidRPr="001F7516">
        <w:rPr>
          <w:rFonts w:cs="Calibri"/>
          <w:sz w:val="24"/>
          <w:szCs w:val="24"/>
        </w:rPr>
        <w:t>)</w:t>
      </w:r>
      <w:r w:rsidRPr="001F7516">
        <w:rPr>
          <w:sz w:val="24"/>
          <w:szCs w:val="24"/>
        </w:rPr>
        <w:t xml:space="preserve">. </w:t>
      </w:r>
      <w:r>
        <w:rPr>
          <w:sz w:val="24"/>
          <w:szCs w:val="24"/>
        </w:rPr>
        <w:t xml:space="preserve">Although how ‘incapable’ is monitored and defined, and what constitutes as a sufficient ‘modification’ of beliefs is not outlined in the Student Handbook (2019/2020). Thus, despite this criteria’s presence in the Student Handbook (2019/2020) seeming like evidence of the curriculum’s socio-political connection, the ambiguity in its practical application means it could facilitate the </w:t>
      </w:r>
      <w:r w:rsidRPr="00BA2696">
        <w:rPr>
          <w:rFonts w:cs="Calibri"/>
          <w:sz w:val="24"/>
          <w:szCs w:val="24"/>
        </w:rPr>
        <w:t>‘production and reproduction’ (Bain, 2018, p. 18)</w:t>
      </w:r>
      <w:r>
        <w:rPr>
          <w:rFonts w:cs="Calibri"/>
          <w:sz w:val="24"/>
          <w:szCs w:val="24"/>
        </w:rPr>
        <w:t xml:space="preserve"> of</w:t>
      </w:r>
      <w:r>
        <w:rPr>
          <w:sz w:val="24"/>
          <w:szCs w:val="24"/>
        </w:rPr>
        <w:t xml:space="preserve"> white ignorance given its implementation relying on the racial awareness of the tutor.</w:t>
      </w:r>
    </w:p>
    <w:p w14:paraId="23BE1AB2" w14:textId="77777777" w:rsidR="00A90B05" w:rsidRPr="00BA2696" w:rsidRDefault="00A90B05" w:rsidP="00A90B05">
      <w:pPr>
        <w:suppressAutoHyphens w:val="0"/>
        <w:autoSpaceDN/>
        <w:spacing w:after="0" w:line="480" w:lineRule="auto"/>
        <w:textAlignment w:val="auto"/>
        <w:rPr>
          <w:sz w:val="24"/>
          <w:szCs w:val="24"/>
        </w:rPr>
      </w:pPr>
      <w:r>
        <w:rPr>
          <w:sz w:val="24"/>
          <w:szCs w:val="24"/>
        </w:rPr>
        <w:t>Likewise</w:t>
      </w:r>
      <w:r w:rsidRPr="001F7516">
        <w:rPr>
          <w:sz w:val="24"/>
          <w:szCs w:val="24"/>
        </w:rPr>
        <w:t>, whether the participants understood their awareness as socio-political was not ascertained. Theref</w:t>
      </w:r>
      <w:r w:rsidRPr="00BA2696">
        <w:rPr>
          <w:sz w:val="24"/>
          <w:szCs w:val="24"/>
        </w:rPr>
        <w:t xml:space="preserve">ore, the social-political connections found in this research, could be interpreted as a burgeoning awareness and the start of tentative explorations of these topics. Certainly, in the interviews it seemed that the open discussion of ‘race’, racism and whiteness permitted the intellectual and temporal space for these connections to be initiated. For example, White Ignorance Disruption permitted the realisation that cultural </w:t>
      </w:r>
      <w:r w:rsidRPr="00BA2696">
        <w:rPr>
          <w:sz w:val="24"/>
          <w:szCs w:val="24"/>
        </w:rPr>
        <w:lastRenderedPageBreak/>
        <w:t xml:space="preserve">differences may have an influence on the counselling relationship in cross-cultural dyads; something which had not been considered before by the participants (and had not been discussed in the seminars I observed). This suggests that White Ignorance Disruption can have a profession specific consequence. As they are most relevant to this research, the burgeoning awareness that the participants showed in relation to culture and the media will be explored. </w:t>
      </w:r>
    </w:p>
    <w:p w14:paraId="4F12D4D6" w14:textId="77777777" w:rsidR="00A90B05" w:rsidRPr="00BA2696" w:rsidRDefault="00A90B05" w:rsidP="00A90B05">
      <w:pPr>
        <w:suppressAutoHyphens w:val="0"/>
        <w:autoSpaceDN/>
        <w:spacing w:after="0" w:line="480" w:lineRule="auto"/>
        <w:textAlignment w:val="auto"/>
        <w:rPr>
          <w:sz w:val="24"/>
          <w:szCs w:val="24"/>
        </w:rPr>
      </w:pPr>
    </w:p>
    <w:p w14:paraId="207BFC19" w14:textId="77777777" w:rsidR="00A90B05" w:rsidRPr="00BA2696" w:rsidRDefault="00A90B05" w:rsidP="00A90B05">
      <w:pPr>
        <w:suppressAutoHyphens w:val="0"/>
        <w:autoSpaceDN/>
        <w:spacing w:after="0" w:line="480" w:lineRule="auto"/>
        <w:textAlignment w:val="auto"/>
        <w:rPr>
          <w:sz w:val="24"/>
          <w:szCs w:val="24"/>
        </w:rPr>
      </w:pPr>
      <w:r w:rsidRPr="00BA2696">
        <w:rPr>
          <w:sz w:val="24"/>
          <w:szCs w:val="24"/>
        </w:rPr>
        <w:t>The understanding of ‘culture’ is taken from Fernando’s (2010, p. 8) description of it as being characterised as a set behaviours and attitudes which are inherited by parental figures yet in actuality are a ‘changeable blue-print for living’:</w:t>
      </w:r>
    </w:p>
    <w:p w14:paraId="4F830334" w14:textId="77777777" w:rsidR="00A90B05" w:rsidRPr="00BA2696" w:rsidRDefault="00A90B05" w:rsidP="00A90B05">
      <w:pPr>
        <w:suppressAutoHyphens w:val="0"/>
        <w:autoSpaceDN/>
        <w:spacing w:after="0" w:line="240" w:lineRule="auto"/>
        <w:ind w:left="567" w:right="567"/>
        <w:textAlignment w:val="auto"/>
        <w:rPr>
          <w:sz w:val="24"/>
          <w:szCs w:val="24"/>
        </w:rPr>
      </w:pPr>
      <w:r w:rsidRPr="00BA2696">
        <w:rPr>
          <w:sz w:val="24"/>
          <w:szCs w:val="24"/>
        </w:rPr>
        <w:t>Culture is now seen as something that cannot be clearly defined, as something living, dynamic and changing - a flexible system of values and worldviews that people live by, and through which they define identities and negotiate their lives (Fernando, 2010, p. 10)</w:t>
      </w:r>
    </w:p>
    <w:p w14:paraId="701EBD9A" w14:textId="77777777" w:rsidR="00A90B05" w:rsidRPr="00BA2696" w:rsidRDefault="00A90B05" w:rsidP="00A90B05">
      <w:pPr>
        <w:suppressAutoHyphens w:val="0"/>
        <w:autoSpaceDN/>
        <w:spacing w:after="0" w:line="480" w:lineRule="auto"/>
        <w:ind w:left="567" w:right="567"/>
        <w:textAlignment w:val="auto"/>
        <w:rPr>
          <w:sz w:val="24"/>
          <w:szCs w:val="24"/>
        </w:rPr>
      </w:pPr>
    </w:p>
    <w:p w14:paraId="665CA35F" w14:textId="77777777" w:rsidR="00A90B05" w:rsidRPr="00BA2696" w:rsidRDefault="00A90B05" w:rsidP="00A90B05">
      <w:pPr>
        <w:suppressAutoHyphens w:val="0"/>
        <w:autoSpaceDN/>
        <w:spacing w:after="0" w:line="480" w:lineRule="auto"/>
        <w:textAlignment w:val="auto"/>
        <w:rPr>
          <w:rFonts w:cs="Calibri"/>
          <w:bCs/>
          <w:sz w:val="24"/>
          <w:szCs w:val="24"/>
        </w:rPr>
      </w:pPr>
      <w:r w:rsidRPr="00BA2696">
        <w:rPr>
          <w:sz w:val="24"/>
          <w:szCs w:val="24"/>
        </w:rPr>
        <w:t xml:space="preserve">Therefore, the discussion of ‘culture’ in this section recognises that </w:t>
      </w:r>
      <w:r>
        <w:rPr>
          <w:sz w:val="24"/>
          <w:szCs w:val="24"/>
        </w:rPr>
        <w:t xml:space="preserve">it </w:t>
      </w:r>
      <w:r w:rsidRPr="00BA2696">
        <w:rPr>
          <w:sz w:val="24"/>
          <w:szCs w:val="24"/>
        </w:rPr>
        <w:t xml:space="preserve">is not a static concept but one that is changeable. Moreover, talk of ‘cultural differences’ is located in a Westernised understanding of what is ‘normal’ and what is ‘different’.  As whiteness is held as the normalised standard </w:t>
      </w:r>
      <w:r w:rsidRPr="00BA2696">
        <w:rPr>
          <w:rFonts w:cs="Calibri"/>
          <w:bCs/>
          <w:sz w:val="24"/>
          <w:szCs w:val="24"/>
        </w:rPr>
        <w:t xml:space="preserve">(Halley, Eshleman, and Mahadevan-Vijaya, 2011; Hayes </w:t>
      </w:r>
      <w:r w:rsidRPr="00BA2696">
        <w:rPr>
          <w:rFonts w:cs="Calibri"/>
          <w:bCs/>
          <w:i/>
          <w:iCs/>
          <w:sz w:val="24"/>
          <w:szCs w:val="24"/>
        </w:rPr>
        <w:t>et al</w:t>
      </w:r>
      <w:r w:rsidRPr="00BA2696">
        <w:rPr>
          <w:rFonts w:cs="Calibri"/>
          <w:bCs/>
          <w:sz w:val="24"/>
          <w:szCs w:val="24"/>
        </w:rPr>
        <w:t xml:space="preserve">, 2013; Dyer, 2017) it could be argued that ‘cultural differences’ is a palatable way of indicating non-white, non-Western ways of being. </w:t>
      </w:r>
    </w:p>
    <w:p w14:paraId="0AF4590B" w14:textId="77777777" w:rsidR="00A90B05" w:rsidRPr="00BA2696" w:rsidRDefault="00A90B05" w:rsidP="00A90B05">
      <w:pPr>
        <w:suppressAutoHyphens w:val="0"/>
        <w:autoSpaceDN/>
        <w:spacing w:after="0" w:line="480" w:lineRule="auto"/>
        <w:textAlignment w:val="auto"/>
        <w:rPr>
          <w:sz w:val="24"/>
          <w:szCs w:val="24"/>
        </w:rPr>
      </w:pPr>
    </w:p>
    <w:p w14:paraId="5B08B331" w14:textId="77777777" w:rsidR="00A90B05" w:rsidRPr="00BA2696" w:rsidRDefault="00A90B05" w:rsidP="00A90B05">
      <w:pPr>
        <w:suppressAutoHyphens w:val="0"/>
        <w:autoSpaceDN/>
        <w:spacing w:after="0" w:line="480" w:lineRule="auto"/>
        <w:textAlignment w:val="auto"/>
        <w:rPr>
          <w:sz w:val="24"/>
          <w:szCs w:val="24"/>
        </w:rPr>
      </w:pPr>
      <w:r w:rsidRPr="00BA2696">
        <w:rPr>
          <w:sz w:val="24"/>
          <w:szCs w:val="24"/>
        </w:rPr>
        <w:t xml:space="preserve">Some of the participants showed an awareness that cultural differences between a white counsellor and a client of colour may impact the therapeutic relationship. This appeared to be a realisation that was made in the actual interview. The tutor had previously mentioned in seminars that he had worked with a client from Indonesia and with another client for </w:t>
      </w:r>
      <w:r w:rsidRPr="00BA2696">
        <w:rPr>
          <w:sz w:val="24"/>
          <w:szCs w:val="24"/>
        </w:rPr>
        <w:lastRenderedPageBreak/>
        <w:t>whom English was a second language; he did not further this to explore cross-cultural counselling and the students did not ask any questions about it. However, in the interviews, Emily, Phil, Mary and Vix made statements which connected cultural difference to counselling practice. Emily, Phil and Mary, focused on the</w:t>
      </w:r>
      <w:r>
        <w:rPr>
          <w:sz w:val="24"/>
          <w:szCs w:val="24"/>
        </w:rPr>
        <w:t xml:space="preserve"> potential</w:t>
      </w:r>
      <w:r w:rsidRPr="00BA2696">
        <w:rPr>
          <w:sz w:val="24"/>
          <w:szCs w:val="24"/>
        </w:rPr>
        <w:t xml:space="preserve"> impact</w:t>
      </w:r>
      <w:r>
        <w:rPr>
          <w:sz w:val="24"/>
          <w:szCs w:val="24"/>
        </w:rPr>
        <w:t xml:space="preserve"> of</w:t>
      </w:r>
      <w:r w:rsidRPr="00BA2696">
        <w:rPr>
          <w:sz w:val="24"/>
          <w:szCs w:val="24"/>
        </w:rPr>
        <w:t xml:space="preserve"> having a Muslim client, feeling that a Muslim client may not want to work with a client of a different gender and that religious practices may alter the grieving process (and by inference changing the Eurocentric understanding of grief). Using the example of Chinese culture, Vix wondered: </w:t>
      </w:r>
    </w:p>
    <w:p w14:paraId="77CF417A" w14:textId="77777777" w:rsidR="00A90B05" w:rsidRPr="00BA2696" w:rsidRDefault="00A90B05" w:rsidP="00A90B05">
      <w:pPr>
        <w:suppressAutoHyphens w:val="0"/>
        <w:autoSpaceDN/>
        <w:spacing w:after="0" w:line="240" w:lineRule="auto"/>
        <w:ind w:left="567" w:right="567"/>
        <w:textAlignment w:val="auto"/>
        <w:rPr>
          <w:rFonts w:cs="Calibri"/>
          <w:sz w:val="24"/>
          <w:szCs w:val="24"/>
        </w:rPr>
      </w:pPr>
      <w:r w:rsidRPr="00BA2696">
        <w:rPr>
          <w:rFonts w:cs="Calibri"/>
          <w:sz w:val="24"/>
          <w:szCs w:val="24"/>
        </w:rPr>
        <w:t>Vix: …am I going to understand where they're coming from? I'm not going, going to be able to prod them in the right way or am I going to be offensive? [in counselling practice]</w:t>
      </w:r>
    </w:p>
    <w:p w14:paraId="650FEDFD" w14:textId="77777777" w:rsidR="00A90B05" w:rsidRPr="00BA2696" w:rsidRDefault="00A90B05" w:rsidP="00A90B05">
      <w:pPr>
        <w:suppressAutoHyphens w:val="0"/>
        <w:autoSpaceDN/>
        <w:spacing w:after="0" w:line="480" w:lineRule="auto"/>
        <w:textAlignment w:val="auto"/>
        <w:rPr>
          <w:sz w:val="24"/>
          <w:szCs w:val="24"/>
        </w:rPr>
      </w:pPr>
    </w:p>
    <w:p w14:paraId="2F29E8BD" w14:textId="77777777" w:rsidR="00A90B05" w:rsidRPr="00BA2696" w:rsidRDefault="00A90B05" w:rsidP="00A90B05">
      <w:pPr>
        <w:suppressAutoHyphens w:val="0"/>
        <w:autoSpaceDN/>
        <w:spacing w:after="0" w:line="480" w:lineRule="auto"/>
        <w:textAlignment w:val="auto"/>
        <w:rPr>
          <w:rFonts w:cs="Calibri"/>
          <w:bCs/>
          <w:sz w:val="24"/>
          <w:szCs w:val="24"/>
        </w:rPr>
      </w:pPr>
      <w:r w:rsidRPr="00BA2696">
        <w:rPr>
          <w:sz w:val="24"/>
          <w:szCs w:val="24"/>
        </w:rPr>
        <w:t>Emily, Mary and Phil’s assessment of the Muslim community could be perceived as one-dimensional and stereotypical</w:t>
      </w:r>
      <w:bookmarkStart w:id="73" w:name="_Hlk52873379"/>
      <w:r w:rsidRPr="00BA2696">
        <w:rPr>
          <w:sz w:val="24"/>
          <w:szCs w:val="24"/>
        </w:rPr>
        <w:t>. Taras (2014</w:t>
      </w:r>
      <w:bookmarkEnd w:id="73"/>
      <w:r w:rsidRPr="00BA2696">
        <w:rPr>
          <w:sz w:val="24"/>
          <w:szCs w:val="24"/>
        </w:rPr>
        <w:t xml:space="preserve">, p. 35) notes ‘both deep structures and shallow stereotypes are implicated in the construction of Islam as the racial ‘Other’’. In the context of this research, the ‘deep structures’ (Taras, 2014. P. 35) could be applicable to the systemic </w:t>
      </w:r>
      <w:r>
        <w:rPr>
          <w:sz w:val="24"/>
          <w:szCs w:val="24"/>
        </w:rPr>
        <w:t>colour-blind attitudes</w:t>
      </w:r>
      <w:r w:rsidRPr="00BA2696">
        <w:rPr>
          <w:sz w:val="24"/>
          <w:szCs w:val="24"/>
        </w:rPr>
        <w:t xml:space="preserve"> </w:t>
      </w:r>
      <w:r>
        <w:rPr>
          <w:sz w:val="24"/>
          <w:szCs w:val="24"/>
        </w:rPr>
        <w:t>regarding</w:t>
      </w:r>
      <w:r w:rsidRPr="00BA2696">
        <w:rPr>
          <w:sz w:val="24"/>
          <w:szCs w:val="24"/>
        </w:rPr>
        <w:t xml:space="preserve"> ‘race’, racism and whiteness </w:t>
      </w:r>
      <w:r>
        <w:rPr>
          <w:sz w:val="24"/>
          <w:szCs w:val="24"/>
        </w:rPr>
        <w:t>(</w:t>
      </w:r>
      <w:r w:rsidRPr="00BA2696">
        <w:rPr>
          <w:sz w:val="24"/>
          <w:szCs w:val="24"/>
        </w:rPr>
        <w:t>Chapter 7, Section 7.7)</w:t>
      </w:r>
      <w:r>
        <w:rPr>
          <w:sz w:val="24"/>
          <w:szCs w:val="24"/>
        </w:rPr>
        <w:t xml:space="preserve"> identified in this research</w:t>
      </w:r>
      <w:r w:rsidRPr="00BA2696">
        <w:rPr>
          <w:sz w:val="24"/>
          <w:szCs w:val="24"/>
        </w:rPr>
        <w:t xml:space="preserve">. This is also evident in that the participants’ awareness of the potential role cultural differences could have in the counselling practice was not situated in a broader understanding of the dominance of Eurocentrism and whiteness. Indeed, the positioning of Muslim’s as the racial ‘Other’ could be seen as an example of </w:t>
      </w:r>
      <w:r w:rsidRPr="00BA2696">
        <w:rPr>
          <w:rFonts w:cs="Calibri"/>
          <w:bCs/>
          <w:sz w:val="24"/>
          <w:szCs w:val="24"/>
        </w:rPr>
        <w:t xml:space="preserve">‘differential racialisation’ (Delgado and Stefancic, 2017, pp. 9-10). It has been argued that through the process of racialisation, Muslim people have turned into a homogenous group that discards physical, geographical, and economic differences </w:t>
      </w:r>
      <w:bookmarkStart w:id="74" w:name="_Hlk52873857"/>
      <w:r w:rsidRPr="00BA2696">
        <w:rPr>
          <w:rFonts w:cs="Calibri"/>
          <w:bCs/>
          <w:sz w:val="24"/>
          <w:szCs w:val="24"/>
        </w:rPr>
        <w:t>(Garner and Selod, 2015)</w:t>
      </w:r>
      <w:bookmarkEnd w:id="74"/>
      <w:r w:rsidRPr="00BA2696">
        <w:rPr>
          <w:rFonts w:cs="Calibri"/>
          <w:bCs/>
          <w:sz w:val="24"/>
          <w:szCs w:val="24"/>
        </w:rPr>
        <w:t xml:space="preserve">. The similar perspectives of Emily and Phil, who both felt that the gender of the Muslim client would </w:t>
      </w:r>
      <w:r w:rsidRPr="00BA2696">
        <w:rPr>
          <w:rFonts w:cs="Calibri"/>
          <w:bCs/>
          <w:sz w:val="24"/>
          <w:szCs w:val="24"/>
        </w:rPr>
        <w:lastRenderedPageBreak/>
        <w:t xml:space="preserve">impact the counselling dyad, reflects the argument that Muslims are gendered in racialised ways (Garner and Selod, 2015). In this instance, the subtext of Emily and Phil’s statements seem to racialise Muslim women as being forbidden to speak to men and Muslim men being representative of a </w:t>
      </w:r>
      <w:r w:rsidRPr="00BA2696">
        <w:rPr>
          <w:rFonts w:cs="Calibri"/>
          <w:bCs/>
          <w:i/>
          <w:iCs/>
          <w:sz w:val="24"/>
          <w:szCs w:val="24"/>
        </w:rPr>
        <w:t>‘closed race’</w:t>
      </w:r>
      <w:r w:rsidRPr="00BA2696">
        <w:rPr>
          <w:rFonts w:cs="Calibri"/>
          <w:bCs/>
          <w:sz w:val="24"/>
          <w:szCs w:val="24"/>
        </w:rPr>
        <w:t>:</w:t>
      </w:r>
    </w:p>
    <w:p w14:paraId="75D26EBA" w14:textId="77777777" w:rsidR="00A90B05" w:rsidRPr="00BA2696" w:rsidRDefault="00A90B05" w:rsidP="00A90B05">
      <w:pPr>
        <w:suppressAutoHyphens w:val="0"/>
        <w:autoSpaceDN/>
        <w:spacing w:after="120" w:line="240" w:lineRule="auto"/>
        <w:ind w:left="1287" w:right="567" w:hanging="720"/>
        <w:textAlignment w:val="auto"/>
        <w:rPr>
          <w:rFonts w:cs="Calibri"/>
          <w:sz w:val="24"/>
          <w:szCs w:val="24"/>
        </w:rPr>
      </w:pPr>
      <w:r w:rsidRPr="00BA2696">
        <w:rPr>
          <w:rFonts w:cs="Calibri"/>
          <w:sz w:val="24"/>
          <w:szCs w:val="24"/>
        </w:rPr>
        <w:t>Emily: So, for example, if it was men of, not to be using Muslims, but if it was a Muslim man, because they have very different views on women, that might create, and they might not feel comfortable at all, talking to a woman.</w:t>
      </w:r>
    </w:p>
    <w:p w14:paraId="24EECE22" w14:textId="77777777" w:rsidR="00A90B05" w:rsidRPr="00BA2696" w:rsidRDefault="00A90B05" w:rsidP="00A90B05">
      <w:pPr>
        <w:suppressAutoHyphens w:val="0"/>
        <w:autoSpaceDN/>
        <w:spacing w:after="120" w:line="240" w:lineRule="auto"/>
        <w:ind w:left="1287" w:right="567" w:hanging="720"/>
        <w:textAlignment w:val="auto"/>
        <w:rPr>
          <w:rFonts w:cs="Calibri"/>
          <w:bCs/>
          <w:sz w:val="24"/>
          <w:szCs w:val="24"/>
        </w:rPr>
      </w:pPr>
      <w:r w:rsidRPr="00BA2696">
        <w:rPr>
          <w:rFonts w:cs="Calibri"/>
          <w:sz w:val="24"/>
          <w:szCs w:val="24"/>
        </w:rPr>
        <w:t xml:space="preserve">Phil: …So, if I was </w:t>
      </w:r>
      <w:r w:rsidRPr="00BA2696">
        <w:rPr>
          <w:rFonts w:cs="Calibri"/>
          <w:i/>
          <w:iCs/>
          <w:sz w:val="24"/>
          <w:szCs w:val="24"/>
        </w:rPr>
        <w:t>[sic]</w:t>
      </w:r>
      <w:r w:rsidRPr="00BA2696">
        <w:rPr>
          <w:rFonts w:cs="Calibri"/>
          <w:sz w:val="24"/>
          <w:szCs w:val="24"/>
        </w:rPr>
        <w:t xml:space="preserve"> to work in a Muslim country, I couldn't treat a Muslim woman because of their beliefs. So, at the same thought I would have thought a Muslim woman wouldn't want to come in and open up to me as a counsellor, whereas a Muslim male might not see me as an equal because they're a very closed race.</w:t>
      </w:r>
    </w:p>
    <w:p w14:paraId="7866ABDD" w14:textId="77777777" w:rsidR="00A90B05" w:rsidRPr="00BA2696" w:rsidRDefault="00A90B05" w:rsidP="00A90B05">
      <w:pPr>
        <w:suppressAutoHyphens w:val="0"/>
        <w:autoSpaceDN/>
        <w:spacing w:after="0" w:line="480" w:lineRule="auto"/>
        <w:textAlignment w:val="auto"/>
        <w:rPr>
          <w:rFonts w:cs="Calibri"/>
          <w:bCs/>
          <w:sz w:val="24"/>
          <w:szCs w:val="24"/>
        </w:rPr>
      </w:pPr>
    </w:p>
    <w:p w14:paraId="15DC425C" w14:textId="77777777" w:rsidR="00A90B05" w:rsidRPr="00BA2696" w:rsidRDefault="00A90B05" w:rsidP="00A90B05">
      <w:pPr>
        <w:suppressAutoHyphens w:val="0"/>
        <w:autoSpaceDN/>
        <w:spacing w:after="0" w:line="480" w:lineRule="auto"/>
        <w:textAlignment w:val="auto"/>
        <w:rPr>
          <w:rFonts w:cs="Calibri"/>
          <w:bCs/>
          <w:sz w:val="24"/>
          <w:szCs w:val="24"/>
        </w:rPr>
      </w:pPr>
      <w:r w:rsidRPr="00BA2696">
        <w:rPr>
          <w:rFonts w:cs="Calibri"/>
          <w:bCs/>
          <w:sz w:val="24"/>
          <w:szCs w:val="24"/>
        </w:rPr>
        <w:t>Therefore, it could be argued that the racialisation and ‘essentialising’ or</w:t>
      </w:r>
      <w:r w:rsidRPr="00BA2696">
        <w:rPr>
          <w:rFonts w:cs="Calibri"/>
          <w:sz w:val="24"/>
          <w:szCs w:val="24"/>
        </w:rPr>
        <w:t xml:space="preserve"> </w:t>
      </w:r>
      <w:r w:rsidRPr="00BA2696">
        <w:rPr>
          <w:rFonts w:cs="Calibri"/>
          <w:bCs/>
          <w:sz w:val="24"/>
          <w:szCs w:val="24"/>
        </w:rPr>
        <w:t xml:space="preserve">reducing groups of people to simplistic homogenous characteristics (Delgado and Stefancic, 2017, p. 173), is a negative socio-political connection. Similarly, it seemed that the participants were positioning the Muslim culture as responsible for potential difficulties encountered in cross-cultural counselling. This could be an example of cultural racism, one of the four frames of colour-blind ideology (Bonilla-Silva, 2018).  This is because the responsibility of the success/failure of the counselling seemed to be placed on the Muslim clients’ attitudes rather than considering the ways in which Eurocentric counselling theory and practice may impact the cross-cultural counselling relationship. </w:t>
      </w:r>
    </w:p>
    <w:p w14:paraId="3DEA8DAD" w14:textId="77777777" w:rsidR="00A90B05" w:rsidRPr="00BA2696" w:rsidRDefault="00A90B05" w:rsidP="00A90B05">
      <w:pPr>
        <w:suppressAutoHyphens w:val="0"/>
        <w:autoSpaceDN/>
        <w:spacing w:after="0" w:line="480" w:lineRule="auto"/>
        <w:textAlignment w:val="auto"/>
        <w:rPr>
          <w:rFonts w:cs="Calibri"/>
          <w:bCs/>
          <w:sz w:val="24"/>
          <w:szCs w:val="24"/>
        </w:rPr>
      </w:pPr>
    </w:p>
    <w:p w14:paraId="6A49FFE9" w14:textId="77777777" w:rsidR="00A90B05" w:rsidRPr="00BA2696" w:rsidRDefault="00A90B05" w:rsidP="00A90B05">
      <w:pPr>
        <w:suppressAutoHyphens w:val="0"/>
        <w:autoSpaceDN/>
        <w:spacing w:after="0" w:line="480" w:lineRule="auto"/>
        <w:textAlignment w:val="auto"/>
        <w:rPr>
          <w:rFonts w:cs="Calibri"/>
          <w:sz w:val="24"/>
          <w:szCs w:val="24"/>
        </w:rPr>
      </w:pPr>
      <w:r w:rsidRPr="00BA2696">
        <w:rPr>
          <w:sz w:val="24"/>
          <w:szCs w:val="24"/>
        </w:rPr>
        <w:t xml:space="preserve">However, it did seem that they were beginning to connect to what could become a deeper understanding of ‘race’, racism and whiteness in counselling if given an opportunity for further learning. This would indicate that some White Ignorance Disruption had taken place, in particular through disrupting advanced ignorance represented by affective, apathic </w:t>
      </w:r>
      <w:r w:rsidRPr="00BA2696">
        <w:rPr>
          <w:sz w:val="24"/>
          <w:szCs w:val="24"/>
        </w:rPr>
        <w:lastRenderedPageBreak/>
        <w:t xml:space="preserve">resistance (Medina, 2016, p. 183) toward ‘race’, racism and whiteness. This awareness could be utilised as a ‘springboard’ for further awareness. Perhaps traditionally, one way of utilising the tentative interest of cross-cultural counselling practice would be through the teaching of cultural competency frameworks </w:t>
      </w:r>
      <w:bookmarkStart w:id="75" w:name="_Hlk51085511"/>
      <w:r w:rsidRPr="00BA2696">
        <w:rPr>
          <w:rFonts w:cs="Calibri"/>
          <w:sz w:val="24"/>
          <w:szCs w:val="24"/>
        </w:rPr>
        <w:t>(such as: Constantine and Landany, 2001; Sue and Sue, 2008; Collins and Arthur, 2010).</w:t>
      </w:r>
      <w:bookmarkEnd w:id="75"/>
      <w:r w:rsidRPr="00BA2696">
        <w:rPr>
          <w:rFonts w:cs="Calibri"/>
          <w:sz w:val="24"/>
          <w:szCs w:val="24"/>
        </w:rPr>
        <w:t xml:space="preserve"> However, as discussed in Chapter 2 (Section 2.2.2), cultural competency has been criticised for being formulated ‘within colonial confines’ (Tate, Torres Rivera and Edwards, 2015, p. 44). However, given that cultural competency is not a requirement of the BACP’s ethical framework (BACP, 2018a), there is no guarantee that even this critiqued method of connection would be made during counselling training. Therefore, it would appear that the socio-political connection to culture could potentially entrench racialised notions through either neglecting to capitalise on the connection or through cultural competence which may reinforce notions of ‘Otherness’.</w:t>
      </w:r>
      <w:r w:rsidRPr="00BA2696">
        <w:rPr>
          <w:rFonts w:cs="Calibri"/>
          <w:bCs/>
          <w:sz w:val="24"/>
          <w:szCs w:val="24"/>
        </w:rPr>
        <w:t xml:space="preserve"> </w:t>
      </w:r>
      <w:r w:rsidRPr="00BA2696">
        <w:rPr>
          <w:rFonts w:cs="Calibri"/>
          <w:sz w:val="24"/>
          <w:szCs w:val="24"/>
        </w:rPr>
        <w:t xml:space="preserve">My recommendation of ‘Critical Whiteness Counselling Studies’ (see Chapter 7, Section 7.8) could be one way of effectively utilising the socio-political connection to culture by reorienting the focus to the white counsellor and Eurocentric counselling theory. Doing so would provide an historical and contemporary socio-political context of ‘race’, racism and whiteness. </w:t>
      </w:r>
    </w:p>
    <w:p w14:paraId="33EB7439" w14:textId="77777777" w:rsidR="00A90B05" w:rsidRPr="00BA2696" w:rsidRDefault="00A90B05" w:rsidP="00A90B05">
      <w:pPr>
        <w:suppressAutoHyphens w:val="0"/>
        <w:autoSpaceDN/>
        <w:spacing w:after="0" w:line="480" w:lineRule="auto"/>
        <w:textAlignment w:val="auto"/>
        <w:rPr>
          <w:rFonts w:cs="Calibri"/>
          <w:bCs/>
          <w:sz w:val="24"/>
          <w:szCs w:val="24"/>
        </w:rPr>
      </w:pPr>
    </w:p>
    <w:p w14:paraId="6AD67BBB" w14:textId="77777777" w:rsidR="00A90B05" w:rsidRPr="00BA2696" w:rsidRDefault="00A90B05" w:rsidP="00A90B05">
      <w:pPr>
        <w:suppressAutoHyphens w:val="0"/>
        <w:autoSpaceDN/>
        <w:spacing w:after="0" w:line="480" w:lineRule="auto"/>
        <w:textAlignment w:val="auto"/>
        <w:rPr>
          <w:rFonts w:cs="Calibri"/>
          <w:sz w:val="24"/>
          <w:szCs w:val="24"/>
        </w:rPr>
      </w:pPr>
      <w:r w:rsidRPr="00BA2696">
        <w:rPr>
          <w:sz w:val="24"/>
          <w:szCs w:val="24"/>
        </w:rPr>
        <w:t>Another point of socio-political connection was Anne, Betty and Emily linking the role of the media in forming understanding</w:t>
      </w:r>
      <w:r>
        <w:rPr>
          <w:sz w:val="24"/>
          <w:szCs w:val="24"/>
        </w:rPr>
        <w:t>s</w:t>
      </w:r>
      <w:r w:rsidRPr="00BA2696">
        <w:rPr>
          <w:sz w:val="24"/>
          <w:szCs w:val="24"/>
        </w:rPr>
        <w:t xml:space="preserve"> about ‘race’. Anne felt that in rural Wales attitudes toward black people are formulated through the media representation:</w:t>
      </w:r>
    </w:p>
    <w:p w14:paraId="4155AAA5" w14:textId="77777777" w:rsidR="00A90B05" w:rsidRPr="00BA2696" w:rsidRDefault="00A90B05" w:rsidP="00A90B05">
      <w:pPr>
        <w:suppressAutoHyphens w:val="0"/>
        <w:autoSpaceDN/>
        <w:spacing w:after="120" w:line="240" w:lineRule="auto"/>
        <w:ind w:left="1287" w:right="567" w:hanging="720"/>
        <w:textAlignment w:val="auto"/>
        <w:rPr>
          <w:rFonts w:cs="Calibri"/>
          <w:sz w:val="24"/>
          <w:szCs w:val="24"/>
        </w:rPr>
      </w:pPr>
      <w:r w:rsidRPr="00BA2696">
        <w:rPr>
          <w:rFonts w:cs="Calibri"/>
          <w:sz w:val="24"/>
          <w:szCs w:val="24"/>
        </w:rPr>
        <w:t>Anne: I think the media has tainted it and I think their perception is that all black people are drug takers or carry knives and, that’s, this is a very naive impression of them.</w:t>
      </w:r>
    </w:p>
    <w:p w14:paraId="0E806392" w14:textId="77777777" w:rsidR="00A90B05" w:rsidRPr="00BA2696" w:rsidRDefault="00A90B05" w:rsidP="00A90B05">
      <w:pPr>
        <w:suppressAutoHyphens w:val="0"/>
        <w:autoSpaceDN/>
        <w:spacing w:after="0" w:line="480" w:lineRule="auto"/>
        <w:ind w:right="567"/>
        <w:textAlignment w:val="auto"/>
        <w:rPr>
          <w:rFonts w:cs="Calibri"/>
          <w:sz w:val="24"/>
          <w:szCs w:val="24"/>
        </w:rPr>
      </w:pPr>
    </w:p>
    <w:p w14:paraId="6E789388" w14:textId="77777777" w:rsidR="00A90B05" w:rsidRPr="00BA2696" w:rsidRDefault="00A90B05" w:rsidP="00A90B05">
      <w:pPr>
        <w:suppressAutoHyphens w:val="0"/>
        <w:autoSpaceDN/>
        <w:spacing w:after="0" w:line="480" w:lineRule="auto"/>
        <w:textAlignment w:val="auto"/>
        <w:rPr>
          <w:rFonts w:cs="Calibri"/>
          <w:sz w:val="24"/>
          <w:szCs w:val="24"/>
        </w:rPr>
      </w:pPr>
      <w:r w:rsidRPr="00BA2696">
        <w:rPr>
          <w:rFonts w:cs="Calibri"/>
          <w:sz w:val="24"/>
          <w:szCs w:val="24"/>
        </w:rPr>
        <w:lastRenderedPageBreak/>
        <w:t xml:space="preserve">It has been argued that in the United States, black men ‘occupy a huge place in the media landscape’ (Kumah-Abiwu, 2020, p. 65), one which is dominated by negative representation. Supporting this, </w:t>
      </w:r>
      <w:r w:rsidRPr="00BA2696">
        <w:rPr>
          <w:sz w:val="24"/>
          <w:szCs w:val="24"/>
        </w:rPr>
        <w:t>local</w:t>
      </w:r>
      <w:r w:rsidRPr="00BA2696">
        <w:rPr>
          <w:rFonts w:cs="Calibri"/>
          <w:sz w:val="24"/>
          <w:szCs w:val="24"/>
        </w:rPr>
        <w:t xml:space="preserve"> media representations of black men as criminals can negatively influence people’s perception of black men (Dixon, 2008), a consequence of which could be the violent way the police respond to black men in the United States (Johnson, 2018). Kumah-Abiwu (2020) states that the negative portrayal of black men is due to generations of white dominated ‘media gatekeepers’, themselves influenced by the white racial frame </w:t>
      </w:r>
      <w:r w:rsidRPr="00BA2696">
        <w:rPr>
          <w:sz w:val="24"/>
          <w:szCs w:val="24"/>
        </w:rPr>
        <w:t xml:space="preserve">(Feagin, 2013), </w:t>
      </w:r>
      <w:r w:rsidRPr="00BA2696">
        <w:rPr>
          <w:rFonts w:cs="Calibri"/>
          <w:sz w:val="24"/>
          <w:szCs w:val="24"/>
        </w:rPr>
        <w:t xml:space="preserve">who shape the ‘social imagery’ and ‘cognitive mapping’ of black men in people’s minds (Kumah-Abiwu, 2020, p. 74). In the UK, a government commission report </w:t>
      </w:r>
      <w:bookmarkStart w:id="76" w:name="_Hlk47693048"/>
      <w:bookmarkStart w:id="77" w:name="_Hlk47689122"/>
      <w:r w:rsidRPr="00BA2696">
        <w:rPr>
          <w:rFonts w:cs="Calibri"/>
          <w:sz w:val="24"/>
          <w:szCs w:val="24"/>
        </w:rPr>
        <w:t>(Cushion, Moore and Jewell, 2011)</w:t>
      </w:r>
      <w:bookmarkEnd w:id="76"/>
      <w:r w:rsidRPr="00BA2696">
        <w:rPr>
          <w:rFonts w:cs="Calibri"/>
          <w:sz w:val="24"/>
          <w:szCs w:val="24"/>
        </w:rPr>
        <w:t xml:space="preserve"> </w:t>
      </w:r>
      <w:bookmarkEnd w:id="77"/>
      <w:r w:rsidRPr="00BA2696">
        <w:rPr>
          <w:rFonts w:cs="Calibri"/>
          <w:sz w:val="24"/>
          <w:szCs w:val="24"/>
        </w:rPr>
        <w:t>into how the British media represented black men and boys found that:</w:t>
      </w:r>
    </w:p>
    <w:p w14:paraId="22C0AACA" w14:textId="77777777" w:rsidR="00A90B05" w:rsidRPr="00BA2696" w:rsidRDefault="00A90B05" w:rsidP="00A90B05">
      <w:pPr>
        <w:suppressAutoHyphens w:val="0"/>
        <w:autoSpaceDN/>
        <w:spacing w:after="0" w:line="240" w:lineRule="auto"/>
        <w:ind w:left="567" w:right="567"/>
        <w:textAlignment w:val="auto"/>
        <w:rPr>
          <w:rFonts w:cs="Calibri"/>
          <w:sz w:val="24"/>
          <w:szCs w:val="24"/>
        </w:rPr>
      </w:pPr>
      <w:r w:rsidRPr="00BA2696">
        <w:rPr>
          <w:rFonts w:cs="Calibri"/>
          <w:sz w:val="24"/>
          <w:szCs w:val="24"/>
        </w:rPr>
        <w:t>Overall, the dominant discourse surrounding black young</w:t>
      </w:r>
      <w:r>
        <w:rPr>
          <w:rFonts w:cs="Calibri"/>
          <w:sz w:val="24"/>
          <w:szCs w:val="24"/>
        </w:rPr>
        <w:t xml:space="preserve"> </w:t>
      </w:r>
      <w:bookmarkStart w:id="78" w:name="_Hlk71456136"/>
      <w:r>
        <w:rPr>
          <w:rFonts w:cs="Calibri"/>
          <w:sz w:val="24"/>
          <w:szCs w:val="24"/>
        </w:rPr>
        <w:t>(</w:t>
      </w:r>
      <w:r w:rsidRPr="00466C11">
        <w:rPr>
          <w:rFonts w:cs="Calibri"/>
          <w:i/>
          <w:iCs/>
          <w:sz w:val="24"/>
          <w:szCs w:val="24"/>
        </w:rPr>
        <w:t>sic</w:t>
      </w:r>
      <w:r>
        <w:rPr>
          <w:rFonts w:cs="Calibri"/>
          <w:sz w:val="24"/>
          <w:szCs w:val="24"/>
        </w:rPr>
        <w:t>)</w:t>
      </w:r>
      <w:bookmarkEnd w:id="78"/>
      <w:r w:rsidRPr="00BA2696">
        <w:rPr>
          <w:rFonts w:cs="Calibri"/>
          <w:sz w:val="24"/>
          <w:szCs w:val="24"/>
        </w:rPr>
        <w:t xml:space="preserve"> men and boys in the news media links them with violent crime, and particularly murders involving knives and/or gangs… Violent crime, murders, and gun and knife crime accounted for the majority of crime coverage featuring black young</w:t>
      </w:r>
      <w:r>
        <w:rPr>
          <w:rFonts w:cs="Calibri"/>
          <w:sz w:val="24"/>
          <w:szCs w:val="24"/>
        </w:rPr>
        <w:t xml:space="preserve"> (</w:t>
      </w:r>
      <w:r w:rsidRPr="00466C11">
        <w:rPr>
          <w:rFonts w:cs="Calibri"/>
          <w:i/>
          <w:iCs/>
          <w:sz w:val="24"/>
          <w:szCs w:val="24"/>
        </w:rPr>
        <w:t>sic</w:t>
      </w:r>
      <w:r>
        <w:rPr>
          <w:rFonts w:cs="Calibri"/>
          <w:sz w:val="24"/>
          <w:szCs w:val="24"/>
        </w:rPr>
        <w:t>)</w:t>
      </w:r>
      <w:r w:rsidRPr="00BA2696">
        <w:rPr>
          <w:rFonts w:cs="Calibri"/>
          <w:sz w:val="24"/>
          <w:szCs w:val="24"/>
        </w:rPr>
        <w:t xml:space="preserve"> men and boys in the mainstream news, with little context or explanation for the reasons why crime was committed </w:t>
      </w:r>
      <w:bookmarkStart w:id="79" w:name="_Hlk47689742"/>
      <w:r w:rsidRPr="00BA2696">
        <w:rPr>
          <w:rFonts w:cs="Calibri"/>
          <w:sz w:val="24"/>
          <w:szCs w:val="24"/>
        </w:rPr>
        <w:t>(Cushion, Moore and Jewell, 2011, p. 2)</w:t>
      </w:r>
    </w:p>
    <w:bookmarkEnd w:id="79"/>
    <w:p w14:paraId="5464CDE4" w14:textId="77777777" w:rsidR="00A90B05" w:rsidRPr="00BA2696" w:rsidRDefault="00A90B05" w:rsidP="00A90B05">
      <w:pPr>
        <w:suppressAutoHyphens w:val="0"/>
        <w:autoSpaceDN/>
        <w:spacing w:after="0" w:line="480" w:lineRule="auto"/>
        <w:ind w:left="567" w:right="567"/>
        <w:textAlignment w:val="auto"/>
        <w:rPr>
          <w:rFonts w:cs="Calibri"/>
          <w:sz w:val="24"/>
          <w:szCs w:val="24"/>
        </w:rPr>
      </w:pPr>
    </w:p>
    <w:p w14:paraId="3A3B7ABF" w14:textId="77777777" w:rsidR="00A90B05" w:rsidRPr="00BA2696" w:rsidRDefault="00A90B05" w:rsidP="00A90B05">
      <w:pPr>
        <w:suppressAutoHyphens w:val="0"/>
        <w:autoSpaceDN/>
        <w:spacing w:after="0" w:line="480" w:lineRule="auto"/>
        <w:textAlignment w:val="auto"/>
        <w:rPr>
          <w:rFonts w:cs="Calibri"/>
          <w:sz w:val="24"/>
          <w:szCs w:val="24"/>
        </w:rPr>
      </w:pPr>
      <w:r w:rsidRPr="00BA2696">
        <w:rPr>
          <w:rFonts w:cs="Calibri"/>
          <w:sz w:val="24"/>
          <w:szCs w:val="24"/>
        </w:rPr>
        <w:t>This lack of context was reinforced by an absence of black commentators in the mainstream media, all of which could influence the public perception and self-perception of young black men and boys (Cushion, Moore and Jewell, 2011). Supporting Kumah-Abiwu’s (2020) argument that ‘media gatekeepers’ are responsible for this negative representation, Cushion, Moore and Jewell (2011, p. 6) also acknowledge that journalists are both contributors and ‘subjects’ to ‘dominant ideological discourses’. Indeed, Dyer (2017) has argued that the white, Eurocentric point</w:t>
      </w:r>
      <w:r>
        <w:rPr>
          <w:rFonts w:cs="Calibri"/>
          <w:sz w:val="24"/>
          <w:szCs w:val="24"/>
        </w:rPr>
        <w:t>-</w:t>
      </w:r>
      <w:r w:rsidRPr="00BA2696">
        <w:rPr>
          <w:rFonts w:cs="Calibri"/>
          <w:sz w:val="24"/>
          <w:szCs w:val="24"/>
        </w:rPr>
        <w:t>of</w:t>
      </w:r>
      <w:r>
        <w:rPr>
          <w:rFonts w:cs="Calibri"/>
          <w:sz w:val="24"/>
          <w:szCs w:val="24"/>
        </w:rPr>
        <w:t>-</w:t>
      </w:r>
      <w:r w:rsidRPr="00BA2696">
        <w:rPr>
          <w:rFonts w:cs="Calibri"/>
          <w:sz w:val="24"/>
          <w:szCs w:val="24"/>
        </w:rPr>
        <w:t xml:space="preserve">view has long shaped racial imagery, rendering whiteness as raceless; arguably this is reflected in the media. A report commission by The Runnymede Trust also found that ‘structural factors – such as discrimination, disadvantage </w:t>
      </w:r>
      <w:r w:rsidRPr="00BA2696">
        <w:rPr>
          <w:rFonts w:cs="Calibri"/>
          <w:sz w:val="24"/>
          <w:szCs w:val="24"/>
        </w:rPr>
        <w:lastRenderedPageBreak/>
        <w:t xml:space="preserve">and inequality – are generally ignored as contributors to crime trends and patterns’ in the British media (Sveinsson, 2008, p. 3) and that ‘race’ is an influential factor in the way crime is reported. Therefore, Anne’s comment that the media has </w:t>
      </w:r>
      <w:r w:rsidRPr="00BA2696">
        <w:rPr>
          <w:rFonts w:cs="Calibri"/>
          <w:i/>
          <w:iCs/>
          <w:sz w:val="24"/>
          <w:szCs w:val="24"/>
        </w:rPr>
        <w:t>‘tainted’</w:t>
      </w:r>
      <w:r w:rsidRPr="00BA2696">
        <w:rPr>
          <w:rFonts w:cs="Calibri"/>
          <w:sz w:val="24"/>
          <w:szCs w:val="24"/>
        </w:rPr>
        <w:t xml:space="preserve"> the perception of black people is an accurate one. It could also be argued that lack of socio-political context in the media is reflected in the socio-political disconnection in the counselling curriculum and the participants</w:t>
      </w:r>
      <w:r>
        <w:rPr>
          <w:rFonts w:cs="Calibri"/>
          <w:sz w:val="24"/>
          <w:szCs w:val="24"/>
        </w:rPr>
        <w:t xml:space="preserve"> identified</w:t>
      </w:r>
      <w:r w:rsidRPr="00BA2696">
        <w:rPr>
          <w:rFonts w:cs="Calibri"/>
          <w:sz w:val="24"/>
          <w:szCs w:val="24"/>
        </w:rPr>
        <w:t xml:space="preserve"> in this research. Again, this suggests that the participants’ lack of socio-political awareness around ‘race’, racism and whiteness is not an anomaly, but is representative of a wider disconnection.</w:t>
      </w:r>
    </w:p>
    <w:p w14:paraId="16E0BFD7" w14:textId="77777777" w:rsidR="00A90B05" w:rsidRPr="00BA2696" w:rsidRDefault="00A90B05" w:rsidP="00A90B05">
      <w:pPr>
        <w:suppressAutoHyphens w:val="0"/>
        <w:autoSpaceDN/>
        <w:spacing w:after="0" w:line="480" w:lineRule="auto"/>
        <w:textAlignment w:val="auto"/>
        <w:rPr>
          <w:rFonts w:cs="Calibri"/>
          <w:sz w:val="24"/>
          <w:szCs w:val="24"/>
        </w:rPr>
      </w:pPr>
    </w:p>
    <w:p w14:paraId="472C5566" w14:textId="77777777" w:rsidR="00A90B05" w:rsidRPr="00BA2696" w:rsidRDefault="00A90B05" w:rsidP="00A90B05">
      <w:pPr>
        <w:suppressAutoHyphens w:val="0"/>
        <w:autoSpaceDN/>
        <w:spacing w:after="0" w:line="480" w:lineRule="auto"/>
        <w:textAlignment w:val="auto"/>
        <w:rPr>
          <w:rFonts w:cs="Calibri"/>
          <w:sz w:val="24"/>
          <w:szCs w:val="24"/>
        </w:rPr>
      </w:pPr>
      <w:r w:rsidRPr="00BA2696">
        <w:rPr>
          <w:rFonts w:cs="Calibri"/>
          <w:sz w:val="24"/>
          <w:szCs w:val="24"/>
        </w:rPr>
        <w:t>Anne’s comment is similar to that of Betty and Emily’s, who reflect</w:t>
      </w:r>
      <w:r>
        <w:rPr>
          <w:rFonts w:cs="Calibri"/>
          <w:sz w:val="24"/>
          <w:szCs w:val="24"/>
        </w:rPr>
        <w:t>ed</w:t>
      </w:r>
      <w:r w:rsidRPr="00BA2696">
        <w:rPr>
          <w:rFonts w:cs="Calibri"/>
          <w:sz w:val="24"/>
          <w:szCs w:val="24"/>
        </w:rPr>
        <w:t xml:space="preserve"> on their personal feelings of fear when encountering </w:t>
      </w:r>
      <w:r w:rsidRPr="00BA2696">
        <w:rPr>
          <w:rFonts w:cs="Calibri"/>
          <w:i/>
          <w:iCs/>
          <w:sz w:val="24"/>
          <w:szCs w:val="24"/>
        </w:rPr>
        <w:t>‘gangs’</w:t>
      </w:r>
      <w:r w:rsidRPr="00BA2696">
        <w:rPr>
          <w:rFonts w:cs="Calibri"/>
          <w:sz w:val="24"/>
          <w:szCs w:val="24"/>
        </w:rPr>
        <w:t xml:space="preserve"> of young black men whilst living in London, almost a decade apart. They both cited the news as sources of information that black boys are violent, with Emily commenting: </w:t>
      </w:r>
      <w:r w:rsidRPr="00BA2696">
        <w:rPr>
          <w:rFonts w:cs="Calibri"/>
          <w:i/>
          <w:iCs/>
          <w:sz w:val="24"/>
          <w:szCs w:val="24"/>
        </w:rPr>
        <w:t>‘it's like amplified because that's what we’re shown a lot’.</w:t>
      </w:r>
      <w:r w:rsidRPr="00BA2696">
        <w:rPr>
          <w:rFonts w:cs="Calibri"/>
          <w:sz w:val="24"/>
          <w:szCs w:val="24"/>
        </w:rPr>
        <w:t xml:space="preserve"> This supports the argument that media representations of young black men and boys as violent can be influential on racial attitudes (Dixon, 2008; Cushion, Moore and Jewell, 2011; Kumah-Abiwu, 2020).</w:t>
      </w:r>
    </w:p>
    <w:p w14:paraId="0AD51009" w14:textId="77777777" w:rsidR="00A90B05" w:rsidRPr="00BA2696" w:rsidRDefault="00A90B05" w:rsidP="00A90B05">
      <w:pPr>
        <w:suppressAutoHyphens w:val="0"/>
        <w:autoSpaceDN/>
        <w:spacing w:after="0" w:line="480" w:lineRule="auto"/>
        <w:textAlignment w:val="auto"/>
        <w:rPr>
          <w:rFonts w:cs="Calibri"/>
          <w:sz w:val="24"/>
          <w:szCs w:val="24"/>
        </w:rPr>
      </w:pPr>
    </w:p>
    <w:p w14:paraId="2AD4E4EA" w14:textId="77777777" w:rsidR="00A90B05" w:rsidRPr="00BA2696" w:rsidRDefault="00A90B05" w:rsidP="00A90B05">
      <w:pPr>
        <w:suppressAutoHyphens w:val="0"/>
        <w:autoSpaceDN/>
        <w:spacing w:after="0" w:line="480" w:lineRule="auto"/>
        <w:textAlignment w:val="auto"/>
        <w:rPr>
          <w:rFonts w:cs="Calibri"/>
          <w:sz w:val="24"/>
          <w:szCs w:val="24"/>
        </w:rPr>
      </w:pPr>
      <w:r w:rsidRPr="00BA2696">
        <w:rPr>
          <w:rFonts w:cs="Calibri"/>
          <w:sz w:val="24"/>
          <w:szCs w:val="24"/>
        </w:rPr>
        <w:t xml:space="preserve">Another interpretation of Betty and Emily’s feelings of fear around black men is that white women have been historically positioned as being vulnerable to sexual attentions of black men and in need of protection. </w:t>
      </w:r>
      <w:r w:rsidRPr="00BA2696">
        <w:rPr>
          <w:sz w:val="24"/>
          <w:szCs w:val="24"/>
        </w:rPr>
        <w:t xml:space="preserve">Brooms and Perry (2016) have suggested that the media portrayal of black men has been distorted to an image of being hypersexualised and dangerous. </w:t>
      </w:r>
      <w:r w:rsidRPr="00BA2696">
        <w:rPr>
          <w:rFonts w:cs="Calibri"/>
          <w:sz w:val="24"/>
          <w:szCs w:val="24"/>
        </w:rPr>
        <w:t xml:space="preserve">The origins of this stereotype can be traced back to what is seen as the first, and controversial, cinematic blockbuster, ‘The Birth of a Nation’ (Stokes, 2007). This film was released in 1915 and focused on the American Civil War, valorising the Ku Klux Klan (which </w:t>
      </w:r>
      <w:r w:rsidRPr="00BA2696">
        <w:rPr>
          <w:rFonts w:cs="Calibri"/>
          <w:sz w:val="24"/>
          <w:szCs w:val="24"/>
        </w:rPr>
        <w:lastRenderedPageBreak/>
        <w:t>led to their resurgence). It has been called ‘whole-heartedly white supremacist’ (Dyer, 2017, p. 36). In this film, white women were positioned</w:t>
      </w:r>
      <w:r>
        <w:rPr>
          <w:rFonts w:cs="Calibri"/>
          <w:sz w:val="24"/>
          <w:szCs w:val="24"/>
        </w:rPr>
        <w:t xml:space="preserve"> as being</w:t>
      </w:r>
      <w:r w:rsidRPr="00BA2696">
        <w:rPr>
          <w:rFonts w:cs="Calibri"/>
          <w:sz w:val="24"/>
          <w:szCs w:val="24"/>
        </w:rPr>
        <w:t xml:space="preserve"> ‘weak’ and needing protection from the sexualised threat of black men, with white men being the saviours of white women’s morality (Stokes, 2007, p. 221). Phipps (2020) argues that this notion of white women needing ‘protection’ from the perceived sexualised threat of black men against white women has continued:</w:t>
      </w:r>
    </w:p>
    <w:p w14:paraId="445EAEF6" w14:textId="77777777" w:rsidR="00A90B05" w:rsidRPr="00BA2696" w:rsidRDefault="00A90B05" w:rsidP="00A90B05">
      <w:pPr>
        <w:suppressAutoHyphens w:val="0"/>
        <w:autoSpaceDN/>
        <w:spacing w:after="0" w:line="240" w:lineRule="auto"/>
        <w:ind w:left="567" w:right="567"/>
        <w:textAlignment w:val="auto"/>
        <w:rPr>
          <w:rFonts w:cs="Calibri"/>
          <w:sz w:val="24"/>
          <w:szCs w:val="24"/>
        </w:rPr>
      </w:pPr>
      <w:r w:rsidRPr="00BA2696">
        <w:rPr>
          <w:rFonts w:cs="Calibri"/>
          <w:sz w:val="24"/>
          <w:szCs w:val="24"/>
        </w:rPr>
        <w:t xml:space="preserve">This ‘risk’ posed to white women from the oversexualised Other has justified racist community and state violence, both historically and now (Phipps, 2020, p. 73) </w:t>
      </w:r>
    </w:p>
    <w:p w14:paraId="7F6AF7EB" w14:textId="77777777" w:rsidR="00A90B05" w:rsidRPr="00BA2696" w:rsidRDefault="00A90B05" w:rsidP="00A90B05">
      <w:pPr>
        <w:suppressAutoHyphens w:val="0"/>
        <w:autoSpaceDN/>
        <w:spacing w:after="0" w:line="480" w:lineRule="auto"/>
        <w:textAlignment w:val="auto"/>
        <w:rPr>
          <w:rFonts w:cs="Calibri"/>
          <w:sz w:val="24"/>
          <w:szCs w:val="24"/>
        </w:rPr>
      </w:pPr>
    </w:p>
    <w:p w14:paraId="45B5E96F" w14:textId="77777777" w:rsidR="00A90B05" w:rsidRPr="00BA2696" w:rsidRDefault="00A90B05" w:rsidP="00A90B05">
      <w:pPr>
        <w:suppressAutoHyphens w:val="0"/>
        <w:autoSpaceDN/>
        <w:spacing w:after="0" w:line="480" w:lineRule="auto"/>
        <w:textAlignment w:val="auto"/>
        <w:rPr>
          <w:rFonts w:cs="Calibri"/>
          <w:sz w:val="24"/>
          <w:szCs w:val="24"/>
        </w:rPr>
      </w:pPr>
      <w:r w:rsidRPr="00BA2696">
        <w:rPr>
          <w:rFonts w:cs="Calibri"/>
          <w:sz w:val="24"/>
          <w:szCs w:val="24"/>
        </w:rPr>
        <w:t>It could be argued that the historical reading of black men as sexual threats to white women, position</w:t>
      </w:r>
      <w:r>
        <w:rPr>
          <w:rFonts w:cs="Calibri"/>
          <w:sz w:val="24"/>
          <w:szCs w:val="24"/>
        </w:rPr>
        <w:t>s</w:t>
      </w:r>
      <w:r w:rsidRPr="00BA2696">
        <w:rPr>
          <w:rFonts w:cs="Calibri"/>
          <w:sz w:val="24"/>
          <w:szCs w:val="24"/>
        </w:rPr>
        <w:t xml:space="preserve"> them as the archetypal ‘bad men’, a narrative which is manifest through contemporary media representations of black men and boys as criminals. </w:t>
      </w:r>
    </w:p>
    <w:p w14:paraId="6EC912ED" w14:textId="77777777" w:rsidR="00A90B05" w:rsidRPr="00BA2696" w:rsidRDefault="00A90B05" w:rsidP="00A90B05">
      <w:pPr>
        <w:suppressAutoHyphens w:val="0"/>
        <w:autoSpaceDN/>
        <w:spacing w:after="0" w:line="480" w:lineRule="auto"/>
        <w:textAlignment w:val="auto"/>
        <w:rPr>
          <w:rFonts w:cs="Calibri"/>
          <w:sz w:val="24"/>
          <w:szCs w:val="24"/>
        </w:rPr>
      </w:pPr>
    </w:p>
    <w:p w14:paraId="32E7F281" w14:textId="77777777" w:rsidR="00A90B05" w:rsidRPr="00BA2696" w:rsidRDefault="00A90B05" w:rsidP="00A90B05">
      <w:pPr>
        <w:suppressAutoHyphens w:val="0"/>
        <w:autoSpaceDN/>
        <w:spacing w:after="0" w:line="480" w:lineRule="auto"/>
        <w:textAlignment w:val="auto"/>
        <w:rPr>
          <w:rFonts w:cs="Calibri"/>
          <w:sz w:val="24"/>
          <w:szCs w:val="24"/>
        </w:rPr>
      </w:pPr>
      <w:r w:rsidRPr="00BA2696">
        <w:rPr>
          <w:rFonts w:cs="Calibri"/>
          <w:sz w:val="24"/>
          <w:szCs w:val="24"/>
        </w:rPr>
        <w:t xml:space="preserve">It is evident from the interviews that Betty and Emily were not aware of this historical socio-political context to their fears as young white women. However, the tentative connection between their internalised fears and media representations of young black men, could suggest that White Ignorance Disruption had taken place and through their own reflexivity. From this, they were beginning to understand the role the media played in shaping their racial attitudes. Once again, this could provide an opportunity for creating a deeper connection to the historical and contemporary context of ‘race’, racism and whiteness. </w:t>
      </w:r>
    </w:p>
    <w:p w14:paraId="074F01A1" w14:textId="77777777" w:rsidR="00A90B05" w:rsidRPr="00BA2696" w:rsidRDefault="00A90B05" w:rsidP="00A90B05">
      <w:pPr>
        <w:suppressAutoHyphens w:val="0"/>
        <w:autoSpaceDN/>
        <w:spacing w:after="0" w:line="480" w:lineRule="auto"/>
        <w:textAlignment w:val="auto"/>
        <w:rPr>
          <w:rFonts w:cs="Calibri"/>
          <w:sz w:val="24"/>
          <w:szCs w:val="24"/>
        </w:rPr>
      </w:pPr>
    </w:p>
    <w:p w14:paraId="7CFE2AE4" w14:textId="77777777" w:rsidR="00A90B05" w:rsidRPr="00BA2696" w:rsidRDefault="00A90B05" w:rsidP="00A90B05">
      <w:pPr>
        <w:suppressAutoHyphens w:val="0"/>
        <w:autoSpaceDN/>
        <w:spacing w:after="0" w:line="480" w:lineRule="auto"/>
        <w:textAlignment w:val="auto"/>
        <w:rPr>
          <w:rFonts w:cs="Calibri"/>
          <w:sz w:val="24"/>
          <w:szCs w:val="24"/>
        </w:rPr>
      </w:pPr>
      <w:r w:rsidRPr="00BA2696">
        <w:rPr>
          <w:sz w:val="24"/>
          <w:szCs w:val="24"/>
        </w:rPr>
        <w:t xml:space="preserve"> As Anne, Betty and Emily found some connection to the socio-political context, there were indications that the curriculum was connected to the </w:t>
      </w:r>
      <w:r w:rsidRPr="00BA2696">
        <w:rPr>
          <w:rFonts w:cs="Calibri"/>
          <w:sz w:val="24"/>
          <w:szCs w:val="24"/>
        </w:rPr>
        <w:t>socio</w:t>
      </w:r>
      <w:r w:rsidRPr="00BA2696">
        <w:rPr>
          <w:sz w:val="24"/>
          <w:szCs w:val="24"/>
        </w:rPr>
        <w:t xml:space="preserve">-politics of racism and anti-discriminatory behaviour. This connection was found in the BACP informed Student </w:t>
      </w:r>
      <w:r w:rsidRPr="00BA2696">
        <w:rPr>
          <w:sz w:val="24"/>
          <w:szCs w:val="24"/>
        </w:rPr>
        <w:lastRenderedPageBreak/>
        <w:t xml:space="preserve">Handbook (2019/2020), which contained the criteria expected of trainee counsellors such as: an awareness of prejudice, </w:t>
      </w:r>
      <w:r w:rsidRPr="00BA2696">
        <w:rPr>
          <w:rFonts w:cs="Calibri"/>
          <w:sz w:val="24"/>
          <w:szCs w:val="24"/>
        </w:rPr>
        <w:t xml:space="preserve">(Student Handbook, 2019/2020, p. 20), </w:t>
      </w:r>
      <w:r w:rsidRPr="00BA2696">
        <w:rPr>
          <w:sz w:val="24"/>
          <w:szCs w:val="24"/>
        </w:rPr>
        <w:t xml:space="preserve">sensitivity to a variety of people and issues </w:t>
      </w:r>
      <w:r w:rsidRPr="00BA2696">
        <w:rPr>
          <w:rFonts w:cs="Calibri"/>
          <w:sz w:val="24"/>
          <w:szCs w:val="24"/>
        </w:rPr>
        <w:t>(Student Handbook, 2019/2020, p. 53)</w:t>
      </w:r>
      <w:r w:rsidRPr="00BA2696">
        <w:rPr>
          <w:sz w:val="24"/>
          <w:szCs w:val="24"/>
        </w:rPr>
        <w:t xml:space="preserve">, a lack </w:t>
      </w:r>
      <w:r w:rsidRPr="00BA2696">
        <w:rPr>
          <w:rFonts w:cs="Calibri"/>
          <w:sz w:val="24"/>
          <w:szCs w:val="24"/>
        </w:rPr>
        <w:t xml:space="preserve">of ‘social prejudice, ethnocentrism and authoritarianism’ (Student Handbook, 2019/2020, p. 53) and a need to be sensitive to ‘the social worlds of clients who may be from different gender, ethnic, sexual orientation, different abilities, first language and age group’ (Student Handbook, 2019/2020, p. 54). It also stated that a trainee would be assessed as incapable of counselling practice if they showed ‘signs of prejudice and discrimination but is unable to change their attitudes or behaviour and this leaves the clients at risk’ (Student Handbook, 2019/2020, p. 66). Although these statements are supportive of social justice and equality, they do not present concrete guidelines on how these criteria should be measured and assessed. Consequently, the interpretation and application of these criteria are reliant upon the course tutor’s own awareness and knowledge of these issues. </w:t>
      </w:r>
    </w:p>
    <w:p w14:paraId="3DC06FE1" w14:textId="77777777" w:rsidR="00A90B05" w:rsidRPr="00BA2696" w:rsidRDefault="00A90B05" w:rsidP="00A90B05">
      <w:pPr>
        <w:suppressAutoHyphens w:val="0"/>
        <w:autoSpaceDN/>
        <w:spacing w:after="0" w:line="480" w:lineRule="auto"/>
        <w:textAlignment w:val="auto"/>
        <w:rPr>
          <w:rFonts w:cs="Calibri"/>
          <w:sz w:val="24"/>
          <w:szCs w:val="24"/>
        </w:rPr>
      </w:pPr>
    </w:p>
    <w:p w14:paraId="1A90D8BE" w14:textId="77777777" w:rsidR="00A90B05" w:rsidRPr="00BA2696" w:rsidRDefault="00A90B05" w:rsidP="00A90B05">
      <w:pPr>
        <w:suppressAutoHyphens w:val="0"/>
        <w:autoSpaceDN/>
        <w:spacing w:after="0" w:line="480" w:lineRule="auto"/>
        <w:textAlignment w:val="auto"/>
        <w:rPr>
          <w:sz w:val="24"/>
          <w:szCs w:val="24"/>
        </w:rPr>
      </w:pPr>
      <w:r w:rsidRPr="00BA2696">
        <w:rPr>
          <w:sz w:val="24"/>
          <w:szCs w:val="24"/>
        </w:rPr>
        <w:t xml:space="preserve">Supporting this, Ahmed (2012) has argued that the existence </w:t>
      </w:r>
      <w:r>
        <w:rPr>
          <w:sz w:val="24"/>
          <w:szCs w:val="24"/>
        </w:rPr>
        <w:t>of</w:t>
      </w:r>
      <w:r w:rsidRPr="00BA2696">
        <w:rPr>
          <w:sz w:val="24"/>
          <w:szCs w:val="24"/>
        </w:rPr>
        <w:t xml:space="preserve"> equality policy within an institution is often seen as evidence of institutional equality. Consequently, ‘saying you are </w:t>
      </w:r>
      <w:r w:rsidRPr="00BA2696">
        <w:rPr>
          <w:i/>
          <w:iCs/>
          <w:sz w:val="24"/>
          <w:szCs w:val="24"/>
        </w:rPr>
        <w:t>for</w:t>
      </w:r>
      <w:r w:rsidRPr="00BA2696">
        <w:rPr>
          <w:sz w:val="24"/>
          <w:szCs w:val="24"/>
        </w:rPr>
        <w:t xml:space="preserve"> equality, becomes as good as </w:t>
      </w:r>
      <w:r w:rsidRPr="00BA2696">
        <w:rPr>
          <w:i/>
          <w:iCs/>
          <w:sz w:val="24"/>
          <w:szCs w:val="24"/>
        </w:rPr>
        <w:t>doing</w:t>
      </w:r>
      <w:r w:rsidRPr="00BA2696">
        <w:rPr>
          <w:sz w:val="24"/>
          <w:szCs w:val="24"/>
        </w:rPr>
        <w:t xml:space="preserve"> equality’ (Mirza, 2018, p. 17). Extending Foste’s (2020) ‘enlightenment narrative’, it could be argued that the curriculum falls into a performative gesture rather than seeking to practically tackle ‘race’, racism and whiteness (and other </w:t>
      </w:r>
      <w:r w:rsidRPr="00BA2696">
        <w:rPr>
          <w:rFonts w:cs="Calibri"/>
          <w:sz w:val="24"/>
          <w:szCs w:val="24"/>
        </w:rPr>
        <w:t>forms</w:t>
      </w:r>
      <w:r w:rsidRPr="00BA2696">
        <w:rPr>
          <w:sz w:val="24"/>
          <w:szCs w:val="24"/>
        </w:rPr>
        <w:t xml:space="preserve"> of anti-discriminatory behaviour). This focus on the ‘</w:t>
      </w:r>
      <w:r w:rsidRPr="00BA2696">
        <w:rPr>
          <w:i/>
          <w:iCs/>
          <w:sz w:val="24"/>
          <w:szCs w:val="24"/>
        </w:rPr>
        <w:t>appearance</w:t>
      </w:r>
      <w:r w:rsidRPr="00BA2696">
        <w:rPr>
          <w:sz w:val="24"/>
          <w:szCs w:val="24"/>
        </w:rPr>
        <w:t xml:space="preserve"> of serious engagement’, rather than action, means that there is little progress in racial justice within UK Higher Education (Rollock, 2018, p. 314). As well as the application of equality policy, who writes and controls it is also pertinent to its efficacy (Ahmed, 2012). The Student Handbook (2019/2020) is written with accordance to the BACP’s criteria for counselling </w:t>
      </w:r>
      <w:r w:rsidRPr="00BA2696">
        <w:rPr>
          <w:sz w:val="24"/>
          <w:szCs w:val="24"/>
        </w:rPr>
        <w:lastRenderedPageBreak/>
        <w:t xml:space="preserve">trainees, therefore it is relevant to remember that </w:t>
      </w:r>
      <w:r w:rsidRPr="00BA2696">
        <w:rPr>
          <w:rFonts w:cs="Calibri"/>
          <w:sz w:val="24"/>
          <w:szCs w:val="24"/>
        </w:rPr>
        <w:t xml:space="preserve">‘race’, racism and whiteness is omitted from their course accreditation criteria </w:t>
      </w:r>
      <w:r w:rsidRPr="00BA2696">
        <w:rPr>
          <w:bCs/>
          <w:sz w:val="24"/>
          <w:szCs w:val="24"/>
        </w:rPr>
        <w:t>(BACP, 2012; BACP 2019) and ethical framework (2018a).</w:t>
      </w:r>
      <w:r w:rsidRPr="00BA2696">
        <w:rPr>
          <w:sz w:val="24"/>
          <w:szCs w:val="24"/>
        </w:rPr>
        <w:t xml:space="preserve"> Therefore, despite the Student Handbook (2019/2020) showing indications of socio-political connection, its ambiguity somewhat </w:t>
      </w:r>
      <w:r>
        <w:rPr>
          <w:sz w:val="24"/>
          <w:szCs w:val="24"/>
        </w:rPr>
        <w:t xml:space="preserve">indicates </w:t>
      </w:r>
      <w:r w:rsidRPr="00BA2696">
        <w:rPr>
          <w:sz w:val="24"/>
          <w:szCs w:val="24"/>
        </w:rPr>
        <w:t xml:space="preserve">systemic </w:t>
      </w:r>
      <w:r>
        <w:rPr>
          <w:sz w:val="24"/>
          <w:szCs w:val="24"/>
        </w:rPr>
        <w:t>colour-blind attitudes</w:t>
      </w:r>
      <w:r w:rsidRPr="00BA2696">
        <w:rPr>
          <w:sz w:val="24"/>
          <w:szCs w:val="24"/>
        </w:rPr>
        <w:t xml:space="preserve"> around ‘race’, racism and whiteness</w:t>
      </w:r>
      <w:r>
        <w:rPr>
          <w:sz w:val="24"/>
          <w:szCs w:val="24"/>
        </w:rPr>
        <w:t xml:space="preserve"> (Chapter 7, Section 7.7).</w:t>
      </w:r>
      <w:r w:rsidRPr="00BA2696">
        <w:rPr>
          <w:sz w:val="24"/>
          <w:szCs w:val="24"/>
        </w:rPr>
        <w:t xml:space="preserve"> This is because while it may seem that the curriculum, as guided by the BACP, states that discriminatory beliefs will not be tolerated, the lack of clarity around how such behaviour is measured and enforced means that its interpretation is dependent upon the understanding of ‘race’, racism and whiteness of the course leaders. Potentially, the lack of guidance on the evaluation of discriminatory behaviours and attitudes may mean that the existence of the guidelines within the Student Handbook (2019/2020) are interpreted by those who use it as sufficient evidence of equality practice. The </w:t>
      </w:r>
      <w:r w:rsidRPr="00BA2696">
        <w:rPr>
          <w:rFonts w:cs="Calibri"/>
          <w:sz w:val="24"/>
          <w:szCs w:val="24"/>
        </w:rPr>
        <w:t>recommendation</w:t>
      </w:r>
      <w:r w:rsidRPr="00BA2696">
        <w:rPr>
          <w:sz w:val="24"/>
          <w:szCs w:val="24"/>
        </w:rPr>
        <w:t xml:space="preserve"> of ‘Critical Whiteness Counselling Studies’ in Chapter 7 (Section 7.8) may be one way to bring clarity and a method</w:t>
      </w:r>
      <w:r>
        <w:rPr>
          <w:sz w:val="24"/>
          <w:szCs w:val="24"/>
        </w:rPr>
        <w:t xml:space="preserve"> to</w:t>
      </w:r>
      <w:r w:rsidRPr="00BA2696">
        <w:rPr>
          <w:sz w:val="24"/>
          <w:szCs w:val="24"/>
        </w:rPr>
        <w:t xml:space="preserve"> actively tackling ‘race’, racism and whiteness in counselling pedagogy. </w:t>
      </w:r>
    </w:p>
    <w:p w14:paraId="41D7A7DF" w14:textId="77777777" w:rsidR="00A90B05" w:rsidRPr="00BA2696" w:rsidRDefault="00A90B05" w:rsidP="00A90B05">
      <w:pPr>
        <w:suppressAutoHyphens w:val="0"/>
        <w:autoSpaceDN/>
        <w:spacing w:after="0" w:line="480" w:lineRule="auto"/>
        <w:textAlignment w:val="auto"/>
        <w:rPr>
          <w:sz w:val="24"/>
          <w:szCs w:val="24"/>
        </w:rPr>
      </w:pPr>
    </w:p>
    <w:p w14:paraId="094FEE5B" w14:textId="77777777" w:rsidR="00A90B05" w:rsidRPr="00BA2696" w:rsidRDefault="00A90B05" w:rsidP="00A90B05">
      <w:pPr>
        <w:pStyle w:val="Heading4"/>
        <w:spacing w:before="0" w:after="240" w:line="250" w:lineRule="auto"/>
      </w:pPr>
      <w:r w:rsidRPr="00BA2696">
        <w:t>‘Race’ education: Is it racist?</w:t>
      </w:r>
    </w:p>
    <w:p w14:paraId="5A77D274" w14:textId="77777777" w:rsidR="00A90B05" w:rsidRPr="00BA2696" w:rsidRDefault="00A90B05" w:rsidP="00A90B05">
      <w:pPr>
        <w:suppressAutoHyphens w:val="0"/>
        <w:autoSpaceDN/>
        <w:spacing w:after="0" w:line="480" w:lineRule="auto"/>
        <w:textAlignment w:val="auto"/>
      </w:pPr>
      <w:r w:rsidRPr="00BA2696">
        <w:rPr>
          <w:rFonts w:cs="Calibri"/>
          <w:sz w:val="24"/>
          <w:szCs w:val="24"/>
        </w:rPr>
        <w:t xml:space="preserve">The ambiguity found in the curriculum around how to address discrimination and prejudice </w:t>
      </w:r>
      <w:r w:rsidRPr="00BA2696">
        <w:rPr>
          <w:bCs/>
          <w:sz w:val="24"/>
          <w:szCs w:val="24"/>
        </w:rPr>
        <w:t xml:space="preserve">(BACP, 2012; BACP 2019; </w:t>
      </w:r>
      <w:r w:rsidRPr="00BA2696">
        <w:rPr>
          <w:rFonts w:cs="Calibri"/>
          <w:sz w:val="24"/>
          <w:szCs w:val="24"/>
        </w:rPr>
        <w:t xml:space="preserve">Student Handbook 2019/2020) was also reflected in the ambivalent feelings the participants had towards ‘race’ education. In this this research, ‘race’ education is understood as the teaching of ‘race’, racism and whiteness grounded in anti-racism education, which critically explores systemic racism and racial injustice (DiAngelo, 2012). It seemed that the semantic misunderstanding of ‘race’ (Section 6.3), the understanding </w:t>
      </w:r>
      <w:r>
        <w:rPr>
          <w:rFonts w:cs="Calibri"/>
          <w:sz w:val="24"/>
          <w:szCs w:val="24"/>
        </w:rPr>
        <w:t xml:space="preserve">of </w:t>
      </w:r>
      <w:r w:rsidRPr="00BA2696">
        <w:rPr>
          <w:rFonts w:cs="Calibri"/>
          <w:sz w:val="24"/>
          <w:szCs w:val="24"/>
        </w:rPr>
        <w:t xml:space="preserve">racism as overt acts of hostility perpetrated by ‘bad’ people (Section 6.3), whiteness as being </w:t>
      </w:r>
      <w:r>
        <w:rPr>
          <w:rFonts w:cs="Calibri"/>
          <w:sz w:val="24"/>
          <w:szCs w:val="24"/>
        </w:rPr>
        <w:t>meaningless</w:t>
      </w:r>
      <w:r w:rsidRPr="00BA2696">
        <w:rPr>
          <w:rFonts w:cs="Calibri"/>
          <w:sz w:val="24"/>
          <w:szCs w:val="24"/>
        </w:rPr>
        <w:t xml:space="preserve"> (Section 6.4) and colour-blind ideology as the ‘good’ way to </w:t>
      </w:r>
      <w:r w:rsidRPr="00BA2696">
        <w:rPr>
          <w:rFonts w:cs="Calibri"/>
          <w:sz w:val="24"/>
          <w:szCs w:val="24"/>
        </w:rPr>
        <w:lastRenderedPageBreak/>
        <w:t>understand ‘race’ (Section 6.5), were contributing factors in this ambivalence toward ‘race’ education. It stands to reason that if the understanding of ‘race’, racism and whiteness is not in line with current definitions and is disconnected from an historical and contemporary socio-political context, then learning about ‘race’ could seem unnecessary to white trainee counsellors. Additionally, the barriers to racial discourse found in this research could also be used as rationale for the irrelevancy of ‘race’ education, particularly those of colour-blindness and perceptions of the counsellor as a ‘good’ person. For example, when asked whether ‘race’ should be taught on a counselling course</w:t>
      </w:r>
      <w:r>
        <w:rPr>
          <w:rFonts w:cs="Calibri"/>
          <w:sz w:val="24"/>
          <w:szCs w:val="24"/>
        </w:rPr>
        <w:t>,</w:t>
      </w:r>
      <w:r w:rsidRPr="00BA2696">
        <w:rPr>
          <w:rFonts w:cs="Calibri"/>
          <w:sz w:val="24"/>
          <w:szCs w:val="24"/>
        </w:rPr>
        <w:t xml:space="preserve"> Anne felt that doing so would equate to racial discrimination, with her resistance to ‘race’ education being that it would </w:t>
      </w:r>
      <w:r w:rsidRPr="00BA2696">
        <w:rPr>
          <w:rFonts w:cs="Calibri"/>
          <w:i/>
          <w:iCs/>
          <w:sz w:val="24"/>
          <w:szCs w:val="24"/>
        </w:rPr>
        <w:t>‘target’</w:t>
      </w:r>
      <w:r w:rsidRPr="00BA2696">
        <w:rPr>
          <w:rFonts w:cs="Calibri"/>
          <w:sz w:val="24"/>
          <w:szCs w:val="24"/>
        </w:rPr>
        <w:t xml:space="preserve"> people of colour</w:t>
      </w:r>
      <w:r w:rsidRPr="008104DF">
        <w:rPr>
          <w:rFonts w:cs="Calibri"/>
          <w:sz w:val="24"/>
          <w:szCs w:val="24"/>
        </w:rPr>
        <w:t>, thus</w:t>
      </w:r>
      <w:r>
        <w:rPr>
          <w:rFonts w:cs="Calibri"/>
          <w:i/>
          <w:iCs/>
          <w:sz w:val="24"/>
          <w:szCs w:val="24"/>
        </w:rPr>
        <w:t xml:space="preserve"> </w:t>
      </w:r>
      <w:r w:rsidRPr="00BA2696">
        <w:rPr>
          <w:rFonts w:cs="Calibri"/>
          <w:sz w:val="24"/>
          <w:szCs w:val="24"/>
        </w:rPr>
        <w:t xml:space="preserve">contradicting her colour-blind understanding of ‘race’. As Anne states: </w:t>
      </w:r>
      <w:r w:rsidRPr="00BA2696">
        <w:rPr>
          <w:rFonts w:cs="Calibri"/>
          <w:i/>
          <w:iCs/>
          <w:sz w:val="24"/>
          <w:szCs w:val="24"/>
        </w:rPr>
        <w:t>‘the only difference is the colour of the skin’</w:t>
      </w:r>
      <w:r w:rsidRPr="00BA2696">
        <w:rPr>
          <w:rFonts w:cs="Calibri"/>
          <w:sz w:val="24"/>
          <w:szCs w:val="24"/>
        </w:rPr>
        <w:t>. Underlying Anne’s statement is the notion that to learn about ‘race’ is to learn about people of colour, not whiteness. This assumption was shared by all of the participants, whatever their perspective on the matter, and supports th</w:t>
      </w:r>
      <w:r>
        <w:rPr>
          <w:rFonts w:cs="Calibri"/>
          <w:sz w:val="24"/>
          <w:szCs w:val="24"/>
        </w:rPr>
        <w:t>e</w:t>
      </w:r>
      <w:r w:rsidRPr="00BA2696">
        <w:rPr>
          <w:rFonts w:cs="Calibri"/>
          <w:sz w:val="24"/>
          <w:szCs w:val="24"/>
        </w:rPr>
        <w:t xml:space="preserve"> argument that whiteness is a de-racialised identity for white people (Garner, 2007; Ryde, 2009). Whereas Anne understood ‘race’ education as </w:t>
      </w:r>
      <w:r w:rsidRPr="00BA2696">
        <w:rPr>
          <w:rFonts w:cs="Calibri"/>
          <w:i/>
          <w:iCs/>
          <w:sz w:val="24"/>
          <w:szCs w:val="24"/>
        </w:rPr>
        <w:t>‘targeting’</w:t>
      </w:r>
      <w:r w:rsidRPr="00BA2696">
        <w:rPr>
          <w:rFonts w:cs="Calibri"/>
          <w:sz w:val="24"/>
          <w:szCs w:val="24"/>
        </w:rPr>
        <w:t xml:space="preserve"> people of colour, Vix understood it as </w:t>
      </w:r>
      <w:r w:rsidRPr="00BA2696">
        <w:rPr>
          <w:rFonts w:cs="Calibri"/>
          <w:i/>
          <w:iCs/>
          <w:sz w:val="24"/>
          <w:szCs w:val="24"/>
        </w:rPr>
        <w:t xml:space="preserve">‘special treatment’ </w:t>
      </w:r>
      <w:r w:rsidRPr="00BA2696">
        <w:rPr>
          <w:rFonts w:cs="Calibri"/>
          <w:sz w:val="24"/>
          <w:szCs w:val="24"/>
        </w:rPr>
        <w:t xml:space="preserve">for people of colour which could result in white trainees feeling </w:t>
      </w:r>
      <w:r w:rsidRPr="00BA2696">
        <w:rPr>
          <w:rFonts w:cs="Calibri"/>
          <w:i/>
          <w:iCs/>
          <w:sz w:val="24"/>
          <w:szCs w:val="24"/>
        </w:rPr>
        <w:t xml:space="preserve">‘resentful’ </w:t>
      </w:r>
      <w:r w:rsidRPr="00BA2696">
        <w:rPr>
          <w:rFonts w:cs="Calibri"/>
          <w:sz w:val="24"/>
          <w:szCs w:val="24"/>
        </w:rPr>
        <w:t>for being ‘</w:t>
      </w:r>
      <w:r w:rsidRPr="00BA2696">
        <w:rPr>
          <w:rFonts w:cs="Calibri"/>
          <w:i/>
          <w:iCs/>
          <w:sz w:val="24"/>
          <w:szCs w:val="24"/>
        </w:rPr>
        <w:t>singled out’.</w:t>
      </w:r>
      <w:r w:rsidRPr="00BA2696">
        <w:rPr>
          <w:rFonts w:cs="Calibri"/>
          <w:sz w:val="24"/>
          <w:szCs w:val="24"/>
        </w:rPr>
        <w:t xml:space="preserve"> Therefore, it would seem that disrupting white ignorance through ‘race’ education needs to begin with the tutor/lecturer connecting students to the historical and socio-political context of ‘race’, racism and whiteness (as outlined in Chapter 2, Sections 2.1.1 and 2.1.2). This could take an interdisciplinary approach extending beyond counselling theory. I will further this in Chapter 7 (Section 7.8), with the recommendation of ‘Critical Whiteness Counselling Studies’.</w:t>
      </w:r>
    </w:p>
    <w:p w14:paraId="41D18B3A" w14:textId="77777777" w:rsidR="00A90B05" w:rsidRPr="00BA2696" w:rsidRDefault="00A90B05" w:rsidP="00A90B05">
      <w:pPr>
        <w:suppressAutoHyphens w:val="0"/>
        <w:autoSpaceDN/>
        <w:spacing w:after="0" w:line="480" w:lineRule="auto"/>
        <w:textAlignment w:val="auto"/>
        <w:rPr>
          <w:rFonts w:cs="Calibri"/>
          <w:sz w:val="24"/>
          <w:szCs w:val="24"/>
        </w:rPr>
      </w:pPr>
    </w:p>
    <w:p w14:paraId="1ED6F6CE" w14:textId="77777777" w:rsidR="00A90B05" w:rsidRPr="00BA2696" w:rsidRDefault="00A90B05" w:rsidP="00A90B05">
      <w:pPr>
        <w:spacing w:after="0" w:line="480" w:lineRule="auto"/>
        <w:rPr>
          <w:rFonts w:cs="Calibri"/>
          <w:sz w:val="24"/>
          <w:szCs w:val="24"/>
        </w:rPr>
      </w:pPr>
      <w:r w:rsidRPr="00BA2696">
        <w:rPr>
          <w:rFonts w:cs="Calibri"/>
          <w:sz w:val="24"/>
          <w:szCs w:val="24"/>
        </w:rPr>
        <w:lastRenderedPageBreak/>
        <w:t xml:space="preserve">However, teaching about ‘race’ also faces challenges within the academy. </w:t>
      </w:r>
      <w:bookmarkStart w:id="80" w:name="_Hlk51085769"/>
      <w:r w:rsidRPr="00BA2696">
        <w:rPr>
          <w:rFonts w:cs="Calibri"/>
          <w:sz w:val="24"/>
          <w:szCs w:val="24"/>
        </w:rPr>
        <w:t>In higher education, there have been calls to decolonialise the curriculum through challenging the white dominant educational institutions and the colonial, colour-blind narrative that they purport (Arday and Mirza, 2018; Bhambra, Nisancioglu and Gebrial, 2018</w:t>
      </w:r>
      <w:bookmarkEnd w:id="80"/>
      <w:r w:rsidRPr="00BA2696">
        <w:rPr>
          <w:rFonts w:cs="Calibri"/>
          <w:sz w:val="24"/>
          <w:szCs w:val="24"/>
        </w:rPr>
        <w:t xml:space="preserve">). It has been argued that Mills’ (2007) theory of white ignorance may explain why racial injustice exists at all levels of the British education system through its </w:t>
      </w:r>
      <w:bookmarkStart w:id="81" w:name="_Hlk69932623"/>
      <w:r w:rsidRPr="00BA2696">
        <w:rPr>
          <w:rFonts w:cs="Calibri"/>
          <w:sz w:val="24"/>
          <w:szCs w:val="24"/>
        </w:rPr>
        <w:t>‘production and reproduction’ (Bain, 2018, p. 18)</w:t>
      </w:r>
      <w:bookmarkEnd w:id="81"/>
      <w:r w:rsidRPr="00BA2696">
        <w:rPr>
          <w:rFonts w:cs="Calibri"/>
          <w:sz w:val="24"/>
          <w:szCs w:val="24"/>
        </w:rPr>
        <w:t>. This would suggest that although counselling has been criticised for being disconnected from socio-politics</w:t>
      </w:r>
      <w:r w:rsidRPr="00BA2696">
        <w:rPr>
          <w:rFonts w:cs="Calibri"/>
          <w:color w:val="FF0000"/>
          <w:sz w:val="24"/>
          <w:szCs w:val="24"/>
        </w:rPr>
        <w:t xml:space="preserve"> </w:t>
      </w:r>
      <w:r w:rsidRPr="00BA2696">
        <w:rPr>
          <w:rFonts w:cs="Calibri"/>
          <w:bCs/>
          <w:sz w:val="24"/>
          <w:szCs w:val="24"/>
        </w:rPr>
        <w:t>(Tuckwell, 2002; Ryde, 2011; McLeod, 2013) and counselling training overlooking whiteness (Ryde, 2011;</w:t>
      </w:r>
      <w:r w:rsidRPr="00BA2696">
        <w:rPr>
          <w:rFonts w:cs="Calibri"/>
          <w:sz w:val="24"/>
          <w:szCs w:val="24"/>
        </w:rPr>
        <w:t xml:space="preserve"> Rotham, Malott and Paone, 2012;</w:t>
      </w:r>
      <w:r w:rsidRPr="00BA2696">
        <w:rPr>
          <w:rFonts w:cs="Calibri"/>
          <w:bCs/>
          <w:sz w:val="24"/>
          <w:szCs w:val="24"/>
        </w:rPr>
        <w:t xml:space="preserve"> </w:t>
      </w:r>
      <w:r w:rsidRPr="00BA2696">
        <w:rPr>
          <w:rFonts w:cs="Calibri"/>
          <w:sz w:val="24"/>
          <w:szCs w:val="24"/>
        </w:rPr>
        <w:t xml:space="preserve">d’Ardenne, 2013; </w:t>
      </w:r>
      <w:r w:rsidRPr="00BA2696">
        <w:rPr>
          <w:rFonts w:cs="Calibri"/>
          <w:bCs/>
          <w:sz w:val="24"/>
          <w:szCs w:val="24"/>
        </w:rPr>
        <w:t xml:space="preserve">Bartoli </w:t>
      </w:r>
      <w:r w:rsidRPr="00BA2696">
        <w:rPr>
          <w:rFonts w:cs="Calibri"/>
          <w:bCs/>
          <w:i/>
          <w:iCs/>
          <w:sz w:val="24"/>
          <w:szCs w:val="24"/>
        </w:rPr>
        <w:t>et al</w:t>
      </w:r>
      <w:r w:rsidRPr="00BA2696">
        <w:rPr>
          <w:rFonts w:cs="Calibri"/>
          <w:bCs/>
          <w:sz w:val="24"/>
          <w:szCs w:val="24"/>
        </w:rPr>
        <w:t xml:space="preserve">, 2015), </w:t>
      </w:r>
      <w:r w:rsidRPr="00BA2696">
        <w:rPr>
          <w:rFonts w:cs="Calibri"/>
          <w:sz w:val="24"/>
          <w:szCs w:val="24"/>
        </w:rPr>
        <w:t>higher education more generally has been criticised for similar behaviour. It has been put forward that:</w:t>
      </w:r>
    </w:p>
    <w:p w14:paraId="37C7024C" w14:textId="77777777" w:rsidR="00A90B05" w:rsidRPr="00BA2696" w:rsidRDefault="00A90B05" w:rsidP="00A90B05">
      <w:pPr>
        <w:spacing w:after="0" w:line="240" w:lineRule="auto"/>
        <w:ind w:left="567" w:right="567"/>
        <w:rPr>
          <w:rFonts w:cs="Calibri"/>
          <w:sz w:val="24"/>
          <w:szCs w:val="24"/>
        </w:rPr>
      </w:pPr>
      <w:r w:rsidRPr="00BA2696">
        <w:rPr>
          <w:rFonts w:cs="Calibri"/>
          <w:sz w:val="24"/>
          <w:szCs w:val="24"/>
        </w:rPr>
        <w:t>race or racism is seldom named or foregrounded thus serving to maintain</w:t>
      </w:r>
      <w:r>
        <w:rPr>
          <w:rFonts w:cs="Calibri"/>
          <w:sz w:val="24"/>
          <w:szCs w:val="24"/>
        </w:rPr>
        <w:t xml:space="preserve"> a</w:t>
      </w:r>
      <w:r w:rsidRPr="00BA2696">
        <w:rPr>
          <w:rFonts w:cs="Calibri"/>
          <w:sz w:val="24"/>
          <w:szCs w:val="24"/>
        </w:rPr>
        <w:t xml:space="preserve"> racially sanitised norm which benefits whites and marginalises faculty, staff and students of colour (Rollock, 2018, p. 322).</w:t>
      </w:r>
    </w:p>
    <w:p w14:paraId="68AFDFB2" w14:textId="77777777" w:rsidR="00A90B05" w:rsidRPr="00BA2696" w:rsidRDefault="00A90B05" w:rsidP="00A90B05">
      <w:pPr>
        <w:spacing w:after="0" w:line="480" w:lineRule="auto"/>
        <w:rPr>
          <w:rFonts w:cs="Calibri"/>
          <w:sz w:val="24"/>
          <w:szCs w:val="24"/>
        </w:rPr>
      </w:pPr>
    </w:p>
    <w:p w14:paraId="3E259172" w14:textId="77777777" w:rsidR="00A90B05" w:rsidRPr="00BA2696" w:rsidRDefault="00A90B05" w:rsidP="00A90B05">
      <w:pPr>
        <w:spacing w:after="0" w:line="480" w:lineRule="auto"/>
        <w:rPr>
          <w:rFonts w:eastAsia="Times New Roman" w:cs="Calibri"/>
          <w:bCs/>
          <w:color w:val="000000"/>
          <w:sz w:val="24"/>
          <w:szCs w:val="24"/>
          <w:lang w:eastAsia="en-GB"/>
        </w:rPr>
      </w:pPr>
      <w:r w:rsidRPr="00BA2696">
        <w:rPr>
          <w:rFonts w:cs="Calibri"/>
          <w:sz w:val="24"/>
          <w:szCs w:val="24"/>
        </w:rPr>
        <w:t>As discussed in Chapter 2 (Section 2.1.6), the British education system tends not</w:t>
      </w:r>
      <w:r>
        <w:rPr>
          <w:rFonts w:cs="Calibri"/>
          <w:sz w:val="24"/>
          <w:szCs w:val="24"/>
        </w:rPr>
        <w:t xml:space="preserve"> to</w:t>
      </w:r>
      <w:r w:rsidRPr="00BA2696">
        <w:rPr>
          <w:rFonts w:cs="Calibri"/>
          <w:sz w:val="24"/>
          <w:szCs w:val="24"/>
        </w:rPr>
        <w:t xml:space="preserve"> ‘see’ ‘race’ at multiple levels. Within secondary schools, approaches to racial inequality have become de-racialised and colour-blind (Warrington </w:t>
      </w:r>
      <w:r w:rsidRPr="00BA2696">
        <w:rPr>
          <w:rFonts w:cs="Calibri"/>
          <w:i/>
          <w:iCs/>
          <w:sz w:val="24"/>
          <w:szCs w:val="24"/>
        </w:rPr>
        <w:t>et al,</w:t>
      </w:r>
      <w:r w:rsidRPr="00BA2696">
        <w:rPr>
          <w:rFonts w:cs="Calibri"/>
          <w:sz w:val="24"/>
          <w:szCs w:val="24"/>
        </w:rPr>
        <w:t xml:space="preserve"> 2018) despite the attainment gap between black and white children widening (Gillborn </w:t>
      </w:r>
      <w:r w:rsidRPr="00BA2696">
        <w:rPr>
          <w:rFonts w:cs="Calibri"/>
          <w:i/>
          <w:iCs/>
          <w:sz w:val="24"/>
          <w:szCs w:val="24"/>
        </w:rPr>
        <w:t>et al</w:t>
      </w:r>
      <w:r w:rsidRPr="00BA2696">
        <w:rPr>
          <w:rFonts w:cs="Calibri"/>
          <w:sz w:val="24"/>
          <w:szCs w:val="24"/>
        </w:rPr>
        <w:t xml:space="preserve">, 2017). In universities, low numbers of racial harassment reporting are seen as proof of the non-existence of racial harassment, not a testament to a lack of faith in the complaints system (Equality and Human Rights Commission, 2019). It is also seen in the paucity of black academics in leadership roles </w:t>
      </w:r>
      <w:r w:rsidRPr="00BA2696">
        <w:rPr>
          <w:rFonts w:eastAsia="Times New Roman" w:cs="Calibri"/>
          <w:bCs/>
          <w:color w:val="000000"/>
          <w:sz w:val="24"/>
          <w:szCs w:val="24"/>
          <w:lang w:eastAsia="en-GB"/>
        </w:rPr>
        <w:t xml:space="preserve">(Arday, 2018; Bhopal, 2018; Rollock, 2019). Despite this, British universities tend to perceive themselves as liberal, with policies that ‘ensure fairness’ </w:t>
      </w:r>
      <w:r>
        <w:rPr>
          <w:rFonts w:eastAsia="Times New Roman" w:cs="Calibri"/>
          <w:bCs/>
          <w:color w:val="000000"/>
          <w:sz w:val="24"/>
          <w:szCs w:val="24"/>
          <w:lang w:eastAsia="en-GB"/>
        </w:rPr>
        <w:t>but</w:t>
      </w:r>
      <w:r w:rsidRPr="00BA2696">
        <w:rPr>
          <w:rFonts w:eastAsia="Times New Roman" w:cs="Calibri"/>
          <w:bCs/>
          <w:color w:val="000000"/>
          <w:sz w:val="24"/>
          <w:szCs w:val="24"/>
          <w:lang w:eastAsia="en-GB"/>
        </w:rPr>
        <w:t xml:space="preserve"> do not prioritise racial inequality (Pilkington, 2015, p. 9).</w:t>
      </w:r>
    </w:p>
    <w:p w14:paraId="42499DD4" w14:textId="77777777" w:rsidR="00A90B05" w:rsidRPr="00BA2696" w:rsidRDefault="00A90B05" w:rsidP="00A90B05">
      <w:pPr>
        <w:spacing w:after="0" w:line="480" w:lineRule="auto"/>
        <w:rPr>
          <w:rFonts w:cs="Calibri"/>
          <w:sz w:val="24"/>
          <w:szCs w:val="24"/>
        </w:rPr>
      </w:pPr>
    </w:p>
    <w:p w14:paraId="1D389892" w14:textId="77777777" w:rsidR="00A90B05" w:rsidRPr="00BA2696" w:rsidRDefault="00A90B05" w:rsidP="00A90B05">
      <w:pPr>
        <w:spacing w:after="0" w:line="480" w:lineRule="auto"/>
        <w:rPr>
          <w:rFonts w:cs="Calibri"/>
          <w:sz w:val="24"/>
          <w:szCs w:val="24"/>
        </w:rPr>
      </w:pPr>
      <w:r w:rsidRPr="00BA2696">
        <w:rPr>
          <w:rFonts w:cs="Calibri"/>
          <w:sz w:val="24"/>
          <w:szCs w:val="24"/>
        </w:rPr>
        <w:t>Thus, the participants’ attitudes toward ‘race’ education can be situated in the status quo of whiteness in education</w:t>
      </w:r>
      <w:r>
        <w:rPr>
          <w:rFonts w:cs="Calibri"/>
          <w:sz w:val="24"/>
          <w:szCs w:val="24"/>
        </w:rPr>
        <w:t xml:space="preserve"> </w:t>
      </w:r>
      <w:r w:rsidRPr="00F860B8">
        <w:rPr>
          <w:rFonts w:cs="Calibri"/>
          <w:sz w:val="24"/>
          <w:szCs w:val="24"/>
        </w:rPr>
        <w:t>and an example of the colonialisation of the curriculum. Curricu</w:t>
      </w:r>
      <w:r>
        <w:rPr>
          <w:rFonts w:cs="Calibri"/>
          <w:sz w:val="24"/>
          <w:szCs w:val="24"/>
        </w:rPr>
        <w:t>la</w:t>
      </w:r>
      <w:r w:rsidRPr="00F860B8">
        <w:rPr>
          <w:rFonts w:cs="Calibri"/>
          <w:sz w:val="24"/>
          <w:szCs w:val="24"/>
        </w:rPr>
        <w:t xml:space="preserve"> can reproduce </w:t>
      </w:r>
      <w:r w:rsidRPr="00197081">
        <w:rPr>
          <w:rFonts w:cs="Calibri"/>
          <w:sz w:val="24"/>
          <w:szCs w:val="24"/>
        </w:rPr>
        <w:t>whiteness through the invisibility of whiteness in educational institutions, the ‘Othering’ of people of colour and the fallacy that ‘</w:t>
      </w:r>
      <w:r>
        <w:rPr>
          <w:rFonts w:cs="Calibri"/>
          <w:sz w:val="24"/>
          <w:szCs w:val="24"/>
        </w:rPr>
        <w:t>i</w:t>
      </w:r>
      <w:r w:rsidRPr="00197081">
        <w:rPr>
          <w:rFonts w:cs="Calibri"/>
          <w:sz w:val="24"/>
          <w:szCs w:val="24"/>
        </w:rPr>
        <w:t>f it isn’t white it isn’t right’ (Peters, 2018, p. 265). The ‘production and reproduc</w:t>
      </w:r>
      <w:r w:rsidRPr="00BA2696">
        <w:rPr>
          <w:rFonts w:cs="Calibri"/>
          <w:sz w:val="24"/>
          <w:szCs w:val="24"/>
        </w:rPr>
        <w:t xml:space="preserve">tion’ that Bain (2018, p. 18) refers to could be located in </w:t>
      </w:r>
      <w:r>
        <w:rPr>
          <w:rFonts w:cs="Calibri"/>
          <w:sz w:val="24"/>
          <w:szCs w:val="24"/>
        </w:rPr>
        <w:t>participants’</w:t>
      </w:r>
      <w:r w:rsidRPr="00BA2696">
        <w:rPr>
          <w:rFonts w:cs="Calibri"/>
          <w:sz w:val="24"/>
          <w:szCs w:val="24"/>
        </w:rPr>
        <w:t xml:space="preserve"> colour-blind attitudes, misunderstanding</w:t>
      </w:r>
      <w:r>
        <w:rPr>
          <w:rFonts w:cs="Calibri"/>
          <w:sz w:val="24"/>
          <w:szCs w:val="24"/>
        </w:rPr>
        <w:t xml:space="preserve"> </w:t>
      </w:r>
      <w:r w:rsidRPr="00BA2696">
        <w:rPr>
          <w:rFonts w:cs="Calibri"/>
          <w:sz w:val="24"/>
          <w:szCs w:val="24"/>
        </w:rPr>
        <w:t>what ‘race’ and racism is, and understanding whiteness as meaningless. This is supported and reinforced by the absence of ‘race’, racism and whiteness in the counselling curriculum (</w:t>
      </w:r>
      <w:r w:rsidRPr="00BA2696">
        <w:rPr>
          <w:bCs/>
          <w:sz w:val="24"/>
          <w:szCs w:val="24"/>
        </w:rPr>
        <w:t>BACP, 2012; BACP 2019</w:t>
      </w:r>
      <w:r w:rsidRPr="00BA2696">
        <w:rPr>
          <w:rFonts w:cs="Calibri"/>
          <w:sz w:val="24"/>
          <w:szCs w:val="24"/>
        </w:rPr>
        <w:t xml:space="preserve">). </w:t>
      </w:r>
    </w:p>
    <w:p w14:paraId="1F41E89D" w14:textId="77777777" w:rsidR="00A90B05" w:rsidRPr="00BA2696" w:rsidRDefault="00A90B05" w:rsidP="00A90B05">
      <w:pPr>
        <w:spacing w:after="0" w:line="480" w:lineRule="auto"/>
        <w:rPr>
          <w:rFonts w:cs="Calibri"/>
          <w:sz w:val="24"/>
          <w:szCs w:val="24"/>
        </w:rPr>
      </w:pPr>
    </w:p>
    <w:p w14:paraId="3E85A521" w14:textId="77777777" w:rsidR="00A90B05" w:rsidRPr="00BA2696" w:rsidRDefault="00A90B05" w:rsidP="00A90B05">
      <w:pPr>
        <w:spacing w:after="0" w:line="480" w:lineRule="auto"/>
        <w:rPr>
          <w:rFonts w:cs="Calibri"/>
          <w:sz w:val="24"/>
          <w:szCs w:val="24"/>
        </w:rPr>
      </w:pPr>
      <w:bookmarkStart w:id="82" w:name="_Hlk51085892"/>
      <w:r w:rsidRPr="00BA2696">
        <w:rPr>
          <w:rFonts w:cs="Calibri"/>
          <w:sz w:val="24"/>
          <w:szCs w:val="24"/>
        </w:rPr>
        <w:t>The normalisation of whiteness within education echoes the normalisation of whiteness, through Eurocentrism, in mental health</w:t>
      </w:r>
      <w:r w:rsidRPr="00BA2696">
        <w:rPr>
          <w:rFonts w:cs="Calibri"/>
          <w:color w:val="FF0000"/>
          <w:sz w:val="24"/>
          <w:szCs w:val="24"/>
        </w:rPr>
        <w:t xml:space="preserve"> </w:t>
      </w:r>
      <w:r w:rsidRPr="00BA2696">
        <w:rPr>
          <w:rFonts w:cs="Calibri"/>
          <w:sz w:val="24"/>
          <w:szCs w:val="24"/>
        </w:rPr>
        <w:t>(Watters, 2011; Mills, 2014; Fernando and Moodley, 2018)</w:t>
      </w:r>
      <w:r w:rsidRPr="00BA2696">
        <w:rPr>
          <w:rFonts w:cs="Calibri"/>
          <w:color w:val="FF0000"/>
          <w:sz w:val="24"/>
          <w:szCs w:val="24"/>
        </w:rPr>
        <w:t xml:space="preserve"> </w:t>
      </w:r>
      <w:r w:rsidRPr="00BA2696">
        <w:rPr>
          <w:rFonts w:cs="Calibri"/>
          <w:sz w:val="24"/>
          <w:szCs w:val="24"/>
        </w:rPr>
        <w:t xml:space="preserve">and its absence from BACP course accreditation guidelines </w:t>
      </w:r>
      <w:bookmarkStart w:id="83" w:name="_Hlk48062264"/>
      <w:bookmarkStart w:id="84" w:name="_Hlk48048331"/>
      <w:r w:rsidRPr="00BA2696">
        <w:rPr>
          <w:rFonts w:cs="Calibri"/>
          <w:sz w:val="24"/>
          <w:szCs w:val="24"/>
        </w:rPr>
        <w:t>(</w:t>
      </w:r>
      <w:r w:rsidRPr="00BA2696">
        <w:rPr>
          <w:bCs/>
          <w:sz w:val="24"/>
          <w:szCs w:val="24"/>
        </w:rPr>
        <w:t>BACP, 2012; 2019</w:t>
      </w:r>
      <w:r w:rsidRPr="00BA2696">
        <w:rPr>
          <w:rFonts w:cs="Calibri"/>
          <w:sz w:val="24"/>
          <w:szCs w:val="24"/>
        </w:rPr>
        <w:t>)</w:t>
      </w:r>
      <w:bookmarkEnd w:id="83"/>
      <w:r w:rsidRPr="00BA2696">
        <w:rPr>
          <w:rFonts w:cs="Calibri"/>
          <w:sz w:val="24"/>
          <w:szCs w:val="24"/>
        </w:rPr>
        <w:t xml:space="preserve">. </w:t>
      </w:r>
      <w:r>
        <w:rPr>
          <w:rFonts w:cs="Calibri"/>
          <w:sz w:val="24"/>
          <w:szCs w:val="24"/>
        </w:rPr>
        <w:t>This</w:t>
      </w:r>
      <w:r w:rsidRPr="00BA2696">
        <w:rPr>
          <w:rFonts w:cs="Calibri"/>
          <w:sz w:val="24"/>
          <w:szCs w:val="24"/>
        </w:rPr>
        <w:t xml:space="preserve"> </w:t>
      </w:r>
      <w:r>
        <w:rPr>
          <w:rFonts w:cs="Calibri"/>
          <w:sz w:val="24"/>
          <w:szCs w:val="24"/>
        </w:rPr>
        <w:t>aligns with the</w:t>
      </w:r>
      <w:r w:rsidRPr="00BA2696">
        <w:rPr>
          <w:rFonts w:cs="Calibri"/>
          <w:sz w:val="24"/>
          <w:szCs w:val="24"/>
        </w:rPr>
        <w:t xml:space="preserve"> wider contexts of the invisibility of whiteness in education, mental health</w:t>
      </w:r>
      <w:bookmarkEnd w:id="84"/>
      <w:r w:rsidRPr="00BA2696">
        <w:rPr>
          <w:rFonts w:cs="Calibri"/>
          <w:sz w:val="24"/>
          <w:szCs w:val="24"/>
        </w:rPr>
        <w:t xml:space="preserve"> and counselling. </w:t>
      </w:r>
      <w:bookmarkEnd w:id="82"/>
      <w:r w:rsidRPr="00BA2696">
        <w:rPr>
          <w:rFonts w:cs="Calibri"/>
          <w:sz w:val="24"/>
          <w:szCs w:val="24"/>
        </w:rPr>
        <w:t>It was discussed above that the student and curriculum socio-political disconnection seemed to be symbiotic; similarly, it could be argued that the absence of ‘race’ education in the counselling curriculum, and the participants’ attitudes toward it, are also symbiotic. If the course accreditation guidelines (</w:t>
      </w:r>
      <w:r w:rsidRPr="00BA2696">
        <w:rPr>
          <w:bCs/>
          <w:sz w:val="24"/>
          <w:szCs w:val="24"/>
        </w:rPr>
        <w:t>BACP, 2012; 2019</w:t>
      </w:r>
      <w:r w:rsidRPr="00BA2696">
        <w:rPr>
          <w:rFonts w:cs="Calibri"/>
          <w:sz w:val="24"/>
          <w:szCs w:val="24"/>
        </w:rPr>
        <w:t>) do not require ‘race’ education, then white students do not expect</w:t>
      </w:r>
      <w:r>
        <w:rPr>
          <w:rFonts w:cs="Calibri"/>
          <w:sz w:val="24"/>
          <w:szCs w:val="24"/>
        </w:rPr>
        <w:t xml:space="preserve"> it</w:t>
      </w:r>
      <w:r w:rsidRPr="00BA2696">
        <w:rPr>
          <w:rFonts w:cs="Calibri"/>
          <w:sz w:val="24"/>
          <w:szCs w:val="24"/>
        </w:rPr>
        <w:t>, are unaware of it as a possibility, meaning they do not ask for it and so it is not provided.</w:t>
      </w:r>
    </w:p>
    <w:p w14:paraId="281CB184" w14:textId="77777777" w:rsidR="00A90B05" w:rsidRPr="00BA2696" w:rsidRDefault="00A90B05" w:rsidP="00A90B05">
      <w:pPr>
        <w:spacing w:after="0" w:line="480" w:lineRule="auto"/>
        <w:rPr>
          <w:rFonts w:cs="Calibri"/>
          <w:sz w:val="24"/>
          <w:szCs w:val="24"/>
        </w:rPr>
      </w:pPr>
    </w:p>
    <w:p w14:paraId="6FD2D637" w14:textId="77777777" w:rsidR="00A90B05" w:rsidRPr="00BA2696" w:rsidRDefault="00A90B05" w:rsidP="00A90B05">
      <w:pPr>
        <w:spacing w:after="0" w:line="480" w:lineRule="auto"/>
        <w:rPr>
          <w:rFonts w:cs="Calibri"/>
          <w:sz w:val="24"/>
          <w:szCs w:val="24"/>
        </w:rPr>
      </w:pPr>
      <w:r w:rsidRPr="00BA2696">
        <w:rPr>
          <w:rFonts w:cs="Calibri"/>
          <w:sz w:val="24"/>
          <w:szCs w:val="24"/>
        </w:rPr>
        <w:t xml:space="preserve">Kendi (2019) has argued that policy change is a key component in racial justice, because ‘education suasion’ or seeking to educate white people by ‘appealing to their moral conscious through horror and their logical mind’, is not sufficient to achieve systemic change </w:t>
      </w:r>
      <w:r w:rsidRPr="00BA2696">
        <w:rPr>
          <w:rFonts w:cs="Calibri"/>
          <w:sz w:val="24"/>
          <w:szCs w:val="24"/>
        </w:rPr>
        <w:lastRenderedPageBreak/>
        <w:t>(Kendi, 2019, p. 205). Rather than education effecting policy change, policy change will lead to attitude change (Kendi, 2019). Several counsellors of colour have advocated for policy change within organisational and institutional levels to challenge the racial inequalities within counselling (Jackson, 2020b). However, as outlined above, the existence</w:t>
      </w:r>
      <w:r>
        <w:rPr>
          <w:rFonts w:cs="Calibri"/>
          <w:sz w:val="24"/>
          <w:szCs w:val="24"/>
        </w:rPr>
        <w:t xml:space="preserve"> of</w:t>
      </w:r>
      <w:r w:rsidRPr="00BA2696">
        <w:rPr>
          <w:rFonts w:cs="Calibri"/>
          <w:sz w:val="24"/>
          <w:szCs w:val="24"/>
        </w:rPr>
        <w:t xml:space="preserve"> equality policy can sometimes be perceived by institutions as proof of equality practice (Ahmed, 2012; Rollock, 2018).</w:t>
      </w:r>
      <w:r w:rsidRPr="00BA2696">
        <w:rPr>
          <w:rFonts w:cs="Calibri"/>
          <w:color w:val="FF0000"/>
          <w:sz w:val="24"/>
          <w:szCs w:val="24"/>
        </w:rPr>
        <w:t xml:space="preserve"> </w:t>
      </w:r>
      <w:r w:rsidRPr="00BA2696">
        <w:rPr>
          <w:rFonts w:cs="Calibri"/>
          <w:sz w:val="24"/>
          <w:szCs w:val="24"/>
        </w:rPr>
        <w:t>Further, it is possible for there to be ‘racist and exclusionary policies that operate beneath a veneer of professed tolerance and diversity’ (Gillborn, 2006, p</w:t>
      </w:r>
      <w:r>
        <w:rPr>
          <w:rFonts w:cs="Calibri"/>
          <w:sz w:val="24"/>
          <w:szCs w:val="24"/>
        </w:rPr>
        <w:t>.</w:t>
      </w:r>
      <w:r w:rsidRPr="00BA2696">
        <w:rPr>
          <w:rFonts w:cs="Calibri"/>
          <w:sz w:val="24"/>
          <w:szCs w:val="24"/>
        </w:rPr>
        <w:t xml:space="preserve"> 26). In this way, avoidance of ‘race’, racism and whiteness in preference for ‘diversity’ in the course accreditation guidelines </w:t>
      </w:r>
      <w:r w:rsidRPr="00BA2696">
        <w:rPr>
          <w:sz w:val="24"/>
          <w:szCs w:val="24"/>
        </w:rPr>
        <w:t>(</w:t>
      </w:r>
      <w:r w:rsidRPr="00BA2696">
        <w:rPr>
          <w:bCs/>
          <w:sz w:val="24"/>
          <w:szCs w:val="24"/>
        </w:rPr>
        <w:t>BACP, 2012; 2019)</w:t>
      </w:r>
      <w:r w:rsidRPr="00BA2696">
        <w:rPr>
          <w:sz w:val="24"/>
          <w:szCs w:val="24"/>
        </w:rPr>
        <w:t xml:space="preserve">, Student Handbook (2019/2020) and </w:t>
      </w:r>
      <w:r w:rsidRPr="00BA2696">
        <w:rPr>
          <w:rFonts w:cs="Calibri"/>
          <w:sz w:val="24"/>
          <w:szCs w:val="24"/>
        </w:rPr>
        <w:t>ethical framework (BACP, 2018a) could be understood as exclusionary while appearing to be inclusive. Nonetheless, education can be an important method through which behaviours of white people c</w:t>
      </w:r>
      <w:r>
        <w:rPr>
          <w:rFonts w:cs="Calibri"/>
          <w:sz w:val="24"/>
          <w:szCs w:val="24"/>
        </w:rPr>
        <w:t>an</w:t>
      </w:r>
      <w:r w:rsidRPr="00BA2696">
        <w:rPr>
          <w:rFonts w:cs="Calibri"/>
          <w:sz w:val="24"/>
          <w:szCs w:val="24"/>
        </w:rPr>
        <w:t xml:space="preserve"> be ‘formed and transformed’ (Sullivan, 2006, p. 27) meaning that ‘race’ education could be a significant factor in racial justice. </w:t>
      </w:r>
    </w:p>
    <w:p w14:paraId="0670DDD7" w14:textId="77777777" w:rsidR="00A90B05" w:rsidRPr="00BA2696" w:rsidRDefault="00A90B05" w:rsidP="00A90B05">
      <w:pPr>
        <w:spacing w:after="0" w:line="480" w:lineRule="auto"/>
        <w:rPr>
          <w:rFonts w:cs="Calibri"/>
          <w:sz w:val="24"/>
          <w:szCs w:val="24"/>
        </w:rPr>
      </w:pPr>
    </w:p>
    <w:p w14:paraId="32FB3D46" w14:textId="77777777" w:rsidR="00A90B05" w:rsidRPr="00BA2696" w:rsidRDefault="00A90B05" w:rsidP="00A90B05">
      <w:pPr>
        <w:spacing w:after="0" w:line="480" w:lineRule="auto"/>
        <w:rPr>
          <w:rFonts w:cs="Calibri"/>
          <w:sz w:val="24"/>
          <w:szCs w:val="24"/>
        </w:rPr>
      </w:pPr>
      <w:bookmarkStart w:id="85" w:name="_Hlk51086113"/>
      <w:r w:rsidRPr="00BA2696">
        <w:rPr>
          <w:sz w:val="24"/>
          <w:szCs w:val="24"/>
        </w:rPr>
        <w:t xml:space="preserve">In terms of counselling education, Bartoli </w:t>
      </w:r>
      <w:r w:rsidRPr="00BA2696">
        <w:rPr>
          <w:i/>
          <w:iCs/>
          <w:sz w:val="24"/>
          <w:szCs w:val="24"/>
        </w:rPr>
        <w:t>et al</w:t>
      </w:r>
      <w:r w:rsidRPr="00BA2696">
        <w:rPr>
          <w:sz w:val="24"/>
          <w:szCs w:val="24"/>
        </w:rPr>
        <w:t xml:space="preserve"> (2015) argue that white psychotherapist self-awareness is not enough and needs to be accompanied by socio-political awareness of systemic racism as well as policies, practice and curriculum that are focused on social justice. </w:t>
      </w:r>
      <w:bookmarkEnd w:id="85"/>
      <w:r w:rsidRPr="00BA2696">
        <w:rPr>
          <w:sz w:val="24"/>
          <w:szCs w:val="24"/>
        </w:rPr>
        <w:t xml:space="preserve">This supports the suggestion that education alone is not sufficient and must be accompanied by policy change (Kendi, 2018). </w:t>
      </w:r>
      <w:r w:rsidRPr="00BA2696">
        <w:rPr>
          <w:rFonts w:cs="Calibri"/>
          <w:sz w:val="24"/>
          <w:szCs w:val="24"/>
        </w:rPr>
        <w:t xml:space="preserve">Similarly, Bartoli </w:t>
      </w:r>
      <w:r w:rsidRPr="00BA2696">
        <w:rPr>
          <w:rFonts w:cs="Calibri"/>
          <w:i/>
          <w:iCs/>
          <w:sz w:val="24"/>
          <w:szCs w:val="24"/>
        </w:rPr>
        <w:t>et al</w:t>
      </w:r>
      <w:r w:rsidRPr="00BA2696">
        <w:rPr>
          <w:rFonts w:cs="Calibri"/>
          <w:sz w:val="24"/>
          <w:szCs w:val="24"/>
        </w:rPr>
        <w:t xml:space="preserve"> (2015) have outlined the ways in which white psychotherapists can learn about ‘race’. These include learning that to talk about ‘race’ is not racist, the development of a positive white racial identity as well as engaging in social justice and recognition that racism is systemic</w:t>
      </w:r>
      <w:bookmarkStart w:id="86" w:name="_Hlk48047613"/>
      <w:r w:rsidRPr="00BA2696">
        <w:rPr>
          <w:rFonts w:cs="Calibri"/>
          <w:sz w:val="24"/>
          <w:szCs w:val="24"/>
        </w:rPr>
        <w:t xml:space="preserve"> </w:t>
      </w:r>
      <w:bookmarkStart w:id="87" w:name="_Hlk67129212"/>
      <w:r w:rsidRPr="00BA2696">
        <w:rPr>
          <w:sz w:val="24"/>
          <w:szCs w:val="24"/>
        </w:rPr>
        <w:t xml:space="preserve">(Bartoli </w:t>
      </w:r>
      <w:r w:rsidRPr="00BA2696">
        <w:rPr>
          <w:i/>
          <w:iCs/>
          <w:sz w:val="24"/>
          <w:szCs w:val="24"/>
        </w:rPr>
        <w:t>et al</w:t>
      </w:r>
      <w:r w:rsidRPr="00BA2696">
        <w:rPr>
          <w:sz w:val="24"/>
          <w:szCs w:val="24"/>
        </w:rPr>
        <w:t>, 2015, pp. 253-258)</w:t>
      </w:r>
      <w:bookmarkEnd w:id="86"/>
      <w:bookmarkEnd w:id="87"/>
      <w:r w:rsidRPr="00BA2696">
        <w:rPr>
          <w:sz w:val="24"/>
          <w:szCs w:val="24"/>
        </w:rPr>
        <w:t>.</w:t>
      </w:r>
      <w:r w:rsidRPr="00BA2696">
        <w:rPr>
          <w:rFonts w:cs="Calibri"/>
          <w:sz w:val="24"/>
          <w:szCs w:val="24"/>
        </w:rPr>
        <w:t xml:space="preserve"> </w:t>
      </w:r>
      <w:r w:rsidRPr="00BA2696">
        <w:rPr>
          <w:sz w:val="24"/>
          <w:szCs w:val="24"/>
        </w:rPr>
        <w:t xml:space="preserve">Although Bartoli </w:t>
      </w:r>
      <w:r w:rsidRPr="00BA2696">
        <w:rPr>
          <w:i/>
          <w:iCs/>
          <w:sz w:val="24"/>
          <w:szCs w:val="24"/>
        </w:rPr>
        <w:t>et al</w:t>
      </w:r>
      <w:r w:rsidRPr="00BA2696">
        <w:rPr>
          <w:sz w:val="24"/>
          <w:szCs w:val="24"/>
        </w:rPr>
        <w:t xml:space="preserve"> (2015) have presented a useful guide to</w:t>
      </w:r>
      <w:r>
        <w:rPr>
          <w:sz w:val="24"/>
          <w:szCs w:val="24"/>
        </w:rPr>
        <w:t xml:space="preserve"> how to</w:t>
      </w:r>
      <w:r w:rsidRPr="00BA2696">
        <w:rPr>
          <w:sz w:val="24"/>
          <w:szCs w:val="24"/>
        </w:rPr>
        <w:t xml:space="preserve"> teach white psychotherapists about ‘race’ and discuss the importance of challenging systemic racism </w:t>
      </w:r>
      <w:r w:rsidRPr="00BA2696">
        <w:rPr>
          <w:sz w:val="24"/>
          <w:szCs w:val="24"/>
        </w:rPr>
        <w:lastRenderedPageBreak/>
        <w:t xml:space="preserve">through curriculum and policy, they do not mention critical race theory (Crenshaw </w:t>
      </w:r>
      <w:r w:rsidRPr="00BA2696">
        <w:rPr>
          <w:i/>
          <w:iCs/>
          <w:sz w:val="24"/>
          <w:szCs w:val="24"/>
        </w:rPr>
        <w:t>et al</w:t>
      </w:r>
      <w:r w:rsidRPr="00BA2696">
        <w:rPr>
          <w:sz w:val="24"/>
          <w:szCs w:val="24"/>
        </w:rPr>
        <w:t xml:space="preserve">, 1995; Delgado and Stefancic, 2017) or critical whiteness studies (Delgado and Stefancic, 1997; Hartmann, Gerteis and Croll, 2009; Applebaum, 2016a). Also absent is white ignorance (Mills, 2007; 2015) and epistemic ignorance (Sullivan and Tuana, 2007). Therefore, it could be argued that this approach (Bartoli </w:t>
      </w:r>
      <w:r w:rsidRPr="00BA2696">
        <w:rPr>
          <w:i/>
          <w:iCs/>
          <w:sz w:val="24"/>
          <w:szCs w:val="24"/>
        </w:rPr>
        <w:t>et al</w:t>
      </w:r>
      <w:r w:rsidRPr="00BA2696">
        <w:rPr>
          <w:sz w:val="24"/>
          <w:szCs w:val="24"/>
        </w:rPr>
        <w:t xml:space="preserve">, 2015) is divorced from a wider theoretical perspective. Learning about ‘race’ and racism without anchoring it </w:t>
      </w:r>
      <w:r>
        <w:rPr>
          <w:sz w:val="24"/>
          <w:szCs w:val="24"/>
        </w:rPr>
        <w:t>to</w:t>
      </w:r>
      <w:r w:rsidRPr="00BA2696">
        <w:rPr>
          <w:sz w:val="24"/>
          <w:szCs w:val="24"/>
        </w:rPr>
        <w:t xml:space="preserve"> theory could result in harmful white moral outrage, entrenching the perception of ‘good’ and ‘bad’ whites (Spanierman and Cabrera, 2015, pp. 19-20). I recommend ‘Critical Whiteness Counselling Studies’ in Chapter 7 (Section 7.8), which would seek to anchor counselling theory and practice to the theoretical foundation of critical whiteness studies.  </w:t>
      </w:r>
    </w:p>
    <w:p w14:paraId="6B6A7ACC" w14:textId="77777777" w:rsidR="00A90B05" w:rsidRPr="00BA2696" w:rsidRDefault="00A90B05" w:rsidP="00A90B05">
      <w:pPr>
        <w:suppressAutoHyphens w:val="0"/>
        <w:autoSpaceDN/>
        <w:spacing w:after="0" w:line="480" w:lineRule="auto"/>
        <w:textAlignment w:val="auto"/>
        <w:rPr>
          <w:sz w:val="24"/>
          <w:szCs w:val="24"/>
        </w:rPr>
      </w:pPr>
    </w:p>
    <w:p w14:paraId="6EF5D22D" w14:textId="77777777" w:rsidR="00A90B05" w:rsidRPr="00BA2696" w:rsidRDefault="00A90B05" w:rsidP="00A90B05">
      <w:pPr>
        <w:suppressAutoHyphens w:val="0"/>
        <w:autoSpaceDN/>
        <w:spacing w:after="0" w:line="480" w:lineRule="auto"/>
        <w:textAlignment w:val="auto"/>
        <w:rPr>
          <w:sz w:val="24"/>
          <w:szCs w:val="24"/>
        </w:rPr>
      </w:pPr>
      <w:r w:rsidRPr="00BA2696">
        <w:rPr>
          <w:sz w:val="24"/>
          <w:szCs w:val="24"/>
        </w:rPr>
        <w:t xml:space="preserve">Jackson (2008, p. 303) argues that it </w:t>
      </w:r>
      <w:r>
        <w:rPr>
          <w:sz w:val="24"/>
          <w:szCs w:val="24"/>
        </w:rPr>
        <w:t xml:space="preserve">is </w:t>
      </w:r>
      <w:r w:rsidRPr="00BA2696">
        <w:rPr>
          <w:sz w:val="24"/>
          <w:szCs w:val="24"/>
        </w:rPr>
        <w:t xml:space="preserve">important not to take a moralistic stance over students who are learning about ‘race’ for the first time, which brings to mind Trepagnier’s (2016) continuum of racism, suggesting that one could </w:t>
      </w:r>
      <w:r>
        <w:rPr>
          <w:sz w:val="24"/>
          <w:szCs w:val="24"/>
        </w:rPr>
        <w:t>achieve</w:t>
      </w:r>
      <w:r w:rsidRPr="00BA2696">
        <w:rPr>
          <w:sz w:val="24"/>
          <w:szCs w:val="24"/>
        </w:rPr>
        <w:t xml:space="preserve"> students’ potential to become ‘less racist’ th</w:t>
      </w:r>
      <w:r>
        <w:rPr>
          <w:sz w:val="24"/>
          <w:szCs w:val="24"/>
        </w:rPr>
        <w:t>r</w:t>
      </w:r>
      <w:r w:rsidRPr="00BA2696">
        <w:rPr>
          <w:sz w:val="24"/>
          <w:szCs w:val="24"/>
        </w:rPr>
        <w:t>ough education.</w:t>
      </w:r>
      <w:r w:rsidRPr="00BA2696">
        <w:rPr>
          <w:color w:val="FF0000"/>
          <w:sz w:val="24"/>
          <w:szCs w:val="24"/>
        </w:rPr>
        <w:t xml:space="preserve"> </w:t>
      </w:r>
      <w:r w:rsidRPr="00BA2696">
        <w:rPr>
          <w:sz w:val="24"/>
          <w:szCs w:val="24"/>
        </w:rPr>
        <w:t xml:space="preserve">Similarly, it has been advised that white educators need to put into perspective what can be realistically achieved within the classroom to end active ignorance, </w:t>
      </w:r>
      <w:r>
        <w:rPr>
          <w:sz w:val="24"/>
          <w:szCs w:val="24"/>
        </w:rPr>
        <w:t>with educators needing to</w:t>
      </w:r>
      <w:r w:rsidRPr="00BA2696">
        <w:rPr>
          <w:sz w:val="24"/>
          <w:szCs w:val="24"/>
        </w:rPr>
        <w:t xml:space="preserve"> tak</w:t>
      </w:r>
      <w:r>
        <w:rPr>
          <w:sz w:val="24"/>
          <w:szCs w:val="24"/>
        </w:rPr>
        <w:t xml:space="preserve">e </w:t>
      </w:r>
      <w:r w:rsidRPr="00BA2696">
        <w:rPr>
          <w:sz w:val="24"/>
          <w:szCs w:val="24"/>
        </w:rPr>
        <w:t xml:space="preserve">a gradual approach and anticipate students use of distancing strategies (Whitt, 2016). Although it could be a frustrating process for white educators, there are positive aspects for white people when learning about ‘race’, as it may elicit positive emotions such as joy and hope (Spanierman and Cabrera, 2015). Further, it is important for white educators to take the onus on teaching about racism, become role models to white students and be prepared for the emotional reactions white students will experience (Spanierman and Cabrera, 2015). Reflecting on her own experience of developing a white racial identity with other white people, Ryde (2009, p. </w:t>
      </w:r>
      <w:r w:rsidRPr="00BA2696">
        <w:rPr>
          <w:sz w:val="24"/>
          <w:szCs w:val="24"/>
        </w:rPr>
        <w:lastRenderedPageBreak/>
        <w:t xml:space="preserve">75) believes that a collaborative approach is key to reducing feelings of isolation </w:t>
      </w:r>
      <w:r>
        <w:rPr>
          <w:sz w:val="24"/>
          <w:szCs w:val="24"/>
        </w:rPr>
        <w:t>when</w:t>
      </w:r>
      <w:r w:rsidRPr="00BA2696">
        <w:rPr>
          <w:sz w:val="24"/>
          <w:szCs w:val="24"/>
        </w:rPr>
        <w:t xml:space="preserve"> learning about whiteness. The importance of collaboration and prepared educators is reflected in Beech’s (2020) dialogic classroom based approach for teaching critical whiteness studies which requires critical engagement, discussion and reflection. Therefore, it would seem that the process of White Ignorance Disruption, under which sits emotional and cognitive responses, could be harnessed to become a dialogical and collaborative pedagogical process. Trainee counsellors may be in an advantageous position to do this, given the dialogical style of the seminars observed and the expectation that they are reflective and ‘in touch’ with their emotions. Through connecting to the historical and contemporary socio-political context, a more rounded understanding of ‘race’, racism and whiteness may be achievable. </w:t>
      </w:r>
    </w:p>
    <w:p w14:paraId="678D021B" w14:textId="77777777" w:rsidR="00A90B05" w:rsidRPr="00BA2696" w:rsidRDefault="00A90B05" w:rsidP="00A90B05">
      <w:pPr>
        <w:suppressAutoHyphens w:val="0"/>
        <w:autoSpaceDN/>
        <w:spacing w:after="0" w:line="480" w:lineRule="auto"/>
        <w:textAlignment w:val="auto"/>
        <w:rPr>
          <w:sz w:val="24"/>
          <w:szCs w:val="24"/>
        </w:rPr>
      </w:pPr>
    </w:p>
    <w:p w14:paraId="2796A618" w14:textId="77777777" w:rsidR="00A90B05" w:rsidRPr="00BA2696" w:rsidRDefault="00A90B05" w:rsidP="00A90B05">
      <w:pPr>
        <w:suppressAutoHyphens w:val="0"/>
        <w:autoSpaceDN/>
        <w:spacing w:after="0" w:line="480" w:lineRule="auto"/>
        <w:textAlignment w:val="auto"/>
        <w:rPr>
          <w:sz w:val="24"/>
          <w:szCs w:val="24"/>
        </w:rPr>
      </w:pPr>
      <w:r w:rsidRPr="00BA2696">
        <w:rPr>
          <w:sz w:val="24"/>
          <w:szCs w:val="24"/>
        </w:rPr>
        <w:t>However, although ‘race’ education is one step toward disrupting white ignorance, it also needs to be accompanied by policy change to be effective (Kendi, 2018). The course accreditation guidelines set out by the BACP (</w:t>
      </w:r>
      <w:r w:rsidRPr="00BA2696">
        <w:rPr>
          <w:bCs/>
          <w:sz w:val="24"/>
          <w:szCs w:val="24"/>
        </w:rPr>
        <w:t>BACP, 2012; 2019)</w:t>
      </w:r>
      <w:r w:rsidRPr="00BA2696">
        <w:rPr>
          <w:sz w:val="24"/>
          <w:szCs w:val="24"/>
        </w:rPr>
        <w:t xml:space="preserve"> and those found in the Student Handbook (2019/2020) have been found to be ambiguous. Therefore, policy change in the form of clear guidelines which name ‘race’, racism and whiteness could provide a positive first step in ‘race’ education in counselling pedagogy.</w:t>
      </w:r>
    </w:p>
    <w:p w14:paraId="596EA9DA" w14:textId="77777777" w:rsidR="00A90B05" w:rsidRPr="00BA2696" w:rsidRDefault="00A90B05" w:rsidP="00A90B05">
      <w:pPr>
        <w:suppressAutoHyphens w:val="0"/>
        <w:autoSpaceDN/>
        <w:spacing w:after="0" w:line="480" w:lineRule="auto"/>
        <w:textAlignment w:val="auto"/>
        <w:rPr>
          <w:sz w:val="24"/>
          <w:szCs w:val="24"/>
        </w:rPr>
      </w:pPr>
    </w:p>
    <w:p w14:paraId="057706D0" w14:textId="77777777" w:rsidR="00A90B05" w:rsidRPr="00BA2696" w:rsidRDefault="00A90B05" w:rsidP="00A90B05">
      <w:pPr>
        <w:pStyle w:val="Heading3"/>
      </w:pPr>
      <w:bookmarkStart w:id="88" w:name="_Toc56523029"/>
      <w:bookmarkStart w:id="89" w:name="_Toc56523311"/>
      <w:bookmarkStart w:id="90" w:name="_Toc57910119"/>
      <w:bookmarkStart w:id="91" w:name="_Toc58251335"/>
      <w:bookmarkStart w:id="92" w:name="_Toc72413661"/>
      <w:r w:rsidRPr="00BA2696">
        <w:t>6.7 Summary</w:t>
      </w:r>
      <w:bookmarkEnd w:id="88"/>
      <w:bookmarkEnd w:id="89"/>
      <w:bookmarkEnd w:id="90"/>
      <w:bookmarkEnd w:id="91"/>
      <w:bookmarkEnd w:id="92"/>
    </w:p>
    <w:p w14:paraId="424CFB48" w14:textId="77777777" w:rsidR="00A90B05" w:rsidRPr="00BA2696" w:rsidRDefault="00A90B05" w:rsidP="00A90B05">
      <w:pPr>
        <w:suppressAutoHyphens w:val="0"/>
        <w:autoSpaceDN/>
        <w:spacing w:after="0" w:line="480" w:lineRule="auto"/>
        <w:textAlignment w:val="auto"/>
        <w:rPr>
          <w:rFonts w:cs="Calibri"/>
          <w:sz w:val="24"/>
          <w:szCs w:val="24"/>
        </w:rPr>
      </w:pPr>
      <w:r w:rsidRPr="00BA2696">
        <w:rPr>
          <w:rFonts w:cs="Calibri"/>
          <w:sz w:val="24"/>
          <w:szCs w:val="24"/>
        </w:rPr>
        <w:t xml:space="preserve">A full summary of the research, and how it answered the research questions, will be presented in Chapter 7. While this chapter has not attempted to make conclusive interpretations of the four themes identified in this research, in accordance with its subjective epistemology, it has situated the four research themes into a wider context of </w:t>
      </w:r>
      <w:r w:rsidRPr="00BA2696">
        <w:rPr>
          <w:rFonts w:cs="Calibri"/>
          <w:sz w:val="24"/>
          <w:szCs w:val="24"/>
        </w:rPr>
        <w:lastRenderedPageBreak/>
        <w:t>‘race’, racism and whiteness scholarship. In doing so, this chapter indicates that the participants’ understanding of ‘race’, racism and whiteness is comparable to that of white peoples’ racial attitudes more generally. Additionally, the findings support the ‘core theoretical principles’ of critical whiteness studies that for white people, whiteness is invisible, its advantages are not recognised, and colour-blind ideology is dominant (</w:t>
      </w:r>
      <w:r w:rsidRPr="00BA2696">
        <w:rPr>
          <w:sz w:val="24"/>
          <w:szCs w:val="24"/>
        </w:rPr>
        <w:t xml:space="preserve">Hartmann, Gerteis and Croll, 2009, pp. 407-409). </w:t>
      </w:r>
      <w:r w:rsidRPr="00BA2696">
        <w:rPr>
          <w:rFonts w:cs="Calibri"/>
          <w:sz w:val="24"/>
          <w:szCs w:val="24"/>
        </w:rPr>
        <w:t xml:space="preserve">I have also introduced the term White Ignorance Disruption which was used to describe the process of the white participants’ white ignorance (Mills, 2007) being disrupted through asking the research questions. This elicited different cognitive and emotional responses, from anger, to engagement and withdrawal. </w:t>
      </w:r>
      <w:bookmarkStart w:id="93" w:name="_Hlk51142741"/>
      <w:r w:rsidRPr="00BA2696">
        <w:rPr>
          <w:rFonts w:cs="Calibri"/>
          <w:sz w:val="24"/>
          <w:szCs w:val="24"/>
        </w:rPr>
        <w:t xml:space="preserve">This supports the argument that for white people talking about ‘race’, racism and whiteness can be fraught with emotion (Spanierman and Cabrera, 2015; DiAngelo, 2018). </w:t>
      </w:r>
      <w:bookmarkEnd w:id="93"/>
      <w:r w:rsidRPr="00BA2696">
        <w:rPr>
          <w:rFonts w:cs="Calibri"/>
          <w:sz w:val="24"/>
          <w:szCs w:val="24"/>
        </w:rPr>
        <w:t>Therefore, White Ignorance Disruption was used as a theoretical bridge to connect white ignorance</w:t>
      </w:r>
      <w:r>
        <w:rPr>
          <w:rFonts w:cs="Calibri"/>
          <w:sz w:val="24"/>
          <w:szCs w:val="24"/>
        </w:rPr>
        <w:t xml:space="preserve"> (</w:t>
      </w:r>
      <w:r w:rsidRPr="00BA2696">
        <w:rPr>
          <w:rFonts w:cs="Calibri"/>
          <w:sz w:val="24"/>
          <w:szCs w:val="24"/>
        </w:rPr>
        <w:t>Mills</w:t>
      </w:r>
      <w:r>
        <w:rPr>
          <w:rFonts w:cs="Calibri"/>
          <w:sz w:val="24"/>
          <w:szCs w:val="24"/>
        </w:rPr>
        <w:t xml:space="preserve">, </w:t>
      </w:r>
      <w:r w:rsidRPr="00BA2696">
        <w:rPr>
          <w:rFonts w:cs="Calibri"/>
          <w:sz w:val="24"/>
          <w:szCs w:val="24"/>
        </w:rPr>
        <w:t>2007) to other theories of whiteness, such as ‘white fragility’ (DiAngelo, 2018). Additionally, the role of ‘disruptor’ was also considered by using researcher reflexivity, as well as outlining how I had my own white ignorance (Mills, 2007) disrupted during the research (Section 6.1). However, it is recognised that White Ignorance Disruption is a concept in its infancy and will need further work to strengthen it as a theoretical concept. Nonetheless, its use in this discussion of the findings has been a valuable description of the cognitive and affective processes experienced by the participants when discussing ‘race’, racism and whiteness.</w:t>
      </w:r>
    </w:p>
    <w:p w14:paraId="1E50C8F5" w14:textId="77777777" w:rsidR="00A90B05" w:rsidRPr="00BA2696" w:rsidRDefault="00A90B05" w:rsidP="00A90B05">
      <w:pPr>
        <w:suppressAutoHyphens w:val="0"/>
        <w:autoSpaceDN/>
        <w:spacing w:after="0" w:line="480" w:lineRule="auto"/>
        <w:textAlignment w:val="auto"/>
        <w:rPr>
          <w:rFonts w:cs="Calibri"/>
          <w:sz w:val="24"/>
          <w:szCs w:val="24"/>
        </w:rPr>
      </w:pPr>
    </w:p>
    <w:p w14:paraId="1C3A23A4" w14:textId="77777777" w:rsidR="00A90B05" w:rsidRPr="00BA2696" w:rsidRDefault="00A90B05" w:rsidP="00A90B05">
      <w:pPr>
        <w:suppressAutoHyphens w:val="0"/>
        <w:autoSpaceDN/>
        <w:spacing w:after="0" w:line="480" w:lineRule="auto"/>
        <w:textAlignment w:val="auto"/>
        <w:rPr>
          <w:rFonts w:cs="Calibri"/>
          <w:bCs/>
          <w:color w:val="000000"/>
          <w:sz w:val="24"/>
          <w:szCs w:val="24"/>
        </w:rPr>
      </w:pPr>
      <w:r w:rsidRPr="00BA2696">
        <w:rPr>
          <w:rFonts w:cs="Calibri"/>
          <w:sz w:val="24"/>
          <w:szCs w:val="24"/>
        </w:rPr>
        <w:t>Additionally, this research would suggest th</w:t>
      </w:r>
      <w:r>
        <w:rPr>
          <w:rFonts w:cs="Calibri"/>
          <w:sz w:val="24"/>
          <w:szCs w:val="24"/>
        </w:rPr>
        <w:t>at</w:t>
      </w:r>
      <w:r w:rsidRPr="00BA2696">
        <w:rPr>
          <w:rFonts w:cs="Calibri"/>
          <w:sz w:val="24"/>
          <w:szCs w:val="24"/>
        </w:rPr>
        <w:t xml:space="preserve"> counselling as a profession may be guilty of systemic colour-blind racism.</w:t>
      </w:r>
      <w:r w:rsidRPr="00BA2696">
        <w:rPr>
          <w:rFonts w:cs="Calibri"/>
          <w:color w:val="FF0000"/>
          <w:sz w:val="24"/>
          <w:szCs w:val="24"/>
        </w:rPr>
        <w:t xml:space="preserve"> </w:t>
      </w:r>
      <w:r w:rsidRPr="00BA2696">
        <w:rPr>
          <w:rFonts w:cs="Calibri"/>
          <w:sz w:val="24"/>
          <w:szCs w:val="24"/>
        </w:rPr>
        <w:t xml:space="preserve">In Chapter 2, Feagin’s (2006, p. 2) definition of systemic racism was used, where he claims it is ‘far more than a matter of racial prejudice and individual </w:t>
      </w:r>
      <w:r w:rsidRPr="00BA2696">
        <w:rPr>
          <w:rFonts w:cs="Calibri"/>
          <w:sz w:val="24"/>
          <w:szCs w:val="24"/>
        </w:rPr>
        <w:lastRenderedPageBreak/>
        <w:t>bigotry. It is a material, social, and ideological reality’. This research has found that the ‘ideological reality’ (Feagin, 2006, p. 2) in this context could refer to the pervasive</w:t>
      </w:r>
      <w:r>
        <w:rPr>
          <w:rFonts w:cs="Calibri"/>
          <w:sz w:val="24"/>
          <w:szCs w:val="24"/>
        </w:rPr>
        <w:t>ness</w:t>
      </w:r>
      <w:r w:rsidRPr="00BA2696">
        <w:rPr>
          <w:rFonts w:cs="Calibri"/>
          <w:sz w:val="24"/>
          <w:szCs w:val="24"/>
        </w:rPr>
        <w:t xml:space="preserve"> of </w:t>
      </w:r>
      <w:r>
        <w:rPr>
          <w:rFonts w:cs="Calibri"/>
          <w:sz w:val="24"/>
          <w:szCs w:val="24"/>
        </w:rPr>
        <w:t xml:space="preserve">the </w:t>
      </w:r>
      <w:r w:rsidRPr="00BA2696">
        <w:rPr>
          <w:rFonts w:cs="Calibri"/>
          <w:sz w:val="24"/>
          <w:szCs w:val="24"/>
        </w:rPr>
        <w:t>colour-blind ideology</w:t>
      </w:r>
      <w:r>
        <w:rPr>
          <w:rFonts w:cs="Calibri"/>
          <w:sz w:val="24"/>
          <w:szCs w:val="24"/>
        </w:rPr>
        <w:t xml:space="preserve"> </w:t>
      </w:r>
      <w:r w:rsidRPr="00BA2696">
        <w:rPr>
          <w:rFonts w:cs="Calibri"/>
          <w:sz w:val="24"/>
          <w:szCs w:val="24"/>
        </w:rPr>
        <w:t>(Bonilla-Silva, 2018)</w:t>
      </w:r>
      <w:r>
        <w:rPr>
          <w:rFonts w:cs="Calibri"/>
          <w:sz w:val="24"/>
          <w:szCs w:val="24"/>
        </w:rPr>
        <w:t xml:space="preserve"> this research</w:t>
      </w:r>
      <w:r w:rsidRPr="00BA2696">
        <w:rPr>
          <w:rFonts w:cs="Calibri"/>
          <w:sz w:val="24"/>
          <w:szCs w:val="24"/>
        </w:rPr>
        <w:t xml:space="preserve"> identified. Consequently, the material and social reality is that counselling theory, training and practice may perpetuate this colour-blind ideology. Phillips (2011) ‘Multi-Level Framework’ of how institutional racialisation functions at micro, meso and macro levels was also discussed in Chapter 2 (Section 2.1.7). Adapting Phillips (2011) framework, it is possible to apply the findings of this research to this multileveled definition. At the micro, i.e., individual level, the participants demonstrated a lack of semantic understanding about ‘race’</w:t>
      </w:r>
      <w:r>
        <w:rPr>
          <w:rFonts w:cs="Calibri"/>
          <w:sz w:val="24"/>
          <w:szCs w:val="24"/>
        </w:rPr>
        <w:t xml:space="preserve"> and </w:t>
      </w:r>
      <w:r w:rsidRPr="00BA2696">
        <w:rPr>
          <w:rFonts w:cs="Calibri"/>
          <w:sz w:val="24"/>
          <w:szCs w:val="24"/>
        </w:rPr>
        <w:t>racism</w:t>
      </w:r>
      <w:r>
        <w:rPr>
          <w:rFonts w:cs="Calibri"/>
          <w:sz w:val="24"/>
          <w:szCs w:val="24"/>
        </w:rPr>
        <w:t>,</w:t>
      </w:r>
      <w:r w:rsidRPr="00BA2696">
        <w:rPr>
          <w:rFonts w:cs="Calibri"/>
          <w:sz w:val="24"/>
          <w:szCs w:val="24"/>
        </w:rPr>
        <w:t xml:space="preserve"> whiteness was de-racialised,</w:t>
      </w:r>
      <w:r>
        <w:rPr>
          <w:rFonts w:cs="Calibri"/>
          <w:sz w:val="24"/>
          <w:szCs w:val="24"/>
        </w:rPr>
        <w:t xml:space="preserve"> and</w:t>
      </w:r>
      <w:r w:rsidRPr="00BA2696">
        <w:rPr>
          <w:rFonts w:cs="Calibri"/>
          <w:sz w:val="24"/>
          <w:szCs w:val="24"/>
        </w:rPr>
        <w:t xml:space="preserve"> some participants expressing </w:t>
      </w:r>
      <w:r>
        <w:rPr>
          <w:rFonts w:cs="Calibri"/>
          <w:sz w:val="24"/>
          <w:szCs w:val="24"/>
        </w:rPr>
        <w:t xml:space="preserve">a </w:t>
      </w:r>
      <w:r w:rsidRPr="00BA2696">
        <w:rPr>
          <w:rFonts w:cs="Calibri"/>
          <w:sz w:val="24"/>
          <w:szCs w:val="24"/>
        </w:rPr>
        <w:t xml:space="preserve">belief in reverse racism. Also evident were colour-blind attitudes and a lack </w:t>
      </w:r>
      <w:r>
        <w:rPr>
          <w:rFonts w:cs="Calibri"/>
          <w:sz w:val="24"/>
          <w:szCs w:val="24"/>
        </w:rPr>
        <w:t>of</w:t>
      </w:r>
      <w:r w:rsidRPr="00BA2696">
        <w:rPr>
          <w:rFonts w:cs="Calibri"/>
          <w:sz w:val="24"/>
          <w:szCs w:val="24"/>
        </w:rPr>
        <w:t xml:space="preserve"> socio-political awareness. At the meso level, the BACP </w:t>
      </w:r>
      <w:r w:rsidRPr="00BA2696">
        <w:rPr>
          <w:bCs/>
          <w:sz w:val="24"/>
          <w:szCs w:val="24"/>
        </w:rPr>
        <w:t>course accreditation criteria (BACP, 2012; BACP 2019</w:t>
      </w:r>
      <w:r>
        <w:rPr>
          <w:bCs/>
          <w:sz w:val="24"/>
          <w:szCs w:val="24"/>
        </w:rPr>
        <w:t>)</w:t>
      </w:r>
      <w:r w:rsidRPr="00BA2696">
        <w:rPr>
          <w:bCs/>
          <w:sz w:val="24"/>
          <w:szCs w:val="24"/>
        </w:rPr>
        <w:t xml:space="preserve"> training expectations (Student Handbook 2019/2020) and ethical framework (</w:t>
      </w:r>
      <w:r w:rsidRPr="00BA2696">
        <w:rPr>
          <w:rFonts w:cs="Calibri"/>
          <w:sz w:val="24"/>
          <w:szCs w:val="24"/>
        </w:rPr>
        <w:t>BACP, 2018a) also omit explicit mention</w:t>
      </w:r>
      <w:r>
        <w:rPr>
          <w:rFonts w:cs="Calibri"/>
          <w:sz w:val="24"/>
          <w:szCs w:val="24"/>
        </w:rPr>
        <w:t xml:space="preserve"> of</w:t>
      </w:r>
      <w:r w:rsidRPr="00BA2696">
        <w:rPr>
          <w:rFonts w:cs="Calibri"/>
          <w:sz w:val="24"/>
          <w:szCs w:val="24"/>
        </w:rPr>
        <w:t xml:space="preserve"> ‘race’, racism and whiteness in their guidelines, preferring instead ‘diversity’ and ‘discrimination’. This is an echoing of not ‘seeing’ ‘race’ akin to the participants’ attitudes. In this way, counselling training reflects education more generally </w:t>
      </w:r>
      <w:r>
        <w:rPr>
          <w:rFonts w:cs="Calibri"/>
          <w:sz w:val="24"/>
          <w:szCs w:val="24"/>
        </w:rPr>
        <w:t>through</w:t>
      </w:r>
      <w:r w:rsidRPr="00BA2696">
        <w:rPr>
          <w:rFonts w:cs="Calibri"/>
          <w:sz w:val="24"/>
          <w:szCs w:val="24"/>
        </w:rPr>
        <w:t xml:space="preserve"> overlooking ‘race’ and perpetuating colonial, colour-blind narratives </w:t>
      </w:r>
      <w:bookmarkStart w:id="94" w:name="_Hlk52363692"/>
      <w:r w:rsidRPr="00BA2696">
        <w:rPr>
          <w:rFonts w:cs="Calibri"/>
          <w:sz w:val="24"/>
          <w:szCs w:val="24"/>
        </w:rPr>
        <w:t>(Arday and Mirza, 2018; Bhambra, Nisancioglu and Gebrial, 2018; Rollock, 2018)</w:t>
      </w:r>
      <w:bookmarkEnd w:id="94"/>
      <w:r w:rsidRPr="00BA2696">
        <w:rPr>
          <w:rFonts w:cs="Calibri"/>
          <w:sz w:val="24"/>
          <w:szCs w:val="24"/>
        </w:rPr>
        <w:t>. At the macro level, mental health is viewed through a white Eurocentric lens (</w:t>
      </w:r>
      <w:bookmarkStart w:id="95" w:name="_Hlk52363916"/>
      <w:r w:rsidRPr="00BA2696">
        <w:rPr>
          <w:rFonts w:cs="Calibri"/>
          <w:sz w:val="24"/>
          <w:szCs w:val="24"/>
        </w:rPr>
        <w:t>Fernando, 2010; Watters, 2011; Fernando, 2014; Mills, 2014; Fernando and Moodley, 2018</w:t>
      </w:r>
      <w:bookmarkEnd w:id="95"/>
      <w:r w:rsidRPr="00BA2696">
        <w:rPr>
          <w:rFonts w:cs="Calibri"/>
          <w:sz w:val="24"/>
          <w:szCs w:val="24"/>
        </w:rPr>
        <w:t xml:space="preserve">) and whiteness is de-racialised, invisible and normalised (Garner, 2007; Hartmann, Gerteis and Croll, 2009; </w:t>
      </w:r>
      <w:bookmarkStart w:id="96" w:name="_Hlk58867324"/>
      <w:r w:rsidRPr="00BA2696">
        <w:rPr>
          <w:rFonts w:cs="Calibri"/>
          <w:sz w:val="24"/>
          <w:szCs w:val="24"/>
        </w:rPr>
        <w:t xml:space="preserve">Ryde, 2009; Clarke and Garner, 2010; </w:t>
      </w:r>
      <w:r w:rsidRPr="00BA2696">
        <w:rPr>
          <w:rFonts w:cs="Calibri"/>
          <w:bCs/>
          <w:color w:val="000000"/>
          <w:sz w:val="24"/>
          <w:szCs w:val="24"/>
        </w:rPr>
        <w:t xml:space="preserve">Halley, Eshleman, and Mahadevan-Vijaya, 2011; Hayes </w:t>
      </w:r>
      <w:r w:rsidRPr="00BA2696">
        <w:rPr>
          <w:rFonts w:cs="Calibri"/>
          <w:bCs/>
          <w:i/>
          <w:iCs/>
          <w:color w:val="000000"/>
          <w:sz w:val="24"/>
          <w:szCs w:val="24"/>
        </w:rPr>
        <w:t>et al</w:t>
      </w:r>
      <w:r w:rsidRPr="00BA2696">
        <w:rPr>
          <w:rFonts w:cs="Calibri"/>
          <w:bCs/>
          <w:color w:val="000000"/>
          <w:sz w:val="24"/>
          <w:szCs w:val="24"/>
        </w:rPr>
        <w:t>, 2013; Applebaum, 2016</w:t>
      </w:r>
      <w:bookmarkEnd w:id="96"/>
      <w:r>
        <w:rPr>
          <w:rFonts w:cs="Calibri"/>
          <w:bCs/>
          <w:color w:val="000000"/>
          <w:sz w:val="24"/>
          <w:szCs w:val="24"/>
        </w:rPr>
        <w:t>a</w:t>
      </w:r>
      <w:r w:rsidRPr="00BA2696">
        <w:rPr>
          <w:rFonts w:cs="Calibri"/>
          <w:bCs/>
          <w:color w:val="000000"/>
          <w:sz w:val="24"/>
          <w:szCs w:val="24"/>
        </w:rPr>
        <w:t>). This will be discussed further in Chapter 7 (Section 7.7).</w:t>
      </w:r>
    </w:p>
    <w:p w14:paraId="7D760CBD" w14:textId="77777777" w:rsidR="00A90B05" w:rsidRPr="00BA2696" w:rsidRDefault="00A90B05" w:rsidP="00A90B05">
      <w:pPr>
        <w:suppressAutoHyphens w:val="0"/>
        <w:autoSpaceDN/>
        <w:spacing w:after="0" w:line="480" w:lineRule="auto"/>
        <w:textAlignment w:val="auto"/>
        <w:rPr>
          <w:rFonts w:cs="Calibri"/>
          <w:bCs/>
          <w:color w:val="000000"/>
          <w:sz w:val="24"/>
          <w:szCs w:val="24"/>
        </w:rPr>
      </w:pPr>
    </w:p>
    <w:p w14:paraId="34D39769" w14:textId="77777777" w:rsidR="00A90B05" w:rsidRPr="00BA2696" w:rsidRDefault="00A90B05" w:rsidP="00A90B05">
      <w:pPr>
        <w:suppressAutoHyphens w:val="0"/>
        <w:autoSpaceDN/>
        <w:spacing w:after="0" w:line="480" w:lineRule="auto"/>
        <w:textAlignment w:val="auto"/>
        <w:rPr>
          <w:rFonts w:cs="Calibri"/>
          <w:sz w:val="24"/>
          <w:szCs w:val="24"/>
        </w:rPr>
      </w:pPr>
      <w:r w:rsidRPr="00BA2696">
        <w:rPr>
          <w:rFonts w:cs="Calibri"/>
          <w:sz w:val="24"/>
          <w:szCs w:val="24"/>
        </w:rPr>
        <w:lastRenderedPageBreak/>
        <w:t>In line with the post-critical ethnography’s concept of research as a ‘moral activity’ (Noblit, Flores and Murillo, 2004, p. 24) and to show researcher reflexivity and awareness of the potential impact of researcher positionality, the next chapter will demonstrate limitations of this research (Section 7.8). Alongside this, the implications and recommendations of this research will be outlined (Section 7.8).</w:t>
      </w:r>
    </w:p>
    <w:p w14:paraId="0F21CB2E" w14:textId="77777777" w:rsidR="00413A7C" w:rsidRDefault="00413A7C"/>
    <w:sectPr w:rsidR="00413A7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B9554C"/>
    <w:multiLevelType w:val="hybridMultilevel"/>
    <w:tmpl w:val="1DE07F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8F0090C"/>
    <w:multiLevelType w:val="hybridMultilevel"/>
    <w:tmpl w:val="82C2BFA6"/>
    <w:lvl w:ilvl="0" w:tplc="08090001">
      <w:start w:val="1"/>
      <w:numFmt w:val="bullet"/>
      <w:lvlText w:val=""/>
      <w:lvlJc w:val="left"/>
      <w:pPr>
        <w:ind w:left="1434" w:hanging="360"/>
      </w:pPr>
      <w:rPr>
        <w:rFonts w:ascii="Symbol" w:hAnsi="Symbol" w:hint="default"/>
      </w:rPr>
    </w:lvl>
    <w:lvl w:ilvl="1" w:tplc="08090019" w:tentative="1">
      <w:start w:val="1"/>
      <w:numFmt w:val="lowerLetter"/>
      <w:lvlText w:val="%2."/>
      <w:lvlJc w:val="left"/>
      <w:pPr>
        <w:ind w:left="2154" w:hanging="360"/>
      </w:pPr>
    </w:lvl>
    <w:lvl w:ilvl="2" w:tplc="0809001B" w:tentative="1">
      <w:start w:val="1"/>
      <w:numFmt w:val="lowerRoman"/>
      <w:lvlText w:val="%3."/>
      <w:lvlJc w:val="right"/>
      <w:pPr>
        <w:ind w:left="2874" w:hanging="180"/>
      </w:pPr>
    </w:lvl>
    <w:lvl w:ilvl="3" w:tplc="0809000F" w:tentative="1">
      <w:start w:val="1"/>
      <w:numFmt w:val="decimal"/>
      <w:lvlText w:val="%4."/>
      <w:lvlJc w:val="left"/>
      <w:pPr>
        <w:ind w:left="3594" w:hanging="360"/>
      </w:pPr>
    </w:lvl>
    <w:lvl w:ilvl="4" w:tplc="08090019" w:tentative="1">
      <w:start w:val="1"/>
      <w:numFmt w:val="lowerLetter"/>
      <w:lvlText w:val="%5."/>
      <w:lvlJc w:val="left"/>
      <w:pPr>
        <w:ind w:left="4314" w:hanging="360"/>
      </w:pPr>
    </w:lvl>
    <w:lvl w:ilvl="5" w:tplc="0809001B" w:tentative="1">
      <w:start w:val="1"/>
      <w:numFmt w:val="lowerRoman"/>
      <w:lvlText w:val="%6."/>
      <w:lvlJc w:val="right"/>
      <w:pPr>
        <w:ind w:left="5034" w:hanging="180"/>
      </w:pPr>
    </w:lvl>
    <w:lvl w:ilvl="6" w:tplc="0809000F" w:tentative="1">
      <w:start w:val="1"/>
      <w:numFmt w:val="decimal"/>
      <w:lvlText w:val="%7."/>
      <w:lvlJc w:val="left"/>
      <w:pPr>
        <w:ind w:left="5754" w:hanging="360"/>
      </w:pPr>
    </w:lvl>
    <w:lvl w:ilvl="7" w:tplc="08090019" w:tentative="1">
      <w:start w:val="1"/>
      <w:numFmt w:val="lowerLetter"/>
      <w:lvlText w:val="%8."/>
      <w:lvlJc w:val="left"/>
      <w:pPr>
        <w:ind w:left="6474" w:hanging="360"/>
      </w:pPr>
    </w:lvl>
    <w:lvl w:ilvl="8" w:tplc="0809001B" w:tentative="1">
      <w:start w:val="1"/>
      <w:numFmt w:val="lowerRoman"/>
      <w:lvlText w:val="%9."/>
      <w:lvlJc w:val="right"/>
      <w:pPr>
        <w:ind w:left="7194" w:hanging="180"/>
      </w:pPr>
    </w:lvl>
  </w:abstractNum>
  <w:abstractNum w:abstractNumId="2" w15:restartNumberingAfterBreak="0">
    <w:nsid w:val="09EF4405"/>
    <w:multiLevelType w:val="hybridMultilevel"/>
    <w:tmpl w:val="89F4E7D2"/>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A7D0DDD"/>
    <w:multiLevelType w:val="multilevel"/>
    <w:tmpl w:val="C35AD8E6"/>
    <w:lvl w:ilvl="0">
      <w:start w:val="1"/>
      <w:numFmt w:val="decimal"/>
      <w:lvlText w:val="%1."/>
      <w:lvlJc w:val="left"/>
      <w:pPr>
        <w:ind w:left="720" w:hanging="360"/>
      </w:pPr>
      <w:rPr>
        <w:rFonts w:hint="default"/>
      </w:rPr>
    </w:lvl>
    <w:lvl w:ilvl="1">
      <w:start w:val="2"/>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4" w15:restartNumberingAfterBreak="0">
    <w:nsid w:val="0ADC462D"/>
    <w:multiLevelType w:val="hybridMultilevel"/>
    <w:tmpl w:val="3F4E14A4"/>
    <w:lvl w:ilvl="0" w:tplc="08090001">
      <w:start w:val="1"/>
      <w:numFmt w:val="bullet"/>
      <w:lvlText w:val=""/>
      <w:lvlJc w:val="left"/>
      <w:pPr>
        <w:ind w:left="1080" w:hanging="72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2BC7157"/>
    <w:multiLevelType w:val="multilevel"/>
    <w:tmpl w:val="E7CE6CBC"/>
    <w:lvl w:ilvl="0">
      <w:start w:val="2"/>
      <w:numFmt w:val="decimal"/>
      <w:lvlText w:val="%1"/>
      <w:lvlJc w:val="left"/>
      <w:pPr>
        <w:ind w:left="560" w:hanging="560"/>
      </w:pPr>
      <w:rPr>
        <w:rFonts w:hint="default"/>
      </w:rPr>
    </w:lvl>
    <w:lvl w:ilvl="1">
      <w:start w:val="1"/>
      <w:numFmt w:val="decimal"/>
      <w:lvlText w:val="%1.%2"/>
      <w:lvlJc w:val="left"/>
      <w:pPr>
        <w:ind w:left="560" w:hanging="560"/>
      </w:pPr>
      <w:rPr>
        <w:rFonts w:hint="default"/>
      </w:rPr>
    </w:lvl>
    <w:lvl w:ilvl="2">
      <w:start w:val="6"/>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6" w15:restartNumberingAfterBreak="0">
    <w:nsid w:val="13804797"/>
    <w:multiLevelType w:val="multilevel"/>
    <w:tmpl w:val="75AA7C22"/>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7" w15:restartNumberingAfterBreak="0">
    <w:nsid w:val="16F435A1"/>
    <w:multiLevelType w:val="hybridMultilevel"/>
    <w:tmpl w:val="4626A44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17FD0867"/>
    <w:multiLevelType w:val="hybridMultilevel"/>
    <w:tmpl w:val="011A954A"/>
    <w:lvl w:ilvl="0" w:tplc="11229894">
      <w:start w:val="1"/>
      <w:numFmt w:val="bullet"/>
      <w:lvlText w:val=""/>
      <w:lvlJc w:val="left"/>
      <w:pPr>
        <w:ind w:left="720" w:hanging="360"/>
      </w:pPr>
      <w:rPr>
        <w:rFonts w:ascii="Symbol" w:hAnsi="Symbol" w:hint="default"/>
        <w:color w:val="0070C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90D355D"/>
    <w:multiLevelType w:val="hybridMultilevel"/>
    <w:tmpl w:val="C13E0A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CAE7480"/>
    <w:multiLevelType w:val="hybridMultilevel"/>
    <w:tmpl w:val="5BFA0EA2"/>
    <w:lvl w:ilvl="0" w:tplc="0809001B">
      <w:start w:val="1"/>
      <w:numFmt w:val="lowerRoman"/>
      <w:lvlText w:val="%1."/>
      <w:lvlJc w:val="right"/>
      <w:pPr>
        <w:ind w:left="1434" w:hanging="360"/>
      </w:pPr>
    </w:lvl>
    <w:lvl w:ilvl="1" w:tplc="08090019" w:tentative="1">
      <w:start w:val="1"/>
      <w:numFmt w:val="lowerLetter"/>
      <w:lvlText w:val="%2."/>
      <w:lvlJc w:val="left"/>
      <w:pPr>
        <w:ind w:left="2154" w:hanging="360"/>
      </w:pPr>
    </w:lvl>
    <w:lvl w:ilvl="2" w:tplc="0809001B" w:tentative="1">
      <w:start w:val="1"/>
      <w:numFmt w:val="lowerRoman"/>
      <w:lvlText w:val="%3."/>
      <w:lvlJc w:val="right"/>
      <w:pPr>
        <w:ind w:left="2874" w:hanging="180"/>
      </w:pPr>
    </w:lvl>
    <w:lvl w:ilvl="3" w:tplc="0809000F" w:tentative="1">
      <w:start w:val="1"/>
      <w:numFmt w:val="decimal"/>
      <w:lvlText w:val="%4."/>
      <w:lvlJc w:val="left"/>
      <w:pPr>
        <w:ind w:left="3594" w:hanging="360"/>
      </w:pPr>
    </w:lvl>
    <w:lvl w:ilvl="4" w:tplc="08090019" w:tentative="1">
      <w:start w:val="1"/>
      <w:numFmt w:val="lowerLetter"/>
      <w:lvlText w:val="%5."/>
      <w:lvlJc w:val="left"/>
      <w:pPr>
        <w:ind w:left="4314" w:hanging="360"/>
      </w:pPr>
    </w:lvl>
    <w:lvl w:ilvl="5" w:tplc="0809001B" w:tentative="1">
      <w:start w:val="1"/>
      <w:numFmt w:val="lowerRoman"/>
      <w:lvlText w:val="%6."/>
      <w:lvlJc w:val="right"/>
      <w:pPr>
        <w:ind w:left="5034" w:hanging="180"/>
      </w:pPr>
    </w:lvl>
    <w:lvl w:ilvl="6" w:tplc="0809000F" w:tentative="1">
      <w:start w:val="1"/>
      <w:numFmt w:val="decimal"/>
      <w:lvlText w:val="%7."/>
      <w:lvlJc w:val="left"/>
      <w:pPr>
        <w:ind w:left="5754" w:hanging="360"/>
      </w:pPr>
    </w:lvl>
    <w:lvl w:ilvl="7" w:tplc="08090019" w:tentative="1">
      <w:start w:val="1"/>
      <w:numFmt w:val="lowerLetter"/>
      <w:lvlText w:val="%8."/>
      <w:lvlJc w:val="left"/>
      <w:pPr>
        <w:ind w:left="6474" w:hanging="360"/>
      </w:pPr>
    </w:lvl>
    <w:lvl w:ilvl="8" w:tplc="0809001B" w:tentative="1">
      <w:start w:val="1"/>
      <w:numFmt w:val="lowerRoman"/>
      <w:lvlText w:val="%9."/>
      <w:lvlJc w:val="right"/>
      <w:pPr>
        <w:ind w:left="7194" w:hanging="180"/>
      </w:pPr>
    </w:lvl>
  </w:abstractNum>
  <w:abstractNum w:abstractNumId="11" w15:restartNumberingAfterBreak="0">
    <w:nsid w:val="2733087C"/>
    <w:multiLevelType w:val="hybridMultilevel"/>
    <w:tmpl w:val="36AA9A5A"/>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12" w15:restartNumberingAfterBreak="0">
    <w:nsid w:val="27743DAD"/>
    <w:multiLevelType w:val="hybridMultilevel"/>
    <w:tmpl w:val="7F3CB3E6"/>
    <w:lvl w:ilvl="0" w:tplc="93A24F8E">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3" w15:restartNumberingAfterBreak="0">
    <w:nsid w:val="28C60046"/>
    <w:multiLevelType w:val="hybridMultilevel"/>
    <w:tmpl w:val="47BAFEA6"/>
    <w:lvl w:ilvl="0" w:tplc="B3B6F160">
      <w:start w:val="1"/>
      <w:numFmt w:val="bullet"/>
      <w:lvlText w:val="•"/>
      <w:lvlJc w:val="left"/>
      <w:pPr>
        <w:tabs>
          <w:tab w:val="num" w:pos="720"/>
        </w:tabs>
        <w:ind w:left="720" w:hanging="360"/>
      </w:pPr>
      <w:rPr>
        <w:rFonts w:ascii="Times New Roman" w:hAnsi="Times New Roman" w:hint="default"/>
      </w:rPr>
    </w:lvl>
    <w:lvl w:ilvl="1" w:tplc="A39647BC" w:tentative="1">
      <w:start w:val="1"/>
      <w:numFmt w:val="bullet"/>
      <w:lvlText w:val="•"/>
      <w:lvlJc w:val="left"/>
      <w:pPr>
        <w:tabs>
          <w:tab w:val="num" w:pos="1440"/>
        </w:tabs>
        <w:ind w:left="1440" w:hanging="360"/>
      </w:pPr>
      <w:rPr>
        <w:rFonts w:ascii="Times New Roman" w:hAnsi="Times New Roman" w:hint="default"/>
      </w:rPr>
    </w:lvl>
    <w:lvl w:ilvl="2" w:tplc="5584345C" w:tentative="1">
      <w:start w:val="1"/>
      <w:numFmt w:val="bullet"/>
      <w:lvlText w:val="•"/>
      <w:lvlJc w:val="left"/>
      <w:pPr>
        <w:tabs>
          <w:tab w:val="num" w:pos="2160"/>
        </w:tabs>
        <w:ind w:left="2160" w:hanging="360"/>
      </w:pPr>
      <w:rPr>
        <w:rFonts w:ascii="Times New Roman" w:hAnsi="Times New Roman" w:hint="default"/>
      </w:rPr>
    </w:lvl>
    <w:lvl w:ilvl="3" w:tplc="236C3202" w:tentative="1">
      <w:start w:val="1"/>
      <w:numFmt w:val="bullet"/>
      <w:lvlText w:val="•"/>
      <w:lvlJc w:val="left"/>
      <w:pPr>
        <w:tabs>
          <w:tab w:val="num" w:pos="2880"/>
        </w:tabs>
        <w:ind w:left="2880" w:hanging="360"/>
      </w:pPr>
      <w:rPr>
        <w:rFonts w:ascii="Times New Roman" w:hAnsi="Times New Roman" w:hint="default"/>
      </w:rPr>
    </w:lvl>
    <w:lvl w:ilvl="4" w:tplc="0008A8B0" w:tentative="1">
      <w:start w:val="1"/>
      <w:numFmt w:val="bullet"/>
      <w:lvlText w:val="•"/>
      <w:lvlJc w:val="left"/>
      <w:pPr>
        <w:tabs>
          <w:tab w:val="num" w:pos="3600"/>
        </w:tabs>
        <w:ind w:left="3600" w:hanging="360"/>
      </w:pPr>
      <w:rPr>
        <w:rFonts w:ascii="Times New Roman" w:hAnsi="Times New Roman" w:hint="default"/>
      </w:rPr>
    </w:lvl>
    <w:lvl w:ilvl="5" w:tplc="E7507498" w:tentative="1">
      <w:start w:val="1"/>
      <w:numFmt w:val="bullet"/>
      <w:lvlText w:val="•"/>
      <w:lvlJc w:val="left"/>
      <w:pPr>
        <w:tabs>
          <w:tab w:val="num" w:pos="4320"/>
        </w:tabs>
        <w:ind w:left="4320" w:hanging="360"/>
      </w:pPr>
      <w:rPr>
        <w:rFonts w:ascii="Times New Roman" w:hAnsi="Times New Roman" w:hint="default"/>
      </w:rPr>
    </w:lvl>
    <w:lvl w:ilvl="6" w:tplc="6D1648EA" w:tentative="1">
      <w:start w:val="1"/>
      <w:numFmt w:val="bullet"/>
      <w:lvlText w:val="•"/>
      <w:lvlJc w:val="left"/>
      <w:pPr>
        <w:tabs>
          <w:tab w:val="num" w:pos="5040"/>
        </w:tabs>
        <w:ind w:left="5040" w:hanging="360"/>
      </w:pPr>
      <w:rPr>
        <w:rFonts w:ascii="Times New Roman" w:hAnsi="Times New Roman" w:hint="default"/>
      </w:rPr>
    </w:lvl>
    <w:lvl w:ilvl="7" w:tplc="8C38CC66" w:tentative="1">
      <w:start w:val="1"/>
      <w:numFmt w:val="bullet"/>
      <w:lvlText w:val="•"/>
      <w:lvlJc w:val="left"/>
      <w:pPr>
        <w:tabs>
          <w:tab w:val="num" w:pos="5760"/>
        </w:tabs>
        <w:ind w:left="5760" w:hanging="360"/>
      </w:pPr>
      <w:rPr>
        <w:rFonts w:ascii="Times New Roman" w:hAnsi="Times New Roman" w:hint="default"/>
      </w:rPr>
    </w:lvl>
    <w:lvl w:ilvl="8" w:tplc="DDF23C9A" w:tentative="1">
      <w:start w:val="1"/>
      <w:numFmt w:val="bullet"/>
      <w:lvlText w:val="•"/>
      <w:lvlJc w:val="left"/>
      <w:pPr>
        <w:tabs>
          <w:tab w:val="num" w:pos="6480"/>
        </w:tabs>
        <w:ind w:left="6480" w:hanging="360"/>
      </w:pPr>
      <w:rPr>
        <w:rFonts w:ascii="Times New Roman" w:hAnsi="Times New Roman" w:hint="default"/>
      </w:rPr>
    </w:lvl>
  </w:abstractNum>
  <w:abstractNum w:abstractNumId="14" w15:restartNumberingAfterBreak="0">
    <w:nsid w:val="2E2E5DD4"/>
    <w:multiLevelType w:val="hybridMultilevel"/>
    <w:tmpl w:val="BE461B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11F3FAC"/>
    <w:multiLevelType w:val="hybridMultilevel"/>
    <w:tmpl w:val="DC16B8B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3147243B"/>
    <w:multiLevelType w:val="multilevel"/>
    <w:tmpl w:val="28BC2B90"/>
    <w:lvl w:ilvl="0">
      <w:start w:val="2"/>
      <w:numFmt w:val="decimal"/>
      <w:lvlText w:val="%1"/>
      <w:lvlJc w:val="left"/>
      <w:pPr>
        <w:ind w:left="380" w:hanging="380"/>
      </w:pPr>
      <w:rPr>
        <w:rFonts w:hint="default"/>
      </w:rPr>
    </w:lvl>
    <w:lvl w:ilvl="1">
      <w:start w:val="1"/>
      <w:numFmt w:val="decimal"/>
      <w:lvlText w:val="%1.%2"/>
      <w:lvlJc w:val="left"/>
      <w:pPr>
        <w:ind w:left="380" w:hanging="38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17" w15:restartNumberingAfterBreak="0">
    <w:nsid w:val="398E2E20"/>
    <w:multiLevelType w:val="hybridMultilevel"/>
    <w:tmpl w:val="4626A44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41EE0C84"/>
    <w:multiLevelType w:val="hybridMultilevel"/>
    <w:tmpl w:val="ABD6C338"/>
    <w:lvl w:ilvl="0" w:tplc="08090001">
      <w:start w:val="1"/>
      <w:numFmt w:val="bullet"/>
      <w:lvlText w:val=""/>
      <w:lvlJc w:val="left"/>
      <w:pPr>
        <w:ind w:left="1434" w:hanging="360"/>
      </w:pPr>
      <w:rPr>
        <w:rFonts w:ascii="Symbol" w:hAnsi="Symbol" w:hint="default"/>
      </w:rPr>
    </w:lvl>
    <w:lvl w:ilvl="1" w:tplc="08090019" w:tentative="1">
      <w:start w:val="1"/>
      <w:numFmt w:val="lowerLetter"/>
      <w:lvlText w:val="%2."/>
      <w:lvlJc w:val="left"/>
      <w:pPr>
        <w:ind w:left="2154" w:hanging="360"/>
      </w:pPr>
    </w:lvl>
    <w:lvl w:ilvl="2" w:tplc="0809001B" w:tentative="1">
      <w:start w:val="1"/>
      <w:numFmt w:val="lowerRoman"/>
      <w:lvlText w:val="%3."/>
      <w:lvlJc w:val="right"/>
      <w:pPr>
        <w:ind w:left="2874" w:hanging="180"/>
      </w:pPr>
    </w:lvl>
    <w:lvl w:ilvl="3" w:tplc="0809000F" w:tentative="1">
      <w:start w:val="1"/>
      <w:numFmt w:val="decimal"/>
      <w:lvlText w:val="%4."/>
      <w:lvlJc w:val="left"/>
      <w:pPr>
        <w:ind w:left="3594" w:hanging="360"/>
      </w:pPr>
    </w:lvl>
    <w:lvl w:ilvl="4" w:tplc="08090019" w:tentative="1">
      <w:start w:val="1"/>
      <w:numFmt w:val="lowerLetter"/>
      <w:lvlText w:val="%5."/>
      <w:lvlJc w:val="left"/>
      <w:pPr>
        <w:ind w:left="4314" w:hanging="360"/>
      </w:pPr>
    </w:lvl>
    <w:lvl w:ilvl="5" w:tplc="0809001B" w:tentative="1">
      <w:start w:val="1"/>
      <w:numFmt w:val="lowerRoman"/>
      <w:lvlText w:val="%6."/>
      <w:lvlJc w:val="right"/>
      <w:pPr>
        <w:ind w:left="5034" w:hanging="180"/>
      </w:pPr>
    </w:lvl>
    <w:lvl w:ilvl="6" w:tplc="0809000F" w:tentative="1">
      <w:start w:val="1"/>
      <w:numFmt w:val="decimal"/>
      <w:lvlText w:val="%7."/>
      <w:lvlJc w:val="left"/>
      <w:pPr>
        <w:ind w:left="5754" w:hanging="360"/>
      </w:pPr>
    </w:lvl>
    <w:lvl w:ilvl="7" w:tplc="08090019" w:tentative="1">
      <w:start w:val="1"/>
      <w:numFmt w:val="lowerLetter"/>
      <w:lvlText w:val="%8."/>
      <w:lvlJc w:val="left"/>
      <w:pPr>
        <w:ind w:left="6474" w:hanging="360"/>
      </w:pPr>
    </w:lvl>
    <w:lvl w:ilvl="8" w:tplc="0809001B" w:tentative="1">
      <w:start w:val="1"/>
      <w:numFmt w:val="lowerRoman"/>
      <w:lvlText w:val="%9."/>
      <w:lvlJc w:val="right"/>
      <w:pPr>
        <w:ind w:left="7194" w:hanging="180"/>
      </w:pPr>
    </w:lvl>
  </w:abstractNum>
  <w:abstractNum w:abstractNumId="19" w15:restartNumberingAfterBreak="0">
    <w:nsid w:val="450877DB"/>
    <w:multiLevelType w:val="multilevel"/>
    <w:tmpl w:val="A238DA9E"/>
    <w:lvl w:ilvl="0">
      <w:start w:val="1"/>
      <w:numFmt w:val="decimal"/>
      <w:lvlText w:val="%1."/>
      <w:lvlJc w:val="left"/>
      <w:pPr>
        <w:ind w:left="360" w:hanging="360"/>
      </w:pPr>
      <w:rPr>
        <w:rFonts w:hint="default"/>
      </w:rPr>
    </w:lvl>
    <w:lvl w:ilvl="1">
      <w:start w:val="12"/>
      <w:numFmt w:val="decimal"/>
      <w:isLgl/>
      <w:lvlText w:val="%1.%2"/>
      <w:lvlJc w:val="left"/>
      <w:pPr>
        <w:ind w:left="480" w:hanging="48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720" w:hanging="72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080" w:hanging="1080"/>
      </w:pPr>
      <w:rPr>
        <w:rFonts w:hint="default"/>
      </w:rPr>
    </w:lvl>
    <w:lvl w:ilvl="6">
      <w:start w:val="1"/>
      <w:numFmt w:val="decimal"/>
      <w:isLgl/>
      <w:lvlText w:val="%1.%2.%3.%4.%5.%6.%7"/>
      <w:lvlJc w:val="left"/>
      <w:pPr>
        <w:ind w:left="1440" w:hanging="1440"/>
      </w:pPr>
      <w:rPr>
        <w:rFonts w:hint="default"/>
      </w:rPr>
    </w:lvl>
    <w:lvl w:ilvl="7">
      <w:start w:val="1"/>
      <w:numFmt w:val="decimal"/>
      <w:isLgl/>
      <w:lvlText w:val="%1.%2.%3.%4.%5.%6.%7.%8"/>
      <w:lvlJc w:val="left"/>
      <w:pPr>
        <w:ind w:left="1440" w:hanging="1440"/>
      </w:pPr>
      <w:rPr>
        <w:rFonts w:hint="default"/>
      </w:rPr>
    </w:lvl>
    <w:lvl w:ilvl="8">
      <w:start w:val="1"/>
      <w:numFmt w:val="decimal"/>
      <w:isLgl/>
      <w:lvlText w:val="%1.%2.%3.%4.%5.%6.%7.%8.%9"/>
      <w:lvlJc w:val="left"/>
      <w:pPr>
        <w:ind w:left="1800" w:hanging="1800"/>
      </w:pPr>
      <w:rPr>
        <w:rFonts w:hint="default"/>
      </w:rPr>
    </w:lvl>
  </w:abstractNum>
  <w:abstractNum w:abstractNumId="20" w15:restartNumberingAfterBreak="0">
    <w:nsid w:val="46363E8B"/>
    <w:multiLevelType w:val="hybridMultilevel"/>
    <w:tmpl w:val="1DBC1678"/>
    <w:lvl w:ilvl="0" w:tplc="08090001">
      <w:start w:val="1"/>
      <w:numFmt w:val="bullet"/>
      <w:lvlText w:val=""/>
      <w:lvlJc w:val="left"/>
      <w:pPr>
        <w:ind w:left="1080" w:hanging="360"/>
      </w:pPr>
      <w:rPr>
        <w:rFonts w:ascii="Symbol" w:hAnsi="Symbol" w:cs="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cs="Wingdings" w:hint="default"/>
      </w:rPr>
    </w:lvl>
    <w:lvl w:ilvl="3" w:tplc="08090001" w:tentative="1">
      <w:start w:val="1"/>
      <w:numFmt w:val="bullet"/>
      <w:lvlText w:val=""/>
      <w:lvlJc w:val="left"/>
      <w:pPr>
        <w:ind w:left="3240" w:hanging="360"/>
      </w:pPr>
      <w:rPr>
        <w:rFonts w:ascii="Symbol" w:hAnsi="Symbol" w:cs="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cs="Wingdings" w:hint="default"/>
      </w:rPr>
    </w:lvl>
    <w:lvl w:ilvl="6" w:tplc="08090001" w:tentative="1">
      <w:start w:val="1"/>
      <w:numFmt w:val="bullet"/>
      <w:lvlText w:val=""/>
      <w:lvlJc w:val="left"/>
      <w:pPr>
        <w:ind w:left="5400" w:hanging="360"/>
      </w:pPr>
      <w:rPr>
        <w:rFonts w:ascii="Symbol" w:hAnsi="Symbol" w:cs="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cs="Wingdings" w:hint="default"/>
      </w:rPr>
    </w:lvl>
  </w:abstractNum>
  <w:abstractNum w:abstractNumId="21" w15:restartNumberingAfterBreak="0">
    <w:nsid w:val="484A05D5"/>
    <w:multiLevelType w:val="hybridMultilevel"/>
    <w:tmpl w:val="7E286A1A"/>
    <w:lvl w:ilvl="0" w:tplc="BFC8F8AA">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494926F6"/>
    <w:multiLevelType w:val="hybridMultilevel"/>
    <w:tmpl w:val="BCE4FB96"/>
    <w:lvl w:ilvl="0" w:tplc="08090011">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3" w15:restartNumberingAfterBreak="0">
    <w:nsid w:val="4CC7308E"/>
    <w:multiLevelType w:val="hybridMultilevel"/>
    <w:tmpl w:val="FFC6E7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4DB60463"/>
    <w:multiLevelType w:val="hybridMultilevel"/>
    <w:tmpl w:val="00C8479A"/>
    <w:lvl w:ilvl="0" w:tplc="0809001B">
      <w:start w:val="1"/>
      <w:numFmt w:val="lowerRoman"/>
      <w:lvlText w:val="%1."/>
      <w:lvlJc w:val="right"/>
      <w:pPr>
        <w:ind w:left="1434" w:hanging="360"/>
      </w:pPr>
    </w:lvl>
    <w:lvl w:ilvl="1" w:tplc="08090019" w:tentative="1">
      <w:start w:val="1"/>
      <w:numFmt w:val="lowerLetter"/>
      <w:lvlText w:val="%2."/>
      <w:lvlJc w:val="left"/>
      <w:pPr>
        <w:ind w:left="2154" w:hanging="360"/>
      </w:pPr>
    </w:lvl>
    <w:lvl w:ilvl="2" w:tplc="0809001B" w:tentative="1">
      <w:start w:val="1"/>
      <w:numFmt w:val="lowerRoman"/>
      <w:lvlText w:val="%3."/>
      <w:lvlJc w:val="right"/>
      <w:pPr>
        <w:ind w:left="2874" w:hanging="180"/>
      </w:pPr>
    </w:lvl>
    <w:lvl w:ilvl="3" w:tplc="0809000F" w:tentative="1">
      <w:start w:val="1"/>
      <w:numFmt w:val="decimal"/>
      <w:lvlText w:val="%4."/>
      <w:lvlJc w:val="left"/>
      <w:pPr>
        <w:ind w:left="3594" w:hanging="360"/>
      </w:pPr>
    </w:lvl>
    <w:lvl w:ilvl="4" w:tplc="08090019" w:tentative="1">
      <w:start w:val="1"/>
      <w:numFmt w:val="lowerLetter"/>
      <w:lvlText w:val="%5."/>
      <w:lvlJc w:val="left"/>
      <w:pPr>
        <w:ind w:left="4314" w:hanging="360"/>
      </w:pPr>
    </w:lvl>
    <w:lvl w:ilvl="5" w:tplc="0809001B" w:tentative="1">
      <w:start w:val="1"/>
      <w:numFmt w:val="lowerRoman"/>
      <w:lvlText w:val="%6."/>
      <w:lvlJc w:val="right"/>
      <w:pPr>
        <w:ind w:left="5034" w:hanging="180"/>
      </w:pPr>
    </w:lvl>
    <w:lvl w:ilvl="6" w:tplc="0809000F" w:tentative="1">
      <w:start w:val="1"/>
      <w:numFmt w:val="decimal"/>
      <w:lvlText w:val="%7."/>
      <w:lvlJc w:val="left"/>
      <w:pPr>
        <w:ind w:left="5754" w:hanging="360"/>
      </w:pPr>
    </w:lvl>
    <w:lvl w:ilvl="7" w:tplc="08090019" w:tentative="1">
      <w:start w:val="1"/>
      <w:numFmt w:val="lowerLetter"/>
      <w:lvlText w:val="%8."/>
      <w:lvlJc w:val="left"/>
      <w:pPr>
        <w:ind w:left="6474" w:hanging="360"/>
      </w:pPr>
    </w:lvl>
    <w:lvl w:ilvl="8" w:tplc="0809001B" w:tentative="1">
      <w:start w:val="1"/>
      <w:numFmt w:val="lowerRoman"/>
      <w:lvlText w:val="%9."/>
      <w:lvlJc w:val="right"/>
      <w:pPr>
        <w:ind w:left="7194" w:hanging="180"/>
      </w:pPr>
    </w:lvl>
  </w:abstractNum>
  <w:abstractNum w:abstractNumId="25" w15:restartNumberingAfterBreak="0">
    <w:nsid w:val="4E3B763B"/>
    <w:multiLevelType w:val="hybridMultilevel"/>
    <w:tmpl w:val="4626A44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516F47AE"/>
    <w:multiLevelType w:val="hybridMultilevel"/>
    <w:tmpl w:val="59FA1E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51DD59DE"/>
    <w:multiLevelType w:val="hybridMultilevel"/>
    <w:tmpl w:val="EBA83D0E"/>
    <w:lvl w:ilvl="0" w:tplc="08090003">
      <w:start w:val="1"/>
      <w:numFmt w:val="bullet"/>
      <w:lvlText w:val="o"/>
      <w:lvlJc w:val="left"/>
      <w:pPr>
        <w:ind w:left="1500" w:hanging="360"/>
      </w:pPr>
      <w:rPr>
        <w:rFonts w:ascii="Courier New" w:hAnsi="Courier New" w:cs="Courier New" w:hint="default"/>
      </w:rPr>
    </w:lvl>
    <w:lvl w:ilvl="1" w:tplc="08090003" w:tentative="1">
      <w:start w:val="1"/>
      <w:numFmt w:val="bullet"/>
      <w:lvlText w:val="o"/>
      <w:lvlJc w:val="left"/>
      <w:pPr>
        <w:ind w:left="2220" w:hanging="360"/>
      </w:pPr>
      <w:rPr>
        <w:rFonts w:ascii="Courier New" w:hAnsi="Courier New" w:cs="Courier New" w:hint="default"/>
      </w:rPr>
    </w:lvl>
    <w:lvl w:ilvl="2" w:tplc="08090005" w:tentative="1">
      <w:start w:val="1"/>
      <w:numFmt w:val="bullet"/>
      <w:lvlText w:val=""/>
      <w:lvlJc w:val="left"/>
      <w:pPr>
        <w:ind w:left="2940" w:hanging="360"/>
      </w:pPr>
      <w:rPr>
        <w:rFonts w:ascii="Wingdings" w:hAnsi="Wingdings" w:hint="default"/>
      </w:rPr>
    </w:lvl>
    <w:lvl w:ilvl="3" w:tplc="08090001" w:tentative="1">
      <w:start w:val="1"/>
      <w:numFmt w:val="bullet"/>
      <w:lvlText w:val=""/>
      <w:lvlJc w:val="left"/>
      <w:pPr>
        <w:ind w:left="3660" w:hanging="360"/>
      </w:pPr>
      <w:rPr>
        <w:rFonts w:ascii="Symbol" w:hAnsi="Symbol" w:hint="default"/>
      </w:rPr>
    </w:lvl>
    <w:lvl w:ilvl="4" w:tplc="08090003" w:tentative="1">
      <w:start w:val="1"/>
      <w:numFmt w:val="bullet"/>
      <w:lvlText w:val="o"/>
      <w:lvlJc w:val="left"/>
      <w:pPr>
        <w:ind w:left="4380" w:hanging="360"/>
      </w:pPr>
      <w:rPr>
        <w:rFonts w:ascii="Courier New" w:hAnsi="Courier New" w:cs="Courier New" w:hint="default"/>
      </w:rPr>
    </w:lvl>
    <w:lvl w:ilvl="5" w:tplc="08090005" w:tentative="1">
      <w:start w:val="1"/>
      <w:numFmt w:val="bullet"/>
      <w:lvlText w:val=""/>
      <w:lvlJc w:val="left"/>
      <w:pPr>
        <w:ind w:left="5100" w:hanging="360"/>
      </w:pPr>
      <w:rPr>
        <w:rFonts w:ascii="Wingdings" w:hAnsi="Wingdings" w:hint="default"/>
      </w:rPr>
    </w:lvl>
    <w:lvl w:ilvl="6" w:tplc="08090001" w:tentative="1">
      <w:start w:val="1"/>
      <w:numFmt w:val="bullet"/>
      <w:lvlText w:val=""/>
      <w:lvlJc w:val="left"/>
      <w:pPr>
        <w:ind w:left="5820" w:hanging="360"/>
      </w:pPr>
      <w:rPr>
        <w:rFonts w:ascii="Symbol" w:hAnsi="Symbol" w:hint="default"/>
      </w:rPr>
    </w:lvl>
    <w:lvl w:ilvl="7" w:tplc="08090003" w:tentative="1">
      <w:start w:val="1"/>
      <w:numFmt w:val="bullet"/>
      <w:lvlText w:val="o"/>
      <w:lvlJc w:val="left"/>
      <w:pPr>
        <w:ind w:left="6540" w:hanging="360"/>
      </w:pPr>
      <w:rPr>
        <w:rFonts w:ascii="Courier New" w:hAnsi="Courier New" w:cs="Courier New" w:hint="default"/>
      </w:rPr>
    </w:lvl>
    <w:lvl w:ilvl="8" w:tplc="08090005" w:tentative="1">
      <w:start w:val="1"/>
      <w:numFmt w:val="bullet"/>
      <w:lvlText w:val=""/>
      <w:lvlJc w:val="left"/>
      <w:pPr>
        <w:ind w:left="7260" w:hanging="360"/>
      </w:pPr>
      <w:rPr>
        <w:rFonts w:ascii="Wingdings" w:hAnsi="Wingdings" w:hint="default"/>
      </w:rPr>
    </w:lvl>
  </w:abstractNum>
  <w:abstractNum w:abstractNumId="28" w15:restartNumberingAfterBreak="0">
    <w:nsid w:val="5A983442"/>
    <w:multiLevelType w:val="hybridMultilevel"/>
    <w:tmpl w:val="1D500462"/>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9" w15:restartNumberingAfterBreak="0">
    <w:nsid w:val="5ADD1C78"/>
    <w:multiLevelType w:val="multilevel"/>
    <w:tmpl w:val="DAB8476C"/>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30" w15:restartNumberingAfterBreak="0">
    <w:nsid w:val="5CF578A0"/>
    <w:multiLevelType w:val="hybridMultilevel"/>
    <w:tmpl w:val="416EAC6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5E0C3F11"/>
    <w:multiLevelType w:val="hybridMultilevel"/>
    <w:tmpl w:val="2E8E74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5F2B3A4D"/>
    <w:multiLevelType w:val="hybridMultilevel"/>
    <w:tmpl w:val="D0B691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5FE47FF6"/>
    <w:multiLevelType w:val="hybridMultilevel"/>
    <w:tmpl w:val="C706E2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63087233"/>
    <w:multiLevelType w:val="hybridMultilevel"/>
    <w:tmpl w:val="B48E2A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640271CB"/>
    <w:multiLevelType w:val="hybridMultilevel"/>
    <w:tmpl w:val="7F4299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41C5A3B"/>
    <w:multiLevelType w:val="hybridMultilevel"/>
    <w:tmpl w:val="9A1489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65583320"/>
    <w:multiLevelType w:val="hybridMultilevel"/>
    <w:tmpl w:val="FF2603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6C913645"/>
    <w:multiLevelType w:val="hybridMultilevel"/>
    <w:tmpl w:val="27AC7316"/>
    <w:lvl w:ilvl="0" w:tplc="CD863810">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9" w15:restartNumberingAfterBreak="0">
    <w:nsid w:val="6DE826BC"/>
    <w:multiLevelType w:val="multilevel"/>
    <w:tmpl w:val="44CA59E8"/>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40" w15:restartNumberingAfterBreak="0">
    <w:nsid w:val="756A3481"/>
    <w:multiLevelType w:val="hybridMultilevel"/>
    <w:tmpl w:val="C8EA6B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75F87A82"/>
    <w:multiLevelType w:val="hybridMultilevel"/>
    <w:tmpl w:val="65BA29A6"/>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42" w15:restartNumberingAfterBreak="0">
    <w:nsid w:val="7A3D5034"/>
    <w:multiLevelType w:val="multilevel"/>
    <w:tmpl w:val="20084F24"/>
    <w:lvl w:ilvl="0">
      <w:start w:val="2"/>
      <w:numFmt w:val="decimal"/>
      <w:lvlText w:val="%1"/>
      <w:lvlJc w:val="left"/>
      <w:pPr>
        <w:ind w:left="590" w:hanging="590"/>
      </w:pPr>
      <w:rPr>
        <w:rFonts w:hint="default"/>
      </w:rPr>
    </w:lvl>
    <w:lvl w:ilvl="1">
      <w:start w:val="1"/>
      <w:numFmt w:val="decimal"/>
      <w:lvlText w:val="%1.%2"/>
      <w:lvlJc w:val="left"/>
      <w:pPr>
        <w:ind w:left="590" w:hanging="590"/>
      </w:pPr>
      <w:rPr>
        <w:rFonts w:hint="default"/>
      </w:rPr>
    </w:lvl>
    <w:lvl w:ilvl="2">
      <w:start w:val="2"/>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43" w15:restartNumberingAfterBreak="0">
    <w:nsid w:val="7EF00896"/>
    <w:multiLevelType w:val="hybridMultilevel"/>
    <w:tmpl w:val="13F28A1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num w:numId="1">
    <w:abstractNumId w:val="6"/>
  </w:num>
  <w:num w:numId="2">
    <w:abstractNumId w:val="3"/>
  </w:num>
  <w:num w:numId="3">
    <w:abstractNumId w:val="38"/>
  </w:num>
  <w:num w:numId="4">
    <w:abstractNumId w:val="12"/>
  </w:num>
  <w:num w:numId="5">
    <w:abstractNumId w:val="15"/>
  </w:num>
  <w:num w:numId="6">
    <w:abstractNumId w:val="19"/>
  </w:num>
  <w:num w:numId="7">
    <w:abstractNumId w:val="28"/>
  </w:num>
  <w:num w:numId="8">
    <w:abstractNumId w:val="35"/>
  </w:num>
  <w:num w:numId="9">
    <w:abstractNumId w:val="8"/>
  </w:num>
  <w:num w:numId="10">
    <w:abstractNumId w:val="20"/>
  </w:num>
  <w:num w:numId="11">
    <w:abstractNumId w:val="41"/>
  </w:num>
  <w:num w:numId="12">
    <w:abstractNumId w:val="11"/>
  </w:num>
  <w:num w:numId="13">
    <w:abstractNumId w:val="43"/>
  </w:num>
  <w:num w:numId="14">
    <w:abstractNumId w:val="22"/>
  </w:num>
  <w:num w:numId="15">
    <w:abstractNumId w:val="31"/>
  </w:num>
  <w:num w:numId="16">
    <w:abstractNumId w:val="33"/>
  </w:num>
  <w:num w:numId="17">
    <w:abstractNumId w:val="32"/>
  </w:num>
  <w:num w:numId="18">
    <w:abstractNumId w:val="9"/>
  </w:num>
  <w:num w:numId="19">
    <w:abstractNumId w:val="21"/>
  </w:num>
  <w:num w:numId="20">
    <w:abstractNumId w:val="16"/>
  </w:num>
  <w:num w:numId="21">
    <w:abstractNumId w:val="42"/>
  </w:num>
  <w:num w:numId="22">
    <w:abstractNumId w:val="23"/>
  </w:num>
  <w:num w:numId="23">
    <w:abstractNumId w:val="4"/>
  </w:num>
  <w:num w:numId="24">
    <w:abstractNumId w:val="26"/>
  </w:num>
  <w:num w:numId="25">
    <w:abstractNumId w:val="5"/>
  </w:num>
  <w:num w:numId="26">
    <w:abstractNumId w:val="39"/>
  </w:num>
  <w:num w:numId="27">
    <w:abstractNumId w:val="29"/>
  </w:num>
  <w:num w:numId="28">
    <w:abstractNumId w:val="27"/>
  </w:num>
  <w:num w:numId="29">
    <w:abstractNumId w:val="2"/>
  </w:num>
  <w:num w:numId="30">
    <w:abstractNumId w:val="40"/>
  </w:num>
  <w:num w:numId="31">
    <w:abstractNumId w:val="13"/>
  </w:num>
  <w:num w:numId="32">
    <w:abstractNumId w:val="30"/>
  </w:num>
  <w:num w:numId="33">
    <w:abstractNumId w:val="17"/>
  </w:num>
  <w:num w:numId="34">
    <w:abstractNumId w:val="25"/>
  </w:num>
  <w:num w:numId="35">
    <w:abstractNumId w:val="7"/>
  </w:num>
  <w:num w:numId="36">
    <w:abstractNumId w:val="34"/>
  </w:num>
  <w:num w:numId="37">
    <w:abstractNumId w:val="36"/>
  </w:num>
  <w:num w:numId="38">
    <w:abstractNumId w:val="0"/>
  </w:num>
  <w:num w:numId="39">
    <w:abstractNumId w:val="10"/>
  </w:num>
  <w:num w:numId="40">
    <w:abstractNumId w:val="24"/>
  </w:num>
  <w:num w:numId="41">
    <w:abstractNumId w:val="18"/>
  </w:num>
  <w:num w:numId="42">
    <w:abstractNumId w:val="1"/>
  </w:num>
  <w:num w:numId="43">
    <w:abstractNumId w:val="14"/>
  </w:num>
  <w:num w:numId="44">
    <w:abstractNumId w:val="3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90B05"/>
    <w:rsid w:val="00413A7C"/>
    <w:rsid w:val="00A90B0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1E7AC99"/>
  <w15:chartTrackingRefBased/>
  <w15:docId w15:val="{E30EC283-6CCC-48EF-A561-DA92C410752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0"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90B05"/>
    <w:pPr>
      <w:suppressAutoHyphens/>
      <w:autoSpaceDN w:val="0"/>
      <w:spacing w:line="249" w:lineRule="auto"/>
      <w:textAlignment w:val="baseline"/>
    </w:pPr>
    <w:rPr>
      <w:rFonts w:ascii="Calibri" w:eastAsia="Calibri" w:hAnsi="Calibri" w:cs="Times New Roman"/>
    </w:rPr>
  </w:style>
  <w:style w:type="paragraph" w:styleId="Heading1">
    <w:name w:val="heading 1"/>
    <w:basedOn w:val="Normal"/>
    <w:next w:val="Normal"/>
    <w:link w:val="Heading1Char"/>
    <w:uiPriority w:val="9"/>
    <w:qFormat/>
    <w:rsid w:val="00A90B05"/>
    <w:pPr>
      <w:keepNext/>
      <w:spacing w:before="240" w:after="60"/>
      <w:jc w:val="center"/>
      <w:outlineLvl w:val="0"/>
    </w:pPr>
    <w:rPr>
      <w:rFonts w:ascii="Calibri Light" w:eastAsia="Times New Roman" w:hAnsi="Calibri Light"/>
      <w:sz w:val="32"/>
      <w:szCs w:val="32"/>
      <w:lang w:val="en-US" w:eastAsia="en-GB"/>
    </w:rPr>
  </w:style>
  <w:style w:type="paragraph" w:styleId="Heading2">
    <w:name w:val="heading 2"/>
    <w:aliases w:val="Chapter Title"/>
    <w:basedOn w:val="Normal"/>
    <w:next w:val="Normal"/>
    <w:link w:val="Heading2Char"/>
    <w:uiPriority w:val="9"/>
    <w:unhideWhenUsed/>
    <w:qFormat/>
    <w:rsid w:val="00A90B05"/>
    <w:pPr>
      <w:keepNext/>
      <w:spacing w:before="240" w:after="60" w:line="240" w:lineRule="auto"/>
      <w:outlineLvl w:val="1"/>
    </w:pPr>
    <w:rPr>
      <w:rFonts w:ascii="Calibri Light" w:eastAsia="Times New Roman" w:hAnsi="Calibri Light"/>
      <w:b/>
      <w:bCs/>
      <w:iCs/>
      <w:sz w:val="36"/>
      <w:szCs w:val="28"/>
    </w:rPr>
  </w:style>
  <w:style w:type="paragraph" w:styleId="Heading3">
    <w:name w:val="heading 3"/>
    <w:basedOn w:val="Normal"/>
    <w:next w:val="Normal"/>
    <w:link w:val="Heading3Char"/>
    <w:uiPriority w:val="9"/>
    <w:unhideWhenUsed/>
    <w:qFormat/>
    <w:rsid w:val="00A90B05"/>
    <w:pPr>
      <w:keepNext/>
      <w:spacing w:before="240" w:after="60"/>
      <w:outlineLvl w:val="2"/>
    </w:pPr>
    <w:rPr>
      <w:rFonts w:ascii="Calibri Light" w:eastAsia="Times New Roman" w:hAnsi="Calibri Light"/>
      <w:b/>
      <w:bCs/>
      <w:sz w:val="28"/>
      <w:szCs w:val="26"/>
    </w:rPr>
  </w:style>
  <w:style w:type="paragraph" w:styleId="Heading4">
    <w:name w:val="heading 4"/>
    <w:basedOn w:val="Normal"/>
    <w:next w:val="Normal"/>
    <w:link w:val="Heading4Char"/>
    <w:uiPriority w:val="9"/>
    <w:unhideWhenUsed/>
    <w:qFormat/>
    <w:rsid w:val="00A90B05"/>
    <w:pPr>
      <w:keepNext/>
      <w:spacing w:before="240" w:after="60"/>
      <w:outlineLvl w:val="3"/>
    </w:pPr>
    <w:rPr>
      <w:rFonts w:eastAsia="Times New Roman"/>
      <w:bCs/>
      <w:sz w:val="28"/>
      <w:szCs w:val="28"/>
      <w:u w:val="singl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90B05"/>
    <w:rPr>
      <w:rFonts w:ascii="Calibri Light" w:eastAsia="Times New Roman" w:hAnsi="Calibri Light" w:cs="Times New Roman"/>
      <w:sz w:val="32"/>
      <w:szCs w:val="32"/>
      <w:lang w:val="en-US" w:eastAsia="en-GB"/>
    </w:rPr>
  </w:style>
  <w:style w:type="character" w:customStyle="1" w:styleId="Heading2Char">
    <w:name w:val="Heading 2 Char"/>
    <w:aliases w:val="Chapter Title Char"/>
    <w:basedOn w:val="DefaultParagraphFont"/>
    <w:link w:val="Heading2"/>
    <w:uiPriority w:val="9"/>
    <w:rsid w:val="00A90B05"/>
    <w:rPr>
      <w:rFonts w:ascii="Calibri Light" w:eastAsia="Times New Roman" w:hAnsi="Calibri Light" w:cs="Times New Roman"/>
      <w:b/>
      <w:bCs/>
      <w:iCs/>
      <w:sz w:val="36"/>
      <w:szCs w:val="28"/>
    </w:rPr>
  </w:style>
  <w:style w:type="character" w:customStyle="1" w:styleId="Heading3Char">
    <w:name w:val="Heading 3 Char"/>
    <w:basedOn w:val="DefaultParagraphFont"/>
    <w:link w:val="Heading3"/>
    <w:uiPriority w:val="9"/>
    <w:rsid w:val="00A90B05"/>
    <w:rPr>
      <w:rFonts w:ascii="Calibri Light" w:eastAsia="Times New Roman" w:hAnsi="Calibri Light" w:cs="Times New Roman"/>
      <w:b/>
      <w:bCs/>
      <w:sz w:val="28"/>
      <w:szCs w:val="26"/>
    </w:rPr>
  </w:style>
  <w:style w:type="character" w:customStyle="1" w:styleId="Heading4Char">
    <w:name w:val="Heading 4 Char"/>
    <w:basedOn w:val="DefaultParagraphFont"/>
    <w:link w:val="Heading4"/>
    <w:uiPriority w:val="9"/>
    <w:rsid w:val="00A90B05"/>
    <w:rPr>
      <w:rFonts w:ascii="Calibri" w:eastAsia="Times New Roman" w:hAnsi="Calibri" w:cs="Times New Roman"/>
      <w:bCs/>
      <w:sz w:val="28"/>
      <w:szCs w:val="28"/>
      <w:u w:val="single"/>
    </w:rPr>
  </w:style>
  <w:style w:type="paragraph" w:customStyle="1" w:styleId="Heading11">
    <w:name w:val="Heading 11"/>
    <w:basedOn w:val="Normal"/>
    <w:next w:val="Normal"/>
    <w:rsid w:val="00A90B05"/>
    <w:pPr>
      <w:keepNext/>
      <w:keepLines/>
      <w:spacing w:before="240" w:after="0"/>
      <w:outlineLvl w:val="0"/>
    </w:pPr>
    <w:rPr>
      <w:rFonts w:ascii="Calibri Light" w:eastAsia="Times New Roman" w:hAnsi="Calibri Light"/>
      <w:color w:val="2E74B5"/>
      <w:sz w:val="32"/>
      <w:szCs w:val="32"/>
      <w:lang w:val="en-US"/>
    </w:rPr>
  </w:style>
  <w:style w:type="character" w:customStyle="1" w:styleId="Hyperlink1">
    <w:name w:val="Hyperlink1"/>
    <w:rsid w:val="00A90B05"/>
    <w:rPr>
      <w:color w:val="0563C1"/>
      <w:u w:val="single"/>
    </w:rPr>
  </w:style>
  <w:style w:type="character" w:customStyle="1" w:styleId="UnresolvedMention1">
    <w:name w:val="Unresolved Mention1"/>
    <w:uiPriority w:val="99"/>
    <w:rsid w:val="00A90B05"/>
    <w:rPr>
      <w:color w:val="605E5C"/>
      <w:shd w:val="clear" w:color="auto" w:fill="E1DFDD"/>
    </w:rPr>
  </w:style>
  <w:style w:type="character" w:styleId="PlaceholderText">
    <w:name w:val="Placeholder Text"/>
    <w:uiPriority w:val="99"/>
    <w:rsid w:val="00A90B05"/>
    <w:rPr>
      <w:color w:val="808080"/>
    </w:rPr>
  </w:style>
  <w:style w:type="character" w:customStyle="1" w:styleId="UnresolvedMention2">
    <w:name w:val="Unresolved Mention2"/>
    <w:rsid w:val="00A90B05"/>
    <w:rPr>
      <w:color w:val="605E5C"/>
      <w:shd w:val="clear" w:color="auto" w:fill="E1DFDD"/>
    </w:rPr>
  </w:style>
  <w:style w:type="character" w:styleId="Hyperlink">
    <w:name w:val="Hyperlink"/>
    <w:uiPriority w:val="99"/>
    <w:rsid w:val="00A90B05"/>
    <w:rPr>
      <w:color w:val="0563C1"/>
      <w:u w:val="single"/>
    </w:rPr>
  </w:style>
  <w:style w:type="character" w:customStyle="1" w:styleId="Heading1Char1">
    <w:name w:val="Heading 1 Char1"/>
    <w:rsid w:val="00A90B05"/>
    <w:rPr>
      <w:rFonts w:ascii="Calibri Light" w:eastAsia="Times New Roman" w:hAnsi="Calibri Light" w:cs="Times New Roman"/>
      <w:b/>
      <w:bCs/>
      <w:kern w:val="3"/>
      <w:sz w:val="32"/>
      <w:szCs w:val="32"/>
      <w:lang w:eastAsia="en-US"/>
    </w:rPr>
  </w:style>
  <w:style w:type="character" w:styleId="CommentReference">
    <w:name w:val="annotation reference"/>
    <w:uiPriority w:val="99"/>
    <w:semiHidden/>
    <w:unhideWhenUsed/>
    <w:rsid w:val="00A90B05"/>
    <w:rPr>
      <w:sz w:val="16"/>
      <w:szCs w:val="16"/>
    </w:rPr>
  </w:style>
  <w:style w:type="paragraph" w:styleId="CommentText">
    <w:name w:val="annotation text"/>
    <w:basedOn w:val="Normal"/>
    <w:link w:val="CommentTextChar"/>
    <w:uiPriority w:val="99"/>
    <w:unhideWhenUsed/>
    <w:rsid w:val="00A90B05"/>
    <w:pPr>
      <w:spacing w:line="240" w:lineRule="auto"/>
    </w:pPr>
    <w:rPr>
      <w:sz w:val="20"/>
      <w:szCs w:val="20"/>
    </w:rPr>
  </w:style>
  <w:style w:type="character" w:customStyle="1" w:styleId="CommentTextChar">
    <w:name w:val="Comment Text Char"/>
    <w:basedOn w:val="DefaultParagraphFont"/>
    <w:link w:val="CommentText"/>
    <w:uiPriority w:val="99"/>
    <w:rsid w:val="00A90B05"/>
    <w:rPr>
      <w:rFonts w:ascii="Calibri" w:eastAsia="Calibri" w:hAnsi="Calibri" w:cs="Times New Roman"/>
      <w:sz w:val="20"/>
      <w:szCs w:val="20"/>
    </w:rPr>
  </w:style>
  <w:style w:type="paragraph" w:styleId="CommentSubject">
    <w:name w:val="annotation subject"/>
    <w:basedOn w:val="CommentText"/>
    <w:next w:val="CommentText"/>
    <w:link w:val="CommentSubjectChar"/>
    <w:uiPriority w:val="99"/>
    <w:semiHidden/>
    <w:unhideWhenUsed/>
    <w:rsid w:val="00A90B05"/>
    <w:rPr>
      <w:b/>
      <w:bCs/>
    </w:rPr>
  </w:style>
  <w:style w:type="character" w:customStyle="1" w:styleId="CommentSubjectChar">
    <w:name w:val="Comment Subject Char"/>
    <w:basedOn w:val="CommentTextChar"/>
    <w:link w:val="CommentSubject"/>
    <w:uiPriority w:val="99"/>
    <w:semiHidden/>
    <w:rsid w:val="00A90B05"/>
    <w:rPr>
      <w:rFonts w:ascii="Calibri" w:eastAsia="Calibri" w:hAnsi="Calibri" w:cs="Times New Roman"/>
      <w:b/>
      <w:bCs/>
      <w:sz w:val="20"/>
      <w:szCs w:val="20"/>
    </w:rPr>
  </w:style>
  <w:style w:type="paragraph" w:styleId="BalloonText">
    <w:name w:val="Balloon Text"/>
    <w:basedOn w:val="Normal"/>
    <w:link w:val="BalloonTextChar"/>
    <w:uiPriority w:val="99"/>
    <w:semiHidden/>
    <w:unhideWhenUsed/>
    <w:rsid w:val="00A90B05"/>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A90B05"/>
    <w:rPr>
      <w:rFonts w:ascii="Segoe UI" w:eastAsia="Calibri" w:hAnsi="Segoe UI" w:cs="Segoe UI"/>
      <w:sz w:val="18"/>
      <w:szCs w:val="18"/>
    </w:rPr>
  </w:style>
  <w:style w:type="numbering" w:customStyle="1" w:styleId="NoList1">
    <w:name w:val="No List1"/>
    <w:next w:val="NoList"/>
    <w:uiPriority w:val="99"/>
    <w:semiHidden/>
    <w:unhideWhenUsed/>
    <w:rsid w:val="00A90B05"/>
  </w:style>
  <w:style w:type="character" w:customStyle="1" w:styleId="UnresolvedMention21">
    <w:name w:val="Unresolved Mention21"/>
    <w:uiPriority w:val="99"/>
    <w:semiHidden/>
    <w:unhideWhenUsed/>
    <w:rsid w:val="00A90B05"/>
    <w:rPr>
      <w:color w:val="605E5C"/>
      <w:shd w:val="clear" w:color="auto" w:fill="E1DFDD"/>
    </w:rPr>
  </w:style>
  <w:style w:type="paragraph" w:styleId="ListParagraph">
    <w:name w:val="List Paragraph"/>
    <w:basedOn w:val="Normal"/>
    <w:qFormat/>
    <w:rsid w:val="00A90B05"/>
    <w:pPr>
      <w:spacing w:line="240" w:lineRule="auto"/>
      <w:ind w:left="720"/>
    </w:pPr>
  </w:style>
  <w:style w:type="table" w:styleId="TableGrid">
    <w:name w:val="Table Grid"/>
    <w:basedOn w:val="TableNormal"/>
    <w:uiPriority w:val="59"/>
    <w:rsid w:val="00A90B05"/>
    <w:pPr>
      <w:spacing w:after="0" w:line="240" w:lineRule="auto"/>
    </w:pPr>
    <w:rPr>
      <w:rFonts w:ascii="Calibri" w:eastAsia="Calibri" w:hAnsi="Calibri"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1">
    <w:name w:val="Plain Table 1"/>
    <w:basedOn w:val="TableNormal"/>
    <w:uiPriority w:val="41"/>
    <w:rsid w:val="00A90B05"/>
    <w:pPr>
      <w:spacing w:after="0" w:line="240" w:lineRule="auto"/>
    </w:pPr>
    <w:rPr>
      <w:rFonts w:ascii="Calibri" w:eastAsia="Calibri" w:hAnsi="Calibri" w:cs="Times New Roman"/>
      <w:sz w:val="20"/>
      <w:szCs w:val="20"/>
      <w:lang w:eastAsia="en-GB"/>
    </w:rPr>
    <w:tblPr>
      <w:tblStyleRowBandSize w:val="1"/>
      <w:tblStyleColBandSize w:val="1"/>
      <w:tblBorders>
        <w:top w:val="single" w:sz="4" w:space="0" w:color="BFBFBF"/>
        <w:left w:val="single" w:sz="4" w:space="0" w:color="BFBFBF"/>
        <w:bottom w:val="single" w:sz="4" w:space="0" w:color="BFBFBF"/>
        <w:right w:val="single" w:sz="4" w:space="0" w:color="BFBFBF"/>
        <w:insideH w:val="single" w:sz="4" w:space="0" w:color="BFBFBF"/>
        <w:insideV w:val="single" w:sz="4" w:space="0" w:color="BFBFBF"/>
      </w:tblBorders>
    </w:tblPr>
    <w:tblStylePr w:type="firstRow">
      <w:rPr>
        <w:b/>
        <w:bCs/>
      </w:rPr>
    </w:tblStylePr>
    <w:tblStylePr w:type="lastRow">
      <w:rPr>
        <w:b/>
        <w:bCs/>
      </w:rPr>
      <w:tblPr/>
      <w:tcPr>
        <w:tcBorders>
          <w:top w:val="double" w:sz="4" w:space="0" w:color="BFBFBF"/>
        </w:tcBorders>
      </w:tcPr>
    </w:tblStylePr>
    <w:tblStylePr w:type="firstCol">
      <w:rPr>
        <w:b/>
        <w:bCs/>
      </w:rPr>
    </w:tblStylePr>
    <w:tblStylePr w:type="lastCol">
      <w:rPr>
        <w:b/>
        <w:bCs/>
      </w:rPr>
    </w:tblStylePr>
    <w:tblStylePr w:type="band1Vert">
      <w:tblPr/>
      <w:tcPr>
        <w:shd w:val="clear" w:color="auto" w:fill="F2F2F2"/>
      </w:tcPr>
    </w:tblStylePr>
    <w:tblStylePr w:type="band1Horz">
      <w:tblPr/>
      <w:tcPr>
        <w:shd w:val="clear" w:color="auto" w:fill="F2F2F2"/>
      </w:tcPr>
    </w:tblStylePr>
  </w:style>
  <w:style w:type="paragraph" w:styleId="NoSpacing">
    <w:name w:val="No Spacing"/>
    <w:link w:val="NoSpacingChar"/>
    <w:uiPriority w:val="1"/>
    <w:qFormat/>
    <w:rsid w:val="00A90B05"/>
    <w:pPr>
      <w:spacing w:after="0" w:line="240" w:lineRule="auto"/>
    </w:pPr>
    <w:rPr>
      <w:rFonts w:ascii="Calibri" w:eastAsia="Times New Roman" w:hAnsi="Calibri" w:cs="Times New Roman"/>
      <w:lang w:val="en-US"/>
    </w:rPr>
  </w:style>
  <w:style w:type="character" w:customStyle="1" w:styleId="NoSpacingChar">
    <w:name w:val="No Spacing Char"/>
    <w:link w:val="NoSpacing"/>
    <w:uiPriority w:val="1"/>
    <w:rsid w:val="00A90B05"/>
    <w:rPr>
      <w:rFonts w:ascii="Calibri" w:eastAsia="Times New Roman" w:hAnsi="Calibri" w:cs="Times New Roman"/>
      <w:lang w:val="en-US"/>
    </w:rPr>
  </w:style>
  <w:style w:type="paragraph" w:styleId="Header">
    <w:name w:val="header"/>
    <w:basedOn w:val="Normal"/>
    <w:link w:val="HeaderChar"/>
    <w:uiPriority w:val="99"/>
    <w:unhideWhenUsed/>
    <w:rsid w:val="00A90B05"/>
    <w:pPr>
      <w:tabs>
        <w:tab w:val="center" w:pos="4513"/>
        <w:tab w:val="right" w:pos="9026"/>
      </w:tabs>
    </w:pPr>
  </w:style>
  <w:style w:type="character" w:customStyle="1" w:styleId="HeaderChar">
    <w:name w:val="Header Char"/>
    <w:basedOn w:val="DefaultParagraphFont"/>
    <w:link w:val="Header"/>
    <w:uiPriority w:val="99"/>
    <w:rsid w:val="00A90B05"/>
    <w:rPr>
      <w:rFonts w:ascii="Calibri" w:eastAsia="Calibri" w:hAnsi="Calibri" w:cs="Times New Roman"/>
    </w:rPr>
  </w:style>
  <w:style w:type="paragraph" w:styleId="Footer">
    <w:name w:val="footer"/>
    <w:basedOn w:val="Normal"/>
    <w:link w:val="FooterChar"/>
    <w:uiPriority w:val="99"/>
    <w:unhideWhenUsed/>
    <w:rsid w:val="00A90B05"/>
    <w:pPr>
      <w:tabs>
        <w:tab w:val="center" w:pos="4513"/>
        <w:tab w:val="right" w:pos="9026"/>
      </w:tabs>
    </w:pPr>
  </w:style>
  <w:style w:type="character" w:customStyle="1" w:styleId="FooterChar">
    <w:name w:val="Footer Char"/>
    <w:basedOn w:val="DefaultParagraphFont"/>
    <w:link w:val="Footer"/>
    <w:uiPriority w:val="99"/>
    <w:rsid w:val="00A90B05"/>
    <w:rPr>
      <w:rFonts w:ascii="Calibri" w:eastAsia="Calibri" w:hAnsi="Calibri" w:cs="Times New Roman"/>
    </w:rPr>
  </w:style>
  <w:style w:type="paragraph" w:styleId="EndnoteText">
    <w:name w:val="endnote text"/>
    <w:basedOn w:val="Normal"/>
    <w:link w:val="EndnoteTextChar"/>
    <w:uiPriority w:val="99"/>
    <w:semiHidden/>
    <w:unhideWhenUsed/>
    <w:rsid w:val="00A90B05"/>
    <w:rPr>
      <w:sz w:val="20"/>
      <w:szCs w:val="20"/>
    </w:rPr>
  </w:style>
  <w:style w:type="character" w:customStyle="1" w:styleId="EndnoteTextChar">
    <w:name w:val="Endnote Text Char"/>
    <w:basedOn w:val="DefaultParagraphFont"/>
    <w:link w:val="EndnoteText"/>
    <w:uiPriority w:val="99"/>
    <w:semiHidden/>
    <w:rsid w:val="00A90B05"/>
    <w:rPr>
      <w:rFonts w:ascii="Calibri" w:eastAsia="Calibri" w:hAnsi="Calibri" w:cs="Times New Roman"/>
      <w:sz w:val="20"/>
      <w:szCs w:val="20"/>
    </w:rPr>
  </w:style>
  <w:style w:type="character" w:styleId="EndnoteReference">
    <w:name w:val="endnote reference"/>
    <w:uiPriority w:val="99"/>
    <w:semiHidden/>
    <w:unhideWhenUsed/>
    <w:rsid w:val="00A90B05"/>
    <w:rPr>
      <w:vertAlign w:val="superscript"/>
    </w:rPr>
  </w:style>
  <w:style w:type="table" w:styleId="TableGridLight">
    <w:name w:val="Grid Table Light"/>
    <w:basedOn w:val="TableNormal"/>
    <w:uiPriority w:val="40"/>
    <w:rsid w:val="00A90B05"/>
    <w:pPr>
      <w:spacing w:after="0" w:line="240" w:lineRule="auto"/>
    </w:pPr>
    <w:rPr>
      <w:rFonts w:ascii="Calibri" w:eastAsia="Calibri" w:hAnsi="Calibri" w:cs="Times New Roman"/>
      <w:sz w:val="20"/>
      <w:szCs w:val="20"/>
      <w:lang w:eastAsia="en-GB"/>
    </w:rPr>
    <w:tblPr>
      <w:tblBorders>
        <w:top w:val="single" w:sz="4" w:space="0" w:color="BFBFBF"/>
        <w:left w:val="single" w:sz="4" w:space="0" w:color="BFBFBF"/>
        <w:bottom w:val="single" w:sz="4" w:space="0" w:color="BFBFBF"/>
        <w:right w:val="single" w:sz="4" w:space="0" w:color="BFBFBF"/>
        <w:insideH w:val="single" w:sz="4" w:space="0" w:color="BFBFBF"/>
        <w:insideV w:val="single" w:sz="4" w:space="0" w:color="BFBFBF"/>
      </w:tblBorders>
    </w:tblPr>
  </w:style>
  <w:style w:type="table" w:styleId="PlainTable2">
    <w:name w:val="Plain Table 2"/>
    <w:basedOn w:val="TableNormal"/>
    <w:uiPriority w:val="42"/>
    <w:rsid w:val="00A90B05"/>
    <w:pPr>
      <w:spacing w:after="0" w:line="240" w:lineRule="auto"/>
    </w:pPr>
    <w:rPr>
      <w:rFonts w:ascii="Calibri" w:eastAsia="Calibri" w:hAnsi="Calibri" w:cs="Times New Roman"/>
      <w:sz w:val="20"/>
      <w:szCs w:val="20"/>
      <w:lang w:eastAsia="en-GB"/>
    </w:rPr>
    <w:tblPr>
      <w:tblStyleRowBandSize w:val="1"/>
      <w:tblStyleColBandSize w:val="1"/>
      <w:tblBorders>
        <w:top w:val="single" w:sz="4" w:space="0" w:color="7F7F7F"/>
        <w:bottom w:val="single" w:sz="4" w:space="0" w:color="7F7F7F"/>
      </w:tblBorders>
    </w:tblPr>
    <w:tblStylePr w:type="firstRow">
      <w:rPr>
        <w:b/>
        <w:bCs/>
      </w:rPr>
      <w:tblPr/>
      <w:tcPr>
        <w:tcBorders>
          <w:bottom w:val="single" w:sz="4" w:space="0" w:color="7F7F7F"/>
        </w:tcBorders>
      </w:tcPr>
    </w:tblStylePr>
    <w:tblStylePr w:type="lastRow">
      <w:rPr>
        <w:b/>
        <w:bCs/>
      </w:rPr>
      <w:tblPr/>
      <w:tcPr>
        <w:tcBorders>
          <w:top w:val="single" w:sz="4" w:space="0" w:color="7F7F7F"/>
        </w:tcBorders>
      </w:tcPr>
    </w:tblStylePr>
    <w:tblStylePr w:type="firstCol">
      <w:rPr>
        <w:b/>
        <w:bCs/>
      </w:rPr>
    </w:tblStylePr>
    <w:tblStylePr w:type="lastCol">
      <w:rPr>
        <w:b/>
        <w:bCs/>
      </w:rPr>
    </w:tblStylePr>
    <w:tblStylePr w:type="band1Vert">
      <w:tblPr/>
      <w:tcPr>
        <w:tcBorders>
          <w:left w:val="single" w:sz="4" w:space="0" w:color="7F7F7F"/>
          <w:right w:val="single" w:sz="4" w:space="0" w:color="7F7F7F"/>
        </w:tcBorders>
      </w:tcPr>
    </w:tblStylePr>
    <w:tblStylePr w:type="band2Vert">
      <w:tblPr/>
      <w:tcPr>
        <w:tcBorders>
          <w:left w:val="single" w:sz="4" w:space="0" w:color="7F7F7F"/>
          <w:right w:val="single" w:sz="4" w:space="0" w:color="7F7F7F"/>
        </w:tcBorders>
      </w:tcPr>
    </w:tblStylePr>
    <w:tblStylePr w:type="band1Horz">
      <w:tblPr/>
      <w:tcPr>
        <w:tcBorders>
          <w:top w:val="single" w:sz="4" w:space="0" w:color="7F7F7F"/>
          <w:bottom w:val="single" w:sz="4" w:space="0" w:color="7F7F7F"/>
        </w:tcBorders>
      </w:tcPr>
    </w:tblStylePr>
  </w:style>
  <w:style w:type="table" w:customStyle="1" w:styleId="PlainTable11">
    <w:name w:val="Plain Table 11"/>
    <w:basedOn w:val="TableNormal"/>
    <w:next w:val="PlainTable1"/>
    <w:uiPriority w:val="41"/>
    <w:rsid w:val="00A90B05"/>
    <w:pPr>
      <w:spacing w:after="0" w:line="240" w:lineRule="auto"/>
    </w:pPr>
    <w:rPr>
      <w:rFonts w:ascii="Calibri" w:eastAsia="Calibri" w:hAnsi="Calibri" w:cs="Times New Roman"/>
    </w:rPr>
    <w:tblPr>
      <w:tblStyleRowBandSize w:val="1"/>
      <w:tblStyleColBandSize w:val="1"/>
      <w:tblBorders>
        <w:top w:val="single" w:sz="4" w:space="0" w:color="BFBFBF"/>
        <w:left w:val="single" w:sz="4" w:space="0" w:color="BFBFBF"/>
        <w:bottom w:val="single" w:sz="4" w:space="0" w:color="BFBFBF"/>
        <w:right w:val="single" w:sz="4" w:space="0" w:color="BFBFBF"/>
        <w:insideH w:val="single" w:sz="4" w:space="0" w:color="BFBFBF"/>
        <w:insideV w:val="single" w:sz="4" w:space="0" w:color="BFBFBF"/>
      </w:tblBorders>
    </w:tblPr>
    <w:tblStylePr w:type="firstRow">
      <w:rPr>
        <w:b/>
        <w:bCs/>
      </w:rPr>
    </w:tblStylePr>
    <w:tblStylePr w:type="lastRow">
      <w:rPr>
        <w:b/>
        <w:bCs/>
      </w:rPr>
      <w:tblPr/>
      <w:tcPr>
        <w:tcBorders>
          <w:top w:val="double" w:sz="4" w:space="0" w:color="BFBFBF"/>
        </w:tcBorders>
      </w:tcPr>
    </w:tblStylePr>
    <w:tblStylePr w:type="firstCol">
      <w:rPr>
        <w:b/>
        <w:bCs/>
      </w:rPr>
    </w:tblStylePr>
    <w:tblStylePr w:type="lastCol">
      <w:rPr>
        <w:b/>
        <w:bCs/>
      </w:rPr>
    </w:tblStylePr>
    <w:tblStylePr w:type="band1Vert">
      <w:tblPr/>
      <w:tcPr>
        <w:shd w:val="clear" w:color="auto" w:fill="F2F2F2"/>
      </w:tcPr>
    </w:tblStylePr>
    <w:tblStylePr w:type="band1Horz">
      <w:tblPr/>
      <w:tcPr>
        <w:shd w:val="clear" w:color="auto" w:fill="F2F2F2"/>
      </w:tcPr>
    </w:tblStylePr>
  </w:style>
  <w:style w:type="table" w:customStyle="1" w:styleId="PlainTable12">
    <w:name w:val="Plain Table 12"/>
    <w:basedOn w:val="TableNormal"/>
    <w:next w:val="PlainTable1"/>
    <w:uiPriority w:val="41"/>
    <w:rsid w:val="00A90B05"/>
    <w:pPr>
      <w:spacing w:after="0" w:line="240" w:lineRule="auto"/>
    </w:pPr>
    <w:rPr>
      <w:rFonts w:ascii="Calibri" w:eastAsia="Calibri" w:hAnsi="Calibri" w:cs="Times New Roman"/>
    </w:rPr>
    <w:tblPr>
      <w:tblStyleRowBandSize w:val="1"/>
      <w:tblStyleColBandSize w:val="1"/>
      <w:tblBorders>
        <w:top w:val="single" w:sz="4" w:space="0" w:color="BFBFBF"/>
        <w:left w:val="single" w:sz="4" w:space="0" w:color="BFBFBF"/>
        <w:bottom w:val="single" w:sz="4" w:space="0" w:color="BFBFBF"/>
        <w:right w:val="single" w:sz="4" w:space="0" w:color="BFBFBF"/>
        <w:insideH w:val="single" w:sz="4" w:space="0" w:color="BFBFBF"/>
        <w:insideV w:val="single" w:sz="4" w:space="0" w:color="BFBFBF"/>
      </w:tblBorders>
    </w:tblPr>
    <w:tblStylePr w:type="firstRow">
      <w:rPr>
        <w:b/>
        <w:bCs/>
      </w:rPr>
    </w:tblStylePr>
    <w:tblStylePr w:type="lastRow">
      <w:rPr>
        <w:b/>
        <w:bCs/>
      </w:rPr>
      <w:tblPr/>
      <w:tcPr>
        <w:tcBorders>
          <w:top w:val="double" w:sz="4" w:space="0" w:color="BFBFBF"/>
        </w:tcBorders>
      </w:tcPr>
    </w:tblStylePr>
    <w:tblStylePr w:type="firstCol">
      <w:rPr>
        <w:b/>
        <w:bCs/>
      </w:rPr>
    </w:tblStylePr>
    <w:tblStylePr w:type="lastCol">
      <w:rPr>
        <w:b/>
        <w:bCs/>
      </w:rPr>
    </w:tblStylePr>
    <w:tblStylePr w:type="band1Vert">
      <w:tblPr/>
      <w:tcPr>
        <w:shd w:val="clear" w:color="auto" w:fill="F2F2F2"/>
      </w:tcPr>
    </w:tblStylePr>
    <w:tblStylePr w:type="band1Horz">
      <w:tblPr/>
      <w:tcPr>
        <w:shd w:val="clear" w:color="auto" w:fill="F2F2F2"/>
      </w:tcPr>
    </w:tblStylePr>
  </w:style>
  <w:style w:type="numbering" w:customStyle="1" w:styleId="NoList2">
    <w:name w:val="No List2"/>
    <w:next w:val="NoList"/>
    <w:uiPriority w:val="99"/>
    <w:semiHidden/>
    <w:unhideWhenUsed/>
    <w:rsid w:val="00A90B05"/>
  </w:style>
  <w:style w:type="table" w:customStyle="1" w:styleId="TableGrid1">
    <w:name w:val="Table Grid1"/>
    <w:basedOn w:val="TableNormal"/>
    <w:next w:val="TableGrid"/>
    <w:uiPriority w:val="39"/>
    <w:rsid w:val="00A90B05"/>
    <w:pPr>
      <w:spacing w:after="0" w:line="240" w:lineRule="auto"/>
    </w:pPr>
    <w:rPr>
      <w:rFonts w:ascii="Calibri" w:eastAsia="Calibri" w:hAnsi="Calibri" w:cs="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PlainTable13">
    <w:name w:val="Plain Table 13"/>
    <w:basedOn w:val="TableNormal"/>
    <w:next w:val="PlainTable1"/>
    <w:uiPriority w:val="41"/>
    <w:rsid w:val="00A90B05"/>
    <w:pPr>
      <w:spacing w:after="0" w:line="240" w:lineRule="auto"/>
    </w:pPr>
    <w:rPr>
      <w:rFonts w:ascii="Calibri" w:eastAsia="Calibri" w:hAnsi="Calibri" w:cs="Times New Roman"/>
    </w:rPr>
    <w:tblPr>
      <w:tblStyleRowBandSize w:val="1"/>
      <w:tblStyleColBandSize w:val="1"/>
      <w:tblBorders>
        <w:top w:val="single" w:sz="4" w:space="0" w:color="BFBFBF"/>
        <w:left w:val="single" w:sz="4" w:space="0" w:color="BFBFBF"/>
        <w:bottom w:val="single" w:sz="4" w:space="0" w:color="BFBFBF"/>
        <w:right w:val="single" w:sz="4" w:space="0" w:color="BFBFBF"/>
        <w:insideH w:val="single" w:sz="4" w:space="0" w:color="BFBFBF"/>
        <w:insideV w:val="single" w:sz="4" w:space="0" w:color="BFBFBF"/>
      </w:tblBorders>
    </w:tblPr>
    <w:tblStylePr w:type="firstRow">
      <w:rPr>
        <w:b/>
        <w:bCs/>
      </w:rPr>
    </w:tblStylePr>
    <w:tblStylePr w:type="lastRow">
      <w:rPr>
        <w:b/>
        <w:bCs/>
      </w:rPr>
      <w:tblPr/>
      <w:tcPr>
        <w:tcBorders>
          <w:top w:val="double" w:sz="4" w:space="0" w:color="BFBFBF"/>
        </w:tcBorders>
      </w:tcPr>
    </w:tblStylePr>
    <w:tblStylePr w:type="firstCol">
      <w:rPr>
        <w:b/>
        <w:bCs/>
      </w:rPr>
    </w:tblStylePr>
    <w:tblStylePr w:type="lastCol">
      <w:rPr>
        <w:b/>
        <w:bCs/>
      </w:rPr>
    </w:tblStylePr>
    <w:tblStylePr w:type="band1Vert">
      <w:tblPr/>
      <w:tcPr>
        <w:shd w:val="clear" w:color="auto" w:fill="F2F2F2"/>
      </w:tcPr>
    </w:tblStylePr>
    <w:tblStylePr w:type="band1Horz">
      <w:tblPr/>
      <w:tcPr>
        <w:shd w:val="clear" w:color="auto" w:fill="F2F2F2"/>
      </w:tcPr>
    </w:tblStylePr>
  </w:style>
  <w:style w:type="paragraph" w:styleId="TOCHeading">
    <w:name w:val="TOC Heading"/>
    <w:basedOn w:val="Heading1"/>
    <w:next w:val="Normal"/>
    <w:uiPriority w:val="39"/>
    <w:unhideWhenUsed/>
    <w:qFormat/>
    <w:rsid w:val="00A90B05"/>
    <w:pPr>
      <w:keepLines/>
      <w:suppressAutoHyphens w:val="0"/>
      <w:autoSpaceDN/>
      <w:spacing w:after="0" w:line="259" w:lineRule="auto"/>
      <w:jc w:val="left"/>
      <w:textAlignment w:val="auto"/>
      <w:outlineLvl w:val="9"/>
    </w:pPr>
    <w:rPr>
      <w:color w:val="2F5496"/>
      <w:lang w:eastAsia="en-US"/>
    </w:rPr>
  </w:style>
  <w:style w:type="paragraph" w:styleId="TOC1">
    <w:name w:val="toc 1"/>
    <w:basedOn w:val="Normal"/>
    <w:next w:val="Normal"/>
    <w:autoRedefine/>
    <w:uiPriority w:val="39"/>
    <w:unhideWhenUsed/>
    <w:rsid w:val="00A90B05"/>
    <w:rPr>
      <w:rFonts w:ascii="Calibri Light" w:hAnsi="Calibri Light"/>
      <w:sz w:val="24"/>
    </w:rPr>
  </w:style>
  <w:style w:type="paragraph" w:styleId="TOC2">
    <w:name w:val="toc 2"/>
    <w:basedOn w:val="Normal"/>
    <w:next w:val="Normal"/>
    <w:autoRedefine/>
    <w:uiPriority w:val="39"/>
    <w:unhideWhenUsed/>
    <w:rsid w:val="00A90B05"/>
    <w:pPr>
      <w:tabs>
        <w:tab w:val="right" w:leader="dot" w:pos="8449"/>
      </w:tabs>
      <w:ind w:left="220"/>
    </w:pPr>
    <w:rPr>
      <w:noProof/>
      <w:lang w:eastAsia="en-GB"/>
    </w:rPr>
  </w:style>
  <w:style w:type="paragraph" w:styleId="TOC3">
    <w:name w:val="toc 3"/>
    <w:basedOn w:val="Normal"/>
    <w:next w:val="Normal"/>
    <w:autoRedefine/>
    <w:uiPriority w:val="39"/>
    <w:unhideWhenUsed/>
    <w:rsid w:val="00A90B05"/>
    <w:pPr>
      <w:tabs>
        <w:tab w:val="left" w:pos="1320"/>
        <w:tab w:val="right" w:leader="dot" w:pos="8449"/>
      </w:tabs>
      <w:ind w:left="440"/>
    </w:pPr>
    <w:rPr>
      <w:rFonts w:ascii="Calibri Light" w:eastAsia="Times New Roman" w:hAnsi="Calibri Light"/>
      <w:noProof/>
    </w:rPr>
  </w:style>
  <w:style w:type="character" w:styleId="Emphasis">
    <w:name w:val="Emphasis"/>
    <w:uiPriority w:val="20"/>
    <w:qFormat/>
    <w:rsid w:val="00A90B05"/>
    <w:rPr>
      <w:i/>
      <w:iCs/>
    </w:rPr>
  </w:style>
  <w:style w:type="numbering" w:customStyle="1" w:styleId="NoList3">
    <w:name w:val="No List3"/>
    <w:next w:val="NoList"/>
    <w:uiPriority w:val="99"/>
    <w:semiHidden/>
    <w:unhideWhenUsed/>
    <w:rsid w:val="00A90B05"/>
  </w:style>
  <w:style w:type="numbering" w:customStyle="1" w:styleId="NoList11">
    <w:name w:val="No List11"/>
    <w:next w:val="NoList"/>
    <w:uiPriority w:val="99"/>
    <w:semiHidden/>
    <w:unhideWhenUsed/>
    <w:rsid w:val="00A90B05"/>
  </w:style>
  <w:style w:type="numbering" w:customStyle="1" w:styleId="NoList111">
    <w:name w:val="No List111"/>
    <w:next w:val="NoList"/>
    <w:uiPriority w:val="99"/>
    <w:semiHidden/>
    <w:unhideWhenUsed/>
    <w:rsid w:val="00A90B05"/>
  </w:style>
  <w:style w:type="table" w:customStyle="1" w:styleId="TableGrid2">
    <w:name w:val="Table Grid2"/>
    <w:basedOn w:val="TableNormal"/>
    <w:next w:val="TableGrid"/>
    <w:uiPriority w:val="59"/>
    <w:rsid w:val="00A90B05"/>
    <w:pPr>
      <w:spacing w:after="0" w:line="240" w:lineRule="auto"/>
    </w:pPr>
    <w:rPr>
      <w:rFonts w:ascii="Calibri" w:eastAsia="Calibri" w:hAnsi="Calibri"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PlainTable14">
    <w:name w:val="Plain Table 14"/>
    <w:basedOn w:val="TableNormal"/>
    <w:next w:val="PlainTable1"/>
    <w:uiPriority w:val="41"/>
    <w:rsid w:val="00A90B05"/>
    <w:pPr>
      <w:spacing w:after="0" w:line="240" w:lineRule="auto"/>
    </w:pPr>
    <w:rPr>
      <w:rFonts w:ascii="Calibri" w:eastAsia="Calibri" w:hAnsi="Calibri" w:cs="Times New Roman"/>
      <w:sz w:val="20"/>
      <w:szCs w:val="20"/>
      <w:lang w:eastAsia="en-GB"/>
    </w:rPr>
    <w:tblPr>
      <w:tblStyleRowBandSize w:val="1"/>
      <w:tblStyleColBandSize w:val="1"/>
      <w:tblBorders>
        <w:top w:val="single" w:sz="4" w:space="0" w:color="BFBFBF"/>
        <w:left w:val="single" w:sz="4" w:space="0" w:color="BFBFBF"/>
        <w:bottom w:val="single" w:sz="4" w:space="0" w:color="BFBFBF"/>
        <w:right w:val="single" w:sz="4" w:space="0" w:color="BFBFBF"/>
        <w:insideH w:val="single" w:sz="4" w:space="0" w:color="BFBFBF"/>
        <w:insideV w:val="single" w:sz="4" w:space="0" w:color="BFBFBF"/>
      </w:tblBorders>
    </w:tblPr>
    <w:tblStylePr w:type="firstRow">
      <w:rPr>
        <w:b/>
        <w:bCs/>
      </w:rPr>
    </w:tblStylePr>
    <w:tblStylePr w:type="lastRow">
      <w:rPr>
        <w:b/>
        <w:bCs/>
      </w:rPr>
      <w:tblPr/>
      <w:tcPr>
        <w:tcBorders>
          <w:top w:val="double" w:sz="4" w:space="0" w:color="BFBFBF"/>
        </w:tcBorders>
      </w:tcPr>
    </w:tblStylePr>
    <w:tblStylePr w:type="firstCol">
      <w:rPr>
        <w:b/>
        <w:bCs/>
      </w:rPr>
    </w:tblStylePr>
    <w:tblStylePr w:type="lastCol">
      <w:rPr>
        <w:b/>
        <w:bCs/>
      </w:rPr>
    </w:tblStylePr>
    <w:tblStylePr w:type="band1Vert">
      <w:tblPr/>
      <w:tcPr>
        <w:shd w:val="clear" w:color="auto" w:fill="F2F2F2"/>
      </w:tcPr>
    </w:tblStylePr>
    <w:tblStylePr w:type="band1Horz">
      <w:tblPr/>
      <w:tcPr>
        <w:shd w:val="clear" w:color="auto" w:fill="F2F2F2"/>
      </w:tcPr>
    </w:tblStylePr>
  </w:style>
  <w:style w:type="table" w:customStyle="1" w:styleId="TableGridLight1">
    <w:name w:val="Table Grid Light1"/>
    <w:basedOn w:val="TableNormal"/>
    <w:next w:val="TableGridLight"/>
    <w:uiPriority w:val="40"/>
    <w:rsid w:val="00A90B05"/>
    <w:pPr>
      <w:spacing w:after="0" w:line="240" w:lineRule="auto"/>
    </w:pPr>
    <w:rPr>
      <w:rFonts w:ascii="Calibri" w:eastAsia="Calibri" w:hAnsi="Calibri" w:cs="Times New Roman"/>
      <w:sz w:val="20"/>
      <w:szCs w:val="20"/>
      <w:lang w:eastAsia="en-GB"/>
    </w:rPr>
    <w:tblPr>
      <w:tblBorders>
        <w:top w:val="single" w:sz="4" w:space="0" w:color="BFBFBF"/>
        <w:left w:val="single" w:sz="4" w:space="0" w:color="BFBFBF"/>
        <w:bottom w:val="single" w:sz="4" w:space="0" w:color="BFBFBF"/>
        <w:right w:val="single" w:sz="4" w:space="0" w:color="BFBFBF"/>
        <w:insideH w:val="single" w:sz="4" w:space="0" w:color="BFBFBF"/>
        <w:insideV w:val="single" w:sz="4" w:space="0" w:color="BFBFBF"/>
      </w:tblBorders>
    </w:tblPr>
  </w:style>
  <w:style w:type="table" w:customStyle="1" w:styleId="PlainTable21">
    <w:name w:val="Plain Table 21"/>
    <w:basedOn w:val="TableNormal"/>
    <w:next w:val="PlainTable2"/>
    <w:uiPriority w:val="42"/>
    <w:rsid w:val="00A90B05"/>
    <w:pPr>
      <w:spacing w:after="0" w:line="240" w:lineRule="auto"/>
    </w:pPr>
    <w:rPr>
      <w:rFonts w:ascii="Calibri" w:eastAsia="Calibri" w:hAnsi="Calibri" w:cs="Times New Roman"/>
      <w:sz w:val="20"/>
      <w:szCs w:val="20"/>
      <w:lang w:eastAsia="en-GB"/>
    </w:rPr>
    <w:tblPr>
      <w:tblStyleRowBandSize w:val="1"/>
      <w:tblStyleColBandSize w:val="1"/>
      <w:tblBorders>
        <w:top w:val="single" w:sz="4" w:space="0" w:color="7F7F7F"/>
        <w:bottom w:val="single" w:sz="4" w:space="0" w:color="7F7F7F"/>
      </w:tblBorders>
    </w:tblPr>
    <w:tblStylePr w:type="firstRow">
      <w:rPr>
        <w:b/>
        <w:bCs/>
      </w:rPr>
      <w:tblPr/>
      <w:tcPr>
        <w:tcBorders>
          <w:bottom w:val="single" w:sz="4" w:space="0" w:color="7F7F7F"/>
        </w:tcBorders>
      </w:tcPr>
    </w:tblStylePr>
    <w:tblStylePr w:type="lastRow">
      <w:rPr>
        <w:b/>
        <w:bCs/>
      </w:rPr>
      <w:tblPr/>
      <w:tcPr>
        <w:tcBorders>
          <w:top w:val="single" w:sz="4" w:space="0" w:color="7F7F7F"/>
        </w:tcBorders>
      </w:tcPr>
    </w:tblStylePr>
    <w:tblStylePr w:type="firstCol">
      <w:rPr>
        <w:b/>
        <w:bCs/>
      </w:rPr>
    </w:tblStylePr>
    <w:tblStylePr w:type="lastCol">
      <w:rPr>
        <w:b/>
        <w:bCs/>
      </w:rPr>
    </w:tblStylePr>
    <w:tblStylePr w:type="band1Vert">
      <w:tblPr/>
      <w:tcPr>
        <w:tcBorders>
          <w:left w:val="single" w:sz="4" w:space="0" w:color="7F7F7F"/>
          <w:right w:val="single" w:sz="4" w:space="0" w:color="7F7F7F"/>
        </w:tcBorders>
      </w:tcPr>
    </w:tblStylePr>
    <w:tblStylePr w:type="band2Vert">
      <w:tblPr/>
      <w:tcPr>
        <w:tcBorders>
          <w:left w:val="single" w:sz="4" w:space="0" w:color="7F7F7F"/>
          <w:right w:val="single" w:sz="4" w:space="0" w:color="7F7F7F"/>
        </w:tcBorders>
      </w:tcPr>
    </w:tblStylePr>
    <w:tblStylePr w:type="band1Horz">
      <w:tblPr/>
      <w:tcPr>
        <w:tcBorders>
          <w:top w:val="single" w:sz="4" w:space="0" w:color="7F7F7F"/>
          <w:bottom w:val="single" w:sz="4" w:space="0" w:color="7F7F7F"/>
        </w:tcBorders>
      </w:tcPr>
    </w:tblStylePr>
  </w:style>
  <w:style w:type="table" w:customStyle="1" w:styleId="PlainTable111">
    <w:name w:val="Plain Table 111"/>
    <w:basedOn w:val="TableNormal"/>
    <w:next w:val="PlainTable1"/>
    <w:uiPriority w:val="41"/>
    <w:rsid w:val="00A90B05"/>
    <w:pPr>
      <w:spacing w:after="0" w:line="240" w:lineRule="auto"/>
    </w:pPr>
    <w:rPr>
      <w:rFonts w:ascii="Calibri" w:eastAsia="Calibri" w:hAnsi="Calibri" w:cs="Times New Roman"/>
    </w:rPr>
    <w:tblPr>
      <w:tblStyleRowBandSize w:val="1"/>
      <w:tblStyleColBandSize w:val="1"/>
      <w:tblBorders>
        <w:top w:val="single" w:sz="4" w:space="0" w:color="BFBFBF"/>
        <w:left w:val="single" w:sz="4" w:space="0" w:color="BFBFBF"/>
        <w:bottom w:val="single" w:sz="4" w:space="0" w:color="BFBFBF"/>
        <w:right w:val="single" w:sz="4" w:space="0" w:color="BFBFBF"/>
        <w:insideH w:val="single" w:sz="4" w:space="0" w:color="BFBFBF"/>
        <w:insideV w:val="single" w:sz="4" w:space="0" w:color="BFBFBF"/>
      </w:tblBorders>
    </w:tblPr>
    <w:tblStylePr w:type="firstRow">
      <w:rPr>
        <w:b/>
        <w:bCs/>
      </w:rPr>
    </w:tblStylePr>
    <w:tblStylePr w:type="lastRow">
      <w:rPr>
        <w:b/>
        <w:bCs/>
      </w:rPr>
      <w:tblPr/>
      <w:tcPr>
        <w:tcBorders>
          <w:top w:val="double" w:sz="4" w:space="0" w:color="BFBFBF"/>
        </w:tcBorders>
      </w:tcPr>
    </w:tblStylePr>
    <w:tblStylePr w:type="firstCol">
      <w:rPr>
        <w:b/>
        <w:bCs/>
      </w:rPr>
    </w:tblStylePr>
    <w:tblStylePr w:type="lastCol">
      <w:rPr>
        <w:b/>
        <w:bCs/>
      </w:rPr>
    </w:tblStylePr>
    <w:tblStylePr w:type="band1Vert">
      <w:tblPr/>
      <w:tcPr>
        <w:shd w:val="clear" w:color="auto" w:fill="F2F2F2"/>
      </w:tcPr>
    </w:tblStylePr>
    <w:tblStylePr w:type="band1Horz">
      <w:tblPr/>
      <w:tcPr>
        <w:shd w:val="clear" w:color="auto" w:fill="F2F2F2"/>
      </w:tcPr>
    </w:tblStylePr>
  </w:style>
  <w:style w:type="table" w:customStyle="1" w:styleId="PlainTable121">
    <w:name w:val="Plain Table 121"/>
    <w:basedOn w:val="TableNormal"/>
    <w:next w:val="PlainTable1"/>
    <w:uiPriority w:val="41"/>
    <w:rsid w:val="00A90B05"/>
    <w:pPr>
      <w:spacing w:after="0" w:line="240" w:lineRule="auto"/>
    </w:pPr>
    <w:rPr>
      <w:rFonts w:ascii="Calibri" w:eastAsia="Calibri" w:hAnsi="Calibri" w:cs="Times New Roman"/>
    </w:rPr>
    <w:tblPr>
      <w:tblStyleRowBandSize w:val="1"/>
      <w:tblStyleColBandSize w:val="1"/>
      <w:tblBorders>
        <w:top w:val="single" w:sz="4" w:space="0" w:color="BFBFBF"/>
        <w:left w:val="single" w:sz="4" w:space="0" w:color="BFBFBF"/>
        <w:bottom w:val="single" w:sz="4" w:space="0" w:color="BFBFBF"/>
        <w:right w:val="single" w:sz="4" w:space="0" w:color="BFBFBF"/>
        <w:insideH w:val="single" w:sz="4" w:space="0" w:color="BFBFBF"/>
        <w:insideV w:val="single" w:sz="4" w:space="0" w:color="BFBFBF"/>
      </w:tblBorders>
    </w:tblPr>
    <w:tblStylePr w:type="firstRow">
      <w:rPr>
        <w:b/>
        <w:bCs/>
      </w:rPr>
    </w:tblStylePr>
    <w:tblStylePr w:type="lastRow">
      <w:rPr>
        <w:b/>
        <w:bCs/>
      </w:rPr>
      <w:tblPr/>
      <w:tcPr>
        <w:tcBorders>
          <w:top w:val="double" w:sz="4" w:space="0" w:color="BFBFBF"/>
        </w:tcBorders>
      </w:tcPr>
    </w:tblStylePr>
    <w:tblStylePr w:type="firstCol">
      <w:rPr>
        <w:b/>
        <w:bCs/>
      </w:rPr>
    </w:tblStylePr>
    <w:tblStylePr w:type="lastCol">
      <w:rPr>
        <w:b/>
        <w:bCs/>
      </w:rPr>
    </w:tblStylePr>
    <w:tblStylePr w:type="band1Vert">
      <w:tblPr/>
      <w:tcPr>
        <w:shd w:val="clear" w:color="auto" w:fill="F2F2F2"/>
      </w:tcPr>
    </w:tblStylePr>
    <w:tblStylePr w:type="band1Horz">
      <w:tblPr/>
      <w:tcPr>
        <w:shd w:val="clear" w:color="auto" w:fill="F2F2F2"/>
      </w:tcPr>
    </w:tblStylePr>
  </w:style>
  <w:style w:type="numbering" w:customStyle="1" w:styleId="NoList21">
    <w:name w:val="No List21"/>
    <w:next w:val="NoList"/>
    <w:uiPriority w:val="99"/>
    <w:semiHidden/>
    <w:unhideWhenUsed/>
    <w:rsid w:val="00A90B05"/>
  </w:style>
  <w:style w:type="table" w:customStyle="1" w:styleId="TableGrid11">
    <w:name w:val="Table Grid11"/>
    <w:basedOn w:val="TableNormal"/>
    <w:next w:val="TableGrid"/>
    <w:uiPriority w:val="39"/>
    <w:rsid w:val="00A90B05"/>
    <w:pPr>
      <w:spacing w:after="0" w:line="240" w:lineRule="auto"/>
    </w:pPr>
    <w:rPr>
      <w:rFonts w:ascii="Calibri" w:eastAsia="Calibri" w:hAnsi="Calibri" w:cs="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PlainTable131">
    <w:name w:val="Plain Table 131"/>
    <w:basedOn w:val="TableNormal"/>
    <w:next w:val="PlainTable1"/>
    <w:uiPriority w:val="41"/>
    <w:rsid w:val="00A90B05"/>
    <w:pPr>
      <w:spacing w:after="0" w:line="240" w:lineRule="auto"/>
    </w:pPr>
    <w:rPr>
      <w:rFonts w:ascii="Calibri" w:eastAsia="Calibri" w:hAnsi="Calibri" w:cs="Times New Roman"/>
    </w:rPr>
    <w:tblPr>
      <w:tblStyleRowBandSize w:val="1"/>
      <w:tblStyleColBandSize w:val="1"/>
      <w:tblBorders>
        <w:top w:val="single" w:sz="4" w:space="0" w:color="BFBFBF"/>
        <w:left w:val="single" w:sz="4" w:space="0" w:color="BFBFBF"/>
        <w:bottom w:val="single" w:sz="4" w:space="0" w:color="BFBFBF"/>
        <w:right w:val="single" w:sz="4" w:space="0" w:color="BFBFBF"/>
        <w:insideH w:val="single" w:sz="4" w:space="0" w:color="BFBFBF"/>
        <w:insideV w:val="single" w:sz="4" w:space="0" w:color="BFBFBF"/>
      </w:tblBorders>
    </w:tblPr>
    <w:tblStylePr w:type="firstRow">
      <w:rPr>
        <w:b/>
        <w:bCs/>
      </w:rPr>
    </w:tblStylePr>
    <w:tblStylePr w:type="lastRow">
      <w:rPr>
        <w:b/>
        <w:bCs/>
      </w:rPr>
      <w:tblPr/>
      <w:tcPr>
        <w:tcBorders>
          <w:top w:val="double" w:sz="4" w:space="0" w:color="BFBFBF"/>
        </w:tcBorders>
      </w:tcPr>
    </w:tblStylePr>
    <w:tblStylePr w:type="firstCol">
      <w:rPr>
        <w:b/>
        <w:bCs/>
      </w:rPr>
    </w:tblStylePr>
    <w:tblStylePr w:type="lastCol">
      <w:rPr>
        <w:b/>
        <w:bCs/>
      </w:rPr>
    </w:tblStylePr>
    <w:tblStylePr w:type="band1Vert">
      <w:tblPr/>
      <w:tcPr>
        <w:shd w:val="clear" w:color="auto" w:fill="F2F2F2"/>
      </w:tcPr>
    </w:tblStylePr>
    <w:tblStylePr w:type="band1Horz">
      <w:tblPr/>
      <w:tcPr>
        <w:shd w:val="clear" w:color="auto" w:fill="F2F2F2"/>
      </w:tcPr>
    </w:tblStylePr>
  </w:style>
  <w:style w:type="numbering" w:customStyle="1" w:styleId="NoList1111">
    <w:name w:val="No List1111"/>
    <w:next w:val="NoList"/>
    <w:uiPriority w:val="99"/>
    <w:semiHidden/>
    <w:unhideWhenUsed/>
    <w:rsid w:val="00A90B05"/>
  </w:style>
  <w:style w:type="numbering" w:customStyle="1" w:styleId="NoList4">
    <w:name w:val="No List4"/>
    <w:next w:val="NoList"/>
    <w:uiPriority w:val="99"/>
    <w:semiHidden/>
    <w:unhideWhenUsed/>
    <w:rsid w:val="00A90B05"/>
  </w:style>
  <w:style w:type="character" w:styleId="BookTitle">
    <w:name w:val="Book Title"/>
    <w:uiPriority w:val="33"/>
    <w:qFormat/>
    <w:rsid w:val="00A90B05"/>
    <w:rPr>
      <w:b/>
      <w:bCs/>
      <w:i/>
      <w:iCs/>
      <w:spacing w:val="5"/>
    </w:rPr>
  </w:style>
  <w:style w:type="paragraph" w:styleId="Revision">
    <w:name w:val="Revision"/>
    <w:hidden/>
    <w:uiPriority w:val="99"/>
    <w:semiHidden/>
    <w:rsid w:val="00A90B05"/>
    <w:pPr>
      <w:spacing w:after="0" w:line="240" w:lineRule="auto"/>
    </w:pPr>
    <w:rPr>
      <w:rFonts w:ascii="Calibri" w:eastAsia="Calibri" w:hAnsi="Calibri" w:cs="Times New Roman"/>
    </w:rPr>
  </w:style>
  <w:style w:type="paragraph" w:styleId="TableofFigures">
    <w:name w:val="table of figures"/>
    <w:basedOn w:val="Normal"/>
    <w:next w:val="Normal"/>
    <w:uiPriority w:val="99"/>
    <w:unhideWhenUsed/>
    <w:rsid w:val="00A90B05"/>
    <w:rPr>
      <w:rFonts w:ascii="Calibri Light" w:hAnsi="Calibri Light"/>
      <w:sz w:val="24"/>
    </w:rPr>
  </w:style>
  <w:style w:type="paragraph" w:styleId="NormalWeb">
    <w:name w:val="Normal (Web)"/>
    <w:basedOn w:val="Normal"/>
    <w:uiPriority w:val="99"/>
    <w:unhideWhenUsed/>
    <w:rsid w:val="00A90B05"/>
    <w:pPr>
      <w:suppressAutoHyphens w:val="0"/>
      <w:autoSpaceDN/>
      <w:spacing w:before="100" w:beforeAutospacing="1" w:after="100" w:afterAutospacing="1" w:line="240" w:lineRule="auto"/>
      <w:textAlignment w:val="auto"/>
    </w:pPr>
    <w:rPr>
      <w:rFonts w:ascii="Times New Roman" w:eastAsia="Times New Roman" w:hAnsi="Times New Roman"/>
      <w:sz w:val="24"/>
      <w:szCs w:val="24"/>
      <w:lang w:eastAsia="en-GB"/>
    </w:rPr>
  </w:style>
  <w:style w:type="character" w:styleId="SubtleEmphasis">
    <w:name w:val="Subtle Emphasis"/>
    <w:aliases w:val="Tables"/>
    <w:uiPriority w:val="19"/>
    <w:qFormat/>
    <w:rsid w:val="00A90B05"/>
    <w:rPr>
      <w:rFonts w:ascii="Calibri" w:hAnsi="Calibri"/>
      <w:b/>
      <w:i/>
      <w:iCs/>
      <w:color w:val="404040"/>
      <w:sz w:val="24"/>
    </w:rPr>
  </w:style>
  <w:style w:type="character" w:customStyle="1" w:styleId="UnresolvedMention3">
    <w:name w:val="Unresolved Mention3"/>
    <w:basedOn w:val="DefaultParagraphFont"/>
    <w:uiPriority w:val="99"/>
    <w:semiHidden/>
    <w:unhideWhenUsed/>
    <w:rsid w:val="00A90B05"/>
    <w:rPr>
      <w:color w:val="605E5C"/>
      <w:shd w:val="clear" w:color="auto" w:fill="E1DFDD"/>
    </w:rPr>
  </w:style>
  <w:style w:type="table" w:customStyle="1" w:styleId="TableGrid0">
    <w:name w:val="TableGrid"/>
    <w:rsid w:val="00A90B05"/>
    <w:pPr>
      <w:spacing w:after="0" w:line="240" w:lineRule="auto"/>
    </w:pPr>
    <w:rPr>
      <w:rFonts w:eastAsiaTheme="minorEastAsia"/>
      <w:lang w:eastAsia="en-GB"/>
    </w:rPr>
    <w:tblPr>
      <w:tblCellMar>
        <w:top w:w="0" w:type="dxa"/>
        <w:left w:w="0" w:type="dxa"/>
        <w:bottom w:w="0" w:type="dxa"/>
        <w:right w:w="0" w:type="dxa"/>
      </w:tblCellMar>
    </w:tblPr>
  </w:style>
  <w:style w:type="paragraph" w:styleId="Caption">
    <w:name w:val="caption"/>
    <w:basedOn w:val="Normal"/>
    <w:next w:val="Normal"/>
    <w:uiPriority w:val="35"/>
    <w:unhideWhenUsed/>
    <w:qFormat/>
    <w:rsid w:val="00A90B05"/>
    <w:pPr>
      <w:spacing w:after="200" w:line="240" w:lineRule="auto"/>
    </w:pPr>
    <w:rPr>
      <w:i/>
      <w:iCs/>
      <w:color w:val="44546A" w:themeColor="text2"/>
      <w:sz w:val="18"/>
      <w:szCs w:val="18"/>
    </w:rPr>
  </w:style>
  <w:style w:type="character" w:customStyle="1" w:styleId="UnresolvedMention4">
    <w:name w:val="Unresolved Mention4"/>
    <w:basedOn w:val="DefaultParagraphFont"/>
    <w:uiPriority w:val="99"/>
    <w:semiHidden/>
    <w:unhideWhenUsed/>
    <w:rsid w:val="00A90B05"/>
    <w:rPr>
      <w:color w:val="605E5C"/>
      <w:shd w:val="clear" w:color="auto" w:fill="E1DFDD"/>
    </w:rPr>
  </w:style>
  <w:style w:type="character" w:customStyle="1" w:styleId="cf01">
    <w:name w:val="cf01"/>
    <w:basedOn w:val="DefaultParagraphFont"/>
    <w:rsid w:val="00A90B05"/>
    <w:rPr>
      <w:rFonts w:ascii="Segoe UI" w:hAnsi="Segoe UI" w:cs="Segoe UI" w:hint="default"/>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78</Pages>
  <Words>22068</Words>
  <Characters>125788</Characters>
  <Application>Microsoft Office Word</Application>
  <DocSecurity>0</DocSecurity>
  <Lines>1048</Lines>
  <Paragraphs>295</Paragraphs>
  <ScaleCrop>false</ScaleCrop>
  <Company/>
  <LinksUpToDate>false</LinksUpToDate>
  <CharactersWithSpaces>147561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Ruth Kate Smith</dc:creator>
  <cp:keywords/>
  <dc:description/>
  <cp:lastModifiedBy>Ruth Kate Smith</cp:lastModifiedBy>
  <cp:revision>1</cp:revision>
  <dcterms:created xsi:type="dcterms:W3CDTF">2021-05-20T13:41:00Z</dcterms:created>
  <dcterms:modified xsi:type="dcterms:W3CDTF">2021-05-20T13:41:00Z</dcterms:modified>
</cp:coreProperties>
</file>