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919A6" w:rsidRPr="00A85BFE" w:rsidRDefault="009919A6" w:rsidP="009919A6">
      <w:pPr>
        <w:pStyle w:val="Header"/>
        <w:jc w:val="right"/>
        <w:rPr>
          <w:rFonts w:ascii="Arial" w:hAnsi="Arial" w:cs="Arial"/>
          <w:b/>
          <w:bCs/>
          <w:sz w:val="28"/>
          <w:szCs w:val="28"/>
        </w:rPr>
      </w:pPr>
      <w:r w:rsidRPr="00A406E5">
        <w:rPr>
          <w:rFonts w:ascii="Arial" w:hAnsi="Arial" w:cs="Arial"/>
          <w:noProof/>
        </w:rPr>
        <w:drawing>
          <wp:anchor distT="0" distB="0" distL="114300" distR="114300" simplePos="0" relativeHeight="251659264" behindDoc="0" locked="0" layoutInCell="1" allowOverlap="1" wp14:anchorId="4546DAA8" wp14:editId="4A3F362C">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rsidR="009919A6" w:rsidRPr="00A406E5" w:rsidRDefault="009919A6" w:rsidP="009919A6">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9919A6" w:rsidRPr="00A406E5" w:rsidTr="00466683">
        <w:tc>
          <w:tcPr>
            <w:tcW w:w="9922" w:type="dxa"/>
            <w:shd w:val="clear" w:color="auto" w:fill="C0C0C0"/>
          </w:tcPr>
          <w:p w:rsidR="009919A6" w:rsidRPr="00A406E5" w:rsidRDefault="009919A6" w:rsidP="00466683">
            <w:pPr>
              <w:pStyle w:val="Heading4"/>
              <w:rPr>
                <w:rFonts w:ascii="Arial" w:hAnsi="Arial" w:cs="Arial"/>
                <w:b/>
                <w:bCs/>
              </w:rPr>
            </w:pPr>
            <w:r w:rsidRPr="6D4D0207">
              <w:rPr>
                <w:rFonts w:ascii="Arial" w:hAnsi="Arial" w:cs="Arial"/>
                <w:b/>
                <w:bCs/>
              </w:rPr>
              <w:t xml:space="preserve">LEVEL 6 ASSESSMENT SPECIFICATION </w:t>
            </w:r>
          </w:p>
        </w:tc>
      </w:tr>
    </w:tbl>
    <w:p w:rsidR="009919A6" w:rsidRPr="00A406E5" w:rsidRDefault="009919A6" w:rsidP="009919A6">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919A6" w:rsidRPr="00A406E5" w:rsidTr="00466683">
        <w:tc>
          <w:tcPr>
            <w:tcW w:w="2093" w:type="dxa"/>
            <w:shd w:val="clear" w:color="auto" w:fill="auto"/>
          </w:tcPr>
          <w:p w:rsidR="009919A6" w:rsidRPr="00A406E5" w:rsidRDefault="009919A6" w:rsidP="00466683">
            <w:pPr>
              <w:spacing w:before="120" w:after="120"/>
              <w:jc w:val="both"/>
              <w:rPr>
                <w:rFonts w:ascii="Arial" w:hAnsi="Arial" w:cs="Arial"/>
                <w:b/>
                <w:bCs/>
                <w:sz w:val="22"/>
              </w:rPr>
            </w:pPr>
            <w:r w:rsidRPr="6D4D0207">
              <w:rPr>
                <w:rFonts w:ascii="Arial" w:hAnsi="Arial" w:cs="Arial"/>
                <w:b/>
                <w:bCs/>
                <w:sz w:val="22"/>
              </w:rPr>
              <w:t>Student name:</w:t>
            </w:r>
          </w:p>
        </w:tc>
        <w:tc>
          <w:tcPr>
            <w:tcW w:w="3293" w:type="dxa"/>
          </w:tcPr>
          <w:p w:rsidR="009919A6" w:rsidRPr="00A406E5" w:rsidRDefault="009919A6" w:rsidP="00466683">
            <w:pPr>
              <w:spacing w:before="120" w:after="120"/>
              <w:jc w:val="both"/>
              <w:rPr>
                <w:rFonts w:ascii="Arial" w:hAnsi="Arial" w:cs="Arial"/>
                <w:b/>
                <w:sz w:val="22"/>
              </w:rPr>
            </w:pPr>
            <w:r w:rsidRPr="00A406E5">
              <w:rPr>
                <w:rFonts w:ascii="Arial" w:hAnsi="Arial" w:cs="Arial"/>
                <w:b/>
                <w:sz w:val="22"/>
              </w:rPr>
              <w:fldChar w:fldCharType="begin">
                <w:ffData>
                  <w:name w:val="Text2"/>
                  <w:enabled/>
                  <w:calcOnExit w:val="0"/>
                  <w:textInput/>
                </w:ffData>
              </w:fldChar>
            </w:r>
            <w:r w:rsidRPr="00A406E5">
              <w:rPr>
                <w:rFonts w:ascii="Arial" w:hAnsi="Arial" w:cs="Arial"/>
                <w:b/>
                <w:sz w:val="22"/>
              </w:rPr>
              <w:instrText xml:space="preserve"> FORMTEXT </w:instrText>
            </w:r>
            <w:r w:rsidRPr="00A406E5">
              <w:rPr>
                <w:rFonts w:ascii="Arial" w:hAnsi="Arial" w:cs="Arial"/>
                <w:b/>
                <w:sz w:val="22"/>
              </w:rPr>
            </w:r>
            <w:r w:rsidRPr="00A406E5">
              <w:rPr>
                <w:rFonts w:ascii="Arial" w:hAnsi="Arial" w:cs="Arial"/>
                <w:b/>
                <w:sz w:val="22"/>
              </w:rPr>
              <w:fldChar w:fldCharType="separate"/>
            </w:r>
            <w:r w:rsidRPr="00A406E5">
              <w:rPr>
                <w:rFonts w:ascii="Arial" w:hAnsi="Arial" w:cs="Arial"/>
                <w:b/>
                <w:noProof/>
                <w:sz w:val="22"/>
              </w:rPr>
              <w:t> </w:t>
            </w:r>
            <w:r w:rsidRPr="00A406E5">
              <w:rPr>
                <w:rFonts w:ascii="Arial" w:hAnsi="Arial" w:cs="Arial"/>
                <w:b/>
                <w:noProof/>
                <w:sz w:val="22"/>
              </w:rPr>
              <w:t> </w:t>
            </w:r>
            <w:r w:rsidRPr="00A406E5">
              <w:rPr>
                <w:rFonts w:ascii="Arial" w:hAnsi="Arial" w:cs="Arial"/>
                <w:b/>
                <w:noProof/>
                <w:sz w:val="22"/>
              </w:rPr>
              <w:t> </w:t>
            </w:r>
            <w:r w:rsidRPr="00A406E5">
              <w:rPr>
                <w:rFonts w:ascii="Arial" w:hAnsi="Arial" w:cs="Arial"/>
                <w:b/>
                <w:noProof/>
                <w:sz w:val="22"/>
              </w:rPr>
              <w:t> </w:t>
            </w:r>
            <w:r w:rsidRPr="00A406E5">
              <w:rPr>
                <w:rFonts w:ascii="Arial" w:hAnsi="Arial" w:cs="Arial"/>
                <w:b/>
                <w:noProof/>
                <w:sz w:val="22"/>
              </w:rPr>
              <w:t> </w:t>
            </w:r>
            <w:r w:rsidRPr="00A406E5">
              <w:rPr>
                <w:rFonts w:ascii="Arial" w:hAnsi="Arial" w:cs="Arial"/>
                <w:b/>
                <w:sz w:val="22"/>
              </w:rPr>
              <w:fldChar w:fldCharType="end"/>
            </w:r>
            <w:r>
              <w:rPr>
                <w:rFonts w:ascii="Arial" w:hAnsi="Arial" w:cs="Arial"/>
                <w:b/>
                <w:sz w:val="22"/>
              </w:rPr>
              <w:t>JASON DAVIDGE</w:t>
            </w:r>
          </w:p>
        </w:tc>
        <w:tc>
          <w:tcPr>
            <w:tcW w:w="2268" w:type="dxa"/>
            <w:shd w:val="clear" w:color="auto" w:fill="D9D9D9" w:themeFill="background1" w:themeFillShade="D9"/>
          </w:tcPr>
          <w:p w:rsidR="009919A6" w:rsidRPr="00A406E5" w:rsidRDefault="009919A6" w:rsidP="00466683">
            <w:pPr>
              <w:spacing w:before="120" w:after="120"/>
              <w:jc w:val="both"/>
              <w:rPr>
                <w:rFonts w:ascii="Arial" w:hAnsi="Arial" w:cs="Arial"/>
                <w:b/>
                <w:bCs/>
                <w:sz w:val="22"/>
              </w:rPr>
            </w:pPr>
            <w:r w:rsidRPr="6D4D0207">
              <w:rPr>
                <w:rFonts w:ascii="Arial" w:hAnsi="Arial" w:cs="Arial"/>
                <w:b/>
                <w:bCs/>
                <w:sz w:val="22"/>
              </w:rPr>
              <w:t>Student ID number:</w:t>
            </w:r>
          </w:p>
        </w:tc>
        <w:tc>
          <w:tcPr>
            <w:tcW w:w="2268" w:type="dxa"/>
          </w:tcPr>
          <w:p w:rsidR="009919A6" w:rsidRPr="00A406E5" w:rsidRDefault="009919A6" w:rsidP="00466683">
            <w:pPr>
              <w:spacing w:before="120" w:after="120"/>
              <w:jc w:val="both"/>
              <w:rPr>
                <w:rFonts w:ascii="Arial" w:hAnsi="Arial" w:cs="Arial"/>
                <w:b/>
                <w:sz w:val="22"/>
              </w:rPr>
            </w:pPr>
            <w:r>
              <w:rPr>
                <w:rFonts w:ascii="Arial" w:hAnsi="Arial" w:cs="Arial"/>
                <w:b/>
                <w:sz w:val="22"/>
              </w:rPr>
              <w:t>1803196</w:t>
            </w:r>
          </w:p>
        </w:tc>
      </w:tr>
      <w:tr w:rsidR="009919A6" w:rsidRPr="00A406E5" w:rsidTr="00466683">
        <w:tc>
          <w:tcPr>
            <w:tcW w:w="2093" w:type="dxa"/>
            <w:shd w:val="clear" w:color="auto" w:fill="auto"/>
          </w:tcPr>
          <w:p w:rsidR="009919A6" w:rsidRPr="00A406E5" w:rsidRDefault="009919A6" w:rsidP="00466683">
            <w:pPr>
              <w:spacing w:before="120" w:after="120"/>
              <w:jc w:val="both"/>
              <w:rPr>
                <w:rFonts w:ascii="Arial" w:hAnsi="Arial" w:cs="Arial"/>
                <w:b/>
                <w:bCs/>
                <w:sz w:val="22"/>
              </w:rPr>
            </w:pPr>
            <w:r w:rsidRPr="6D4D0207">
              <w:rPr>
                <w:rFonts w:ascii="Arial" w:hAnsi="Arial" w:cs="Arial"/>
                <w:b/>
                <w:bCs/>
                <w:sz w:val="22"/>
              </w:rPr>
              <w:t>Programme:</w:t>
            </w:r>
          </w:p>
        </w:tc>
        <w:tc>
          <w:tcPr>
            <w:tcW w:w="7829" w:type="dxa"/>
            <w:gridSpan w:val="3"/>
          </w:tcPr>
          <w:p w:rsidR="009919A6" w:rsidRPr="00A406E5" w:rsidRDefault="009919A6" w:rsidP="00466683">
            <w:pPr>
              <w:spacing w:before="120" w:after="120"/>
              <w:jc w:val="both"/>
              <w:rPr>
                <w:rFonts w:ascii="Arial" w:hAnsi="Arial" w:cs="Arial"/>
                <w:b/>
                <w:sz w:val="22"/>
              </w:rPr>
            </w:pPr>
            <w:r>
              <w:rPr>
                <w:rFonts w:ascii="Arial" w:hAnsi="Arial" w:cs="Arial"/>
                <w:b/>
                <w:sz w:val="22"/>
              </w:rPr>
              <w:t>Secondary PGCE</w:t>
            </w:r>
          </w:p>
        </w:tc>
      </w:tr>
      <w:tr w:rsidR="009919A6" w:rsidRPr="00A406E5" w:rsidTr="00466683">
        <w:tc>
          <w:tcPr>
            <w:tcW w:w="2093" w:type="dxa"/>
            <w:shd w:val="clear" w:color="auto" w:fill="auto"/>
          </w:tcPr>
          <w:p w:rsidR="009919A6" w:rsidRPr="00A406E5" w:rsidRDefault="009919A6" w:rsidP="00466683">
            <w:pPr>
              <w:spacing w:before="120" w:after="120"/>
              <w:jc w:val="both"/>
              <w:rPr>
                <w:rFonts w:ascii="Arial" w:hAnsi="Arial" w:cs="Arial"/>
                <w:b/>
                <w:bCs/>
                <w:sz w:val="22"/>
              </w:rPr>
            </w:pPr>
            <w:r w:rsidRPr="6D4D0207">
              <w:rPr>
                <w:rFonts w:ascii="Arial" w:hAnsi="Arial" w:cs="Arial"/>
                <w:b/>
                <w:bCs/>
                <w:sz w:val="22"/>
              </w:rPr>
              <w:t>Module:</w:t>
            </w:r>
          </w:p>
        </w:tc>
        <w:tc>
          <w:tcPr>
            <w:tcW w:w="7829" w:type="dxa"/>
            <w:gridSpan w:val="3"/>
            <w:shd w:val="clear" w:color="auto" w:fill="auto"/>
          </w:tcPr>
          <w:p w:rsidR="009919A6" w:rsidRPr="00A406E5" w:rsidRDefault="009919A6" w:rsidP="00466683">
            <w:pPr>
              <w:spacing w:before="120" w:after="120"/>
              <w:jc w:val="both"/>
              <w:rPr>
                <w:rFonts w:ascii="Arial" w:hAnsi="Arial" w:cs="Arial"/>
                <w:b/>
                <w:sz w:val="22"/>
              </w:rPr>
            </w:pPr>
            <w:r>
              <w:rPr>
                <w:rFonts w:ascii="Arial" w:hAnsi="Arial" w:cs="Arial"/>
                <w:b/>
                <w:sz w:val="22"/>
              </w:rPr>
              <w:t xml:space="preserve">Principles of Teaching, Learning and Pedagogy in the Secondary Sector </w:t>
            </w:r>
          </w:p>
        </w:tc>
        <w:bookmarkStart w:id="0" w:name="_GoBack"/>
        <w:bookmarkEnd w:id="0"/>
      </w:tr>
      <w:tr w:rsidR="009919A6" w:rsidRPr="00A406E5" w:rsidTr="00466683">
        <w:tc>
          <w:tcPr>
            <w:tcW w:w="2093" w:type="dxa"/>
            <w:shd w:val="clear" w:color="auto" w:fill="auto"/>
          </w:tcPr>
          <w:p w:rsidR="009919A6" w:rsidRPr="00A406E5" w:rsidRDefault="009919A6" w:rsidP="00466683">
            <w:pPr>
              <w:spacing w:before="120" w:after="120"/>
              <w:jc w:val="both"/>
              <w:rPr>
                <w:rFonts w:ascii="Arial" w:hAnsi="Arial" w:cs="Arial"/>
                <w:b/>
                <w:bCs/>
                <w:sz w:val="22"/>
              </w:rPr>
            </w:pPr>
            <w:r w:rsidRPr="6D4D0207">
              <w:rPr>
                <w:rFonts w:ascii="Arial" w:hAnsi="Arial" w:cs="Arial"/>
                <w:b/>
                <w:bCs/>
                <w:sz w:val="22"/>
              </w:rPr>
              <w:t>Module code:</w:t>
            </w:r>
          </w:p>
        </w:tc>
        <w:tc>
          <w:tcPr>
            <w:tcW w:w="3293" w:type="dxa"/>
          </w:tcPr>
          <w:p w:rsidR="009919A6" w:rsidRPr="00A406E5" w:rsidRDefault="009919A6" w:rsidP="00466683">
            <w:pPr>
              <w:spacing w:before="120" w:after="120"/>
              <w:jc w:val="both"/>
              <w:rPr>
                <w:rFonts w:ascii="Arial" w:hAnsi="Arial" w:cs="Arial"/>
                <w:b/>
                <w:sz w:val="22"/>
              </w:rPr>
            </w:pPr>
            <w:r>
              <w:rPr>
                <w:rFonts w:ascii="Arial" w:hAnsi="Arial" w:cs="Arial"/>
                <w:b/>
                <w:sz w:val="22"/>
              </w:rPr>
              <w:t>ECSP6001</w:t>
            </w:r>
          </w:p>
        </w:tc>
        <w:tc>
          <w:tcPr>
            <w:tcW w:w="2268" w:type="dxa"/>
            <w:shd w:val="clear" w:color="auto" w:fill="D9D9D9" w:themeFill="background1" w:themeFillShade="D9"/>
          </w:tcPr>
          <w:p w:rsidR="009919A6" w:rsidRPr="004D5E9B" w:rsidRDefault="009919A6" w:rsidP="00466683">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rsidR="009919A6" w:rsidRPr="00A406E5" w:rsidRDefault="009919A6" w:rsidP="00466683">
            <w:pPr>
              <w:spacing w:before="120" w:after="120"/>
              <w:jc w:val="both"/>
              <w:rPr>
                <w:rFonts w:ascii="Arial" w:hAnsi="Arial" w:cs="Arial"/>
                <w:b/>
                <w:sz w:val="22"/>
              </w:rPr>
            </w:pPr>
            <w:r>
              <w:rPr>
                <w:rFonts w:ascii="Arial" w:hAnsi="Arial" w:cs="Arial"/>
                <w:b/>
                <w:sz w:val="22"/>
              </w:rPr>
              <w:t>50%</w:t>
            </w:r>
          </w:p>
        </w:tc>
      </w:tr>
      <w:tr w:rsidR="009919A6" w:rsidRPr="00A406E5" w:rsidTr="00466683">
        <w:tc>
          <w:tcPr>
            <w:tcW w:w="2093" w:type="dxa"/>
            <w:shd w:val="clear" w:color="auto" w:fill="auto"/>
          </w:tcPr>
          <w:p w:rsidR="009919A6" w:rsidRPr="00A406E5" w:rsidRDefault="009919A6" w:rsidP="00466683">
            <w:pPr>
              <w:spacing w:before="120" w:after="120"/>
              <w:jc w:val="both"/>
              <w:rPr>
                <w:rFonts w:ascii="Arial" w:hAnsi="Arial" w:cs="Arial"/>
                <w:b/>
                <w:bCs/>
                <w:sz w:val="22"/>
              </w:rPr>
            </w:pPr>
            <w:r w:rsidRPr="6D4D0207">
              <w:rPr>
                <w:rFonts w:ascii="Arial" w:hAnsi="Arial" w:cs="Arial"/>
                <w:b/>
                <w:bCs/>
                <w:sz w:val="22"/>
              </w:rPr>
              <w:t>Lecturer:</w:t>
            </w:r>
          </w:p>
        </w:tc>
        <w:tc>
          <w:tcPr>
            <w:tcW w:w="3293" w:type="dxa"/>
          </w:tcPr>
          <w:p w:rsidR="009919A6" w:rsidRPr="00A406E5" w:rsidRDefault="009919A6" w:rsidP="00466683">
            <w:pPr>
              <w:spacing w:before="120" w:after="120"/>
              <w:jc w:val="both"/>
              <w:rPr>
                <w:rFonts w:ascii="Arial" w:hAnsi="Arial" w:cs="Arial"/>
                <w:b/>
                <w:sz w:val="22"/>
              </w:rPr>
            </w:pPr>
            <w:r>
              <w:rPr>
                <w:rFonts w:ascii="Arial" w:hAnsi="Arial" w:cs="Arial"/>
                <w:b/>
                <w:sz w:val="22"/>
              </w:rPr>
              <w:t xml:space="preserve">Alison S Evans </w:t>
            </w:r>
          </w:p>
        </w:tc>
        <w:tc>
          <w:tcPr>
            <w:tcW w:w="2268" w:type="dxa"/>
            <w:shd w:val="clear" w:color="auto" w:fill="D9D9D9" w:themeFill="background1" w:themeFillShade="D9"/>
          </w:tcPr>
          <w:p w:rsidR="009919A6" w:rsidRPr="00A406E5" w:rsidRDefault="009919A6" w:rsidP="00466683">
            <w:pPr>
              <w:spacing w:before="120" w:after="120"/>
              <w:jc w:val="both"/>
              <w:rPr>
                <w:rFonts w:ascii="Arial" w:hAnsi="Arial" w:cs="Arial"/>
                <w:b/>
                <w:bCs/>
                <w:sz w:val="22"/>
              </w:rPr>
            </w:pPr>
            <w:r w:rsidRPr="6D4D0207">
              <w:rPr>
                <w:rFonts w:ascii="Arial" w:hAnsi="Arial" w:cs="Arial"/>
                <w:b/>
                <w:bCs/>
                <w:sz w:val="22"/>
              </w:rPr>
              <w:t>Internal Verifier:</w:t>
            </w:r>
          </w:p>
        </w:tc>
        <w:tc>
          <w:tcPr>
            <w:tcW w:w="2268" w:type="dxa"/>
          </w:tcPr>
          <w:p w:rsidR="009919A6" w:rsidRPr="00A406E5" w:rsidRDefault="009919A6" w:rsidP="00466683">
            <w:pPr>
              <w:spacing w:before="120" w:after="120"/>
              <w:jc w:val="both"/>
              <w:rPr>
                <w:rFonts w:ascii="Arial" w:hAnsi="Arial" w:cs="Arial"/>
                <w:b/>
                <w:sz w:val="22"/>
              </w:rPr>
            </w:pPr>
          </w:p>
        </w:tc>
      </w:tr>
      <w:tr w:rsidR="009919A6" w:rsidRPr="00A406E5" w:rsidTr="00466683">
        <w:tc>
          <w:tcPr>
            <w:tcW w:w="2093" w:type="dxa"/>
            <w:shd w:val="clear" w:color="auto" w:fill="auto"/>
          </w:tcPr>
          <w:p w:rsidR="009919A6" w:rsidRPr="00A406E5" w:rsidRDefault="009919A6" w:rsidP="00466683">
            <w:pPr>
              <w:spacing w:before="120" w:after="120"/>
              <w:jc w:val="both"/>
              <w:rPr>
                <w:rFonts w:ascii="Arial" w:hAnsi="Arial" w:cs="Arial"/>
                <w:b/>
                <w:bCs/>
                <w:sz w:val="22"/>
              </w:rPr>
            </w:pPr>
            <w:r w:rsidRPr="6D4D0207">
              <w:rPr>
                <w:rFonts w:ascii="Arial" w:hAnsi="Arial" w:cs="Arial"/>
                <w:b/>
                <w:bCs/>
                <w:sz w:val="22"/>
              </w:rPr>
              <w:t>Assignment Title:</w:t>
            </w:r>
          </w:p>
        </w:tc>
        <w:tc>
          <w:tcPr>
            <w:tcW w:w="3293" w:type="dxa"/>
          </w:tcPr>
          <w:p w:rsidR="009919A6" w:rsidRPr="00A406E5" w:rsidRDefault="009919A6" w:rsidP="00466683">
            <w:pPr>
              <w:spacing w:before="120" w:after="120"/>
              <w:jc w:val="both"/>
              <w:rPr>
                <w:rFonts w:ascii="Arial" w:hAnsi="Arial" w:cs="Arial"/>
                <w:b/>
                <w:sz w:val="22"/>
              </w:rPr>
            </w:pPr>
            <w:r>
              <w:rPr>
                <w:rFonts w:ascii="Arial" w:hAnsi="Arial" w:cs="Arial"/>
                <w:b/>
                <w:sz w:val="22"/>
              </w:rPr>
              <w:t>Part B, (</w:t>
            </w:r>
            <w:proofErr w:type="spellStart"/>
            <w:r>
              <w:rPr>
                <w:rFonts w:ascii="Arial" w:hAnsi="Arial" w:cs="Arial"/>
                <w:b/>
                <w:sz w:val="22"/>
              </w:rPr>
              <w:t>i</w:t>
            </w:r>
            <w:proofErr w:type="spellEnd"/>
            <w:r>
              <w:rPr>
                <w:rFonts w:ascii="Arial" w:hAnsi="Arial" w:cs="Arial"/>
                <w:b/>
                <w:sz w:val="22"/>
              </w:rPr>
              <w:t xml:space="preserve">) and (ii) </w:t>
            </w:r>
          </w:p>
        </w:tc>
        <w:tc>
          <w:tcPr>
            <w:tcW w:w="2268" w:type="dxa"/>
            <w:shd w:val="clear" w:color="auto" w:fill="auto"/>
          </w:tcPr>
          <w:p w:rsidR="009919A6" w:rsidRPr="00A406E5" w:rsidRDefault="009919A6" w:rsidP="00466683">
            <w:pPr>
              <w:spacing w:before="120" w:after="120"/>
              <w:jc w:val="both"/>
              <w:rPr>
                <w:rFonts w:ascii="Arial" w:hAnsi="Arial" w:cs="Arial"/>
                <w:b/>
                <w:bCs/>
                <w:sz w:val="22"/>
              </w:rPr>
            </w:pPr>
            <w:r w:rsidRPr="6D4D0207">
              <w:rPr>
                <w:rFonts w:ascii="Arial" w:hAnsi="Arial" w:cs="Arial"/>
                <w:b/>
                <w:bCs/>
                <w:sz w:val="22"/>
              </w:rPr>
              <w:t>Word count (or equivalent):</w:t>
            </w:r>
          </w:p>
        </w:tc>
        <w:tc>
          <w:tcPr>
            <w:tcW w:w="2268" w:type="dxa"/>
          </w:tcPr>
          <w:p w:rsidR="009919A6" w:rsidRDefault="009919A6" w:rsidP="00466683">
            <w:pPr>
              <w:pStyle w:val="ListParagraph"/>
              <w:numPr>
                <w:ilvl w:val="0"/>
                <w:numId w:val="1"/>
              </w:numPr>
              <w:spacing w:before="120" w:after="120"/>
              <w:jc w:val="both"/>
              <w:rPr>
                <w:rFonts w:ascii="Arial" w:hAnsi="Arial" w:cs="Arial"/>
                <w:b/>
                <w:sz w:val="22"/>
                <w:szCs w:val="22"/>
              </w:rPr>
            </w:pPr>
            <w:r>
              <w:rPr>
                <w:rFonts w:ascii="Arial" w:hAnsi="Arial" w:cs="Arial"/>
                <w:b/>
                <w:sz w:val="22"/>
                <w:szCs w:val="22"/>
              </w:rPr>
              <w:t>= 1,500</w:t>
            </w:r>
          </w:p>
          <w:p w:rsidR="009919A6" w:rsidRPr="006E02E8" w:rsidRDefault="009919A6" w:rsidP="00466683">
            <w:pPr>
              <w:pStyle w:val="ListParagraph"/>
              <w:numPr>
                <w:ilvl w:val="0"/>
                <w:numId w:val="1"/>
              </w:numPr>
              <w:spacing w:before="120" w:after="120"/>
              <w:jc w:val="both"/>
              <w:rPr>
                <w:rFonts w:ascii="Arial" w:hAnsi="Arial" w:cs="Arial"/>
                <w:b/>
                <w:sz w:val="22"/>
                <w:szCs w:val="22"/>
              </w:rPr>
            </w:pPr>
            <w:r>
              <w:rPr>
                <w:rFonts w:ascii="Arial" w:hAnsi="Arial" w:cs="Arial"/>
                <w:b/>
                <w:sz w:val="22"/>
                <w:szCs w:val="22"/>
              </w:rPr>
              <w:t>= 2,000</w:t>
            </w:r>
          </w:p>
        </w:tc>
      </w:tr>
      <w:tr w:rsidR="009919A6" w:rsidRPr="00A406E5" w:rsidTr="00466683">
        <w:tc>
          <w:tcPr>
            <w:tcW w:w="2093" w:type="dxa"/>
            <w:shd w:val="clear" w:color="auto" w:fill="auto"/>
          </w:tcPr>
          <w:p w:rsidR="009919A6" w:rsidRPr="00A406E5" w:rsidRDefault="009919A6" w:rsidP="00466683">
            <w:pPr>
              <w:spacing w:before="120" w:after="120"/>
              <w:jc w:val="both"/>
              <w:rPr>
                <w:rFonts w:ascii="Arial" w:hAnsi="Arial" w:cs="Arial"/>
                <w:b/>
                <w:bCs/>
                <w:sz w:val="22"/>
              </w:rPr>
            </w:pPr>
            <w:r w:rsidRPr="6D4D0207">
              <w:rPr>
                <w:rFonts w:ascii="Arial" w:hAnsi="Arial" w:cs="Arial"/>
                <w:b/>
                <w:bCs/>
                <w:sz w:val="22"/>
              </w:rPr>
              <w:t>Submission deadline:</w:t>
            </w:r>
          </w:p>
        </w:tc>
        <w:tc>
          <w:tcPr>
            <w:tcW w:w="3293" w:type="dxa"/>
            <w:shd w:val="clear" w:color="auto" w:fill="auto"/>
          </w:tcPr>
          <w:p w:rsidR="009919A6" w:rsidRPr="00A406E5" w:rsidRDefault="009919A6" w:rsidP="00466683">
            <w:pPr>
              <w:spacing w:before="120" w:after="120"/>
              <w:jc w:val="both"/>
              <w:rPr>
                <w:rFonts w:ascii="Arial" w:hAnsi="Arial" w:cs="Arial"/>
                <w:b/>
                <w:sz w:val="22"/>
              </w:rPr>
            </w:pPr>
            <w:r>
              <w:rPr>
                <w:rFonts w:ascii="Arial" w:hAnsi="Arial" w:cs="Arial"/>
                <w:b/>
                <w:sz w:val="22"/>
              </w:rPr>
              <w:t>26 November 2018</w:t>
            </w:r>
          </w:p>
        </w:tc>
        <w:tc>
          <w:tcPr>
            <w:tcW w:w="2268" w:type="dxa"/>
            <w:shd w:val="clear" w:color="auto" w:fill="auto"/>
          </w:tcPr>
          <w:p w:rsidR="009919A6" w:rsidRPr="00A406E5" w:rsidRDefault="009919A6" w:rsidP="00466683">
            <w:pPr>
              <w:spacing w:before="120" w:after="120"/>
              <w:jc w:val="both"/>
              <w:rPr>
                <w:rFonts w:ascii="Arial" w:hAnsi="Arial" w:cs="Arial"/>
                <w:b/>
                <w:bCs/>
                <w:sz w:val="22"/>
              </w:rPr>
            </w:pPr>
            <w:r w:rsidRPr="6D4D0207">
              <w:rPr>
                <w:rFonts w:ascii="Arial" w:hAnsi="Arial" w:cs="Arial"/>
                <w:b/>
                <w:bCs/>
                <w:sz w:val="22"/>
              </w:rPr>
              <w:t>Return date of provisional marks &amp; written feedback:</w:t>
            </w:r>
          </w:p>
        </w:tc>
        <w:tc>
          <w:tcPr>
            <w:tcW w:w="2268" w:type="dxa"/>
          </w:tcPr>
          <w:p w:rsidR="009919A6" w:rsidRPr="00A406E5" w:rsidRDefault="009919A6" w:rsidP="00466683">
            <w:pPr>
              <w:spacing w:before="120" w:after="120"/>
              <w:jc w:val="both"/>
              <w:rPr>
                <w:rFonts w:ascii="Arial" w:hAnsi="Arial" w:cs="Arial"/>
                <w:b/>
                <w:sz w:val="22"/>
              </w:rPr>
            </w:pPr>
            <w:r>
              <w:rPr>
                <w:rFonts w:ascii="Arial" w:hAnsi="Arial" w:cs="Arial"/>
                <w:b/>
                <w:sz w:val="22"/>
              </w:rPr>
              <w:t>17 December 2018</w:t>
            </w:r>
          </w:p>
        </w:tc>
      </w:tr>
      <w:tr w:rsidR="009919A6" w:rsidRPr="00A406E5" w:rsidTr="00466683">
        <w:tc>
          <w:tcPr>
            <w:tcW w:w="2093" w:type="dxa"/>
            <w:shd w:val="clear" w:color="auto" w:fill="auto"/>
          </w:tcPr>
          <w:p w:rsidR="009919A6" w:rsidRPr="00A406E5" w:rsidRDefault="009919A6" w:rsidP="00466683">
            <w:pPr>
              <w:spacing w:before="120" w:after="120"/>
              <w:jc w:val="both"/>
              <w:rPr>
                <w:rFonts w:ascii="Arial" w:hAnsi="Arial" w:cs="Arial"/>
                <w:b/>
                <w:bCs/>
                <w:sz w:val="22"/>
              </w:rPr>
            </w:pPr>
            <w:r w:rsidRPr="6D4D0207">
              <w:rPr>
                <w:rFonts w:ascii="Arial" w:hAnsi="Arial" w:cs="Arial"/>
                <w:b/>
                <w:bCs/>
                <w:sz w:val="22"/>
              </w:rPr>
              <w:t>Submission method:</w:t>
            </w:r>
          </w:p>
        </w:tc>
        <w:tc>
          <w:tcPr>
            <w:tcW w:w="7829" w:type="dxa"/>
            <w:gridSpan w:val="3"/>
            <w:shd w:val="clear" w:color="auto" w:fill="auto"/>
          </w:tcPr>
          <w:p w:rsidR="009919A6" w:rsidRPr="00A406E5" w:rsidRDefault="009919A6" w:rsidP="00466683">
            <w:pPr>
              <w:rPr>
                <w:rFonts w:ascii="Arial" w:hAnsi="Arial" w:cs="Arial"/>
                <w:sz w:val="22"/>
              </w:rPr>
            </w:pPr>
            <w:r w:rsidRPr="6D4D0207">
              <w:rPr>
                <w:rFonts w:ascii="Arial" w:hAnsi="Arial" w:cs="Arial"/>
                <w:sz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9919A6" w:rsidRPr="00A406E5" w:rsidRDefault="009919A6" w:rsidP="00466683">
            <w:pPr>
              <w:spacing w:before="120" w:after="120"/>
              <w:jc w:val="both"/>
              <w:rPr>
                <w:rFonts w:ascii="Arial" w:hAnsi="Arial" w:cs="Arial"/>
                <w:b/>
                <w:bCs/>
                <w:sz w:val="22"/>
              </w:rPr>
            </w:pPr>
            <w:r w:rsidRPr="6D4D0207">
              <w:rPr>
                <w:rFonts w:ascii="Arial" w:hAnsi="Arial" w:cs="Arial"/>
                <w:b/>
                <w:bCs/>
                <w:sz w:val="22"/>
              </w:rPr>
              <w:t xml:space="preserve">Alternative submission method (if applicable): </w:t>
            </w:r>
          </w:p>
          <w:p w:rsidR="009919A6" w:rsidRPr="00A406E5" w:rsidRDefault="009919A6" w:rsidP="00466683">
            <w:pPr>
              <w:spacing w:before="120" w:after="120"/>
              <w:jc w:val="both"/>
              <w:rPr>
                <w:rFonts w:ascii="Arial" w:hAnsi="Arial" w:cs="Arial"/>
                <w:b/>
                <w:bCs/>
                <w:sz w:val="22"/>
              </w:rPr>
            </w:pPr>
            <w:r w:rsidRPr="6D4D0207">
              <w:rPr>
                <w:rFonts w:ascii="Arial" w:hAnsi="Arial" w:cs="Arial"/>
                <w:b/>
                <w:bCs/>
                <w:sz w:val="22"/>
              </w:rPr>
              <w:t xml:space="preserve">Late submission of the assessment will result in a late penalty mark.  </w:t>
            </w:r>
            <w:r w:rsidRPr="6D4D0207">
              <w:rPr>
                <w:rFonts w:ascii="Arial" w:hAnsi="Arial" w:cs="Arial"/>
                <w:sz w:val="22"/>
              </w:rPr>
              <w:t>Penalties for late submission: Up to one week late, maximum mark of 40%.  Over one week late, 0%.  Only the Extenuating Circumstances Panel may approve a change to submission dates.</w:t>
            </w:r>
          </w:p>
        </w:tc>
      </w:tr>
      <w:tr w:rsidR="009919A6" w:rsidRPr="00A406E5" w:rsidTr="00466683">
        <w:tc>
          <w:tcPr>
            <w:tcW w:w="2093" w:type="dxa"/>
            <w:shd w:val="clear" w:color="auto" w:fill="auto"/>
          </w:tcPr>
          <w:p w:rsidR="009919A6" w:rsidRPr="00A406E5" w:rsidRDefault="009919A6" w:rsidP="00466683">
            <w:pPr>
              <w:spacing w:before="120" w:after="120"/>
              <w:rPr>
                <w:rFonts w:ascii="Arial" w:hAnsi="Arial" w:cs="Arial"/>
                <w:b/>
                <w:bCs/>
                <w:sz w:val="22"/>
              </w:rPr>
            </w:pPr>
            <w:r w:rsidRPr="6D4D0207">
              <w:rPr>
                <w:rFonts w:ascii="Arial" w:hAnsi="Arial" w:cs="Arial"/>
                <w:b/>
                <w:bCs/>
                <w:sz w:val="22"/>
              </w:rPr>
              <w:t>Academic honesty / referencing:</w:t>
            </w:r>
          </w:p>
        </w:tc>
        <w:tc>
          <w:tcPr>
            <w:tcW w:w="7829" w:type="dxa"/>
            <w:gridSpan w:val="3"/>
            <w:shd w:val="clear" w:color="auto" w:fill="auto"/>
          </w:tcPr>
          <w:p w:rsidR="009919A6" w:rsidRPr="00A406E5" w:rsidRDefault="009919A6" w:rsidP="00466683">
            <w:pPr>
              <w:spacing w:before="120" w:after="120"/>
              <w:jc w:val="both"/>
              <w:rPr>
                <w:rFonts w:ascii="Arial" w:hAnsi="Arial" w:cs="Arial"/>
                <w:sz w:val="22"/>
              </w:rPr>
            </w:pPr>
            <w:r w:rsidRPr="6D4D0207">
              <w:rPr>
                <w:rFonts w:ascii="Arial" w:hAnsi="Arial" w:cs="Arial"/>
                <w:sz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w:t>
            </w:r>
            <w:proofErr w:type="gramStart"/>
            <w:r w:rsidRPr="6D4D0207">
              <w:rPr>
                <w:rFonts w:ascii="Arial" w:hAnsi="Arial" w:cs="Arial"/>
                <w:sz w:val="22"/>
              </w:rPr>
              <w:t>in order to</w:t>
            </w:r>
            <w:proofErr w:type="gramEnd"/>
            <w:r w:rsidRPr="6D4D0207">
              <w:rPr>
                <w:rFonts w:ascii="Arial" w:hAnsi="Arial" w:cs="Arial"/>
                <w:sz w:val="22"/>
              </w:rPr>
              <w:t xml:space="preserve"> complete this assessment.  </w:t>
            </w:r>
          </w:p>
        </w:tc>
      </w:tr>
    </w:tbl>
    <w:p w:rsidR="009919A6" w:rsidRDefault="009919A6" w:rsidP="00311C03">
      <w:pPr>
        <w:pStyle w:val="Title"/>
        <w:jc w:val="center"/>
      </w:pPr>
    </w:p>
    <w:p w:rsidR="009919A6" w:rsidRDefault="009919A6" w:rsidP="00311C03">
      <w:pPr>
        <w:pStyle w:val="Title"/>
        <w:jc w:val="center"/>
      </w:pPr>
    </w:p>
    <w:p w:rsidR="00F84CB3" w:rsidRDefault="00311C03" w:rsidP="00311C03">
      <w:pPr>
        <w:pStyle w:val="Title"/>
        <w:jc w:val="center"/>
      </w:pPr>
      <w:r>
        <w:lastRenderedPageBreak/>
        <w:t>Principles of Teaching, Learning and Pedagogy in the Secondary Sector</w:t>
      </w:r>
    </w:p>
    <w:p w:rsidR="00311C03" w:rsidRDefault="00311C03" w:rsidP="00311C03">
      <w:pPr>
        <w:pStyle w:val="Subtitle"/>
        <w:jc w:val="center"/>
      </w:pPr>
      <w:r>
        <w:t>ECSP6001</w:t>
      </w:r>
    </w:p>
    <w:p w:rsidR="00311C03" w:rsidRDefault="00311C03" w:rsidP="00311C03"/>
    <w:p w:rsidR="005E7B56" w:rsidRDefault="005E7B56" w:rsidP="00A65348">
      <w:pPr>
        <w:spacing w:line="360" w:lineRule="auto"/>
        <w:jc w:val="both"/>
        <w:rPr>
          <w:u w:val="single"/>
        </w:rPr>
      </w:pPr>
      <w:r>
        <w:rPr>
          <w:u w:val="single"/>
        </w:rPr>
        <w:t>PART B (</w:t>
      </w:r>
      <w:proofErr w:type="spellStart"/>
      <w:r>
        <w:rPr>
          <w:u w:val="single"/>
        </w:rPr>
        <w:t>i</w:t>
      </w:r>
      <w:proofErr w:type="spellEnd"/>
      <w:r>
        <w:rPr>
          <w:u w:val="single"/>
        </w:rPr>
        <w:t>)</w:t>
      </w:r>
    </w:p>
    <w:p w:rsidR="00ED20B6" w:rsidRDefault="00ED20B6" w:rsidP="00A65348">
      <w:pPr>
        <w:spacing w:line="360" w:lineRule="auto"/>
        <w:jc w:val="both"/>
        <w:rPr>
          <w:u w:val="single"/>
        </w:rPr>
      </w:pPr>
    </w:p>
    <w:p w:rsidR="00311C03" w:rsidRPr="005E4306" w:rsidRDefault="00320ED9" w:rsidP="00A65348">
      <w:pPr>
        <w:spacing w:line="360" w:lineRule="auto"/>
        <w:jc w:val="both"/>
        <w:rPr>
          <w:u w:val="single"/>
        </w:rPr>
      </w:pPr>
      <w:r w:rsidRPr="005E4306">
        <w:rPr>
          <w:u w:val="single"/>
        </w:rPr>
        <w:t>Introduction</w:t>
      </w:r>
    </w:p>
    <w:p w:rsidR="00320ED9" w:rsidRDefault="00320ED9" w:rsidP="00A65348">
      <w:pPr>
        <w:spacing w:line="360" w:lineRule="auto"/>
        <w:jc w:val="both"/>
      </w:pPr>
      <w:r>
        <w:t xml:space="preserve">The aims and objectives of this module </w:t>
      </w:r>
      <w:r w:rsidR="00D12E87">
        <w:t>was to create a fictitious but plausible subject specific scheme of work (SoW) within the context of the National Curriculum for Wales</w:t>
      </w:r>
      <w:r w:rsidR="00F121D2">
        <w:t xml:space="preserve"> </w:t>
      </w:r>
      <w:sdt>
        <w:sdtPr>
          <w:id w:val="1833177417"/>
          <w:citation/>
        </w:sdtPr>
        <w:sdtEndPr/>
        <w:sdtContent>
          <w:r w:rsidR="00F121D2">
            <w:fldChar w:fldCharType="begin"/>
          </w:r>
          <w:r w:rsidR="00F121D2">
            <w:instrText xml:space="preserve"> CITATION Wel08 \l 2057 </w:instrText>
          </w:r>
          <w:r w:rsidR="00F121D2">
            <w:fldChar w:fldCharType="separate"/>
          </w:r>
          <w:r w:rsidR="00ED20B6" w:rsidRPr="00ED20B6">
            <w:rPr>
              <w:noProof/>
            </w:rPr>
            <w:t>(Welsh Assembly, 2008)</w:t>
          </w:r>
          <w:r w:rsidR="00F121D2">
            <w:fldChar w:fldCharType="end"/>
          </w:r>
        </w:sdtContent>
      </w:sdt>
      <w:r w:rsidR="00D12E87">
        <w:t>. From this Sow, a single lesson was developed and planned. A small snapshot of this lesson (approximately 15-20 mins duration) was then delivered to fellow students. The lesson was video recorded for personal reflection and critical evaluation purposes. Feedback from fellow students took the form of written comments directly after the lesson on a ‘two stars and a wish’ framework. In a broader context and for this paper, the above outlined activities are referred to as the ‘micro teaching’.</w:t>
      </w:r>
    </w:p>
    <w:p w:rsidR="00D12E87" w:rsidRDefault="00D12E87" w:rsidP="00A65348">
      <w:pPr>
        <w:spacing w:line="360" w:lineRule="auto"/>
        <w:jc w:val="both"/>
      </w:pPr>
    </w:p>
    <w:p w:rsidR="00D12E87" w:rsidRDefault="00301A2D" w:rsidP="00A65348">
      <w:pPr>
        <w:spacing w:line="360" w:lineRule="auto"/>
        <w:jc w:val="both"/>
        <w:rPr>
          <w:u w:val="single"/>
        </w:rPr>
      </w:pPr>
      <w:r w:rsidRPr="005E4306">
        <w:rPr>
          <w:u w:val="single"/>
        </w:rPr>
        <w:t xml:space="preserve">Scheme of </w:t>
      </w:r>
      <w:r w:rsidR="005E4306" w:rsidRPr="005E4306">
        <w:rPr>
          <w:u w:val="single"/>
        </w:rPr>
        <w:t>W</w:t>
      </w:r>
      <w:r w:rsidRPr="005E4306">
        <w:rPr>
          <w:u w:val="single"/>
        </w:rPr>
        <w:t xml:space="preserve">ork and </w:t>
      </w:r>
      <w:r w:rsidR="005E4306" w:rsidRPr="005E4306">
        <w:rPr>
          <w:u w:val="single"/>
        </w:rPr>
        <w:t>L</w:t>
      </w:r>
      <w:r w:rsidRPr="005E4306">
        <w:rPr>
          <w:u w:val="single"/>
        </w:rPr>
        <w:t xml:space="preserve">esson </w:t>
      </w:r>
      <w:r w:rsidR="005E4306" w:rsidRPr="005E4306">
        <w:rPr>
          <w:u w:val="single"/>
        </w:rPr>
        <w:t>P</w:t>
      </w:r>
      <w:r w:rsidRPr="005E4306">
        <w:rPr>
          <w:u w:val="single"/>
        </w:rPr>
        <w:t>lan</w:t>
      </w:r>
    </w:p>
    <w:p w:rsidR="00AE323A" w:rsidRDefault="00F13854" w:rsidP="00A65348">
      <w:pPr>
        <w:spacing w:line="360" w:lineRule="auto"/>
        <w:jc w:val="both"/>
      </w:pPr>
      <w:r>
        <w:t>Familiarity</w:t>
      </w:r>
      <w:r w:rsidR="004856B9">
        <w:t xml:space="preserve"> and understanding </w:t>
      </w:r>
      <w:r>
        <w:t xml:space="preserve">of </w:t>
      </w:r>
      <w:r w:rsidR="004856B9">
        <w:t xml:space="preserve">the objectives and </w:t>
      </w:r>
      <w:r>
        <w:t>aim</w:t>
      </w:r>
      <w:r w:rsidR="004856B9">
        <w:t xml:space="preserve"> of the National Curriculum for Wales - Science (NCW) was essential in the development if the SoW. The Programme of Study and topic ‘The Sustainable Earth’ was closely followed to ensure subject specific conten</w:t>
      </w:r>
      <w:r w:rsidR="00366FB0">
        <w:t xml:space="preserve">t </w:t>
      </w:r>
      <w:sdt>
        <w:sdtPr>
          <w:id w:val="-369149177"/>
          <w:citation/>
        </w:sdtPr>
        <w:sdtEndPr/>
        <w:sdtContent>
          <w:r w:rsidR="00366FB0">
            <w:fldChar w:fldCharType="begin"/>
          </w:r>
          <w:r w:rsidR="00366FB0">
            <w:instrText xml:space="preserve"> CITATION Wel08 \l 2057 </w:instrText>
          </w:r>
          <w:r w:rsidR="00366FB0">
            <w:fldChar w:fldCharType="separate"/>
          </w:r>
          <w:r w:rsidR="00ED20B6" w:rsidRPr="00ED20B6">
            <w:rPr>
              <w:noProof/>
            </w:rPr>
            <w:t>(Welsh Assembly, 2008)</w:t>
          </w:r>
          <w:r w:rsidR="00366FB0">
            <w:fldChar w:fldCharType="end"/>
          </w:r>
        </w:sdtContent>
      </w:sdt>
      <w:r w:rsidR="004856B9">
        <w:t>. ‘Skills across the curriculum’ within the NCW was instrumental in providing a checklist against which inclusion of; Developing Thinking, Developing Numeracy, Developing Communication (literacy) and Developing I</w:t>
      </w:r>
      <w:r w:rsidR="00D44F79">
        <w:t xml:space="preserve">nformation and Communications Technology (ICT) could be confirmed. ‘Learning across the curriculum’ within the NCW also targeted the inclusion of Y Curriculum </w:t>
      </w:r>
      <w:proofErr w:type="spellStart"/>
      <w:r w:rsidR="00D44F79">
        <w:t>Cymreig</w:t>
      </w:r>
      <w:proofErr w:type="spellEnd"/>
      <w:r w:rsidR="00D44F79">
        <w:t>, Education for Sustainable Development and Global Citizenship</w:t>
      </w:r>
      <w:r w:rsidR="00E36EBD">
        <w:t xml:space="preserve"> (ESDGC) and</w:t>
      </w:r>
      <w:r w:rsidR="00D44F79">
        <w:t xml:space="preserve"> Making Learning Accessible to all</w:t>
      </w:r>
      <w:r>
        <w:t>. Inclusion of these key points were further reinforced within the document ‘Qualified Teacher Status Standards Wales 2009’ (S2.2)</w:t>
      </w:r>
      <w:r w:rsidR="00F121D2">
        <w:t xml:space="preserve"> </w:t>
      </w:r>
      <w:sdt>
        <w:sdtPr>
          <w:id w:val="-119545253"/>
          <w:citation/>
        </w:sdtPr>
        <w:sdtEndPr/>
        <w:sdtContent>
          <w:r w:rsidR="00F121D2">
            <w:fldChar w:fldCharType="begin"/>
          </w:r>
          <w:r w:rsidR="00F121D2">
            <w:instrText xml:space="preserve"> CITATION Nat09 \l 2057 </w:instrText>
          </w:r>
          <w:r w:rsidR="00F121D2">
            <w:fldChar w:fldCharType="separate"/>
          </w:r>
          <w:r w:rsidR="00ED20B6" w:rsidRPr="00ED20B6">
            <w:rPr>
              <w:noProof/>
            </w:rPr>
            <w:t>(National Assembly for Wales, 2009)</w:t>
          </w:r>
          <w:r w:rsidR="00F121D2">
            <w:fldChar w:fldCharType="end"/>
          </w:r>
        </w:sdtContent>
      </w:sdt>
      <w:r>
        <w:t>.</w:t>
      </w:r>
    </w:p>
    <w:p w:rsidR="00ED20B6" w:rsidRDefault="00ED20B6" w:rsidP="00A65348">
      <w:pPr>
        <w:spacing w:line="360" w:lineRule="auto"/>
        <w:jc w:val="both"/>
      </w:pPr>
    </w:p>
    <w:p w:rsidR="0056386A" w:rsidRDefault="0056386A" w:rsidP="00A65348">
      <w:pPr>
        <w:spacing w:line="360" w:lineRule="auto"/>
        <w:jc w:val="both"/>
      </w:pPr>
      <w:r>
        <w:lastRenderedPageBreak/>
        <w:t xml:space="preserve">The SoW attempted to address the above syllabus requirements, spreading them across several lessons. Y curriculum </w:t>
      </w:r>
      <w:proofErr w:type="spellStart"/>
      <w:r>
        <w:t>Cymreig</w:t>
      </w:r>
      <w:proofErr w:type="spellEnd"/>
      <w:r>
        <w:t xml:space="preserve"> was woven throughout the SoW with inclusion of incidental Welsh in each lesson. This took the form of greetings to the class and individuals on arrival and departure from the classroom. Praise and agreement of suggestions and answers to directed questions and using welsh language wherever possible when dealing with numbers. Developing thinking and communication was also a theme running through every lesson with group discussions, reasoning, investigations and directed questions. Question sheets and written assignments for plenary tasks further reinforced literacy skills.  Numeracy and ICT skills were addressed using computers/chrome books and subsequent production of bar graphs to display data/information found. ESDGC took the form of discussions and investigations into local places offering recycling facilities, the importance of recycling and sustainability. Finally, the SoW made ‘Learning Accessible to All’ by including handouts to power points where needed, ensuring there were enough resources for all learners, using clear (visually and conceptually) power points and providing additional work and assessments at all levels for learners.</w:t>
      </w:r>
    </w:p>
    <w:p w:rsidR="00BB63A4" w:rsidRDefault="00BB63A4" w:rsidP="00A65348">
      <w:pPr>
        <w:spacing w:line="360" w:lineRule="auto"/>
        <w:jc w:val="both"/>
      </w:pPr>
      <w:r>
        <w:t>The following section in this paper will address the different activities included in the micro teach lesson and the underpinning learning principles that they may be attributed to. Where possible alternative or contrasting theories will also be included.</w:t>
      </w:r>
    </w:p>
    <w:p w:rsidR="00CE1A2C" w:rsidRDefault="00F13854" w:rsidP="00A65348">
      <w:pPr>
        <w:spacing w:line="360" w:lineRule="auto"/>
        <w:jc w:val="both"/>
      </w:pPr>
      <w:r>
        <w:t xml:space="preserve">The micro teach lesson began with a starter task. The idea of beginning a lesson using Initial Stimulus Material </w:t>
      </w:r>
      <w:r w:rsidR="00DB4190">
        <w:t xml:space="preserve">(ISM) or ‘starter tasks’ as they have now become known </w:t>
      </w:r>
      <w:r>
        <w:t>was explored by Phillips (2001)</w:t>
      </w:r>
      <w:r w:rsidR="00DB4190">
        <w:t xml:space="preserve">. Phillips suggests that ISM can be employed at any </w:t>
      </w:r>
      <w:r w:rsidR="00220351">
        <w:t xml:space="preserve">of the key stage levels and onwards into A/AS levels. He evaluates the merits of doing more than just stating learning objectives by writing them on the board at the beginning of a lesson and champions ISM as a flexible technique that can be used to inspire and motivate learners </w:t>
      </w:r>
      <w:sdt>
        <w:sdtPr>
          <w:id w:val="-328371770"/>
          <w:citation/>
        </w:sdtPr>
        <w:sdtEndPr/>
        <w:sdtContent>
          <w:r w:rsidR="008E5A9D">
            <w:fldChar w:fldCharType="begin"/>
          </w:r>
          <w:r w:rsidR="00CE1A2C">
            <w:instrText xml:space="preserve">CITATION Phi01 \l 2057 </w:instrText>
          </w:r>
          <w:r w:rsidR="008E5A9D">
            <w:fldChar w:fldCharType="separate"/>
          </w:r>
          <w:r w:rsidR="00ED20B6" w:rsidRPr="00ED20B6">
            <w:rPr>
              <w:noProof/>
            </w:rPr>
            <w:t>(Phillips, 2001)</w:t>
          </w:r>
          <w:r w:rsidR="008E5A9D">
            <w:fldChar w:fldCharType="end"/>
          </w:r>
        </w:sdtContent>
      </w:sdt>
      <w:r w:rsidR="008E5A9D">
        <w:t>.</w:t>
      </w:r>
    </w:p>
    <w:p w:rsidR="00F13854" w:rsidRDefault="00F24C3B" w:rsidP="00A65348">
      <w:pPr>
        <w:spacing w:line="360" w:lineRule="auto"/>
        <w:jc w:val="both"/>
      </w:pPr>
      <w:r>
        <w:t>The ISM used in the micro teach consisted of several small (taped closed) cardboard boxes distributed amongst the pupils. Each box contained something different e.g. gravel, steel nails, small pieces of wood</w:t>
      </w:r>
      <w:r w:rsidR="0032658C">
        <w:t>, copper nails etc. Learners were then challenged to think of scientific methods that could be used to help determine the contents of each box without opening them. This activity was based on the widely held belief and much research into the merits of ‘hands on learning’. In 2015</w:t>
      </w:r>
      <w:r w:rsidR="00CE1A2C">
        <w:t>,</w:t>
      </w:r>
      <w:r w:rsidR="0032658C">
        <w:t xml:space="preserve"> </w:t>
      </w:r>
      <w:proofErr w:type="spellStart"/>
      <w:r w:rsidR="0032658C">
        <w:t>Kontra</w:t>
      </w:r>
      <w:proofErr w:type="spellEnd"/>
      <w:r w:rsidR="0032658C">
        <w:t xml:space="preserve"> et al</w:t>
      </w:r>
      <w:r w:rsidR="00F5098C">
        <w:t xml:space="preserve">. </w:t>
      </w:r>
      <w:r w:rsidR="00CE1A2C">
        <w:t xml:space="preserve">published results of laboratory and field test experiments which concluded that a hands-on learning experience is an integral and valuable part of learning </w:t>
      </w:r>
      <w:sdt>
        <w:sdtPr>
          <w:id w:val="-1325893536"/>
          <w:citation/>
        </w:sdtPr>
        <w:sdtEndPr/>
        <w:sdtContent>
          <w:r w:rsidR="00CE1A2C">
            <w:fldChar w:fldCharType="begin"/>
          </w:r>
          <w:r w:rsidR="00CE1A2C">
            <w:instrText xml:space="preserve"> CITATION Kon15 \l 2057 </w:instrText>
          </w:r>
          <w:r w:rsidR="00CE1A2C">
            <w:fldChar w:fldCharType="separate"/>
          </w:r>
          <w:r w:rsidR="00ED20B6" w:rsidRPr="00ED20B6">
            <w:rPr>
              <w:noProof/>
            </w:rPr>
            <w:t>(Kontra, et al., 2015)</w:t>
          </w:r>
          <w:r w:rsidR="00CE1A2C">
            <w:fldChar w:fldCharType="end"/>
          </w:r>
        </w:sdtContent>
      </w:sdt>
      <w:r w:rsidR="00CE1A2C">
        <w:t xml:space="preserve">. </w:t>
      </w:r>
    </w:p>
    <w:p w:rsidR="00ED20B6" w:rsidRDefault="00ED20B6" w:rsidP="00A65348">
      <w:pPr>
        <w:spacing w:line="360" w:lineRule="auto"/>
        <w:jc w:val="both"/>
      </w:pPr>
    </w:p>
    <w:p w:rsidR="00CE1A2C" w:rsidRDefault="00CE1A2C" w:rsidP="00A65348">
      <w:pPr>
        <w:spacing w:line="360" w:lineRule="auto"/>
        <w:jc w:val="both"/>
      </w:pPr>
      <w:r>
        <w:t xml:space="preserve">During the micro teach ISM learners were encouraged to discuss their ideas with one another with </w:t>
      </w:r>
      <w:r w:rsidR="00D12CBA">
        <w:t>initially, little input from the teacher.</w:t>
      </w:r>
      <w:r w:rsidR="00EE3169">
        <w:t xml:space="preserve"> This approach draws on studies by van Zee et al. in 2001</w:t>
      </w:r>
      <w:r w:rsidR="0012209B">
        <w:t xml:space="preserve"> which indicates that during science investigations, if learners where given the chance to generate and construct their own inquiries, they would in turn, reflect on their subject knowledge and pre conceptions </w:t>
      </w:r>
      <w:sdt>
        <w:sdtPr>
          <w:id w:val="748541696"/>
          <w:citation/>
        </w:sdtPr>
        <w:sdtEndPr/>
        <w:sdtContent>
          <w:r w:rsidR="0012209B">
            <w:fldChar w:fldCharType="begin"/>
          </w:r>
          <w:r w:rsidR="0012209B">
            <w:instrText xml:space="preserve"> CITATION van01 \l 2057 </w:instrText>
          </w:r>
          <w:r w:rsidR="0012209B">
            <w:fldChar w:fldCharType="separate"/>
          </w:r>
          <w:r w:rsidR="00ED20B6" w:rsidRPr="00ED20B6">
            <w:rPr>
              <w:noProof/>
            </w:rPr>
            <w:t>(van Zee, et al., 2001)</w:t>
          </w:r>
          <w:r w:rsidR="0012209B">
            <w:fldChar w:fldCharType="end"/>
          </w:r>
        </w:sdtContent>
      </w:sdt>
      <w:r w:rsidR="0012209B">
        <w:t xml:space="preserve">. </w:t>
      </w:r>
      <w:r w:rsidR="0045367C">
        <w:t xml:space="preserve">More recently, Gillies (2013) further explored this theory with a study into using key questions to elicit verbal and cognitive expressions </w:t>
      </w:r>
      <w:sdt>
        <w:sdtPr>
          <w:id w:val="-478151373"/>
          <w:citation/>
        </w:sdtPr>
        <w:sdtEndPr/>
        <w:sdtContent>
          <w:r w:rsidR="0045367C">
            <w:fldChar w:fldCharType="begin"/>
          </w:r>
          <w:r w:rsidR="0045367C">
            <w:instrText xml:space="preserve"> CITATION Gil14 \l 2057 </w:instrText>
          </w:r>
          <w:r w:rsidR="0045367C">
            <w:fldChar w:fldCharType="separate"/>
          </w:r>
          <w:r w:rsidR="00ED20B6" w:rsidRPr="00ED20B6">
            <w:rPr>
              <w:noProof/>
            </w:rPr>
            <w:t>(Gillies, et al., 2014)</w:t>
          </w:r>
          <w:r w:rsidR="0045367C">
            <w:fldChar w:fldCharType="end"/>
          </w:r>
        </w:sdtContent>
      </w:sdt>
      <w:r w:rsidR="0045367C">
        <w:t>.</w:t>
      </w:r>
      <w:r w:rsidR="00BB63A4">
        <w:t xml:space="preserve"> </w:t>
      </w:r>
    </w:p>
    <w:p w:rsidR="00ED20B6" w:rsidRDefault="00ED20B6" w:rsidP="00A65348">
      <w:pPr>
        <w:spacing w:line="360" w:lineRule="auto"/>
        <w:jc w:val="both"/>
      </w:pPr>
    </w:p>
    <w:p w:rsidR="00684178" w:rsidRDefault="00BB63A4" w:rsidP="00A65348">
      <w:pPr>
        <w:spacing w:line="360" w:lineRule="auto"/>
        <w:jc w:val="both"/>
      </w:pPr>
      <w:r>
        <w:t>Throughout the entire lesson positive feedback to all learners was always a key consideration. Inference can be drawn here to the Behaviourist Theory</w:t>
      </w:r>
      <w:r w:rsidR="00103051">
        <w:t xml:space="preserve"> or Operant Conditioning</w:t>
      </w:r>
      <w:r>
        <w:t xml:space="preserve"> of learning. </w:t>
      </w:r>
      <w:r w:rsidR="00103051">
        <w:t>An early protagonist of behaviourism was John B. Watson who drew on Pavlov’s work (1897-1902)</w:t>
      </w:r>
      <w:r w:rsidR="007C6030">
        <w:t xml:space="preserve"> into Classical </w:t>
      </w:r>
      <w:r w:rsidR="00225211">
        <w:t>Conditioning</w:t>
      </w:r>
      <w:r w:rsidR="00103051">
        <w:t xml:space="preserve"> and concluded that Pavlov’s observations could be used to account for all facets of human psychology </w:t>
      </w:r>
      <w:sdt>
        <w:sdtPr>
          <w:id w:val="-922647446"/>
          <w:citation/>
        </w:sdtPr>
        <w:sdtEndPr/>
        <w:sdtContent>
          <w:r w:rsidR="00103051">
            <w:fldChar w:fldCharType="begin"/>
          </w:r>
          <w:r w:rsidR="00103051">
            <w:instrText xml:space="preserve"> CITATION Wat24 \l 2057 </w:instrText>
          </w:r>
          <w:r w:rsidR="00103051">
            <w:fldChar w:fldCharType="separate"/>
          </w:r>
          <w:r w:rsidR="00ED20B6" w:rsidRPr="00ED20B6">
            <w:rPr>
              <w:noProof/>
            </w:rPr>
            <w:t>(Watson, 1924)</w:t>
          </w:r>
          <w:r w:rsidR="00103051">
            <w:fldChar w:fldCharType="end"/>
          </w:r>
        </w:sdtContent>
      </w:sdt>
      <w:r w:rsidR="00103051">
        <w:t>.</w:t>
      </w:r>
      <w:r w:rsidR="00B93EE4">
        <w:t xml:space="preserve"> A slightly less extreme exponent of behaviourism was </w:t>
      </w:r>
      <w:proofErr w:type="spellStart"/>
      <w:r w:rsidR="00B93EE4">
        <w:t>Burrhus</w:t>
      </w:r>
      <w:proofErr w:type="spellEnd"/>
      <w:r w:rsidR="00B93EE4">
        <w:t xml:space="preserve"> F. Skinner, now considered as the patriarch of Operant Conditioning. Whilst Skinner’s work was largely based on Thorndike’s (1898) law of effect studies, his preponderant principle is that any behaviour that is </w:t>
      </w:r>
      <w:r w:rsidR="007C6030">
        <w:t xml:space="preserve">followed by a pleasant experience or consequence of that behaviour is much more likely to be repeated than a behaviour that precedes an unpleasant experience </w:t>
      </w:r>
      <w:sdt>
        <w:sdtPr>
          <w:id w:val="-1624846127"/>
          <w:citation/>
        </w:sdtPr>
        <w:sdtEndPr/>
        <w:sdtContent>
          <w:r w:rsidR="007C6030">
            <w:fldChar w:fldCharType="begin"/>
          </w:r>
          <w:r w:rsidR="007C6030">
            <w:instrText xml:space="preserve"> CITATION Ski38 \l 2057 </w:instrText>
          </w:r>
          <w:r w:rsidR="007C6030">
            <w:fldChar w:fldCharType="separate"/>
          </w:r>
          <w:r w:rsidR="00ED20B6" w:rsidRPr="00ED20B6">
            <w:rPr>
              <w:noProof/>
            </w:rPr>
            <w:t>(Skinner, 1938)</w:t>
          </w:r>
          <w:r w:rsidR="007C6030">
            <w:fldChar w:fldCharType="end"/>
          </w:r>
        </w:sdtContent>
      </w:sdt>
      <w:r w:rsidR="007C6030">
        <w:t>.</w:t>
      </w:r>
    </w:p>
    <w:p w:rsidR="00ED20B6" w:rsidRDefault="00ED20B6" w:rsidP="00A65348">
      <w:pPr>
        <w:spacing w:line="360" w:lineRule="auto"/>
        <w:jc w:val="both"/>
      </w:pPr>
    </w:p>
    <w:p w:rsidR="00684178" w:rsidRDefault="00684178" w:rsidP="00A65348">
      <w:pPr>
        <w:spacing w:line="360" w:lineRule="auto"/>
        <w:jc w:val="both"/>
      </w:pPr>
      <w:r>
        <w:t>The Behaviourist approach can be applied to the classroom by providing positive feedback to pupil performance.</w:t>
      </w:r>
      <w:r w:rsidR="009D35D9">
        <w:t xml:space="preserve"> This can help shape and encourage class and student behaviour. Initially, positive reinforcement or praise is given to all students at frequent intervals, gradually the frequency of praise is reduced and the level at which praise is increased until only the highest calibre of learners and learning is commended. Undesirable or unwanted actions by learners can be ignored by the teacher, this helps prevent attention being drawn to them </w:t>
      </w:r>
      <w:sdt>
        <w:sdtPr>
          <w:id w:val="979500201"/>
          <w:citation/>
        </w:sdtPr>
        <w:sdtEndPr/>
        <w:sdtContent>
          <w:r w:rsidR="00B074E5">
            <w:fldChar w:fldCharType="begin"/>
          </w:r>
          <w:r w:rsidR="00B074E5">
            <w:instrText xml:space="preserve"> CITATION McL18 \l 2057 </w:instrText>
          </w:r>
          <w:r w:rsidR="00B074E5">
            <w:fldChar w:fldCharType="separate"/>
          </w:r>
          <w:r w:rsidR="00ED20B6" w:rsidRPr="00ED20B6">
            <w:rPr>
              <w:noProof/>
            </w:rPr>
            <w:t>(McLoed, 2018)</w:t>
          </w:r>
          <w:r w:rsidR="00B074E5">
            <w:fldChar w:fldCharType="end"/>
          </w:r>
        </w:sdtContent>
      </w:sdt>
      <w:r w:rsidR="00B074E5">
        <w:t>.</w:t>
      </w:r>
    </w:p>
    <w:p w:rsidR="00684178" w:rsidRDefault="00684178" w:rsidP="00A65348">
      <w:pPr>
        <w:spacing w:line="360" w:lineRule="auto"/>
        <w:jc w:val="both"/>
      </w:pPr>
    </w:p>
    <w:p w:rsidR="00ED20B6" w:rsidRDefault="00ED20B6" w:rsidP="00A65348">
      <w:pPr>
        <w:spacing w:line="360" w:lineRule="auto"/>
        <w:jc w:val="both"/>
      </w:pPr>
    </w:p>
    <w:p w:rsidR="00ED20B6" w:rsidRDefault="00ED20B6" w:rsidP="00A65348">
      <w:pPr>
        <w:spacing w:line="360" w:lineRule="auto"/>
        <w:jc w:val="both"/>
      </w:pPr>
    </w:p>
    <w:p w:rsidR="00FF783A" w:rsidRDefault="00B074E5" w:rsidP="00A65348">
      <w:pPr>
        <w:spacing w:line="360" w:lineRule="auto"/>
        <w:jc w:val="both"/>
      </w:pPr>
      <w:r>
        <w:lastRenderedPageBreak/>
        <w:t>B</w:t>
      </w:r>
      <w:r w:rsidR="007C6030">
        <w:t xml:space="preserve">oth Classical </w:t>
      </w:r>
      <w:r w:rsidR="002F4E17">
        <w:t>Conditioning</w:t>
      </w:r>
      <w:r w:rsidR="007C6030">
        <w:t xml:space="preserve"> and Behaviourism studies are scientifically proven, in that they</w:t>
      </w:r>
      <w:r w:rsidR="00FF783A">
        <w:t xml:space="preserve"> are</w:t>
      </w:r>
      <w:r w:rsidR="007C6030">
        <w:t xml:space="preserve"> controlled experiments </w:t>
      </w:r>
      <w:r w:rsidR="002F4E17">
        <w:t>generating</w:t>
      </w:r>
      <w:r w:rsidR="007C6030">
        <w:t xml:space="preserve"> empirical</w:t>
      </w:r>
      <w:r w:rsidR="002F4E17">
        <w:t xml:space="preserve"> data</w:t>
      </w:r>
      <w:r>
        <w:t xml:space="preserve">. However, </w:t>
      </w:r>
      <w:r w:rsidR="002F4E17">
        <w:t xml:space="preserve">other fields of research have challenged much of the evidence for Behaviourism. The Humanism approach contests Behaviourism </w:t>
      </w:r>
      <w:r w:rsidR="00B21403">
        <w:t>claiming</w:t>
      </w:r>
      <w:r w:rsidR="002F4E17">
        <w:t xml:space="preserve"> a scientific environment and method with its associated control variables has low ecological validity due to its artificial environment </w:t>
      </w:r>
      <w:sdt>
        <w:sdtPr>
          <w:id w:val="-269012431"/>
          <w:citation/>
        </w:sdtPr>
        <w:sdtEndPr/>
        <w:sdtContent>
          <w:r w:rsidR="00B21403">
            <w:fldChar w:fldCharType="begin"/>
          </w:r>
          <w:r w:rsidR="00B21403">
            <w:instrText xml:space="preserve"> CITATION Rog61 \l 2057 </w:instrText>
          </w:r>
          <w:r w:rsidR="00B21403">
            <w:fldChar w:fldCharType="separate"/>
          </w:r>
          <w:r w:rsidR="00ED20B6" w:rsidRPr="00ED20B6">
            <w:rPr>
              <w:noProof/>
            </w:rPr>
            <w:t>(Rogers, 1961)</w:t>
          </w:r>
          <w:r w:rsidR="00B21403">
            <w:fldChar w:fldCharType="end"/>
          </w:r>
        </w:sdtContent>
      </w:sdt>
      <w:r w:rsidR="00B21403">
        <w:t xml:space="preserve">. The psychodynamic approach championed by </w:t>
      </w:r>
      <w:r w:rsidR="00225211">
        <w:t>Freud</w:t>
      </w:r>
      <w:r w:rsidR="00B21403">
        <w:t xml:space="preserve"> also challenges Behaviourism as it only focuses on observable behaviour (external behaviour) and does not consider the influence of the unconscious min</w:t>
      </w:r>
      <w:r w:rsidR="00FF783A">
        <w:t xml:space="preserve">d </w:t>
      </w:r>
      <w:sdt>
        <w:sdtPr>
          <w:id w:val="-947784516"/>
          <w:citation/>
        </w:sdtPr>
        <w:sdtEndPr/>
        <w:sdtContent>
          <w:r w:rsidR="00FF783A">
            <w:fldChar w:fldCharType="begin"/>
          </w:r>
          <w:r w:rsidR="00FF783A">
            <w:instrText xml:space="preserve"> CITATION Fre15 \l 2057 </w:instrText>
          </w:r>
          <w:r w:rsidR="00FF783A">
            <w:fldChar w:fldCharType="separate"/>
          </w:r>
          <w:r w:rsidR="00ED20B6" w:rsidRPr="00ED20B6">
            <w:rPr>
              <w:noProof/>
            </w:rPr>
            <w:t>(Freud, 1915)</w:t>
          </w:r>
          <w:r w:rsidR="00FF783A">
            <w:fldChar w:fldCharType="end"/>
          </w:r>
        </w:sdtContent>
      </w:sdt>
      <w:r w:rsidR="00FF783A">
        <w:t>.</w:t>
      </w:r>
    </w:p>
    <w:p w:rsidR="00ED20B6" w:rsidRDefault="00ED20B6" w:rsidP="00A65348">
      <w:pPr>
        <w:spacing w:line="360" w:lineRule="auto"/>
        <w:jc w:val="both"/>
      </w:pPr>
    </w:p>
    <w:p w:rsidR="00EE3169" w:rsidRDefault="009A17B1" w:rsidP="00A65348">
      <w:pPr>
        <w:spacing w:line="360" w:lineRule="auto"/>
        <w:jc w:val="both"/>
      </w:pPr>
      <w:r>
        <w:t xml:space="preserve">The next activity in the lesson saw the learners given several </w:t>
      </w:r>
      <w:r w:rsidR="00B40C79">
        <w:t>real-life</w:t>
      </w:r>
      <w:r>
        <w:t xml:space="preserve"> objects and samples of different elements, compounds and mixtures. After some thinking time,</w:t>
      </w:r>
      <w:r w:rsidR="00B40C79">
        <w:t xml:space="preserve"> the class started to compile a list of what each object or sample may be made up of. This was teacher led and the list written on the board. </w:t>
      </w:r>
      <w:r w:rsidR="00623435">
        <w:t xml:space="preserve">One of the primary reasons for using real-life objects (possibly not normally associated with the science laboratory) was to spark interest and intrigue in learners. </w:t>
      </w:r>
      <w:r w:rsidR="00344566">
        <w:t>The initial drawing in of interest is often referred to as a ‘hook’.</w:t>
      </w:r>
      <w:r w:rsidR="00D56E5A">
        <w:t xml:space="preserve"> The use of a ‘hook’ in education has been well documented with studies published in periodical journals such as the ‘American Biology Teacher’ Palmer (2010) and</w:t>
      </w:r>
      <w:r w:rsidR="001279CB" w:rsidRPr="001279CB">
        <w:t xml:space="preserve"> </w:t>
      </w:r>
      <w:r w:rsidR="001279CB">
        <w:t>Howitt et al. (2011) in</w:t>
      </w:r>
      <w:r w:rsidR="00D56E5A">
        <w:t xml:space="preserve"> the ‘Australian Journal of Early Learning’ </w:t>
      </w:r>
      <w:r w:rsidR="001279CB">
        <w:t xml:space="preserve"> </w:t>
      </w:r>
      <w:sdt>
        <w:sdtPr>
          <w:id w:val="346142930"/>
          <w:citation/>
        </w:sdtPr>
        <w:sdtEndPr/>
        <w:sdtContent>
          <w:r w:rsidR="001279CB">
            <w:fldChar w:fldCharType="begin"/>
          </w:r>
          <w:r w:rsidR="001279CB">
            <w:instrText xml:space="preserve"> CITATION Pal10 \l 2057 </w:instrText>
          </w:r>
          <w:r w:rsidR="001279CB">
            <w:fldChar w:fldCharType="separate"/>
          </w:r>
          <w:r w:rsidR="00ED20B6" w:rsidRPr="00ED20B6">
            <w:rPr>
              <w:noProof/>
            </w:rPr>
            <w:t>(Palmer, 2010)</w:t>
          </w:r>
          <w:r w:rsidR="001279CB">
            <w:fldChar w:fldCharType="end"/>
          </w:r>
        </w:sdtContent>
      </w:sdt>
      <w:sdt>
        <w:sdtPr>
          <w:id w:val="676382628"/>
          <w:citation/>
        </w:sdtPr>
        <w:sdtEndPr/>
        <w:sdtContent>
          <w:r w:rsidR="001279CB">
            <w:fldChar w:fldCharType="begin"/>
          </w:r>
          <w:r w:rsidR="001279CB">
            <w:instrText xml:space="preserve"> CITATION How11 \l 2057 </w:instrText>
          </w:r>
          <w:r w:rsidR="001279CB">
            <w:fldChar w:fldCharType="separate"/>
          </w:r>
          <w:r w:rsidR="00ED20B6">
            <w:rPr>
              <w:noProof/>
            </w:rPr>
            <w:t xml:space="preserve"> </w:t>
          </w:r>
          <w:r w:rsidR="00ED20B6" w:rsidRPr="00ED20B6">
            <w:rPr>
              <w:noProof/>
            </w:rPr>
            <w:t>(Howitt, et al., 2011)</w:t>
          </w:r>
          <w:r w:rsidR="001279CB">
            <w:fldChar w:fldCharType="end"/>
          </w:r>
        </w:sdtContent>
      </w:sdt>
      <w:r w:rsidR="001279CB">
        <w:t>.</w:t>
      </w:r>
      <w:r w:rsidR="00B074E5">
        <w:t xml:space="preserve"> This type of learning activity is further endorsed by studies such as one conducted by Meyer et al. (2014), testing the merits of initial ‘hooks’ combined with hands on activity type learning environments.</w:t>
      </w:r>
    </w:p>
    <w:p w:rsidR="00ED20B6" w:rsidRDefault="00ED20B6" w:rsidP="00A65348">
      <w:pPr>
        <w:spacing w:line="360" w:lineRule="auto"/>
        <w:jc w:val="both"/>
      </w:pPr>
    </w:p>
    <w:p w:rsidR="001279CB" w:rsidRDefault="00B074E5" w:rsidP="00A65348">
      <w:pPr>
        <w:spacing w:line="360" w:lineRule="auto"/>
        <w:jc w:val="both"/>
      </w:pPr>
      <w:r>
        <w:t>The learner led ‘investigation’ type learning in science can draw parallels with a</w:t>
      </w:r>
      <w:r w:rsidR="00426DFC">
        <w:t xml:space="preserve"> very influential theory and approach to learning in the 20</w:t>
      </w:r>
      <w:r w:rsidR="00426DFC" w:rsidRPr="00426DFC">
        <w:rPr>
          <w:vertAlign w:val="superscript"/>
        </w:rPr>
        <w:t>th</w:t>
      </w:r>
      <w:r w:rsidR="00426DFC">
        <w:t xml:space="preserve"> century, Constructivism. In 1966 the UK government implemented a complete review of primary school education, based primarily on the work by one psychologist, Piaget. Piaget’s theory of cognitive development suggests that a child gradually constructs a ‘mental model/picture’ of the world. He strongly refutes the idea that intelligence can be regarded as a fixed trait and implies that learning (cognitive development) is linked to environmental interactions and biological maturity.</w:t>
      </w:r>
      <w:r w:rsidR="00BE2479">
        <w:t xml:space="preserve"> In 1958 Piaget stated that learning (in the context of assimilation and retention of knowledge) requires a dynamic learner and learning experience as opposed to a passive one, skills such as problem resolving can only be discovered by the learner, they cannot be taught </w:t>
      </w:r>
      <w:sdt>
        <w:sdtPr>
          <w:id w:val="296505642"/>
          <w:citation/>
        </w:sdtPr>
        <w:sdtEndPr/>
        <w:sdtContent>
          <w:r w:rsidR="00BE2479">
            <w:fldChar w:fldCharType="begin"/>
          </w:r>
          <w:r w:rsidR="00BE2479">
            <w:instrText xml:space="preserve"> CITATION Pia58 \l 2057 </w:instrText>
          </w:r>
          <w:r w:rsidR="00BE2479">
            <w:fldChar w:fldCharType="separate"/>
          </w:r>
          <w:r w:rsidR="00ED20B6" w:rsidRPr="00ED20B6">
            <w:rPr>
              <w:noProof/>
            </w:rPr>
            <w:t>(Piaget, 1958)</w:t>
          </w:r>
          <w:r w:rsidR="00BE2479">
            <w:fldChar w:fldCharType="end"/>
          </w:r>
        </w:sdtContent>
      </w:sdt>
      <w:r w:rsidR="00BE2479">
        <w:t>.</w:t>
      </w:r>
    </w:p>
    <w:p w:rsidR="00ED20B6" w:rsidRDefault="00ED20B6" w:rsidP="00A65348">
      <w:pPr>
        <w:spacing w:line="360" w:lineRule="auto"/>
        <w:jc w:val="both"/>
      </w:pPr>
    </w:p>
    <w:p w:rsidR="00ED20B6" w:rsidRDefault="00ED20B6" w:rsidP="00A65348">
      <w:pPr>
        <w:spacing w:line="360" w:lineRule="auto"/>
        <w:jc w:val="both"/>
      </w:pPr>
    </w:p>
    <w:p w:rsidR="00BE2479" w:rsidRDefault="00787771" w:rsidP="00A65348">
      <w:pPr>
        <w:spacing w:line="360" w:lineRule="auto"/>
        <w:jc w:val="both"/>
      </w:pPr>
      <w:r>
        <w:t>Opponents</w:t>
      </w:r>
      <w:r w:rsidR="00BE2479">
        <w:t xml:space="preserve"> and </w:t>
      </w:r>
      <w:r>
        <w:t>critics</w:t>
      </w:r>
      <w:r w:rsidR="00BE2479">
        <w:t xml:space="preserve"> of Piaget</w:t>
      </w:r>
      <w:r>
        <w:t>’</w:t>
      </w:r>
      <w:r w:rsidR="00BE2479">
        <w:t>s theories include Vygotsky and Bruner</w:t>
      </w:r>
      <w:r>
        <w:t>. Both of whom believe that development and in turn learning does not occur at stages of environmental interactions or biological maturity. Bruner and Vygotsky view development as a continual process</w:t>
      </w:r>
      <w:r w:rsidR="001D5374">
        <w:t xml:space="preserve"> </w:t>
      </w:r>
      <w:sdt>
        <w:sdtPr>
          <w:id w:val="-600182471"/>
          <w:citation/>
        </w:sdtPr>
        <w:sdtEndPr/>
        <w:sdtContent>
          <w:r w:rsidR="001D5374">
            <w:fldChar w:fldCharType="begin"/>
          </w:r>
          <w:r w:rsidR="001D5374">
            <w:instrText xml:space="preserve"> CITATION McL181 \l 2057 </w:instrText>
          </w:r>
          <w:r w:rsidR="001D5374">
            <w:fldChar w:fldCharType="separate"/>
          </w:r>
          <w:r w:rsidR="00ED20B6" w:rsidRPr="00ED20B6">
            <w:rPr>
              <w:noProof/>
            </w:rPr>
            <w:t>(McLeod, 2018)</w:t>
          </w:r>
          <w:r w:rsidR="001D5374">
            <w:fldChar w:fldCharType="end"/>
          </w:r>
        </w:sdtContent>
      </w:sdt>
      <w:r w:rsidR="00886488">
        <w:t xml:space="preserve"> </w:t>
      </w:r>
      <w:sdt>
        <w:sdtPr>
          <w:id w:val="-955873283"/>
          <w:citation/>
        </w:sdtPr>
        <w:sdtEndPr/>
        <w:sdtContent>
          <w:r w:rsidR="00886488">
            <w:fldChar w:fldCharType="begin"/>
          </w:r>
          <w:r w:rsidR="00886488">
            <w:instrText xml:space="preserve"> CITATION Bru66 \l 2057 </w:instrText>
          </w:r>
          <w:r w:rsidR="00886488">
            <w:fldChar w:fldCharType="separate"/>
          </w:r>
          <w:r w:rsidR="00ED20B6" w:rsidRPr="00ED20B6">
            <w:rPr>
              <w:noProof/>
            </w:rPr>
            <w:t>(Bruner, 1966)</w:t>
          </w:r>
          <w:r w:rsidR="00886488">
            <w:fldChar w:fldCharType="end"/>
          </w:r>
        </w:sdtContent>
      </w:sdt>
      <w:r w:rsidR="00886488">
        <w:t>.</w:t>
      </w:r>
      <w:r w:rsidR="001D5374">
        <w:t xml:space="preserve"> Another important concept of Vygotsky is his ‘More Knowledgeable Other’. This is integral to Vygotsky’s widely known theories coining the term, ‘Zone of Proximal Development’. Fundamentally, Vygotsky proposes that a child will learn more under guidance from a skilled or knowledgeable individual than they would learning by themselves. Direct classroom applications of this theory can be seen in the use of scaffolding or support structure to enable all learners to work successfully </w:t>
      </w:r>
      <w:sdt>
        <w:sdtPr>
          <w:id w:val="-1392570291"/>
          <w:citation/>
        </w:sdtPr>
        <w:sdtEndPr/>
        <w:sdtContent>
          <w:r w:rsidR="001D5374">
            <w:fldChar w:fldCharType="begin"/>
          </w:r>
          <w:r w:rsidR="001D5374">
            <w:instrText xml:space="preserve"> CITATION Vyg78 \l 2057 </w:instrText>
          </w:r>
          <w:r w:rsidR="001D5374">
            <w:fldChar w:fldCharType="separate"/>
          </w:r>
          <w:r w:rsidR="00ED20B6" w:rsidRPr="00ED20B6">
            <w:rPr>
              <w:noProof/>
            </w:rPr>
            <w:t>(Vygotsky, 1978)</w:t>
          </w:r>
          <w:r w:rsidR="001D5374">
            <w:fldChar w:fldCharType="end"/>
          </w:r>
        </w:sdtContent>
      </w:sdt>
      <w:r w:rsidR="00886488">
        <w:t>.</w:t>
      </w:r>
      <w:r w:rsidR="0056386A">
        <w:t xml:space="preserve"> </w:t>
      </w:r>
    </w:p>
    <w:p w:rsidR="00ED20B6" w:rsidRDefault="00ED20B6" w:rsidP="00A65348">
      <w:pPr>
        <w:spacing w:line="360" w:lineRule="auto"/>
        <w:jc w:val="both"/>
      </w:pPr>
    </w:p>
    <w:p w:rsidR="00886488" w:rsidRDefault="00886488" w:rsidP="00A65348">
      <w:pPr>
        <w:spacing w:line="360" w:lineRule="auto"/>
        <w:jc w:val="both"/>
      </w:pPr>
      <w:r>
        <w:t>Whilst the debate over development theories and thus the best pedagogical learning strategies, some techniques, methods and theories have proven successfu</w:t>
      </w:r>
      <w:r w:rsidR="00345687">
        <w:t xml:space="preserve">l. For example, high quality instruction, extensive pedagogical content knowledge, effective classroom and behaviour management </w:t>
      </w:r>
      <w:sdt>
        <w:sdtPr>
          <w:id w:val="-2088919979"/>
          <w:citation/>
        </w:sdtPr>
        <w:sdtEndPr/>
        <w:sdtContent>
          <w:r w:rsidR="00345687">
            <w:fldChar w:fldCharType="begin"/>
          </w:r>
          <w:r w:rsidR="00345687">
            <w:instrText xml:space="preserve"> CITATION Coe14 \l 2057 </w:instrText>
          </w:r>
          <w:r w:rsidR="00345687">
            <w:fldChar w:fldCharType="separate"/>
          </w:r>
          <w:r w:rsidR="00ED20B6" w:rsidRPr="00ED20B6">
            <w:rPr>
              <w:noProof/>
            </w:rPr>
            <w:t>(Coe, et al., 2014)</w:t>
          </w:r>
          <w:r w:rsidR="00345687">
            <w:fldChar w:fldCharType="end"/>
          </w:r>
        </w:sdtContent>
      </w:sdt>
      <w:r w:rsidR="00345687">
        <w:t xml:space="preserve">. Effective teaching applications include setting high expectations, using feedback for learners regularly, understanding pupil misconceptions and building relationships of trust </w:t>
      </w:r>
      <w:sdt>
        <w:sdtPr>
          <w:id w:val="-813478793"/>
          <w:citation/>
        </w:sdtPr>
        <w:sdtEndPr/>
        <w:sdtContent>
          <w:r w:rsidR="00345687">
            <w:fldChar w:fldCharType="begin"/>
          </w:r>
          <w:r w:rsidR="00345687">
            <w:instrText xml:space="preserve"> CITATION Coe17 \l 2057 </w:instrText>
          </w:r>
          <w:r w:rsidR="00345687">
            <w:fldChar w:fldCharType="separate"/>
          </w:r>
          <w:r w:rsidR="00ED20B6" w:rsidRPr="00ED20B6">
            <w:rPr>
              <w:noProof/>
            </w:rPr>
            <w:t>(Coe, 2017)</w:t>
          </w:r>
          <w:r w:rsidR="00345687">
            <w:fldChar w:fldCharType="end"/>
          </w:r>
        </w:sdtContent>
      </w:sdt>
      <w:r w:rsidR="00366FB0">
        <w:t>.</w:t>
      </w:r>
    </w:p>
    <w:p w:rsidR="00ED20B6" w:rsidRDefault="00ED20B6" w:rsidP="00A65348">
      <w:pPr>
        <w:spacing w:line="360" w:lineRule="auto"/>
        <w:jc w:val="both"/>
      </w:pPr>
    </w:p>
    <w:p w:rsidR="00623435" w:rsidRDefault="00366FB0" w:rsidP="00A65348">
      <w:pPr>
        <w:spacing w:line="360" w:lineRule="auto"/>
        <w:jc w:val="both"/>
      </w:pPr>
      <w:r>
        <w:t>A further factor of importance in pedagogy that should be addressed in this paper is ‘Learning Styles’. Whilst it is not possible to discuss at any length (in the context of this paper) the different learning styles that were regarded as many as key to successful learning and teaching</w:t>
      </w:r>
      <w:r w:rsidR="000A4ADA">
        <w:t xml:space="preserve">, it is worth mentioning that many studies now prove there is no evidence that particular learners only learn through; for example, visual prompts, cognitive activities or literacy comprehension tasks </w:t>
      </w:r>
      <w:sdt>
        <w:sdtPr>
          <w:id w:val="601383319"/>
          <w:citation/>
        </w:sdtPr>
        <w:sdtEndPr/>
        <w:sdtContent>
          <w:r w:rsidR="000A4ADA">
            <w:fldChar w:fldCharType="begin"/>
          </w:r>
          <w:r w:rsidR="000A4ADA">
            <w:instrText xml:space="preserve"> CITATION Pas08 \l 2057 </w:instrText>
          </w:r>
          <w:r w:rsidR="000A4ADA">
            <w:fldChar w:fldCharType="separate"/>
          </w:r>
          <w:r w:rsidR="00ED20B6" w:rsidRPr="00ED20B6">
            <w:rPr>
              <w:noProof/>
            </w:rPr>
            <w:t>(Pashler, et al., 2008)</w:t>
          </w:r>
          <w:r w:rsidR="000A4ADA">
            <w:fldChar w:fldCharType="end"/>
          </w:r>
        </w:sdtContent>
      </w:sdt>
      <w:r w:rsidR="000A4ADA">
        <w:t xml:space="preserve"> </w:t>
      </w:r>
      <w:sdt>
        <w:sdtPr>
          <w:id w:val="-991635376"/>
          <w:citation/>
        </w:sdtPr>
        <w:sdtEndPr/>
        <w:sdtContent>
          <w:r w:rsidR="005E7B56">
            <w:fldChar w:fldCharType="begin"/>
          </w:r>
          <w:r w:rsidR="005E7B56">
            <w:instrText xml:space="preserve"> CITATION Mas06 \l 2057 </w:instrText>
          </w:r>
          <w:r w:rsidR="005E7B56">
            <w:fldChar w:fldCharType="separate"/>
          </w:r>
          <w:r w:rsidR="00ED20B6" w:rsidRPr="00ED20B6">
            <w:rPr>
              <w:noProof/>
            </w:rPr>
            <w:t>(Massa &amp; Mayer, 2006)</w:t>
          </w:r>
          <w:r w:rsidR="005E7B56">
            <w:fldChar w:fldCharType="end"/>
          </w:r>
        </w:sdtContent>
      </w:sdt>
      <w:r w:rsidR="005E7B56">
        <w:t>.</w:t>
      </w:r>
    </w:p>
    <w:p w:rsidR="005E7B56" w:rsidRDefault="005E7B56" w:rsidP="00A65348">
      <w:pPr>
        <w:spacing w:line="360" w:lineRule="auto"/>
        <w:jc w:val="both"/>
      </w:pPr>
    </w:p>
    <w:p w:rsidR="005E7B56" w:rsidRDefault="005E7B56" w:rsidP="00A65348">
      <w:pPr>
        <w:spacing w:line="360" w:lineRule="auto"/>
        <w:jc w:val="both"/>
      </w:pPr>
    </w:p>
    <w:p w:rsidR="005E7B56" w:rsidRDefault="005E7B56" w:rsidP="00A65348">
      <w:pPr>
        <w:spacing w:line="360" w:lineRule="auto"/>
        <w:jc w:val="both"/>
      </w:pPr>
    </w:p>
    <w:p w:rsidR="00ED20B6" w:rsidRDefault="00ED20B6" w:rsidP="00A65348">
      <w:pPr>
        <w:spacing w:line="360" w:lineRule="auto"/>
        <w:jc w:val="both"/>
      </w:pPr>
    </w:p>
    <w:p w:rsidR="005E7B56" w:rsidRDefault="005E7B56" w:rsidP="00A65348">
      <w:pPr>
        <w:spacing w:line="360" w:lineRule="auto"/>
        <w:jc w:val="both"/>
      </w:pPr>
    </w:p>
    <w:p w:rsidR="00366FB0" w:rsidRDefault="005E7B56" w:rsidP="00A65348">
      <w:pPr>
        <w:spacing w:line="360" w:lineRule="auto"/>
        <w:jc w:val="both"/>
        <w:rPr>
          <w:u w:val="single"/>
        </w:rPr>
      </w:pPr>
      <w:r w:rsidRPr="005E7B56">
        <w:rPr>
          <w:u w:val="single"/>
        </w:rPr>
        <w:lastRenderedPageBreak/>
        <w:t>PART B (ii)</w:t>
      </w:r>
    </w:p>
    <w:p w:rsidR="00233FBA" w:rsidRDefault="00233FBA" w:rsidP="00A65348">
      <w:pPr>
        <w:spacing w:line="360" w:lineRule="auto"/>
        <w:jc w:val="both"/>
        <w:rPr>
          <w:u w:val="single"/>
        </w:rPr>
      </w:pPr>
    </w:p>
    <w:p w:rsidR="00D36431" w:rsidRDefault="00B20BF9" w:rsidP="00A65348">
      <w:pPr>
        <w:spacing w:line="360" w:lineRule="auto"/>
        <w:jc w:val="both"/>
      </w:pPr>
      <w:r w:rsidRPr="00B20BF9">
        <w:t xml:space="preserve">The concepts, theories and </w:t>
      </w:r>
      <w:r>
        <w:t xml:space="preserve">principles that have been explored in pedagogy in the first section of this paper have been and will continue to be instrumental in influencing lesson planning and teaching practices. However, to be a successful teacher, at some point this must all be put into practice in the classroom. The micro teaching experience gave the opportunity to explore and attempt to deliver a hopefully, successful lesson, drawing on (but not limited to) the research and theory previously mentioned. The whole micro teaching was an interesting exercise. </w:t>
      </w:r>
      <w:r w:rsidR="00D36431">
        <w:t>Subsequently, the first Professional Teaching Experience (PTE 1) school placement has occurred, therefore it is now possible to reflect upon, analyse and evaluate the micro teaching exercise.</w:t>
      </w:r>
    </w:p>
    <w:p w:rsidR="00ED20B6" w:rsidRDefault="00ED20B6" w:rsidP="00A65348">
      <w:pPr>
        <w:spacing w:line="360" w:lineRule="auto"/>
        <w:jc w:val="both"/>
      </w:pPr>
    </w:p>
    <w:p w:rsidR="00B67608" w:rsidRDefault="00B67608" w:rsidP="00A65348">
      <w:pPr>
        <w:spacing w:line="360" w:lineRule="auto"/>
        <w:jc w:val="both"/>
      </w:pPr>
      <w:r>
        <w:t>The PTE 1 has provided access to numerous teachers and provided</w:t>
      </w:r>
      <w:r w:rsidR="004A5CEB">
        <w:t xml:space="preserve"> a multi-faceted environment for practice, learning, reflection and development. In relative terms the PTE 1 period is brief. However, when compared to the dearth of practical teaching experience held before the micro teaching it forms a robust experience for reflection and evaluation.</w:t>
      </w:r>
    </w:p>
    <w:p w:rsidR="00ED20B6" w:rsidRDefault="00ED20B6" w:rsidP="00A65348">
      <w:pPr>
        <w:spacing w:line="360" w:lineRule="auto"/>
        <w:jc w:val="both"/>
      </w:pPr>
    </w:p>
    <w:p w:rsidR="00031323" w:rsidRDefault="004A5CEB" w:rsidP="00A65348">
      <w:pPr>
        <w:spacing w:line="360" w:lineRule="auto"/>
        <w:jc w:val="both"/>
      </w:pPr>
      <w:r>
        <w:t>When creating the scheme of work for the micro teaching, all efforts were made at the time to include the recommended topics and themes as outlined in the National Curriculum of Wales</w:t>
      </w:r>
      <w:r w:rsidR="00F121D2">
        <w:t xml:space="preserve"> </w:t>
      </w:r>
      <w:sdt>
        <w:sdtPr>
          <w:id w:val="1292936114"/>
          <w:citation/>
        </w:sdtPr>
        <w:sdtEndPr/>
        <w:sdtContent>
          <w:r w:rsidR="00F121D2">
            <w:fldChar w:fldCharType="begin"/>
          </w:r>
          <w:r w:rsidR="00F121D2">
            <w:instrText xml:space="preserve"> CITATION Wel08 \l 2057 </w:instrText>
          </w:r>
          <w:r w:rsidR="00F121D2">
            <w:fldChar w:fldCharType="separate"/>
          </w:r>
          <w:r w:rsidR="00ED20B6" w:rsidRPr="00ED20B6">
            <w:rPr>
              <w:noProof/>
            </w:rPr>
            <w:t>(Welsh Assembly, 2008)</w:t>
          </w:r>
          <w:r w:rsidR="00F121D2">
            <w:fldChar w:fldCharType="end"/>
          </w:r>
        </w:sdtContent>
      </w:sdt>
      <w:r>
        <w:t>. Having now become more familiar with ‘real’ schemes of work created by the teaching staff within the PTE1</w:t>
      </w:r>
      <w:r w:rsidR="004013EF">
        <w:t xml:space="preserve"> school, it is clear to see that the objectives set out in the micro teaching scheme of work was extremely ambitious and content heavy. Whilst each lesson was following a theme and a natural succession, it would on reflection be more advantageous to learners to extend some lessons over two sessions. This would help reinforce concepts and ideas. It would also give greater opportunity for differentiation. The content heavy approach would not suit lower ability learners.</w:t>
      </w:r>
      <w:r w:rsidR="00787D3C">
        <w:t xml:space="preserve"> However, a favourable feature of the scheme of work created for the micro teaching was that it did follow a logical sequence of learning. This </w:t>
      </w:r>
      <w:r w:rsidR="00031323">
        <w:t xml:space="preserve">has been highlighted as an integral part of good teaching practice as it enables learners to gain prior knowledge of subjects and concepts that they will need to successfully learn new subjects and concepts </w:t>
      </w:r>
      <w:sdt>
        <w:sdtPr>
          <w:id w:val="-906607668"/>
          <w:citation/>
        </w:sdtPr>
        <w:sdtEndPr/>
        <w:sdtContent>
          <w:r w:rsidR="00031323">
            <w:fldChar w:fldCharType="begin"/>
          </w:r>
          <w:r w:rsidR="00031323">
            <w:instrText xml:space="preserve"> CITATION Ago09 \l 2057 </w:instrText>
          </w:r>
          <w:r w:rsidR="00031323">
            <w:fldChar w:fldCharType="separate"/>
          </w:r>
          <w:r w:rsidR="00ED20B6" w:rsidRPr="00ED20B6">
            <w:rPr>
              <w:noProof/>
            </w:rPr>
            <w:t>(Agodini, et al., 2009)</w:t>
          </w:r>
          <w:r w:rsidR="00031323">
            <w:fldChar w:fldCharType="end"/>
          </w:r>
        </w:sdtContent>
      </w:sdt>
      <w:r w:rsidR="00031323">
        <w:t>.</w:t>
      </w:r>
    </w:p>
    <w:p w:rsidR="00ED20B6" w:rsidRDefault="00ED20B6" w:rsidP="00A65348">
      <w:pPr>
        <w:spacing w:line="360" w:lineRule="auto"/>
        <w:jc w:val="both"/>
      </w:pPr>
    </w:p>
    <w:p w:rsidR="00ED20B6" w:rsidRDefault="00ED20B6" w:rsidP="00A65348">
      <w:pPr>
        <w:spacing w:line="360" w:lineRule="auto"/>
        <w:jc w:val="both"/>
      </w:pPr>
    </w:p>
    <w:p w:rsidR="00245B0C" w:rsidRDefault="00245B0C" w:rsidP="00A65348">
      <w:pPr>
        <w:spacing w:line="360" w:lineRule="auto"/>
        <w:jc w:val="both"/>
        <w:rPr>
          <w:u w:val="single"/>
        </w:rPr>
      </w:pPr>
      <w:r w:rsidRPr="00741B10">
        <w:rPr>
          <w:u w:val="single"/>
        </w:rPr>
        <w:t>The lesson</w:t>
      </w:r>
    </w:p>
    <w:p w:rsidR="00ED20B6" w:rsidRPr="00741B10" w:rsidRDefault="00ED20B6" w:rsidP="00A65348">
      <w:pPr>
        <w:spacing w:line="360" w:lineRule="auto"/>
        <w:jc w:val="both"/>
        <w:rPr>
          <w:u w:val="single"/>
        </w:rPr>
      </w:pPr>
    </w:p>
    <w:p w:rsidR="00E6088D" w:rsidRDefault="00245B0C" w:rsidP="00A65348">
      <w:pPr>
        <w:spacing w:line="360" w:lineRule="auto"/>
        <w:jc w:val="both"/>
      </w:pPr>
      <w:r>
        <w:t xml:space="preserve">The lesson taught during the micro teaching was lesson two taken from the scheme of work. Having gained some experience on the PTE1, analysis of the lesson plan </w:t>
      </w:r>
      <w:r w:rsidR="006454EF" w:rsidRPr="006454EF">
        <w:t>underscores</w:t>
      </w:r>
      <w:r>
        <w:t xml:space="preserve"> some </w:t>
      </w:r>
      <w:r w:rsidR="006454EF">
        <w:t>thought-provoking</w:t>
      </w:r>
      <w:r>
        <w:t xml:space="preserve"> </w:t>
      </w:r>
      <w:r w:rsidR="006454EF">
        <w:t>benefits</w:t>
      </w:r>
      <w:r>
        <w:t xml:space="preserve">, </w:t>
      </w:r>
      <w:r w:rsidR="006454EF">
        <w:t>weaknesses</w:t>
      </w:r>
      <w:r>
        <w:t xml:space="preserve"> </w:t>
      </w:r>
      <w:r w:rsidR="006454EF">
        <w:t>and shortcomings</w:t>
      </w:r>
      <w:r>
        <w:t>.</w:t>
      </w:r>
      <w:r w:rsidR="00E6088D">
        <w:t xml:space="preserve"> for discussion within the context of this paper, the lesson plan ‘document’ will be used as a framework for the following critical evaluations and reflections. </w:t>
      </w:r>
    </w:p>
    <w:p w:rsidR="00ED20B6" w:rsidRDefault="00ED20B6" w:rsidP="00A65348">
      <w:pPr>
        <w:spacing w:line="360" w:lineRule="auto"/>
        <w:jc w:val="both"/>
      </w:pPr>
    </w:p>
    <w:p w:rsidR="004A5CEB" w:rsidRDefault="006454EF" w:rsidP="00A65348">
      <w:pPr>
        <w:spacing w:line="360" w:lineRule="auto"/>
        <w:jc w:val="both"/>
      </w:pPr>
      <w:r>
        <w:t xml:space="preserve">The lesson context was on the whole well placed, however the term ‘exposure to numerical concepts’ is too vague a phrase to use. Whilst references may be made to numbers by the teacher in terms of describing quantities and sizes of particles, there is no direct opportunity for learners to acquire new numeracy skills or reinforce already learnt skills. It is not essential that every lesson provides this </w:t>
      </w:r>
      <w:r w:rsidR="001D5FE6">
        <w:t>opportunity,</w:t>
      </w:r>
      <w:r>
        <w:t xml:space="preserve"> but it should be clearly identified in the lesson plan where appropriate.</w:t>
      </w:r>
    </w:p>
    <w:p w:rsidR="00ED20B6" w:rsidRDefault="00ED20B6" w:rsidP="00A65348">
      <w:pPr>
        <w:spacing w:line="360" w:lineRule="auto"/>
        <w:jc w:val="both"/>
      </w:pPr>
    </w:p>
    <w:p w:rsidR="00ED20B6" w:rsidRDefault="00D3664A" w:rsidP="00A65348">
      <w:pPr>
        <w:spacing w:line="360" w:lineRule="auto"/>
        <w:jc w:val="both"/>
      </w:pPr>
      <w:r>
        <w:t xml:space="preserve">The learning objectives in the micro teaching lesson are realistic, clear and succinct. This is something that has been observed on many occasions during the PTE 1. Clear, succinct learning objectives along with useful leading questions can help focus </w:t>
      </w:r>
      <w:r w:rsidR="00911368">
        <w:t>pupils’</w:t>
      </w:r>
      <w:r>
        <w:t xml:space="preserve"> minds directly to the subject and concept of the lesson </w:t>
      </w:r>
      <w:sdt>
        <w:sdtPr>
          <w:id w:val="-538667252"/>
          <w:citation/>
        </w:sdtPr>
        <w:sdtEndPr/>
        <w:sdtContent>
          <w:r>
            <w:fldChar w:fldCharType="begin"/>
          </w:r>
          <w:r>
            <w:instrText xml:space="preserve"> CITATION Fat11 \l 2057 </w:instrText>
          </w:r>
          <w:r>
            <w:fldChar w:fldCharType="separate"/>
          </w:r>
          <w:r w:rsidR="00ED20B6" w:rsidRPr="00ED20B6">
            <w:rPr>
              <w:noProof/>
            </w:rPr>
            <w:t>(Fata-Hartley, 2011)</w:t>
          </w:r>
          <w:r>
            <w:fldChar w:fldCharType="end"/>
          </w:r>
        </w:sdtContent>
      </w:sdt>
      <w:r w:rsidR="007C4630">
        <w:t xml:space="preserve"> </w:t>
      </w:r>
      <w:sdt>
        <w:sdtPr>
          <w:id w:val="-1453782084"/>
          <w:citation/>
        </w:sdtPr>
        <w:sdtEndPr/>
        <w:sdtContent>
          <w:r w:rsidR="007C4630">
            <w:fldChar w:fldCharType="begin"/>
          </w:r>
          <w:r w:rsidR="007C4630">
            <w:instrText xml:space="preserve"> CITATION Ger13 \l 2057 </w:instrText>
          </w:r>
          <w:r w:rsidR="007C4630">
            <w:fldChar w:fldCharType="separate"/>
          </w:r>
          <w:r w:rsidR="00ED20B6" w:rsidRPr="00ED20B6">
            <w:rPr>
              <w:noProof/>
            </w:rPr>
            <w:t>(Gerde, et al., 2013)</w:t>
          </w:r>
          <w:r w:rsidR="007C4630">
            <w:fldChar w:fldCharType="end"/>
          </w:r>
        </w:sdtContent>
      </w:sdt>
      <w:r w:rsidR="007C4630">
        <w:t>.</w:t>
      </w:r>
      <w:r w:rsidR="000B1D4D">
        <w:t xml:space="preserve"> The method used to ‘Check for Understanding’ during the micro teach was through monitoring group work and verbal feedback. There was also a written plenary task at the end of the lesson. Monitoring group work and verbal feedback, having used it in PTE 1, is a useful tool for assessment, however it may not always be possible to monitor all work from all learners in class and it is easy to become accustomed to only a small number of the same pupils answering all questions put to the class. Online random name generators or </w:t>
      </w:r>
      <w:r w:rsidR="00BD750D">
        <w:t>low-tech</w:t>
      </w:r>
      <w:r w:rsidR="000B1D4D">
        <w:t xml:space="preserve"> lollipop sticks can be a useful aid to ensuring a random range of pupils are questioned during class discussions</w:t>
      </w:r>
      <w:r w:rsidR="00BD750D">
        <w:t xml:space="preserve"> or directed specific verbal questioning activities</w:t>
      </w:r>
      <w:r w:rsidR="00E6088D">
        <w:t xml:space="preserve"> </w:t>
      </w:r>
      <w:sdt>
        <w:sdtPr>
          <w:id w:val="-129868273"/>
          <w:citation/>
        </w:sdtPr>
        <w:sdtEndPr/>
        <w:sdtContent>
          <w:r w:rsidR="00E6088D">
            <w:fldChar w:fldCharType="begin"/>
          </w:r>
          <w:r w:rsidR="00E6088D">
            <w:instrText xml:space="preserve"> CITATION Cha14 \l 2057 </w:instrText>
          </w:r>
          <w:r w:rsidR="00E6088D">
            <w:fldChar w:fldCharType="separate"/>
          </w:r>
          <w:r w:rsidR="00ED20B6" w:rsidRPr="00ED20B6">
            <w:rPr>
              <w:noProof/>
            </w:rPr>
            <w:t>(Chambers, 2014)</w:t>
          </w:r>
          <w:r w:rsidR="00E6088D">
            <w:fldChar w:fldCharType="end"/>
          </w:r>
        </w:sdtContent>
      </w:sdt>
      <w:r w:rsidR="00BD750D">
        <w:t xml:space="preserve">. </w:t>
      </w:r>
    </w:p>
    <w:p w:rsidR="00ED20B6" w:rsidRDefault="00ED20B6" w:rsidP="00A65348">
      <w:pPr>
        <w:spacing w:line="360" w:lineRule="auto"/>
        <w:jc w:val="both"/>
      </w:pPr>
    </w:p>
    <w:p w:rsidR="00D3664A" w:rsidRDefault="00BD750D" w:rsidP="00A65348">
      <w:pPr>
        <w:spacing w:line="360" w:lineRule="auto"/>
        <w:jc w:val="both"/>
      </w:pPr>
      <w:r>
        <w:lastRenderedPageBreak/>
        <w:t xml:space="preserve">During the actual delivery of the lesson </w:t>
      </w:r>
      <w:r w:rsidR="00A20288">
        <w:t xml:space="preserve">(activity 1-2) </w:t>
      </w:r>
      <w:r>
        <w:t>within the micro teaching exercise it was difficult to gage to level and language to use when questioning learners.</w:t>
      </w:r>
      <w:r w:rsidR="007A343A">
        <w:t xml:space="preserve"> Whilst every effort was made by fellow students to play the role of year 7 learners, it was still not possible to truly experience year 7 levels of knowledge or thinking abilities. The PTE 1 experience to date has provided important knowledge and understanding to start being able to judge and determine the correct contextual vocabulary needed for effective questioning ad communication to all levels of students. It is easy to forget that learners do not necessarily think the same way as teachers (experts)</w:t>
      </w:r>
      <w:r w:rsidR="00D27519">
        <w:t xml:space="preserve"> </w:t>
      </w:r>
      <w:sdt>
        <w:sdtPr>
          <w:id w:val="1199504665"/>
          <w:citation/>
        </w:sdtPr>
        <w:sdtEndPr/>
        <w:sdtContent>
          <w:r w:rsidR="00D27519">
            <w:fldChar w:fldCharType="begin"/>
          </w:r>
          <w:r w:rsidR="00D27519">
            <w:instrText xml:space="preserve"> CITATION Gla88 \l 2057 </w:instrText>
          </w:r>
          <w:r w:rsidR="00D27519">
            <w:fldChar w:fldCharType="separate"/>
          </w:r>
          <w:r w:rsidR="00ED20B6" w:rsidRPr="00ED20B6">
            <w:rPr>
              <w:noProof/>
            </w:rPr>
            <w:t>(Glaser &amp; Chi, 1988)</w:t>
          </w:r>
          <w:r w:rsidR="00D27519">
            <w:fldChar w:fldCharType="end"/>
          </w:r>
        </w:sdtContent>
      </w:sdt>
      <w:r w:rsidR="00D27519">
        <w:t xml:space="preserve">. However, it is equally important to differentiate between learners within the above context as all learners have different levels of cognitive development, communication and linguistic skills. These things do not progress in static, age related phases </w:t>
      </w:r>
      <w:sdt>
        <w:sdtPr>
          <w:id w:val="-1018700509"/>
          <w:citation/>
        </w:sdtPr>
        <w:sdtEndPr/>
        <w:sdtContent>
          <w:r w:rsidR="00D27519">
            <w:fldChar w:fldCharType="begin"/>
          </w:r>
          <w:r w:rsidR="002F722D">
            <w:instrText xml:space="preserve">CITATION wil08 \l 2057 </w:instrText>
          </w:r>
          <w:r w:rsidR="00D27519">
            <w:fldChar w:fldCharType="separate"/>
          </w:r>
          <w:r w:rsidR="00ED20B6" w:rsidRPr="00ED20B6">
            <w:rPr>
              <w:noProof/>
            </w:rPr>
            <w:t>(Willingham, 2008)</w:t>
          </w:r>
          <w:r w:rsidR="00D27519">
            <w:fldChar w:fldCharType="end"/>
          </w:r>
        </w:sdtContent>
      </w:sdt>
      <w:r w:rsidR="002F722D">
        <w:t>.</w:t>
      </w:r>
    </w:p>
    <w:p w:rsidR="002F722D" w:rsidRDefault="002F722D" w:rsidP="00A65348">
      <w:pPr>
        <w:spacing w:line="360" w:lineRule="auto"/>
        <w:jc w:val="both"/>
      </w:pPr>
      <w:r>
        <w:t>The written plenary task delivered at the end of the micro teaching lesson was included to allow pupils to review and consolidate what they had learnt. During analysis and reflection on this section of the lesson</w:t>
      </w:r>
      <w:r w:rsidR="006C38E2">
        <w:t xml:space="preserve"> (especially considering the PTE 1)</w:t>
      </w:r>
      <w:r>
        <w:t xml:space="preserve">, it has become apparent that whilst the plenary was a useful and correct tool to have been used, there are areas for positive </w:t>
      </w:r>
      <w:r w:rsidRPr="002F722D">
        <w:t>augmentation</w:t>
      </w:r>
      <w:r>
        <w:t>. Originally, the peer marking task would have then been ‘re marked’ by the teacher</w:t>
      </w:r>
      <w:r w:rsidR="006C38E2">
        <w:t>, this would become time consuming if applied to several lessons throughout the day and of little to no additional value for the pupils.</w:t>
      </w:r>
      <w:r>
        <w:t xml:space="preserve"> However, once peer marked</w:t>
      </w:r>
      <w:r w:rsidR="006C38E2">
        <w:t xml:space="preserve">, a mark could have then been simply collected. If the pupils were then instructed to follow the ‘two stars and a wish’ style exercise, where the pupil marking would feedback with two positive aspects of the work marked and one aspect where improvement might be made, the benefits to all would greatly increase. Pupils would benefit from addition skills development in literacy and communication. Self-reflection skills would be </w:t>
      </w:r>
      <w:r w:rsidR="006C38E2" w:rsidRPr="006C38E2">
        <w:t>enriched</w:t>
      </w:r>
      <w:r w:rsidR="006C38E2">
        <w:t xml:space="preserve"> and the emphasis for pupils taking responsibility for their own learning would be highlighted.</w:t>
      </w:r>
    </w:p>
    <w:p w:rsidR="008105A8" w:rsidRDefault="008105A8" w:rsidP="00A65348">
      <w:pPr>
        <w:spacing w:line="360" w:lineRule="auto"/>
        <w:jc w:val="both"/>
      </w:pPr>
      <w:r>
        <w:t xml:space="preserve">Evaluation and reflection of the micro teaching exercise has </w:t>
      </w:r>
      <w:r w:rsidR="00846130">
        <w:t>emphasised</w:t>
      </w:r>
      <w:r>
        <w:t xml:space="preserve"> an area that was completely </w:t>
      </w:r>
      <w:r w:rsidR="00846130">
        <w:t>absent</w:t>
      </w:r>
      <w:r>
        <w:t xml:space="preserve">, this has become very apparent during the PTE 1 and the experience and knowledge gained. There </w:t>
      </w:r>
      <w:r w:rsidR="00846130">
        <w:t>are</w:t>
      </w:r>
      <w:r>
        <w:t xml:space="preserve"> no</w:t>
      </w:r>
      <w:r w:rsidR="00846130">
        <w:t xml:space="preserve"> measures included in the micro teaching lesson plans for direct instruction to the learners as to when appropriate notes, ideas, fact or definitions are to be copied into work books. Not all learning experiences can or should be put into </w:t>
      </w:r>
      <w:r w:rsidR="00D8163A">
        <w:t>text,</w:t>
      </w:r>
      <w:r w:rsidR="00846130">
        <w:t xml:space="preserve"> but many topics must be backed up with concise, clear and informative notes that are student generated. Student exercise books are also essential to </w:t>
      </w:r>
      <w:r w:rsidR="00D8163A">
        <w:t>measure</w:t>
      </w:r>
      <w:r w:rsidR="00846130">
        <w:t xml:space="preserve"> and </w:t>
      </w:r>
      <w:r w:rsidR="00D8163A" w:rsidRPr="00D8163A">
        <w:t>scrutinise</w:t>
      </w:r>
      <w:r w:rsidR="00846130">
        <w:t xml:space="preserve"> effective teaching and learning outcomes </w:t>
      </w:r>
      <w:sdt>
        <w:sdtPr>
          <w:id w:val="-933819702"/>
          <w:citation/>
        </w:sdtPr>
        <w:sdtEndPr/>
        <w:sdtContent>
          <w:r w:rsidR="00D8163A">
            <w:fldChar w:fldCharType="begin"/>
          </w:r>
          <w:r w:rsidR="00D8163A">
            <w:instrText xml:space="preserve"> CITATION Car18 \l 2057 </w:instrText>
          </w:r>
          <w:r w:rsidR="00D8163A">
            <w:fldChar w:fldCharType="separate"/>
          </w:r>
          <w:r w:rsidR="00ED20B6" w:rsidRPr="00ED20B6">
            <w:rPr>
              <w:noProof/>
            </w:rPr>
            <w:t>(Carpenter, 2018)</w:t>
          </w:r>
          <w:r w:rsidR="00D8163A">
            <w:fldChar w:fldCharType="end"/>
          </w:r>
        </w:sdtContent>
      </w:sdt>
      <w:r w:rsidR="00D8163A">
        <w:t>.</w:t>
      </w:r>
    </w:p>
    <w:p w:rsidR="00B956FC" w:rsidRDefault="00A20288" w:rsidP="00A65348">
      <w:pPr>
        <w:spacing w:line="360" w:lineRule="auto"/>
        <w:jc w:val="both"/>
      </w:pPr>
      <w:r>
        <w:lastRenderedPageBreak/>
        <w:t>For the micro teaching, activit</w:t>
      </w:r>
      <w:r w:rsidR="00E6088D">
        <w:t>ies</w:t>
      </w:r>
      <w:r>
        <w:t xml:space="preserve"> 3</w:t>
      </w:r>
      <w:r w:rsidR="00E6088D">
        <w:t xml:space="preserve"> and 4</w:t>
      </w:r>
      <w:r>
        <w:t xml:space="preserve"> w</w:t>
      </w:r>
      <w:r w:rsidR="00E6088D">
        <w:t>ere</w:t>
      </w:r>
      <w:r>
        <w:t xml:space="preserve"> not delivered during the short 20-minute time allocated. On further analysis of the teaching plan, many of the above reflections and areas for improvement could be applied to </w:t>
      </w:r>
      <w:r w:rsidR="00E6088D">
        <w:t>both activity 3 and 4</w:t>
      </w:r>
      <w:r>
        <w:t xml:space="preserve">. </w:t>
      </w:r>
      <w:r w:rsidR="00B956FC">
        <w:t>Using the PTE 1 experience and drawing on all that has been learnt so far</w:t>
      </w:r>
      <w:r>
        <w:t xml:space="preserve"> now highlights that at this point in the lesson plan would be the opportune place that the lesson may be split over several sessions. As previously mentioned it has become very apparent from the PTE 1 that the micro teaching lesson was an over ambitious one with regards to content. Whilst some pupils may be able to learn at a pace that would allow for inclusion of all the activities, many would not. All learners will benefit from ensuring ideas and </w:t>
      </w:r>
      <w:r w:rsidR="0024198D">
        <w:t>concepts</w:t>
      </w:r>
      <w:r>
        <w:t xml:space="preserve"> are </w:t>
      </w:r>
      <w:r w:rsidR="0024198D">
        <w:t xml:space="preserve">dealt with at apace to allow maximum knowledge retention. When something new is learnt, it must be moved from the individuals working memory into long term memory. Working memory is used to consciously process concepts and activities, where as long-term memory is where information needs to be stored so it can be retained and importantly retrieved at a later point in time. Although the capacity of learners working memories can vary from individual to individual, all individuals have a limited capacity. If this capacity is overloaded with too much information or too many cognitive tasks, the learner can become overwhelmed and learning can be hindered </w:t>
      </w:r>
      <w:sdt>
        <w:sdtPr>
          <w:id w:val="1797264279"/>
          <w:citation/>
        </w:sdtPr>
        <w:sdtEndPr/>
        <w:sdtContent>
          <w:r w:rsidR="0024198D">
            <w:fldChar w:fldCharType="begin"/>
          </w:r>
          <w:r w:rsidR="0024198D">
            <w:instrText xml:space="preserve"> CITATION Swe88 \l 2057 </w:instrText>
          </w:r>
          <w:r w:rsidR="0024198D">
            <w:fldChar w:fldCharType="separate"/>
          </w:r>
          <w:r w:rsidR="00ED20B6" w:rsidRPr="00ED20B6">
            <w:rPr>
              <w:noProof/>
            </w:rPr>
            <w:t>(Sweller, 1988)</w:t>
          </w:r>
          <w:r w:rsidR="0024198D">
            <w:fldChar w:fldCharType="end"/>
          </w:r>
        </w:sdtContent>
      </w:sdt>
      <w:r w:rsidR="0024198D">
        <w:t>.</w:t>
      </w:r>
    </w:p>
    <w:p w:rsidR="0024198D" w:rsidRDefault="0024198D" w:rsidP="00A65348">
      <w:pPr>
        <w:spacing w:line="360" w:lineRule="auto"/>
        <w:jc w:val="both"/>
      </w:pPr>
      <w:r>
        <w:t xml:space="preserve">The </w:t>
      </w:r>
      <w:r w:rsidR="008467D3">
        <w:t>delivered micro teaching lesson was also videoed to enable further self-analysis and reflection</w:t>
      </w:r>
      <w:r w:rsidR="00ED20B6">
        <w:t xml:space="preserve"> </w:t>
      </w:r>
      <w:sdt>
        <w:sdtPr>
          <w:id w:val="795951564"/>
          <w:citation/>
        </w:sdtPr>
        <w:sdtEndPr/>
        <w:sdtContent>
          <w:r w:rsidR="00ED20B6">
            <w:fldChar w:fldCharType="begin"/>
          </w:r>
          <w:r w:rsidR="00ED20B6">
            <w:instrText xml:space="preserve"> CITATION Par \l 2057 </w:instrText>
          </w:r>
          <w:r w:rsidR="00ED20B6">
            <w:fldChar w:fldCharType="separate"/>
          </w:r>
          <w:r w:rsidR="00ED20B6" w:rsidRPr="00ED20B6">
            <w:rPr>
              <w:noProof/>
            </w:rPr>
            <w:t>(Paro, et al., 2015)</w:t>
          </w:r>
          <w:r w:rsidR="00ED20B6">
            <w:fldChar w:fldCharType="end"/>
          </w:r>
        </w:sdtContent>
      </w:sdt>
      <w:r w:rsidR="008467D3">
        <w:t>. This has proved to be an invaluable part of the micro teaching exercise. Having watched the short video several times, it is very apparent that the pace and style of delivery</w:t>
      </w:r>
      <w:r w:rsidR="009260CC">
        <w:t xml:space="preserve">, whilst entertaining and engaging may not be a </w:t>
      </w:r>
      <w:r w:rsidR="008105A8">
        <w:t>realistically sustainable. The PTE 1 has enabled teaching styles to be observed in others and the opportunity for modification.</w:t>
      </w:r>
    </w:p>
    <w:p w:rsidR="008105A8" w:rsidRDefault="008105A8" w:rsidP="00A65348">
      <w:pPr>
        <w:spacing w:line="360" w:lineRule="auto"/>
        <w:jc w:val="both"/>
      </w:pPr>
      <w:r>
        <w:t xml:space="preserve">During the PTE 1, the overall concept of what it is to be a good teacher and deliver effective lessons for learners has developed and changed. This </w:t>
      </w:r>
      <w:r w:rsidR="00D8163A">
        <w:t xml:space="preserve">thought </w:t>
      </w:r>
      <w:r>
        <w:t>process is still very much an ongoing development and progression, littered with small and sometimes large epiphanies.</w:t>
      </w:r>
      <w:r w:rsidR="00D8163A">
        <w:t xml:space="preserve"> The Qualified Teacher Status Standards Wales 2009 set out a comprehensive list of standards that must be </w:t>
      </w:r>
      <w:r w:rsidR="001F3FB1">
        <w:t>achieved by</w:t>
      </w:r>
      <w:r w:rsidR="00D8163A">
        <w:t xml:space="preserve"> Initial Teacher Training students during their training to progress to qualified teacher status. They are mandatory requirements, whilst they may be viewed as a test or a measure to which success or failure is held against, they are also an invaluable source for clarification of ideas and thoughts that develop during PTE 1 and no doubt PTE 2.</w:t>
      </w:r>
      <w:r w:rsidR="000443E0">
        <w:t xml:space="preserve"> They have been instrumental in allowing the reflection and growth of ideas and concepts that are an essential part of becoming a successful and effective teacher.</w:t>
      </w:r>
      <w:r w:rsidR="00F121D2">
        <w:t xml:space="preserve"> </w:t>
      </w:r>
      <w:sdt>
        <w:sdtPr>
          <w:id w:val="-702709344"/>
          <w:citation/>
        </w:sdtPr>
        <w:sdtEndPr/>
        <w:sdtContent>
          <w:r w:rsidR="00F121D2">
            <w:fldChar w:fldCharType="begin"/>
          </w:r>
          <w:r w:rsidR="00F121D2">
            <w:instrText xml:space="preserve"> CITATION Nat09 \l 2057 </w:instrText>
          </w:r>
          <w:r w:rsidR="00F121D2">
            <w:fldChar w:fldCharType="separate"/>
          </w:r>
          <w:r w:rsidR="00ED20B6" w:rsidRPr="00ED20B6">
            <w:rPr>
              <w:noProof/>
            </w:rPr>
            <w:t>(National Assembly for Wales, 2009)</w:t>
          </w:r>
          <w:r w:rsidR="00F121D2">
            <w:fldChar w:fldCharType="end"/>
          </w:r>
        </w:sdtContent>
      </w:sdt>
      <w:r w:rsidR="00F121D2">
        <w:t>.</w:t>
      </w:r>
    </w:p>
    <w:p w:rsidR="008105A8" w:rsidRDefault="008105A8" w:rsidP="00A65348">
      <w:pPr>
        <w:spacing w:line="360" w:lineRule="auto"/>
        <w:jc w:val="both"/>
      </w:pPr>
    </w:p>
    <w:p w:rsidR="00B20BF9" w:rsidRPr="00B20BF9" w:rsidRDefault="00B20BF9" w:rsidP="00162602"/>
    <w:p w:rsidR="00366FB0" w:rsidRPr="00E12CDB" w:rsidRDefault="008726F1" w:rsidP="00162602">
      <w:pPr>
        <w:rPr>
          <w:b/>
          <w:u w:val="single"/>
        </w:rPr>
      </w:pPr>
      <w:r w:rsidRPr="00E12CDB">
        <w:rPr>
          <w:b/>
          <w:u w:val="single"/>
        </w:rPr>
        <w:t>Action plan</w:t>
      </w:r>
    </w:p>
    <w:tbl>
      <w:tblPr>
        <w:tblStyle w:val="TableGrid"/>
        <w:tblW w:w="0" w:type="auto"/>
        <w:tblLook w:val="04A0" w:firstRow="1" w:lastRow="0" w:firstColumn="1" w:lastColumn="0" w:noHBand="0" w:noVBand="1"/>
      </w:tblPr>
      <w:tblGrid>
        <w:gridCol w:w="2992"/>
        <w:gridCol w:w="3918"/>
        <w:gridCol w:w="2070"/>
      </w:tblGrid>
      <w:tr w:rsidR="001F3FB1" w:rsidTr="001F3FB1">
        <w:tc>
          <w:tcPr>
            <w:tcW w:w="2992" w:type="dxa"/>
            <w:tcBorders>
              <w:top w:val="single" w:sz="18" w:space="0" w:color="auto"/>
              <w:left w:val="single" w:sz="18" w:space="0" w:color="auto"/>
              <w:bottom w:val="single" w:sz="18" w:space="0" w:color="auto"/>
              <w:right w:val="single" w:sz="18" w:space="0" w:color="auto"/>
            </w:tcBorders>
          </w:tcPr>
          <w:p w:rsidR="00E12CDB" w:rsidRDefault="00E12CDB" w:rsidP="00E12CDB">
            <w:pPr>
              <w:jc w:val="center"/>
            </w:pPr>
            <w:r>
              <w:t>TARGET</w:t>
            </w:r>
          </w:p>
        </w:tc>
        <w:tc>
          <w:tcPr>
            <w:tcW w:w="3918" w:type="dxa"/>
            <w:tcBorders>
              <w:top w:val="single" w:sz="18" w:space="0" w:color="auto"/>
              <w:left w:val="single" w:sz="18" w:space="0" w:color="auto"/>
              <w:bottom w:val="single" w:sz="18" w:space="0" w:color="auto"/>
              <w:right w:val="single" w:sz="18" w:space="0" w:color="auto"/>
            </w:tcBorders>
          </w:tcPr>
          <w:p w:rsidR="00E12CDB" w:rsidRDefault="00E12CDB" w:rsidP="00E12CDB">
            <w:pPr>
              <w:jc w:val="center"/>
            </w:pPr>
            <w:r>
              <w:t>HOW</w:t>
            </w:r>
          </w:p>
        </w:tc>
        <w:tc>
          <w:tcPr>
            <w:tcW w:w="2070" w:type="dxa"/>
            <w:tcBorders>
              <w:top w:val="single" w:sz="18" w:space="0" w:color="auto"/>
              <w:left w:val="single" w:sz="18" w:space="0" w:color="auto"/>
              <w:bottom w:val="single" w:sz="18" w:space="0" w:color="auto"/>
              <w:right w:val="single" w:sz="18" w:space="0" w:color="auto"/>
            </w:tcBorders>
          </w:tcPr>
          <w:p w:rsidR="00E12CDB" w:rsidRDefault="00E12CDB" w:rsidP="00E12CDB">
            <w:pPr>
              <w:jc w:val="center"/>
            </w:pPr>
            <w:r>
              <w:t>QTS STANDARD</w:t>
            </w:r>
          </w:p>
        </w:tc>
      </w:tr>
      <w:tr w:rsidR="001F3FB1" w:rsidTr="001F3FB1">
        <w:tc>
          <w:tcPr>
            <w:tcW w:w="2992" w:type="dxa"/>
            <w:tcBorders>
              <w:top w:val="single" w:sz="18" w:space="0" w:color="auto"/>
              <w:left w:val="single" w:sz="18" w:space="0" w:color="auto"/>
              <w:right w:val="single" w:sz="18" w:space="0" w:color="auto"/>
            </w:tcBorders>
          </w:tcPr>
          <w:p w:rsidR="00E12CDB" w:rsidRDefault="00F84845" w:rsidP="00E12CDB">
            <w:r>
              <w:t>Ensure all levels of learners within a class experience a supportive yet challenging learning experience.</w:t>
            </w:r>
          </w:p>
        </w:tc>
        <w:tc>
          <w:tcPr>
            <w:tcW w:w="3918" w:type="dxa"/>
            <w:tcBorders>
              <w:top w:val="single" w:sz="18" w:space="0" w:color="auto"/>
              <w:left w:val="single" w:sz="18" w:space="0" w:color="auto"/>
              <w:right w:val="single" w:sz="18" w:space="0" w:color="auto"/>
            </w:tcBorders>
          </w:tcPr>
          <w:p w:rsidR="00E12CDB" w:rsidRDefault="00F84845" w:rsidP="00E12CDB">
            <w:r>
              <w:t xml:space="preserve">Continue to develop differentiation skills when planning and delivering lessons. Recognise different learners’ abilities. Create a classroom environment that is conducive to learning i.e. trust, respect, </w:t>
            </w:r>
            <w:r w:rsidRPr="00F84845">
              <w:t>stimulating</w:t>
            </w:r>
            <w:r>
              <w:t>, testing yet empathetic.</w:t>
            </w:r>
          </w:p>
        </w:tc>
        <w:tc>
          <w:tcPr>
            <w:tcW w:w="2070" w:type="dxa"/>
            <w:tcBorders>
              <w:top w:val="single" w:sz="18" w:space="0" w:color="auto"/>
              <w:left w:val="single" w:sz="18" w:space="0" w:color="auto"/>
              <w:right w:val="single" w:sz="18" w:space="0" w:color="auto"/>
            </w:tcBorders>
          </w:tcPr>
          <w:p w:rsidR="00E12CDB" w:rsidRDefault="00F84845" w:rsidP="00E12CDB">
            <w:r>
              <w:t xml:space="preserve">S1.1, S1.2, S2.1, S2.3, S2.4, S2.6, S2.7, S3.1.1, S3.1.2, S3.1.3, S3.1.4, S3.2.2, </w:t>
            </w:r>
            <w:r w:rsidR="001F3FB1">
              <w:t xml:space="preserve">S3.2.4, </w:t>
            </w:r>
            <w:r>
              <w:t>S3.2.6, S3.2.7,</w:t>
            </w:r>
            <w:r w:rsidR="003F26F1">
              <w:t xml:space="preserve"> S3.3.1, S3.3,3, S3.3.4, S3.3.5-S3.3.15</w:t>
            </w:r>
          </w:p>
        </w:tc>
      </w:tr>
      <w:tr w:rsidR="00E12CDB" w:rsidTr="001F3FB1">
        <w:tc>
          <w:tcPr>
            <w:tcW w:w="2992" w:type="dxa"/>
            <w:tcBorders>
              <w:left w:val="single" w:sz="18" w:space="0" w:color="auto"/>
              <w:right w:val="single" w:sz="18" w:space="0" w:color="auto"/>
            </w:tcBorders>
          </w:tcPr>
          <w:p w:rsidR="00E12CDB" w:rsidRDefault="003F26F1" w:rsidP="00E12CDB">
            <w:r>
              <w:t>Continue to develop and enhance own subject specific knowledge</w:t>
            </w:r>
            <w:r w:rsidR="00DF1FBA">
              <w:t xml:space="preserve"> including pedagogical content knowledge (PCK)</w:t>
            </w:r>
          </w:p>
        </w:tc>
        <w:tc>
          <w:tcPr>
            <w:tcW w:w="3918" w:type="dxa"/>
            <w:tcBorders>
              <w:left w:val="single" w:sz="18" w:space="0" w:color="auto"/>
              <w:right w:val="single" w:sz="18" w:space="0" w:color="auto"/>
            </w:tcBorders>
          </w:tcPr>
          <w:p w:rsidR="00E12CDB" w:rsidRDefault="00DF1FBA" w:rsidP="00E12CDB">
            <w:r>
              <w:t>Continue to read, study and discuss subject specific material, in published papers, periodic journals and through discussions with fellow colleagues.</w:t>
            </w:r>
          </w:p>
        </w:tc>
        <w:tc>
          <w:tcPr>
            <w:tcW w:w="2070" w:type="dxa"/>
            <w:tcBorders>
              <w:left w:val="single" w:sz="18" w:space="0" w:color="auto"/>
              <w:right w:val="single" w:sz="18" w:space="0" w:color="auto"/>
            </w:tcBorders>
          </w:tcPr>
          <w:p w:rsidR="00E12CDB" w:rsidRDefault="00E5327E" w:rsidP="00E12CDB">
            <w:r>
              <w:t xml:space="preserve">S1.7, </w:t>
            </w:r>
            <w:r w:rsidR="00DF1FBA">
              <w:t>S2.1, S2.2, S2.3, S2.5</w:t>
            </w:r>
            <w:r w:rsidR="001F3FB1">
              <w:t>, S3.3.2</w:t>
            </w:r>
          </w:p>
        </w:tc>
      </w:tr>
      <w:tr w:rsidR="00E12CDB" w:rsidTr="001F3FB1">
        <w:tc>
          <w:tcPr>
            <w:tcW w:w="2992" w:type="dxa"/>
            <w:tcBorders>
              <w:left w:val="single" w:sz="18" w:space="0" w:color="auto"/>
              <w:right w:val="single" w:sz="18" w:space="0" w:color="auto"/>
            </w:tcBorders>
          </w:tcPr>
          <w:p w:rsidR="00E12CDB" w:rsidRDefault="00E5327E" w:rsidP="00E12CDB">
            <w:r>
              <w:t>Continue to understand school life within the context of activities outside the classroom</w:t>
            </w:r>
          </w:p>
        </w:tc>
        <w:tc>
          <w:tcPr>
            <w:tcW w:w="3918" w:type="dxa"/>
            <w:tcBorders>
              <w:left w:val="single" w:sz="18" w:space="0" w:color="auto"/>
              <w:right w:val="single" w:sz="18" w:space="0" w:color="auto"/>
            </w:tcBorders>
          </w:tcPr>
          <w:p w:rsidR="00E12CDB" w:rsidRDefault="00E5327E" w:rsidP="00E12CDB">
            <w:r>
              <w:t xml:space="preserve">Attend and actively participate in parents’ evenings and open days. </w:t>
            </w:r>
          </w:p>
          <w:p w:rsidR="00E5327E" w:rsidRDefault="00E5327E" w:rsidP="00E12CDB">
            <w:r>
              <w:t>Continue to participate in ‘extracurricular’ duties and roles e.g. continue with breaktime and lunchtime canteen supervising, continue with participation in, and support of, school orchestras and bands.</w:t>
            </w:r>
          </w:p>
          <w:p w:rsidR="00E5327E" w:rsidRDefault="00E5327E" w:rsidP="00E12CDB"/>
        </w:tc>
        <w:tc>
          <w:tcPr>
            <w:tcW w:w="2070" w:type="dxa"/>
            <w:tcBorders>
              <w:left w:val="single" w:sz="18" w:space="0" w:color="auto"/>
              <w:right w:val="single" w:sz="18" w:space="0" w:color="auto"/>
            </w:tcBorders>
          </w:tcPr>
          <w:p w:rsidR="00E12CDB" w:rsidRDefault="00E5327E" w:rsidP="00E12CDB">
            <w:r>
              <w:t>S1.2, S1.3, S1.4, S1.5, S1.6, S1.7, S1.8</w:t>
            </w:r>
          </w:p>
        </w:tc>
      </w:tr>
      <w:tr w:rsidR="00E12CDB" w:rsidTr="001F3FB1">
        <w:tc>
          <w:tcPr>
            <w:tcW w:w="2992" w:type="dxa"/>
            <w:tcBorders>
              <w:left w:val="single" w:sz="18" w:space="0" w:color="auto"/>
              <w:right w:val="single" w:sz="18" w:space="0" w:color="auto"/>
            </w:tcBorders>
          </w:tcPr>
          <w:p w:rsidR="00E12CDB" w:rsidRDefault="00E5327E" w:rsidP="00E12CDB">
            <w:r>
              <w:t>Continue to develop and build on assessment for learning (</w:t>
            </w:r>
            <w:proofErr w:type="spellStart"/>
            <w:r>
              <w:t>AfL</w:t>
            </w:r>
            <w:proofErr w:type="spellEnd"/>
            <w:r>
              <w:t>) skills.</w:t>
            </w:r>
          </w:p>
        </w:tc>
        <w:tc>
          <w:tcPr>
            <w:tcW w:w="3918" w:type="dxa"/>
            <w:tcBorders>
              <w:left w:val="single" w:sz="18" w:space="0" w:color="auto"/>
              <w:right w:val="single" w:sz="18" w:space="0" w:color="auto"/>
            </w:tcBorders>
          </w:tcPr>
          <w:p w:rsidR="00E12CDB" w:rsidRDefault="00E5327E" w:rsidP="00E12CDB">
            <w:r>
              <w:t xml:space="preserve">Continue to liaise with other staff members and colleagues for advice and discussions.  </w:t>
            </w:r>
            <w:r w:rsidR="001F3FB1">
              <w:t>Continue to attend any meetings where appropriate for PGCE students and NQT’s within the school.</w:t>
            </w:r>
          </w:p>
        </w:tc>
        <w:tc>
          <w:tcPr>
            <w:tcW w:w="2070" w:type="dxa"/>
            <w:tcBorders>
              <w:left w:val="single" w:sz="18" w:space="0" w:color="auto"/>
              <w:right w:val="single" w:sz="18" w:space="0" w:color="auto"/>
            </w:tcBorders>
          </w:tcPr>
          <w:p w:rsidR="00E12CDB" w:rsidRDefault="001F3FB1" w:rsidP="00E12CDB">
            <w:r>
              <w:t>S3.2.1, S3.2.2, S3.2.3, S3.2.4, S3.2.6, S3.2.7</w:t>
            </w:r>
          </w:p>
        </w:tc>
      </w:tr>
      <w:tr w:rsidR="001F3FB1" w:rsidTr="001F3FB1">
        <w:tc>
          <w:tcPr>
            <w:tcW w:w="2992" w:type="dxa"/>
            <w:tcBorders>
              <w:left w:val="single" w:sz="18" w:space="0" w:color="auto"/>
              <w:bottom w:val="single" w:sz="18" w:space="0" w:color="auto"/>
              <w:right w:val="single" w:sz="18" w:space="0" w:color="auto"/>
            </w:tcBorders>
          </w:tcPr>
          <w:p w:rsidR="00E12CDB" w:rsidRDefault="001F3FB1" w:rsidP="00E12CDB">
            <w:r>
              <w:t>Continue to develop, through self-reflection, analysis, feedback from others and critical evaluation to become an effective teacher.</w:t>
            </w:r>
          </w:p>
        </w:tc>
        <w:tc>
          <w:tcPr>
            <w:tcW w:w="3918" w:type="dxa"/>
            <w:tcBorders>
              <w:left w:val="single" w:sz="18" w:space="0" w:color="auto"/>
              <w:bottom w:val="single" w:sz="18" w:space="0" w:color="auto"/>
              <w:right w:val="single" w:sz="18" w:space="0" w:color="auto"/>
            </w:tcBorders>
          </w:tcPr>
          <w:p w:rsidR="00E12CDB" w:rsidRDefault="001F3FB1" w:rsidP="00E12CDB">
            <w:r>
              <w:t>Continue to develop, through self-reflection, analysis, feedback from others and critical evaluation to become an effective teacher.</w:t>
            </w:r>
          </w:p>
        </w:tc>
        <w:tc>
          <w:tcPr>
            <w:tcW w:w="2070" w:type="dxa"/>
            <w:tcBorders>
              <w:left w:val="single" w:sz="18" w:space="0" w:color="auto"/>
              <w:bottom w:val="single" w:sz="18" w:space="0" w:color="auto"/>
              <w:right w:val="single" w:sz="18" w:space="0" w:color="auto"/>
            </w:tcBorders>
          </w:tcPr>
          <w:p w:rsidR="00E12CDB" w:rsidRDefault="001F3FB1" w:rsidP="00E12CDB">
            <w:r>
              <w:t>All standards,</w:t>
            </w:r>
          </w:p>
        </w:tc>
      </w:tr>
    </w:tbl>
    <w:p w:rsidR="00E12CDB" w:rsidRDefault="00E12CDB" w:rsidP="00162602"/>
    <w:p w:rsidR="008726F1" w:rsidRDefault="00F121D2" w:rsidP="00162602">
      <w:r>
        <w:tab/>
      </w:r>
      <w:r>
        <w:tab/>
      </w:r>
      <w:r>
        <w:tab/>
      </w:r>
      <w:r>
        <w:tab/>
      </w:r>
      <w:r>
        <w:tab/>
      </w:r>
      <w:r>
        <w:tab/>
      </w:r>
      <w:r>
        <w:tab/>
      </w:r>
      <w:sdt>
        <w:sdtPr>
          <w:id w:val="534395491"/>
          <w:citation/>
        </w:sdtPr>
        <w:sdtEndPr/>
        <w:sdtContent>
          <w:r>
            <w:fldChar w:fldCharType="begin"/>
          </w:r>
          <w:r>
            <w:instrText xml:space="preserve"> CITATION Nat09 \l 2057 </w:instrText>
          </w:r>
          <w:r>
            <w:fldChar w:fldCharType="separate"/>
          </w:r>
          <w:r w:rsidR="00ED20B6" w:rsidRPr="00ED20B6">
            <w:rPr>
              <w:noProof/>
            </w:rPr>
            <w:t>(National Assembly for Wales, 2009)</w:t>
          </w:r>
          <w:r>
            <w:fldChar w:fldCharType="end"/>
          </w:r>
        </w:sdtContent>
      </w:sdt>
    </w:p>
    <w:p w:rsidR="00F121D2" w:rsidRDefault="00F121D2" w:rsidP="00162602"/>
    <w:p w:rsidR="00F121D2" w:rsidRDefault="00F121D2" w:rsidP="00162602"/>
    <w:sdt>
      <w:sdtPr>
        <w:rPr>
          <w:rFonts w:asciiTheme="minorHAnsi" w:eastAsiaTheme="minorHAnsi" w:hAnsiTheme="minorHAnsi" w:cstheme="minorBidi"/>
          <w:color w:val="auto"/>
          <w:sz w:val="24"/>
          <w:szCs w:val="22"/>
          <w:lang w:val="en-GB"/>
        </w:rPr>
        <w:id w:val="1160276737"/>
        <w:docPartObj>
          <w:docPartGallery w:val="Bibliographies"/>
          <w:docPartUnique/>
        </w:docPartObj>
      </w:sdtPr>
      <w:sdtEndPr/>
      <w:sdtContent>
        <w:p w:rsidR="001F3FB1" w:rsidRDefault="001F3FB1">
          <w:pPr>
            <w:pStyle w:val="Heading1"/>
          </w:pPr>
          <w:r>
            <w:t>References</w:t>
          </w:r>
        </w:p>
        <w:sdt>
          <w:sdtPr>
            <w:id w:val="-573587230"/>
            <w:bibliography/>
          </w:sdtPr>
          <w:sdtEndPr/>
          <w:sdtContent>
            <w:p w:rsidR="00ED20B6" w:rsidRDefault="001F3FB1" w:rsidP="00ED20B6">
              <w:pPr>
                <w:pStyle w:val="Bibliography"/>
                <w:rPr>
                  <w:noProof/>
                  <w:szCs w:val="24"/>
                  <w:lang w:val="en-US"/>
                </w:rPr>
              </w:pPr>
              <w:r>
                <w:fldChar w:fldCharType="begin"/>
              </w:r>
              <w:r>
                <w:instrText xml:space="preserve"> BIBLIOGRAPHY </w:instrText>
              </w:r>
              <w:r>
                <w:fldChar w:fldCharType="separate"/>
              </w:r>
              <w:r w:rsidR="00ED20B6">
                <w:rPr>
                  <w:noProof/>
                  <w:lang w:val="en-US"/>
                </w:rPr>
                <w:t xml:space="preserve">Agodini, R. et al., 2009. </w:t>
              </w:r>
              <w:r w:rsidR="00ED20B6">
                <w:rPr>
                  <w:i/>
                  <w:iCs/>
                  <w:noProof/>
                  <w:lang w:val="en-US"/>
                </w:rPr>
                <w:t xml:space="preserve">Achievement Effects of Four Early Elementary School Math Curricular: Findings from First Graders in 39 Schools, </w:t>
              </w:r>
              <w:r w:rsidR="00ED20B6">
                <w:rPr>
                  <w:noProof/>
                  <w:lang w:val="en-US"/>
                </w:rPr>
                <w:t>Washington: National Center for Education Evaluation and Regional Assistance.</w:t>
              </w:r>
            </w:p>
            <w:p w:rsidR="00ED20B6" w:rsidRDefault="00ED20B6" w:rsidP="00ED20B6">
              <w:pPr>
                <w:pStyle w:val="Bibliography"/>
                <w:rPr>
                  <w:noProof/>
                  <w:lang w:val="en-US"/>
                </w:rPr>
              </w:pPr>
              <w:r>
                <w:rPr>
                  <w:noProof/>
                  <w:lang w:val="en-US"/>
                </w:rPr>
                <w:t xml:space="preserve">Bruner, J. S., 1966. </w:t>
              </w:r>
              <w:r>
                <w:rPr>
                  <w:i/>
                  <w:iCs/>
                  <w:noProof/>
                  <w:lang w:val="en-US"/>
                </w:rPr>
                <w:t xml:space="preserve">Toward a theory of instruction. </w:t>
              </w:r>
              <w:r>
                <w:rPr>
                  <w:noProof/>
                  <w:lang w:val="en-US"/>
                </w:rPr>
                <w:t>Cambridge, MA: Belkapp Press.</w:t>
              </w:r>
            </w:p>
            <w:p w:rsidR="00ED20B6" w:rsidRDefault="00ED20B6" w:rsidP="00ED20B6">
              <w:pPr>
                <w:pStyle w:val="Bibliography"/>
                <w:rPr>
                  <w:noProof/>
                  <w:lang w:val="en-US"/>
                </w:rPr>
              </w:pPr>
              <w:r>
                <w:rPr>
                  <w:noProof/>
                  <w:lang w:val="en-US"/>
                </w:rPr>
                <w:t xml:space="preserve">Carpenter, R., 2018. </w:t>
              </w:r>
              <w:r>
                <w:rPr>
                  <w:i/>
                  <w:iCs/>
                  <w:noProof/>
                  <w:lang w:val="en-US"/>
                </w:rPr>
                <w:t xml:space="preserve">Climbing The Hill. </w:t>
              </w:r>
              <w:r>
                <w:rPr>
                  <w:noProof/>
                  <w:lang w:val="en-US"/>
                </w:rPr>
                <w:t xml:space="preserve">[Online] </w:t>
              </w:r>
              <w:r>
                <w:rPr>
                  <w:noProof/>
                  <w:lang w:val="en-US"/>
                </w:rPr>
                <w:br/>
                <w:t xml:space="preserve">Available at: </w:t>
              </w:r>
              <w:r>
                <w:rPr>
                  <w:noProof/>
                  <w:u w:val="single"/>
                  <w:lang w:val="en-US"/>
                </w:rPr>
                <w:t>http://www.robcarpenter.org.uk/44/climbing-the-hill/post/32/why-pupils-books-are-the-best-evidence-base-for-measuring-impact-of-teaching-on-learning</w:t>
              </w:r>
              <w:r>
                <w:rPr>
                  <w:noProof/>
                  <w:lang w:val="en-US"/>
                </w:rPr>
                <w:br/>
                <w:t>[Accessed 15 November 2018].</w:t>
              </w:r>
            </w:p>
            <w:p w:rsidR="00ED20B6" w:rsidRDefault="00ED20B6" w:rsidP="00ED20B6">
              <w:pPr>
                <w:pStyle w:val="Bibliography"/>
                <w:rPr>
                  <w:noProof/>
                  <w:lang w:val="en-US"/>
                </w:rPr>
              </w:pPr>
              <w:r>
                <w:rPr>
                  <w:noProof/>
                  <w:lang w:val="en-US"/>
                </w:rPr>
                <w:t xml:space="preserve">Chambers, R., 2014. </w:t>
              </w:r>
              <w:r>
                <w:rPr>
                  <w:i/>
                  <w:iCs/>
                  <w:noProof/>
                  <w:lang w:val="en-US"/>
                </w:rPr>
                <w:t xml:space="preserve">Randon Name Generators. </w:t>
              </w:r>
              <w:r>
                <w:rPr>
                  <w:noProof/>
                  <w:lang w:val="en-US"/>
                </w:rPr>
                <w:t xml:space="preserve">[Online] </w:t>
              </w:r>
              <w:r>
                <w:rPr>
                  <w:noProof/>
                  <w:lang w:val="en-US"/>
                </w:rPr>
                <w:br/>
                <w:t xml:space="preserve">Available at: </w:t>
              </w:r>
              <w:r>
                <w:rPr>
                  <w:noProof/>
                  <w:u w:val="single"/>
                  <w:lang w:val="en-US"/>
                </w:rPr>
                <w:t>https://ictacrossthecurriculum.wordpress.com/2014/06/05/random-name-generators/</w:t>
              </w:r>
              <w:r>
                <w:rPr>
                  <w:noProof/>
                  <w:lang w:val="en-US"/>
                </w:rPr>
                <w:br/>
                <w:t>[Accessed 14th November 2018].</w:t>
              </w:r>
            </w:p>
            <w:p w:rsidR="00ED20B6" w:rsidRDefault="00ED20B6" w:rsidP="00ED20B6">
              <w:pPr>
                <w:pStyle w:val="Bibliography"/>
                <w:rPr>
                  <w:noProof/>
                  <w:lang w:val="en-US"/>
                </w:rPr>
              </w:pPr>
              <w:r>
                <w:rPr>
                  <w:noProof/>
                  <w:lang w:val="en-US"/>
                </w:rPr>
                <w:t xml:space="preserve">Coe, R., 2017. </w:t>
              </w:r>
              <w:r>
                <w:rPr>
                  <w:i/>
                  <w:iCs/>
                  <w:noProof/>
                  <w:lang w:val="en-US"/>
                </w:rPr>
                <w:t xml:space="preserve">Research methods and methodologies in education. </w:t>
              </w:r>
              <w:r>
                <w:rPr>
                  <w:noProof/>
                  <w:lang w:val="en-US"/>
                </w:rPr>
                <w:t>2nd ed. London: SAGE Publications Ltd.</w:t>
              </w:r>
            </w:p>
            <w:p w:rsidR="00ED20B6" w:rsidRDefault="00ED20B6" w:rsidP="00ED20B6">
              <w:pPr>
                <w:pStyle w:val="Bibliography"/>
                <w:rPr>
                  <w:noProof/>
                  <w:lang w:val="en-US"/>
                </w:rPr>
              </w:pPr>
              <w:r>
                <w:rPr>
                  <w:noProof/>
                  <w:lang w:val="en-US"/>
                </w:rPr>
                <w:t xml:space="preserve">Coe, R., Aloisi, C., Higgins, S. &amp; Major, L., 2014. </w:t>
              </w:r>
              <w:r>
                <w:rPr>
                  <w:i/>
                  <w:iCs/>
                  <w:noProof/>
                  <w:lang w:val="en-US"/>
                </w:rPr>
                <w:t xml:space="preserve">What makes great teaching? Review of the underpinning research, </w:t>
              </w:r>
              <w:r>
                <w:rPr>
                  <w:noProof/>
                  <w:lang w:val="en-US"/>
                </w:rPr>
                <w:t>Durham: Sutton Trust.</w:t>
              </w:r>
            </w:p>
            <w:p w:rsidR="00ED20B6" w:rsidRDefault="00ED20B6" w:rsidP="00ED20B6">
              <w:pPr>
                <w:pStyle w:val="Bibliography"/>
                <w:rPr>
                  <w:noProof/>
                  <w:lang w:val="en-US"/>
                </w:rPr>
              </w:pPr>
              <w:r>
                <w:rPr>
                  <w:noProof/>
                  <w:lang w:val="en-US"/>
                </w:rPr>
                <w:t xml:space="preserve">Fata-Hartley, C., 2011. Resisting Rote: The Importance of Active Learning for All Course Learning Objectives. </w:t>
              </w:r>
              <w:r>
                <w:rPr>
                  <w:i/>
                  <w:iCs/>
                  <w:noProof/>
                  <w:lang w:val="en-US"/>
                </w:rPr>
                <w:t xml:space="preserve">Journal of College Science Teaching, </w:t>
              </w:r>
              <w:r>
                <w:rPr>
                  <w:noProof/>
                  <w:lang w:val="en-US"/>
                </w:rPr>
                <w:t>40(3), pp. 36-39.</w:t>
              </w:r>
            </w:p>
            <w:p w:rsidR="00ED20B6" w:rsidRDefault="00ED20B6" w:rsidP="00ED20B6">
              <w:pPr>
                <w:pStyle w:val="Bibliography"/>
                <w:rPr>
                  <w:noProof/>
                  <w:lang w:val="en-US"/>
                </w:rPr>
              </w:pPr>
              <w:r>
                <w:rPr>
                  <w:noProof/>
                  <w:lang w:val="en-US"/>
                </w:rPr>
                <w:t xml:space="preserve">Freud, S., 1915. The unconscious. </w:t>
              </w:r>
              <w:r>
                <w:rPr>
                  <w:i/>
                  <w:iCs/>
                  <w:noProof/>
                  <w:lang w:val="en-US"/>
                </w:rPr>
                <w:t xml:space="preserve">Standard Edition, </w:t>
              </w:r>
              <w:r>
                <w:rPr>
                  <w:noProof/>
                  <w:lang w:val="en-US"/>
                </w:rPr>
                <w:t>1(14), pp. 159-204.</w:t>
              </w:r>
            </w:p>
            <w:p w:rsidR="00ED20B6" w:rsidRDefault="00ED20B6" w:rsidP="00ED20B6">
              <w:pPr>
                <w:pStyle w:val="Bibliography"/>
                <w:rPr>
                  <w:noProof/>
                  <w:lang w:val="en-US"/>
                </w:rPr>
              </w:pPr>
              <w:r>
                <w:rPr>
                  <w:noProof/>
                  <w:lang w:val="en-US"/>
                </w:rPr>
                <w:t xml:space="preserve">Gerde, H. K., Schachter, R. E. &amp; Wasik, B. A., 2013. Using the Scientific Method to Guide Learning. </w:t>
              </w:r>
              <w:r>
                <w:rPr>
                  <w:i/>
                  <w:iCs/>
                  <w:noProof/>
                  <w:lang w:val="en-US"/>
                </w:rPr>
                <w:t xml:space="preserve">Early Childhood Educator, </w:t>
              </w:r>
              <w:r>
                <w:rPr>
                  <w:noProof/>
                  <w:lang w:val="en-US"/>
                </w:rPr>
                <w:t>Volume 41, pp. 315-323.</w:t>
              </w:r>
            </w:p>
            <w:p w:rsidR="00ED20B6" w:rsidRDefault="00ED20B6" w:rsidP="00ED20B6">
              <w:pPr>
                <w:pStyle w:val="Bibliography"/>
                <w:rPr>
                  <w:noProof/>
                  <w:lang w:val="en-US"/>
                </w:rPr>
              </w:pPr>
              <w:r>
                <w:rPr>
                  <w:noProof/>
                  <w:lang w:val="en-US"/>
                </w:rPr>
                <w:t xml:space="preserve">Gillies, R. M., Nichols, K., Burgh, G. &amp; Haynes, M., 2014. primary students' scientific reasoning and discourse during cooperative inquiry-based science activities. </w:t>
              </w:r>
              <w:r>
                <w:rPr>
                  <w:i/>
                  <w:iCs/>
                  <w:noProof/>
                  <w:lang w:val="en-US"/>
                </w:rPr>
                <w:t xml:space="preserve">International Journal of Educational Research, </w:t>
              </w:r>
              <w:r>
                <w:rPr>
                  <w:noProof/>
                  <w:lang w:val="en-US"/>
                </w:rPr>
                <w:t>Volume 63, pp. 127-140.</w:t>
              </w:r>
            </w:p>
            <w:p w:rsidR="00ED20B6" w:rsidRDefault="00ED20B6" w:rsidP="00ED20B6">
              <w:pPr>
                <w:pStyle w:val="Bibliography"/>
                <w:rPr>
                  <w:noProof/>
                  <w:lang w:val="en-US"/>
                </w:rPr>
              </w:pPr>
              <w:r>
                <w:rPr>
                  <w:noProof/>
                  <w:lang w:val="en-US"/>
                </w:rPr>
                <w:t xml:space="preserve">Glaser, R. &amp; Chi, M. T., 1988. Overview. In: </w:t>
              </w:r>
              <w:r>
                <w:rPr>
                  <w:i/>
                  <w:iCs/>
                  <w:noProof/>
                  <w:lang w:val="en-US"/>
                </w:rPr>
                <w:t xml:space="preserve">The Nature of Expertise. </w:t>
              </w:r>
              <w:r>
                <w:rPr>
                  <w:noProof/>
                  <w:lang w:val="en-US"/>
                </w:rPr>
                <w:t>Hillsdale: Erlbaum, pp. xv-xxvii.</w:t>
              </w:r>
            </w:p>
            <w:p w:rsidR="00ED20B6" w:rsidRDefault="00ED20B6" w:rsidP="00ED20B6">
              <w:pPr>
                <w:pStyle w:val="Bibliography"/>
                <w:rPr>
                  <w:noProof/>
                  <w:lang w:val="en-US"/>
                </w:rPr>
              </w:pPr>
              <w:r>
                <w:rPr>
                  <w:noProof/>
                  <w:lang w:val="en-US"/>
                </w:rPr>
                <w:t xml:space="preserve">Howitt, C., Upson, E. &amp; Lewis, S., 2011. 'It's a Mystery!' A case study of implementing forensic science in preschool as scientific inquiry. </w:t>
              </w:r>
              <w:r>
                <w:rPr>
                  <w:i/>
                  <w:iCs/>
                  <w:noProof/>
                  <w:lang w:val="en-US"/>
                </w:rPr>
                <w:t xml:space="preserve">Australasian Journal of Early Childhood, </w:t>
              </w:r>
              <w:r>
                <w:rPr>
                  <w:noProof/>
                  <w:lang w:val="en-US"/>
                </w:rPr>
                <w:t>36(3), pp. 45-55.</w:t>
              </w:r>
            </w:p>
            <w:p w:rsidR="00ED20B6" w:rsidRDefault="00ED20B6" w:rsidP="00ED20B6">
              <w:pPr>
                <w:pStyle w:val="Bibliography"/>
                <w:rPr>
                  <w:noProof/>
                  <w:lang w:val="en-US"/>
                </w:rPr>
              </w:pPr>
              <w:r>
                <w:rPr>
                  <w:noProof/>
                  <w:lang w:val="en-US"/>
                </w:rPr>
                <w:t xml:space="preserve">Kontra, C., Lyons, D. &amp; Fischer, S., 2015. Physical Experience Enhances Science Learning. </w:t>
              </w:r>
              <w:r>
                <w:rPr>
                  <w:i/>
                  <w:iCs/>
                  <w:noProof/>
                  <w:lang w:val="en-US"/>
                </w:rPr>
                <w:t xml:space="preserve">psychological Science, </w:t>
              </w:r>
              <w:r>
                <w:rPr>
                  <w:noProof/>
                  <w:lang w:val="en-US"/>
                </w:rPr>
                <w:t>26(6), pp. 737-749.</w:t>
              </w:r>
            </w:p>
            <w:p w:rsidR="00ED20B6" w:rsidRDefault="00ED20B6" w:rsidP="00ED20B6">
              <w:pPr>
                <w:pStyle w:val="Bibliography"/>
                <w:rPr>
                  <w:noProof/>
                  <w:lang w:val="en-US"/>
                </w:rPr>
              </w:pPr>
              <w:r>
                <w:rPr>
                  <w:noProof/>
                  <w:lang w:val="en-US"/>
                </w:rPr>
                <w:t xml:space="preserve">Massa, L. J. &amp; Mayer, R. E., 2006. Testing the ATI hypothesis: Should multimedia instruction accommodate verbalizer-visualizer cognitive style?. </w:t>
              </w:r>
              <w:r>
                <w:rPr>
                  <w:i/>
                  <w:iCs/>
                  <w:noProof/>
                  <w:lang w:val="en-US"/>
                </w:rPr>
                <w:t xml:space="preserve">Learning and Individual Differences, </w:t>
              </w:r>
              <w:r>
                <w:rPr>
                  <w:noProof/>
                  <w:lang w:val="en-US"/>
                </w:rPr>
                <w:t>1(16), pp. 321-336.</w:t>
              </w:r>
            </w:p>
            <w:p w:rsidR="00ED20B6" w:rsidRDefault="00ED20B6" w:rsidP="00ED20B6">
              <w:pPr>
                <w:pStyle w:val="Bibliography"/>
                <w:rPr>
                  <w:noProof/>
                  <w:lang w:val="en-US"/>
                </w:rPr>
              </w:pPr>
              <w:r>
                <w:rPr>
                  <w:noProof/>
                  <w:lang w:val="en-US"/>
                </w:rPr>
                <w:t xml:space="preserve">McLeod, 2018. </w:t>
              </w:r>
              <w:r>
                <w:rPr>
                  <w:i/>
                  <w:iCs/>
                  <w:noProof/>
                  <w:lang w:val="en-US"/>
                </w:rPr>
                <w:t xml:space="preserve">Lev Vygotsky. </w:t>
              </w:r>
              <w:r>
                <w:rPr>
                  <w:noProof/>
                  <w:lang w:val="en-US"/>
                </w:rPr>
                <w:t xml:space="preserve">[Online] </w:t>
              </w:r>
              <w:r>
                <w:rPr>
                  <w:noProof/>
                  <w:lang w:val="en-US"/>
                </w:rPr>
                <w:br/>
                <w:t xml:space="preserve">Available at: </w:t>
              </w:r>
              <w:r>
                <w:rPr>
                  <w:noProof/>
                  <w:u w:val="single"/>
                  <w:lang w:val="en-US"/>
                </w:rPr>
                <w:t>https://www.simplypsychology.org/vygotsky.html</w:t>
              </w:r>
              <w:r>
                <w:rPr>
                  <w:noProof/>
                  <w:lang w:val="en-US"/>
                </w:rPr>
                <w:br/>
                <w:t>[Accessed 15th November 2018].</w:t>
              </w:r>
            </w:p>
            <w:p w:rsidR="00ED20B6" w:rsidRDefault="00ED20B6" w:rsidP="00ED20B6">
              <w:pPr>
                <w:pStyle w:val="Bibliography"/>
                <w:rPr>
                  <w:noProof/>
                  <w:lang w:val="en-US"/>
                </w:rPr>
              </w:pPr>
              <w:r>
                <w:rPr>
                  <w:noProof/>
                  <w:lang w:val="en-US"/>
                </w:rPr>
                <w:lastRenderedPageBreak/>
                <w:t xml:space="preserve">McLoed, S. A., 2018. </w:t>
              </w:r>
              <w:r>
                <w:rPr>
                  <w:i/>
                  <w:iCs/>
                  <w:noProof/>
                  <w:lang w:val="en-US"/>
                </w:rPr>
                <w:t xml:space="preserve">Skinner - operant conditioning. </w:t>
              </w:r>
              <w:r>
                <w:rPr>
                  <w:noProof/>
                  <w:lang w:val="en-US"/>
                </w:rPr>
                <w:t xml:space="preserve">[Online] </w:t>
              </w:r>
              <w:r>
                <w:rPr>
                  <w:noProof/>
                  <w:lang w:val="en-US"/>
                </w:rPr>
                <w:br/>
                <w:t xml:space="preserve">Available at: </w:t>
              </w:r>
              <w:r>
                <w:rPr>
                  <w:noProof/>
                  <w:u w:val="single"/>
                  <w:lang w:val="en-US"/>
                </w:rPr>
                <w:t>https://www.simplypsychology.org/operant-conditioning.html</w:t>
              </w:r>
              <w:r>
                <w:rPr>
                  <w:noProof/>
                  <w:lang w:val="en-US"/>
                </w:rPr>
                <w:br/>
                <w:t>[Accessed 10th November 2018].</w:t>
              </w:r>
            </w:p>
            <w:p w:rsidR="00ED20B6" w:rsidRDefault="00ED20B6" w:rsidP="00ED20B6">
              <w:pPr>
                <w:pStyle w:val="Bibliography"/>
                <w:rPr>
                  <w:noProof/>
                  <w:lang w:val="en-US"/>
                </w:rPr>
              </w:pPr>
              <w:r>
                <w:rPr>
                  <w:noProof/>
                  <w:lang w:val="en-US"/>
                </w:rPr>
                <w:t xml:space="preserve">National Assembly for Wales, 2009. </w:t>
              </w:r>
              <w:r>
                <w:rPr>
                  <w:i/>
                  <w:iCs/>
                  <w:noProof/>
                  <w:lang w:val="en-US"/>
                </w:rPr>
                <w:t xml:space="preserve">Qualified Teacher Status Standards Wales 2009, </w:t>
              </w:r>
              <w:r>
                <w:rPr>
                  <w:noProof/>
                  <w:lang w:val="en-US"/>
                </w:rPr>
                <w:t>Cardiff: Welsh National Assembly Government.</w:t>
              </w:r>
            </w:p>
            <w:p w:rsidR="00ED20B6" w:rsidRDefault="00ED20B6" w:rsidP="00ED20B6">
              <w:pPr>
                <w:pStyle w:val="Bibliography"/>
                <w:rPr>
                  <w:noProof/>
                  <w:lang w:val="en-US"/>
                </w:rPr>
              </w:pPr>
              <w:r>
                <w:rPr>
                  <w:noProof/>
                  <w:lang w:val="en-US"/>
                </w:rPr>
                <w:t xml:space="preserve">Palmer, L. K., 2010. Using Harry Potter to Introduce Students to DNA Fingerprinting and Forensic Science. </w:t>
              </w:r>
              <w:r>
                <w:rPr>
                  <w:i/>
                  <w:iCs/>
                  <w:noProof/>
                  <w:lang w:val="en-US"/>
                </w:rPr>
                <w:t xml:space="preserve">The American Biology Teacher, </w:t>
              </w:r>
              <w:r>
                <w:rPr>
                  <w:noProof/>
                  <w:lang w:val="en-US"/>
                </w:rPr>
                <w:t>72(4), pp. 241-244.</w:t>
              </w:r>
            </w:p>
            <w:p w:rsidR="00ED20B6" w:rsidRDefault="00ED20B6" w:rsidP="00ED20B6">
              <w:pPr>
                <w:pStyle w:val="Bibliography"/>
                <w:rPr>
                  <w:noProof/>
                  <w:lang w:val="en-US"/>
                </w:rPr>
              </w:pPr>
              <w:r>
                <w:rPr>
                  <w:noProof/>
                  <w:lang w:val="en-US"/>
                </w:rPr>
                <w:t xml:space="preserve">Paro, J. A. M. et al., 2015. Video-Based Self-Review: Comparing Google Glass and GoPro Technologies. </w:t>
              </w:r>
              <w:r>
                <w:rPr>
                  <w:i/>
                  <w:iCs/>
                  <w:noProof/>
                  <w:lang w:val="en-US"/>
                </w:rPr>
                <w:t xml:space="preserve">Annals of Plastic Surgery, </w:t>
              </w:r>
              <w:r>
                <w:rPr>
                  <w:noProof/>
                  <w:lang w:val="en-US"/>
                </w:rPr>
                <w:t>Volume 74, pp. S71-S74.</w:t>
              </w:r>
            </w:p>
            <w:p w:rsidR="00ED20B6" w:rsidRDefault="00ED20B6" w:rsidP="00ED20B6">
              <w:pPr>
                <w:pStyle w:val="Bibliography"/>
                <w:rPr>
                  <w:noProof/>
                  <w:lang w:val="en-US"/>
                </w:rPr>
              </w:pPr>
              <w:r>
                <w:rPr>
                  <w:noProof/>
                  <w:lang w:val="en-US"/>
                </w:rPr>
                <w:t xml:space="preserve">Pashler, H., McDaniel, M., Rohrer, D. &amp; Bjork, R., 2008. Learning Styles: Concepts and Evidence. </w:t>
              </w:r>
              <w:r>
                <w:rPr>
                  <w:i/>
                  <w:iCs/>
                  <w:noProof/>
                  <w:lang w:val="en-US"/>
                </w:rPr>
                <w:t xml:space="preserve">Psychological Science in the public Interest, </w:t>
              </w:r>
              <w:r>
                <w:rPr>
                  <w:noProof/>
                  <w:lang w:val="en-US"/>
                </w:rPr>
                <w:t>9(3), pp. 105-119.</w:t>
              </w:r>
            </w:p>
            <w:p w:rsidR="00ED20B6" w:rsidRDefault="00ED20B6" w:rsidP="00ED20B6">
              <w:pPr>
                <w:pStyle w:val="Bibliography"/>
                <w:rPr>
                  <w:noProof/>
                  <w:lang w:val="en-US"/>
                </w:rPr>
              </w:pPr>
              <w:r>
                <w:rPr>
                  <w:noProof/>
                  <w:lang w:val="en-US"/>
                </w:rPr>
                <w:t xml:space="preserve">Phillips, R., 2001. Making history curious: Using initial stimulus material (ISM) to promote enquiry, thinking and literacy. </w:t>
              </w:r>
              <w:r>
                <w:rPr>
                  <w:i/>
                  <w:iCs/>
                  <w:noProof/>
                  <w:lang w:val="en-US"/>
                </w:rPr>
                <w:t xml:space="preserve">Teaching History, </w:t>
              </w:r>
              <w:r>
                <w:rPr>
                  <w:noProof/>
                  <w:lang w:val="en-US"/>
                </w:rPr>
                <w:t>1(105), pp. 19-24.</w:t>
              </w:r>
            </w:p>
            <w:p w:rsidR="00ED20B6" w:rsidRDefault="00ED20B6" w:rsidP="00ED20B6">
              <w:pPr>
                <w:pStyle w:val="Bibliography"/>
                <w:rPr>
                  <w:noProof/>
                  <w:lang w:val="en-US"/>
                </w:rPr>
              </w:pPr>
              <w:r>
                <w:rPr>
                  <w:noProof/>
                  <w:lang w:val="en-US"/>
                </w:rPr>
                <w:t xml:space="preserve">Piaget, J., 1958. The growth of logical thinking from childhood to adolescence. </w:t>
              </w:r>
              <w:r>
                <w:rPr>
                  <w:i/>
                  <w:iCs/>
                  <w:noProof/>
                  <w:lang w:val="en-US"/>
                </w:rPr>
                <w:t xml:space="preserve">AMC, </w:t>
              </w:r>
              <w:r>
                <w:rPr>
                  <w:noProof/>
                  <w:lang w:val="en-US"/>
                </w:rPr>
                <w:t>10(12).</w:t>
              </w:r>
            </w:p>
            <w:p w:rsidR="00ED20B6" w:rsidRDefault="00ED20B6" w:rsidP="00ED20B6">
              <w:pPr>
                <w:pStyle w:val="Bibliography"/>
                <w:rPr>
                  <w:noProof/>
                  <w:lang w:val="en-US"/>
                </w:rPr>
              </w:pPr>
              <w:r>
                <w:rPr>
                  <w:noProof/>
                  <w:lang w:val="en-US"/>
                </w:rPr>
                <w:t xml:space="preserve">Rogers, C. R., 1961. </w:t>
              </w:r>
              <w:r>
                <w:rPr>
                  <w:i/>
                  <w:iCs/>
                  <w:noProof/>
                  <w:lang w:val="en-US"/>
                </w:rPr>
                <w:t xml:space="preserve">On Becoming a Person: A psychotherapists view of psychotherapy. </w:t>
              </w:r>
              <w:r>
                <w:rPr>
                  <w:noProof/>
                  <w:lang w:val="en-US"/>
                </w:rPr>
                <w:t>New York: Houghton Mifflin.</w:t>
              </w:r>
            </w:p>
            <w:p w:rsidR="00ED20B6" w:rsidRDefault="00ED20B6" w:rsidP="00ED20B6">
              <w:pPr>
                <w:pStyle w:val="Bibliography"/>
                <w:rPr>
                  <w:noProof/>
                  <w:lang w:val="en-US"/>
                </w:rPr>
              </w:pPr>
              <w:r>
                <w:rPr>
                  <w:noProof/>
                  <w:lang w:val="en-US"/>
                </w:rPr>
                <w:t xml:space="preserve">Skinner, B. F., 1938. </w:t>
              </w:r>
              <w:r>
                <w:rPr>
                  <w:i/>
                  <w:iCs/>
                  <w:noProof/>
                  <w:lang w:val="en-US"/>
                </w:rPr>
                <w:t xml:space="preserve">The Behaviour of Organisms. </w:t>
              </w:r>
              <w:r>
                <w:rPr>
                  <w:noProof/>
                  <w:lang w:val="en-US"/>
                </w:rPr>
                <w:t>New York: Appleton-Century.</w:t>
              </w:r>
            </w:p>
            <w:p w:rsidR="00ED20B6" w:rsidRDefault="00ED20B6" w:rsidP="00ED20B6">
              <w:pPr>
                <w:pStyle w:val="Bibliography"/>
                <w:rPr>
                  <w:noProof/>
                  <w:lang w:val="en-US"/>
                </w:rPr>
              </w:pPr>
              <w:r>
                <w:rPr>
                  <w:noProof/>
                  <w:lang w:val="en-US"/>
                </w:rPr>
                <w:t xml:space="preserve">Sweller, J., 1988. Cognitive load during problem solving: Effects on learning. </w:t>
              </w:r>
              <w:r>
                <w:rPr>
                  <w:i/>
                  <w:iCs/>
                  <w:noProof/>
                  <w:lang w:val="en-US"/>
                </w:rPr>
                <w:t xml:space="preserve">Cognitive Science, </w:t>
              </w:r>
              <w:r>
                <w:rPr>
                  <w:noProof/>
                  <w:lang w:val="en-US"/>
                </w:rPr>
                <w:t>12(2), pp. 257-285.</w:t>
              </w:r>
            </w:p>
            <w:p w:rsidR="00ED20B6" w:rsidRDefault="00ED20B6" w:rsidP="00ED20B6">
              <w:pPr>
                <w:pStyle w:val="Bibliography"/>
                <w:rPr>
                  <w:noProof/>
                  <w:lang w:val="en-US"/>
                </w:rPr>
              </w:pPr>
              <w:r>
                <w:rPr>
                  <w:noProof/>
                  <w:lang w:val="en-US"/>
                </w:rPr>
                <w:t xml:space="preserve">van Zee, E. et al., 2001. Student and teacher questioning during conversations about science. </w:t>
              </w:r>
              <w:r>
                <w:rPr>
                  <w:i/>
                  <w:iCs/>
                  <w:noProof/>
                  <w:lang w:val="en-US"/>
                </w:rPr>
                <w:t xml:space="preserve">Journal of Research in Science Teaching, </w:t>
              </w:r>
              <w:r>
                <w:rPr>
                  <w:noProof/>
                  <w:lang w:val="en-US"/>
                </w:rPr>
                <w:t>38(2), pp. 159-190.</w:t>
              </w:r>
            </w:p>
            <w:p w:rsidR="00ED20B6" w:rsidRDefault="00ED20B6" w:rsidP="00ED20B6">
              <w:pPr>
                <w:pStyle w:val="Bibliography"/>
                <w:rPr>
                  <w:noProof/>
                  <w:lang w:val="en-US"/>
                </w:rPr>
              </w:pPr>
              <w:r>
                <w:rPr>
                  <w:noProof/>
                  <w:lang w:val="en-US"/>
                </w:rPr>
                <w:t xml:space="preserve">Vygotsky, L. S., 1978. </w:t>
              </w:r>
              <w:r>
                <w:rPr>
                  <w:i/>
                  <w:iCs/>
                  <w:noProof/>
                  <w:lang w:val="en-US"/>
                </w:rPr>
                <w:t xml:space="preserve">Mind in society: The development of higher psychological processes.. </w:t>
              </w:r>
              <w:r>
                <w:rPr>
                  <w:noProof/>
                  <w:lang w:val="en-US"/>
                </w:rPr>
                <w:t>Cambridge, MA: Harvard University Press.</w:t>
              </w:r>
            </w:p>
            <w:p w:rsidR="00ED20B6" w:rsidRDefault="00ED20B6" w:rsidP="00ED20B6">
              <w:pPr>
                <w:pStyle w:val="Bibliography"/>
                <w:rPr>
                  <w:noProof/>
                  <w:lang w:val="en-US"/>
                </w:rPr>
              </w:pPr>
              <w:r>
                <w:rPr>
                  <w:noProof/>
                  <w:lang w:val="en-US"/>
                </w:rPr>
                <w:t xml:space="preserve">Watson, J. B., 1924. </w:t>
              </w:r>
              <w:r>
                <w:rPr>
                  <w:i/>
                  <w:iCs/>
                  <w:noProof/>
                  <w:lang w:val="en-US"/>
                </w:rPr>
                <w:t xml:space="preserve">Behaviuorism. </w:t>
              </w:r>
              <w:r>
                <w:rPr>
                  <w:noProof/>
                  <w:lang w:val="en-US"/>
                </w:rPr>
                <w:t>New York: People's Institute Publishing Company.</w:t>
              </w:r>
            </w:p>
            <w:p w:rsidR="00ED20B6" w:rsidRDefault="00ED20B6" w:rsidP="00ED20B6">
              <w:pPr>
                <w:pStyle w:val="Bibliography"/>
                <w:rPr>
                  <w:noProof/>
                  <w:lang w:val="en-US"/>
                </w:rPr>
              </w:pPr>
              <w:r>
                <w:rPr>
                  <w:noProof/>
                  <w:lang w:val="en-US"/>
                </w:rPr>
                <w:t xml:space="preserve">Welsh Assembly, 2008. </w:t>
              </w:r>
              <w:r>
                <w:rPr>
                  <w:i/>
                  <w:iCs/>
                  <w:noProof/>
                  <w:lang w:val="en-US"/>
                </w:rPr>
                <w:t xml:space="preserve">Science in the National Curriculum for Wales, </w:t>
              </w:r>
              <w:r>
                <w:rPr>
                  <w:noProof/>
                  <w:lang w:val="en-US"/>
                </w:rPr>
                <w:t>Cardiff: Crown copyright.</w:t>
              </w:r>
            </w:p>
            <w:p w:rsidR="00ED20B6" w:rsidRDefault="00ED20B6" w:rsidP="00ED20B6">
              <w:pPr>
                <w:pStyle w:val="Bibliography"/>
                <w:rPr>
                  <w:noProof/>
                  <w:lang w:val="en-US"/>
                </w:rPr>
              </w:pPr>
              <w:r>
                <w:rPr>
                  <w:noProof/>
                  <w:lang w:val="en-US"/>
                </w:rPr>
                <w:t xml:space="preserve">Willingham, D. T., 2008. What is Developmentally Appropriate Practice. </w:t>
              </w:r>
              <w:r>
                <w:rPr>
                  <w:i/>
                  <w:iCs/>
                  <w:noProof/>
                  <w:lang w:val="en-US"/>
                </w:rPr>
                <w:t xml:space="preserve">American educator, </w:t>
              </w:r>
              <w:r>
                <w:rPr>
                  <w:noProof/>
                  <w:lang w:val="en-US"/>
                </w:rPr>
                <w:t>32(2), pp. 34-39.</w:t>
              </w:r>
            </w:p>
            <w:p w:rsidR="001F3FB1" w:rsidRDefault="001F3FB1" w:rsidP="00ED20B6">
              <w:r>
                <w:rPr>
                  <w:b/>
                  <w:bCs/>
                  <w:noProof/>
                </w:rPr>
                <w:fldChar w:fldCharType="end"/>
              </w:r>
            </w:p>
          </w:sdtContent>
        </w:sdt>
      </w:sdtContent>
    </w:sdt>
    <w:p w:rsidR="001F3FB1" w:rsidRPr="00311C03" w:rsidRDefault="001F3FB1" w:rsidP="00162602"/>
    <w:sectPr w:rsidR="001F3FB1" w:rsidRPr="00311C03">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B668A" w:rsidRDefault="00CB668A" w:rsidP="001B7599">
      <w:pPr>
        <w:spacing w:after="0" w:line="240" w:lineRule="auto"/>
      </w:pPr>
      <w:r>
        <w:separator/>
      </w:r>
    </w:p>
  </w:endnote>
  <w:endnote w:type="continuationSeparator" w:id="0">
    <w:p w:rsidR="00CB668A" w:rsidRDefault="00CB668A" w:rsidP="001B75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73333346"/>
      <w:docPartObj>
        <w:docPartGallery w:val="Page Numbers (Bottom of Page)"/>
        <w:docPartUnique/>
      </w:docPartObj>
    </w:sdtPr>
    <w:sdtEndPr/>
    <w:sdtContent>
      <w:sdt>
        <w:sdtPr>
          <w:id w:val="-1769616900"/>
          <w:docPartObj>
            <w:docPartGallery w:val="Page Numbers (Top of Page)"/>
            <w:docPartUnique/>
          </w:docPartObj>
        </w:sdtPr>
        <w:sdtEndPr/>
        <w:sdtContent>
          <w:p w:rsidR="001B7599" w:rsidRDefault="001B7599">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rsidR="001B7599" w:rsidRDefault="001B75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B668A" w:rsidRDefault="00CB668A" w:rsidP="001B7599">
      <w:pPr>
        <w:spacing w:after="0" w:line="240" w:lineRule="auto"/>
      </w:pPr>
      <w:r>
        <w:separator/>
      </w:r>
    </w:p>
  </w:footnote>
  <w:footnote w:type="continuationSeparator" w:id="0">
    <w:p w:rsidR="00CB668A" w:rsidRDefault="00CB668A" w:rsidP="001B75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B7599" w:rsidRDefault="001B7599">
    <w:pPr>
      <w:pStyle w:val="Header"/>
    </w:pPr>
    <w:r>
      <w:t>JASON DAVIDGE</w:t>
    </w:r>
    <w:r>
      <w:ptab w:relativeTo="margin" w:alignment="center" w:leader="none"/>
    </w:r>
    <w:r>
      <w:t>1803196</w:t>
    </w:r>
    <w:r>
      <w:ptab w:relativeTo="margin" w:alignment="right" w:leader="none"/>
    </w:r>
    <w:r w:rsidR="00311C03">
      <w:t>3</w:t>
    </w:r>
    <w:r w:rsidR="00311C03" w:rsidRPr="00311C03">
      <w:rPr>
        <w:vertAlign w:val="superscript"/>
      </w:rPr>
      <w:t>rd</w:t>
    </w:r>
    <w:r w:rsidR="00311C03">
      <w:t xml:space="preserve"> November 2018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7599"/>
    <w:rsid w:val="00031323"/>
    <w:rsid w:val="000443E0"/>
    <w:rsid w:val="000576FA"/>
    <w:rsid w:val="00091E47"/>
    <w:rsid w:val="000A4ADA"/>
    <w:rsid w:val="000B1D4D"/>
    <w:rsid w:val="000C2E85"/>
    <w:rsid w:val="000D2DE1"/>
    <w:rsid w:val="000E2EDA"/>
    <w:rsid w:val="000E3637"/>
    <w:rsid w:val="00103051"/>
    <w:rsid w:val="00113830"/>
    <w:rsid w:val="0012209B"/>
    <w:rsid w:val="001279CB"/>
    <w:rsid w:val="00150E75"/>
    <w:rsid w:val="00162602"/>
    <w:rsid w:val="001B7599"/>
    <w:rsid w:val="001D5374"/>
    <w:rsid w:val="001D5FE6"/>
    <w:rsid w:val="001E513B"/>
    <w:rsid w:val="001F3FB1"/>
    <w:rsid w:val="00220351"/>
    <w:rsid w:val="00225211"/>
    <w:rsid w:val="00231029"/>
    <w:rsid w:val="00233FBA"/>
    <w:rsid w:val="00237830"/>
    <w:rsid w:val="0024198D"/>
    <w:rsid w:val="00245B0C"/>
    <w:rsid w:val="002F4E17"/>
    <w:rsid w:val="002F722D"/>
    <w:rsid w:val="00301A2D"/>
    <w:rsid w:val="00311C03"/>
    <w:rsid w:val="00320ED9"/>
    <w:rsid w:val="0032658C"/>
    <w:rsid w:val="00344566"/>
    <w:rsid w:val="00345687"/>
    <w:rsid w:val="00366FB0"/>
    <w:rsid w:val="00367E69"/>
    <w:rsid w:val="003C36EB"/>
    <w:rsid w:val="003F26F1"/>
    <w:rsid w:val="004013EF"/>
    <w:rsid w:val="004039F3"/>
    <w:rsid w:val="00426DFC"/>
    <w:rsid w:val="00452301"/>
    <w:rsid w:val="0045367C"/>
    <w:rsid w:val="004856B9"/>
    <w:rsid w:val="004A5CEB"/>
    <w:rsid w:val="00511ED1"/>
    <w:rsid w:val="00536AB4"/>
    <w:rsid w:val="0056386A"/>
    <w:rsid w:val="005E4306"/>
    <w:rsid w:val="005E7B56"/>
    <w:rsid w:val="00623435"/>
    <w:rsid w:val="00627689"/>
    <w:rsid w:val="006454EF"/>
    <w:rsid w:val="00684178"/>
    <w:rsid w:val="006B2681"/>
    <w:rsid w:val="006B606E"/>
    <w:rsid w:val="006C38E2"/>
    <w:rsid w:val="00741B10"/>
    <w:rsid w:val="00760774"/>
    <w:rsid w:val="00787771"/>
    <w:rsid w:val="00787D3C"/>
    <w:rsid w:val="007A343A"/>
    <w:rsid w:val="007C4630"/>
    <w:rsid w:val="007C6030"/>
    <w:rsid w:val="008035FE"/>
    <w:rsid w:val="008105A8"/>
    <w:rsid w:val="00846130"/>
    <w:rsid w:val="008467D3"/>
    <w:rsid w:val="008726F1"/>
    <w:rsid w:val="00886488"/>
    <w:rsid w:val="008A5D27"/>
    <w:rsid w:val="008B091C"/>
    <w:rsid w:val="008D65C4"/>
    <w:rsid w:val="008E5A9D"/>
    <w:rsid w:val="00911368"/>
    <w:rsid w:val="00914E24"/>
    <w:rsid w:val="009173B8"/>
    <w:rsid w:val="009260CC"/>
    <w:rsid w:val="00956D70"/>
    <w:rsid w:val="009919A6"/>
    <w:rsid w:val="009A17B1"/>
    <w:rsid w:val="009D35D9"/>
    <w:rsid w:val="00A20288"/>
    <w:rsid w:val="00A65348"/>
    <w:rsid w:val="00A96359"/>
    <w:rsid w:val="00AE323A"/>
    <w:rsid w:val="00B074E5"/>
    <w:rsid w:val="00B20BF9"/>
    <w:rsid w:val="00B21403"/>
    <w:rsid w:val="00B40C79"/>
    <w:rsid w:val="00B67608"/>
    <w:rsid w:val="00B93EE4"/>
    <w:rsid w:val="00B956FC"/>
    <w:rsid w:val="00BB63A4"/>
    <w:rsid w:val="00BC6C5E"/>
    <w:rsid w:val="00BD750D"/>
    <w:rsid w:val="00BE2479"/>
    <w:rsid w:val="00C225F3"/>
    <w:rsid w:val="00CB668A"/>
    <w:rsid w:val="00CB7575"/>
    <w:rsid w:val="00CD67F7"/>
    <w:rsid w:val="00CE1A2C"/>
    <w:rsid w:val="00D12CBA"/>
    <w:rsid w:val="00D12E87"/>
    <w:rsid w:val="00D27519"/>
    <w:rsid w:val="00D3036C"/>
    <w:rsid w:val="00D36431"/>
    <w:rsid w:val="00D3664A"/>
    <w:rsid w:val="00D44F79"/>
    <w:rsid w:val="00D56E5A"/>
    <w:rsid w:val="00D8163A"/>
    <w:rsid w:val="00D82912"/>
    <w:rsid w:val="00D843B6"/>
    <w:rsid w:val="00D93422"/>
    <w:rsid w:val="00DB4190"/>
    <w:rsid w:val="00DE6220"/>
    <w:rsid w:val="00DF1FBA"/>
    <w:rsid w:val="00E12CDB"/>
    <w:rsid w:val="00E36EBD"/>
    <w:rsid w:val="00E5327E"/>
    <w:rsid w:val="00E6088D"/>
    <w:rsid w:val="00EB50F4"/>
    <w:rsid w:val="00EC73FC"/>
    <w:rsid w:val="00ED20B6"/>
    <w:rsid w:val="00EE3169"/>
    <w:rsid w:val="00F121D2"/>
    <w:rsid w:val="00F13854"/>
    <w:rsid w:val="00F24C3B"/>
    <w:rsid w:val="00F5098C"/>
    <w:rsid w:val="00F84845"/>
    <w:rsid w:val="00F84CB3"/>
    <w:rsid w:val="00FF78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2809B"/>
  <w15:chartTrackingRefBased/>
  <w15:docId w15:val="{6DCE86D1-370A-4AD3-AB84-9479026C99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2912"/>
    <w:rPr>
      <w:sz w:val="24"/>
    </w:rPr>
  </w:style>
  <w:style w:type="paragraph" w:styleId="Heading1">
    <w:name w:val="heading 1"/>
    <w:basedOn w:val="Normal"/>
    <w:next w:val="Normal"/>
    <w:link w:val="Heading1Char"/>
    <w:uiPriority w:val="9"/>
    <w:qFormat/>
    <w:rsid w:val="00D82912"/>
    <w:pPr>
      <w:keepNext/>
      <w:keepLines/>
      <w:spacing w:before="240" w:after="0"/>
      <w:outlineLvl w:val="0"/>
    </w:pPr>
    <w:rPr>
      <w:rFonts w:asciiTheme="majorHAnsi" w:eastAsiaTheme="majorEastAsia" w:hAnsiTheme="majorHAnsi" w:cstheme="majorBidi"/>
      <w:color w:val="365F91" w:themeColor="accent1" w:themeShade="BF"/>
      <w:sz w:val="32"/>
      <w:szCs w:val="32"/>
      <w:lang w:val="en-US"/>
    </w:rPr>
  </w:style>
  <w:style w:type="paragraph" w:styleId="Heading2">
    <w:name w:val="heading 2"/>
    <w:basedOn w:val="Normal"/>
    <w:next w:val="Normal"/>
    <w:link w:val="Heading2Char"/>
    <w:uiPriority w:val="9"/>
    <w:semiHidden/>
    <w:unhideWhenUsed/>
    <w:qFormat/>
    <w:rsid w:val="009919A6"/>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
    <w:semiHidden/>
    <w:unhideWhenUsed/>
    <w:qFormat/>
    <w:rsid w:val="009919A6"/>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Normal"/>
    <w:link w:val="Style1Char"/>
    <w:autoRedefine/>
    <w:qFormat/>
    <w:rsid w:val="00D82912"/>
    <w:pPr>
      <w:spacing w:after="0"/>
    </w:pPr>
    <w:rPr>
      <w:rFonts w:ascii="Times New Roman" w:hAnsi="Times New Roman"/>
    </w:rPr>
  </w:style>
  <w:style w:type="character" w:customStyle="1" w:styleId="Style1Char">
    <w:name w:val="Style1 Char"/>
    <w:basedOn w:val="DefaultParagraphFont"/>
    <w:link w:val="Style1"/>
    <w:rsid w:val="00D82912"/>
    <w:rPr>
      <w:rFonts w:ascii="Times New Roman" w:hAnsi="Times New Roman"/>
      <w:sz w:val="24"/>
    </w:rPr>
  </w:style>
  <w:style w:type="character" w:customStyle="1" w:styleId="Heading1Char">
    <w:name w:val="Heading 1 Char"/>
    <w:basedOn w:val="DefaultParagraphFont"/>
    <w:link w:val="Heading1"/>
    <w:uiPriority w:val="9"/>
    <w:rsid w:val="00D82912"/>
    <w:rPr>
      <w:rFonts w:asciiTheme="majorHAnsi" w:eastAsiaTheme="majorEastAsia" w:hAnsiTheme="majorHAnsi" w:cstheme="majorBidi"/>
      <w:color w:val="365F91" w:themeColor="accent1" w:themeShade="BF"/>
      <w:sz w:val="32"/>
      <w:szCs w:val="32"/>
      <w:lang w:val="en-US"/>
    </w:rPr>
  </w:style>
  <w:style w:type="paragraph" w:styleId="Title">
    <w:name w:val="Title"/>
    <w:basedOn w:val="Normal"/>
    <w:next w:val="Normal"/>
    <w:link w:val="TitleChar"/>
    <w:uiPriority w:val="10"/>
    <w:qFormat/>
    <w:rsid w:val="00D8291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2912"/>
    <w:rPr>
      <w:rFonts w:asciiTheme="majorHAnsi" w:eastAsiaTheme="majorEastAsia" w:hAnsiTheme="majorHAnsi" w:cstheme="majorBidi"/>
      <w:spacing w:val="-10"/>
      <w:kern w:val="28"/>
      <w:sz w:val="56"/>
      <w:szCs w:val="56"/>
    </w:rPr>
  </w:style>
  <w:style w:type="paragraph" w:styleId="Header">
    <w:name w:val="header"/>
    <w:basedOn w:val="Normal"/>
    <w:link w:val="HeaderChar"/>
    <w:unhideWhenUsed/>
    <w:rsid w:val="001B7599"/>
    <w:pPr>
      <w:tabs>
        <w:tab w:val="center" w:pos="4680"/>
        <w:tab w:val="right" w:pos="9360"/>
      </w:tabs>
      <w:spacing w:after="0" w:line="240" w:lineRule="auto"/>
    </w:pPr>
  </w:style>
  <w:style w:type="character" w:customStyle="1" w:styleId="HeaderChar">
    <w:name w:val="Header Char"/>
    <w:basedOn w:val="DefaultParagraphFont"/>
    <w:link w:val="Header"/>
    <w:rsid w:val="001B7599"/>
    <w:rPr>
      <w:sz w:val="24"/>
    </w:rPr>
  </w:style>
  <w:style w:type="paragraph" w:styleId="Footer">
    <w:name w:val="footer"/>
    <w:basedOn w:val="Normal"/>
    <w:link w:val="FooterChar"/>
    <w:uiPriority w:val="99"/>
    <w:unhideWhenUsed/>
    <w:rsid w:val="001B759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B7599"/>
    <w:rPr>
      <w:sz w:val="24"/>
    </w:rPr>
  </w:style>
  <w:style w:type="paragraph" w:styleId="Subtitle">
    <w:name w:val="Subtitle"/>
    <w:basedOn w:val="Normal"/>
    <w:next w:val="Normal"/>
    <w:link w:val="SubtitleChar"/>
    <w:uiPriority w:val="11"/>
    <w:qFormat/>
    <w:rsid w:val="00311C03"/>
    <w:pPr>
      <w:numPr>
        <w:ilvl w:val="1"/>
      </w:numPr>
    </w:pPr>
    <w:rPr>
      <w:rFonts w:eastAsiaTheme="minorEastAsia"/>
      <w:color w:val="5A5A5A" w:themeColor="text1" w:themeTint="A5"/>
      <w:spacing w:val="15"/>
      <w:sz w:val="22"/>
    </w:rPr>
  </w:style>
  <w:style w:type="character" w:customStyle="1" w:styleId="SubtitleChar">
    <w:name w:val="Subtitle Char"/>
    <w:basedOn w:val="DefaultParagraphFont"/>
    <w:link w:val="Subtitle"/>
    <w:uiPriority w:val="11"/>
    <w:rsid w:val="00311C03"/>
    <w:rPr>
      <w:rFonts w:eastAsiaTheme="minorEastAsia"/>
      <w:color w:val="5A5A5A" w:themeColor="text1" w:themeTint="A5"/>
      <w:spacing w:val="15"/>
    </w:rPr>
  </w:style>
  <w:style w:type="character" w:styleId="Hyperlink">
    <w:name w:val="Hyperlink"/>
    <w:basedOn w:val="DefaultParagraphFont"/>
    <w:uiPriority w:val="99"/>
    <w:semiHidden/>
    <w:unhideWhenUsed/>
    <w:rsid w:val="00D3036C"/>
    <w:rPr>
      <w:color w:val="0000FF"/>
      <w:u w:val="single"/>
    </w:rPr>
  </w:style>
  <w:style w:type="paragraph" w:customStyle="1" w:styleId="volume-issue">
    <w:name w:val="volume-issue"/>
    <w:basedOn w:val="Normal"/>
    <w:rsid w:val="00EE3169"/>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val">
    <w:name w:val="val"/>
    <w:basedOn w:val="DefaultParagraphFont"/>
    <w:rsid w:val="00EE3169"/>
  </w:style>
  <w:style w:type="paragraph" w:styleId="NormalWeb">
    <w:name w:val="Normal (Web)"/>
    <w:basedOn w:val="Normal"/>
    <w:uiPriority w:val="99"/>
    <w:semiHidden/>
    <w:unhideWhenUsed/>
    <w:rsid w:val="00EE3169"/>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page-range">
    <w:name w:val="page-range"/>
    <w:basedOn w:val="Normal"/>
    <w:rsid w:val="00EE3169"/>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nlmyear">
    <w:name w:val="nlm_year"/>
    <w:basedOn w:val="DefaultParagraphFont"/>
    <w:rsid w:val="00623435"/>
  </w:style>
  <w:style w:type="character" w:customStyle="1" w:styleId="nlmarticle-title">
    <w:name w:val="nlm_article-title"/>
    <w:basedOn w:val="DefaultParagraphFont"/>
    <w:rsid w:val="00623435"/>
  </w:style>
  <w:style w:type="character" w:customStyle="1" w:styleId="nlmfpage">
    <w:name w:val="nlm_fpage"/>
    <w:basedOn w:val="DefaultParagraphFont"/>
    <w:rsid w:val="00623435"/>
  </w:style>
  <w:style w:type="character" w:customStyle="1" w:styleId="nlmlpage">
    <w:name w:val="nlm_lpage"/>
    <w:basedOn w:val="DefaultParagraphFont"/>
    <w:rsid w:val="00623435"/>
  </w:style>
  <w:style w:type="table" w:styleId="TableGrid">
    <w:name w:val="Table Grid"/>
    <w:basedOn w:val="TableNormal"/>
    <w:uiPriority w:val="39"/>
    <w:rsid w:val="00E12C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1F3FB1"/>
  </w:style>
  <w:style w:type="character" w:customStyle="1" w:styleId="Heading2Char">
    <w:name w:val="Heading 2 Char"/>
    <w:basedOn w:val="DefaultParagraphFont"/>
    <w:link w:val="Heading2"/>
    <w:uiPriority w:val="9"/>
    <w:semiHidden/>
    <w:rsid w:val="009919A6"/>
    <w:rPr>
      <w:rFonts w:asciiTheme="majorHAnsi" w:eastAsiaTheme="majorEastAsia" w:hAnsiTheme="majorHAnsi" w:cstheme="majorBidi"/>
      <w:color w:val="365F91" w:themeColor="accent1" w:themeShade="BF"/>
      <w:sz w:val="26"/>
      <w:szCs w:val="26"/>
    </w:rPr>
  </w:style>
  <w:style w:type="character" w:customStyle="1" w:styleId="Heading4Char">
    <w:name w:val="Heading 4 Char"/>
    <w:basedOn w:val="DefaultParagraphFont"/>
    <w:link w:val="Heading4"/>
    <w:uiPriority w:val="9"/>
    <w:semiHidden/>
    <w:rsid w:val="009919A6"/>
    <w:rPr>
      <w:rFonts w:asciiTheme="majorHAnsi" w:eastAsiaTheme="majorEastAsia" w:hAnsiTheme="majorHAnsi" w:cstheme="majorBidi"/>
      <w:i/>
      <w:iCs/>
      <w:color w:val="365F91" w:themeColor="accent1" w:themeShade="BF"/>
      <w:sz w:val="24"/>
    </w:rPr>
  </w:style>
  <w:style w:type="paragraph" w:styleId="ListParagraph">
    <w:name w:val="List Paragraph"/>
    <w:basedOn w:val="Normal"/>
    <w:uiPriority w:val="34"/>
    <w:qFormat/>
    <w:rsid w:val="009919A6"/>
    <w:pPr>
      <w:spacing w:after="0" w:line="240" w:lineRule="auto"/>
      <w:ind w:left="720"/>
      <w:contextualSpacing/>
    </w:pPr>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77744">
      <w:bodyDiv w:val="1"/>
      <w:marLeft w:val="0"/>
      <w:marRight w:val="0"/>
      <w:marTop w:val="0"/>
      <w:marBottom w:val="0"/>
      <w:divBdr>
        <w:top w:val="none" w:sz="0" w:space="0" w:color="auto"/>
        <w:left w:val="none" w:sz="0" w:space="0" w:color="auto"/>
        <w:bottom w:val="none" w:sz="0" w:space="0" w:color="auto"/>
        <w:right w:val="none" w:sz="0" w:space="0" w:color="auto"/>
      </w:divBdr>
    </w:div>
    <w:div w:id="4065363">
      <w:bodyDiv w:val="1"/>
      <w:marLeft w:val="0"/>
      <w:marRight w:val="0"/>
      <w:marTop w:val="0"/>
      <w:marBottom w:val="0"/>
      <w:divBdr>
        <w:top w:val="none" w:sz="0" w:space="0" w:color="auto"/>
        <w:left w:val="none" w:sz="0" w:space="0" w:color="auto"/>
        <w:bottom w:val="none" w:sz="0" w:space="0" w:color="auto"/>
        <w:right w:val="none" w:sz="0" w:space="0" w:color="auto"/>
      </w:divBdr>
    </w:div>
    <w:div w:id="56825658">
      <w:bodyDiv w:val="1"/>
      <w:marLeft w:val="0"/>
      <w:marRight w:val="0"/>
      <w:marTop w:val="0"/>
      <w:marBottom w:val="0"/>
      <w:divBdr>
        <w:top w:val="none" w:sz="0" w:space="0" w:color="auto"/>
        <w:left w:val="none" w:sz="0" w:space="0" w:color="auto"/>
        <w:bottom w:val="none" w:sz="0" w:space="0" w:color="auto"/>
        <w:right w:val="none" w:sz="0" w:space="0" w:color="auto"/>
      </w:divBdr>
    </w:div>
    <w:div w:id="70667646">
      <w:bodyDiv w:val="1"/>
      <w:marLeft w:val="0"/>
      <w:marRight w:val="0"/>
      <w:marTop w:val="0"/>
      <w:marBottom w:val="0"/>
      <w:divBdr>
        <w:top w:val="none" w:sz="0" w:space="0" w:color="auto"/>
        <w:left w:val="none" w:sz="0" w:space="0" w:color="auto"/>
        <w:bottom w:val="none" w:sz="0" w:space="0" w:color="auto"/>
        <w:right w:val="none" w:sz="0" w:space="0" w:color="auto"/>
      </w:divBdr>
    </w:div>
    <w:div w:id="86848535">
      <w:bodyDiv w:val="1"/>
      <w:marLeft w:val="0"/>
      <w:marRight w:val="0"/>
      <w:marTop w:val="0"/>
      <w:marBottom w:val="0"/>
      <w:divBdr>
        <w:top w:val="none" w:sz="0" w:space="0" w:color="auto"/>
        <w:left w:val="none" w:sz="0" w:space="0" w:color="auto"/>
        <w:bottom w:val="none" w:sz="0" w:space="0" w:color="auto"/>
        <w:right w:val="none" w:sz="0" w:space="0" w:color="auto"/>
      </w:divBdr>
    </w:div>
    <w:div w:id="125197157">
      <w:bodyDiv w:val="1"/>
      <w:marLeft w:val="0"/>
      <w:marRight w:val="0"/>
      <w:marTop w:val="0"/>
      <w:marBottom w:val="0"/>
      <w:divBdr>
        <w:top w:val="none" w:sz="0" w:space="0" w:color="auto"/>
        <w:left w:val="none" w:sz="0" w:space="0" w:color="auto"/>
        <w:bottom w:val="none" w:sz="0" w:space="0" w:color="auto"/>
        <w:right w:val="none" w:sz="0" w:space="0" w:color="auto"/>
      </w:divBdr>
    </w:div>
    <w:div w:id="128212417">
      <w:bodyDiv w:val="1"/>
      <w:marLeft w:val="0"/>
      <w:marRight w:val="0"/>
      <w:marTop w:val="0"/>
      <w:marBottom w:val="0"/>
      <w:divBdr>
        <w:top w:val="none" w:sz="0" w:space="0" w:color="auto"/>
        <w:left w:val="none" w:sz="0" w:space="0" w:color="auto"/>
        <w:bottom w:val="none" w:sz="0" w:space="0" w:color="auto"/>
        <w:right w:val="none" w:sz="0" w:space="0" w:color="auto"/>
      </w:divBdr>
    </w:div>
    <w:div w:id="142308778">
      <w:bodyDiv w:val="1"/>
      <w:marLeft w:val="0"/>
      <w:marRight w:val="0"/>
      <w:marTop w:val="0"/>
      <w:marBottom w:val="0"/>
      <w:divBdr>
        <w:top w:val="none" w:sz="0" w:space="0" w:color="auto"/>
        <w:left w:val="none" w:sz="0" w:space="0" w:color="auto"/>
        <w:bottom w:val="none" w:sz="0" w:space="0" w:color="auto"/>
        <w:right w:val="none" w:sz="0" w:space="0" w:color="auto"/>
      </w:divBdr>
    </w:div>
    <w:div w:id="157968311">
      <w:bodyDiv w:val="1"/>
      <w:marLeft w:val="0"/>
      <w:marRight w:val="0"/>
      <w:marTop w:val="0"/>
      <w:marBottom w:val="0"/>
      <w:divBdr>
        <w:top w:val="none" w:sz="0" w:space="0" w:color="auto"/>
        <w:left w:val="none" w:sz="0" w:space="0" w:color="auto"/>
        <w:bottom w:val="none" w:sz="0" w:space="0" w:color="auto"/>
        <w:right w:val="none" w:sz="0" w:space="0" w:color="auto"/>
      </w:divBdr>
    </w:div>
    <w:div w:id="161697988">
      <w:bodyDiv w:val="1"/>
      <w:marLeft w:val="0"/>
      <w:marRight w:val="0"/>
      <w:marTop w:val="0"/>
      <w:marBottom w:val="0"/>
      <w:divBdr>
        <w:top w:val="none" w:sz="0" w:space="0" w:color="auto"/>
        <w:left w:val="none" w:sz="0" w:space="0" w:color="auto"/>
        <w:bottom w:val="none" w:sz="0" w:space="0" w:color="auto"/>
        <w:right w:val="none" w:sz="0" w:space="0" w:color="auto"/>
      </w:divBdr>
    </w:div>
    <w:div w:id="166987027">
      <w:bodyDiv w:val="1"/>
      <w:marLeft w:val="0"/>
      <w:marRight w:val="0"/>
      <w:marTop w:val="0"/>
      <w:marBottom w:val="0"/>
      <w:divBdr>
        <w:top w:val="none" w:sz="0" w:space="0" w:color="auto"/>
        <w:left w:val="none" w:sz="0" w:space="0" w:color="auto"/>
        <w:bottom w:val="none" w:sz="0" w:space="0" w:color="auto"/>
        <w:right w:val="none" w:sz="0" w:space="0" w:color="auto"/>
      </w:divBdr>
    </w:div>
    <w:div w:id="172688939">
      <w:bodyDiv w:val="1"/>
      <w:marLeft w:val="0"/>
      <w:marRight w:val="0"/>
      <w:marTop w:val="0"/>
      <w:marBottom w:val="0"/>
      <w:divBdr>
        <w:top w:val="none" w:sz="0" w:space="0" w:color="auto"/>
        <w:left w:val="none" w:sz="0" w:space="0" w:color="auto"/>
        <w:bottom w:val="none" w:sz="0" w:space="0" w:color="auto"/>
        <w:right w:val="none" w:sz="0" w:space="0" w:color="auto"/>
      </w:divBdr>
    </w:div>
    <w:div w:id="184754391">
      <w:bodyDiv w:val="1"/>
      <w:marLeft w:val="0"/>
      <w:marRight w:val="0"/>
      <w:marTop w:val="0"/>
      <w:marBottom w:val="0"/>
      <w:divBdr>
        <w:top w:val="none" w:sz="0" w:space="0" w:color="auto"/>
        <w:left w:val="none" w:sz="0" w:space="0" w:color="auto"/>
        <w:bottom w:val="none" w:sz="0" w:space="0" w:color="auto"/>
        <w:right w:val="none" w:sz="0" w:space="0" w:color="auto"/>
      </w:divBdr>
    </w:div>
    <w:div w:id="207423538">
      <w:bodyDiv w:val="1"/>
      <w:marLeft w:val="0"/>
      <w:marRight w:val="0"/>
      <w:marTop w:val="0"/>
      <w:marBottom w:val="0"/>
      <w:divBdr>
        <w:top w:val="none" w:sz="0" w:space="0" w:color="auto"/>
        <w:left w:val="none" w:sz="0" w:space="0" w:color="auto"/>
        <w:bottom w:val="none" w:sz="0" w:space="0" w:color="auto"/>
        <w:right w:val="none" w:sz="0" w:space="0" w:color="auto"/>
      </w:divBdr>
    </w:div>
    <w:div w:id="210381401">
      <w:bodyDiv w:val="1"/>
      <w:marLeft w:val="0"/>
      <w:marRight w:val="0"/>
      <w:marTop w:val="0"/>
      <w:marBottom w:val="0"/>
      <w:divBdr>
        <w:top w:val="none" w:sz="0" w:space="0" w:color="auto"/>
        <w:left w:val="none" w:sz="0" w:space="0" w:color="auto"/>
        <w:bottom w:val="none" w:sz="0" w:space="0" w:color="auto"/>
        <w:right w:val="none" w:sz="0" w:space="0" w:color="auto"/>
      </w:divBdr>
    </w:div>
    <w:div w:id="232661345">
      <w:bodyDiv w:val="1"/>
      <w:marLeft w:val="0"/>
      <w:marRight w:val="0"/>
      <w:marTop w:val="0"/>
      <w:marBottom w:val="0"/>
      <w:divBdr>
        <w:top w:val="none" w:sz="0" w:space="0" w:color="auto"/>
        <w:left w:val="none" w:sz="0" w:space="0" w:color="auto"/>
        <w:bottom w:val="none" w:sz="0" w:space="0" w:color="auto"/>
        <w:right w:val="none" w:sz="0" w:space="0" w:color="auto"/>
      </w:divBdr>
    </w:div>
    <w:div w:id="250241930">
      <w:bodyDiv w:val="1"/>
      <w:marLeft w:val="0"/>
      <w:marRight w:val="0"/>
      <w:marTop w:val="0"/>
      <w:marBottom w:val="0"/>
      <w:divBdr>
        <w:top w:val="none" w:sz="0" w:space="0" w:color="auto"/>
        <w:left w:val="none" w:sz="0" w:space="0" w:color="auto"/>
        <w:bottom w:val="none" w:sz="0" w:space="0" w:color="auto"/>
        <w:right w:val="none" w:sz="0" w:space="0" w:color="auto"/>
      </w:divBdr>
    </w:div>
    <w:div w:id="250313631">
      <w:bodyDiv w:val="1"/>
      <w:marLeft w:val="0"/>
      <w:marRight w:val="0"/>
      <w:marTop w:val="0"/>
      <w:marBottom w:val="0"/>
      <w:divBdr>
        <w:top w:val="none" w:sz="0" w:space="0" w:color="auto"/>
        <w:left w:val="none" w:sz="0" w:space="0" w:color="auto"/>
        <w:bottom w:val="none" w:sz="0" w:space="0" w:color="auto"/>
        <w:right w:val="none" w:sz="0" w:space="0" w:color="auto"/>
      </w:divBdr>
    </w:div>
    <w:div w:id="279725249">
      <w:bodyDiv w:val="1"/>
      <w:marLeft w:val="0"/>
      <w:marRight w:val="0"/>
      <w:marTop w:val="0"/>
      <w:marBottom w:val="0"/>
      <w:divBdr>
        <w:top w:val="none" w:sz="0" w:space="0" w:color="auto"/>
        <w:left w:val="none" w:sz="0" w:space="0" w:color="auto"/>
        <w:bottom w:val="none" w:sz="0" w:space="0" w:color="auto"/>
        <w:right w:val="none" w:sz="0" w:space="0" w:color="auto"/>
      </w:divBdr>
    </w:div>
    <w:div w:id="293105132">
      <w:bodyDiv w:val="1"/>
      <w:marLeft w:val="0"/>
      <w:marRight w:val="0"/>
      <w:marTop w:val="0"/>
      <w:marBottom w:val="0"/>
      <w:divBdr>
        <w:top w:val="none" w:sz="0" w:space="0" w:color="auto"/>
        <w:left w:val="none" w:sz="0" w:space="0" w:color="auto"/>
        <w:bottom w:val="none" w:sz="0" w:space="0" w:color="auto"/>
        <w:right w:val="none" w:sz="0" w:space="0" w:color="auto"/>
      </w:divBdr>
    </w:div>
    <w:div w:id="296684168">
      <w:bodyDiv w:val="1"/>
      <w:marLeft w:val="0"/>
      <w:marRight w:val="0"/>
      <w:marTop w:val="0"/>
      <w:marBottom w:val="0"/>
      <w:divBdr>
        <w:top w:val="none" w:sz="0" w:space="0" w:color="auto"/>
        <w:left w:val="none" w:sz="0" w:space="0" w:color="auto"/>
        <w:bottom w:val="none" w:sz="0" w:space="0" w:color="auto"/>
        <w:right w:val="none" w:sz="0" w:space="0" w:color="auto"/>
      </w:divBdr>
    </w:div>
    <w:div w:id="302269426">
      <w:bodyDiv w:val="1"/>
      <w:marLeft w:val="0"/>
      <w:marRight w:val="0"/>
      <w:marTop w:val="0"/>
      <w:marBottom w:val="0"/>
      <w:divBdr>
        <w:top w:val="none" w:sz="0" w:space="0" w:color="auto"/>
        <w:left w:val="none" w:sz="0" w:space="0" w:color="auto"/>
        <w:bottom w:val="none" w:sz="0" w:space="0" w:color="auto"/>
        <w:right w:val="none" w:sz="0" w:space="0" w:color="auto"/>
      </w:divBdr>
    </w:div>
    <w:div w:id="328096145">
      <w:bodyDiv w:val="1"/>
      <w:marLeft w:val="0"/>
      <w:marRight w:val="0"/>
      <w:marTop w:val="0"/>
      <w:marBottom w:val="0"/>
      <w:divBdr>
        <w:top w:val="none" w:sz="0" w:space="0" w:color="auto"/>
        <w:left w:val="none" w:sz="0" w:space="0" w:color="auto"/>
        <w:bottom w:val="none" w:sz="0" w:space="0" w:color="auto"/>
        <w:right w:val="none" w:sz="0" w:space="0" w:color="auto"/>
      </w:divBdr>
    </w:div>
    <w:div w:id="343168330">
      <w:bodyDiv w:val="1"/>
      <w:marLeft w:val="0"/>
      <w:marRight w:val="0"/>
      <w:marTop w:val="0"/>
      <w:marBottom w:val="0"/>
      <w:divBdr>
        <w:top w:val="none" w:sz="0" w:space="0" w:color="auto"/>
        <w:left w:val="none" w:sz="0" w:space="0" w:color="auto"/>
        <w:bottom w:val="none" w:sz="0" w:space="0" w:color="auto"/>
        <w:right w:val="none" w:sz="0" w:space="0" w:color="auto"/>
      </w:divBdr>
    </w:div>
    <w:div w:id="356152377">
      <w:bodyDiv w:val="1"/>
      <w:marLeft w:val="0"/>
      <w:marRight w:val="0"/>
      <w:marTop w:val="0"/>
      <w:marBottom w:val="0"/>
      <w:divBdr>
        <w:top w:val="none" w:sz="0" w:space="0" w:color="auto"/>
        <w:left w:val="none" w:sz="0" w:space="0" w:color="auto"/>
        <w:bottom w:val="none" w:sz="0" w:space="0" w:color="auto"/>
        <w:right w:val="none" w:sz="0" w:space="0" w:color="auto"/>
      </w:divBdr>
    </w:div>
    <w:div w:id="381832720">
      <w:bodyDiv w:val="1"/>
      <w:marLeft w:val="0"/>
      <w:marRight w:val="0"/>
      <w:marTop w:val="0"/>
      <w:marBottom w:val="0"/>
      <w:divBdr>
        <w:top w:val="none" w:sz="0" w:space="0" w:color="auto"/>
        <w:left w:val="none" w:sz="0" w:space="0" w:color="auto"/>
        <w:bottom w:val="none" w:sz="0" w:space="0" w:color="auto"/>
        <w:right w:val="none" w:sz="0" w:space="0" w:color="auto"/>
      </w:divBdr>
    </w:div>
    <w:div w:id="389185150">
      <w:bodyDiv w:val="1"/>
      <w:marLeft w:val="0"/>
      <w:marRight w:val="0"/>
      <w:marTop w:val="0"/>
      <w:marBottom w:val="0"/>
      <w:divBdr>
        <w:top w:val="none" w:sz="0" w:space="0" w:color="auto"/>
        <w:left w:val="none" w:sz="0" w:space="0" w:color="auto"/>
        <w:bottom w:val="none" w:sz="0" w:space="0" w:color="auto"/>
        <w:right w:val="none" w:sz="0" w:space="0" w:color="auto"/>
      </w:divBdr>
    </w:div>
    <w:div w:id="390035569">
      <w:bodyDiv w:val="1"/>
      <w:marLeft w:val="0"/>
      <w:marRight w:val="0"/>
      <w:marTop w:val="0"/>
      <w:marBottom w:val="0"/>
      <w:divBdr>
        <w:top w:val="none" w:sz="0" w:space="0" w:color="auto"/>
        <w:left w:val="none" w:sz="0" w:space="0" w:color="auto"/>
        <w:bottom w:val="none" w:sz="0" w:space="0" w:color="auto"/>
        <w:right w:val="none" w:sz="0" w:space="0" w:color="auto"/>
      </w:divBdr>
    </w:div>
    <w:div w:id="407195824">
      <w:bodyDiv w:val="1"/>
      <w:marLeft w:val="0"/>
      <w:marRight w:val="0"/>
      <w:marTop w:val="0"/>
      <w:marBottom w:val="0"/>
      <w:divBdr>
        <w:top w:val="none" w:sz="0" w:space="0" w:color="auto"/>
        <w:left w:val="none" w:sz="0" w:space="0" w:color="auto"/>
        <w:bottom w:val="none" w:sz="0" w:space="0" w:color="auto"/>
        <w:right w:val="none" w:sz="0" w:space="0" w:color="auto"/>
      </w:divBdr>
    </w:div>
    <w:div w:id="407506417">
      <w:bodyDiv w:val="1"/>
      <w:marLeft w:val="0"/>
      <w:marRight w:val="0"/>
      <w:marTop w:val="0"/>
      <w:marBottom w:val="0"/>
      <w:divBdr>
        <w:top w:val="none" w:sz="0" w:space="0" w:color="auto"/>
        <w:left w:val="none" w:sz="0" w:space="0" w:color="auto"/>
        <w:bottom w:val="none" w:sz="0" w:space="0" w:color="auto"/>
        <w:right w:val="none" w:sz="0" w:space="0" w:color="auto"/>
      </w:divBdr>
    </w:div>
    <w:div w:id="442581145">
      <w:bodyDiv w:val="1"/>
      <w:marLeft w:val="0"/>
      <w:marRight w:val="0"/>
      <w:marTop w:val="0"/>
      <w:marBottom w:val="0"/>
      <w:divBdr>
        <w:top w:val="none" w:sz="0" w:space="0" w:color="auto"/>
        <w:left w:val="none" w:sz="0" w:space="0" w:color="auto"/>
        <w:bottom w:val="none" w:sz="0" w:space="0" w:color="auto"/>
        <w:right w:val="none" w:sz="0" w:space="0" w:color="auto"/>
      </w:divBdr>
    </w:div>
    <w:div w:id="447354381">
      <w:bodyDiv w:val="1"/>
      <w:marLeft w:val="0"/>
      <w:marRight w:val="0"/>
      <w:marTop w:val="0"/>
      <w:marBottom w:val="0"/>
      <w:divBdr>
        <w:top w:val="none" w:sz="0" w:space="0" w:color="auto"/>
        <w:left w:val="none" w:sz="0" w:space="0" w:color="auto"/>
        <w:bottom w:val="none" w:sz="0" w:space="0" w:color="auto"/>
        <w:right w:val="none" w:sz="0" w:space="0" w:color="auto"/>
      </w:divBdr>
    </w:div>
    <w:div w:id="463932813">
      <w:bodyDiv w:val="1"/>
      <w:marLeft w:val="0"/>
      <w:marRight w:val="0"/>
      <w:marTop w:val="0"/>
      <w:marBottom w:val="0"/>
      <w:divBdr>
        <w:top w:val="none" w:sz="0" w:space="0" w:color="auto"/>
        <w:left w:val="none" w:sz="0" w:space="0" w:color="auto"/>
        <w:bottom w:val="none" w:sz="0" w:space="0" w:color="auto"/>
        <w:right w:val="none" w:sz="0" w:space="0" w:color="auto"/>
      </w:divBdr>
    </w:div>
    <w:div w:id="475685668">
      <w:bodyDiv w:val="1"/>
      <w:marLeft w:val="0"/>
      <w:marRight w:val="0"/>
      <w:marTop w:val="0"/>
      <w:marBottom w:val="0"/>
      <w:divBdr>
        <w:top w:val="none" w:sz="0" w:space="0" w:color="auto"/>
        <w:left w:val="none" w:sz="0" w:space="0" w:color="auto"/>
        <w:bottom w:val="none" w:sz="0" w:space="0" w:color="auto"/>
        <w:right w:val="none" w:sz="0" w:space="0" w:color="auto"/>
      </w:divBdr>
    </w:div>
    <w:div w:id="479200738">
      <w:bodyDiv w:val="1"/>
      <w:marLeft w:val="0"/>
      <w:marRight w:val="0"/>
      <w:marTop w:val="0"/>
      <w:marBottom w:val="0"/>
      <w:divBdr>
        <w:top w:val="none" w:sz="0" w:space="0" w:color="auto"/>
        <w:left w:val="none" w:sz="0" w:space="0" w:color="auto"/>
        <w:bottom w:val="none" w:sz="0" w:space="0" w:color="auto"/>
        <w:right w:val="none" w:sz="0" w:space="0" w:color="auto"/>
      </w:divBdr>
    </w:div>
    <w:div w:id="497576715">
      <w:bodyDiv w:val="1"/>
      <w:marLeft w:val="0"/>
      <w:marRight w:val="0"/>
      <w:marTop w:val="0"/>
      <w:marBottom w:val="0"/>
      <w:divBdr>
        <w:top w:val="none" w:sz="0" w:space="0" w:color="auto"/>
        <w:left w:val="none" w:sz="0" w:space="0" w:color="auto"/>
        <w:bottom w:val="none" w:sz="0" w:space="0" w:color="auto"/>
        <w:right w:val="none" w:sz="0" w:space="0" w:color="auto"/>
      </w:divBdr>
    </w:div>
    <w:div w:id="524368185">
      <w:bodyDiv w:val="1"/>
      <w:marLeft w:val="0"/>
      <w:marRight w:val="0"/>
      <w:marTop w:val="0"/>
      <w:marBottom w:val="0"/>
      <w:divBdr>
        <w:top w:val="none" w:sz="0" w:space="0" w:color="auto"/>
        <w:left w:val="none" w:sz="0" w:space="0" w:color="auto"/>
        <w:bottom w:val="none" w:sz="0" w:space="0" w:color="auto"/>
        <w:right w:val="none" w:sz="0" w:space="0" w:color="auto"/>
      </w:divBdr>
    </w:div>
    <w:div w:id="540435561">
      <w:bodyDiv w:val="1"/>
      <w:marLeft w:val="0"/>
      <w:marRight w:val="0"/>
      <w:marTop w:val="0"/>
      <w:marBottom w:val="0"/>
      <w:divBdr>
        <w:top w:val="none" w:sz="0" w:space="0" w:color="auto"/>
        <w:left w:val="none" w:sz="0" w:space="0" w:color="auto"/>
        <w:bottom w:val="none" w:sz="0" w:space="0" w:color="auto"/>
        <w:right w:val="none" w:sz="0" w:space="0" w:color="auto"/>
      </w:divBdr>
    </w:div>
    <w:div w:id="546839800">
      <w:bodyDiv w:val="1"/>
      <w:marLeft w:val="0"/>
      <w:marRight w:val="0"/>
      <w:marTop w:val="0"/>
      <w:marBottom w:val="0"/>
      <w:divBdr>
        <w:top w:val="none" w:sz="0" w:space="0" w:color="auto"/>
        <w:left w:val="none" w:sz="0" w:space="0" w:color="auto"/>
        <w:bottom w:val="none" w:sz="0" w:space="0" w:color="auto"/>
        <w:right w:val="none" w:sz="0" w:space="0" w:color="auto"/>
      </w:divBdr>
    </w:div>
    <w:div w:id="567111720">
      <w:bodyDiv w:val="1"/>
      <w:marLeft w:val="0"/>
      <w:marRight w:val="0"/>
      <w:marTop w:val="0"/>
      <w:marBottom w:val="0"/>
      <w:divBdr>
        <w:top w:val="none" w:sz="0" w:space="0" w:color="auto"/>
        <w:left w:val="none" w:sz="0" w:space="0" w:color="auto"/>
        <w:bottom w:val="none" w:sz="0" w:space="0" w:color="auto"/>
        <w:right w:val="none" w:sz="0" w:space="0" w:color="auto"/>
      </w:divBdr>
    </w:div>
    <w:div w:id="579558043">
      <w:bodyDiv w:val="1"/>
      <w:marLeft w:val="0"/>
      <w:marRight w:val="0"/>
      <w:marTop w:val="0"/>
      <w:marBottom w:val="0"/>
      <w:divBdr>
        <w:top w:val="none" w:sz="0" w:space="0" w:color="auto"/>
        <w:left w:val="none" w:sz="0" w:space="0" w:color="auto"/>
        <w:bottom w:val="none" w:sz="0" w:space="0" w:color="auto"/>
        <w:right w:val="none" w:sz="0" w:space="0" w:color="auto"/>
      </w:divBdr>
    </w:div>
    <w:div w:id="595752465">
      <w:bodyDiv w:val="1"/>
      <w:marLeft w:val="0"/>
      <w:marRight w:val="0"/>
      <w:marTop w:val="0"/>
      <w:marBottom w:val="0"/>
      <w:divBdr>
        <w:top w:val="none" w:sz="0" w:space="0" w:color="auto"/>
        <w:left w:val="none" w:sz="0" w:space="0" w:color="auto"/>
        <w:bottom w:val="none" w:sz="0" w:space="0" w:color="auto"/>
        <w:right w:val="none" w:sz="0" w:space="0" w:color="auto"/>
      </w:divBdr>
    </w:div>
    <w:div w:id="599722889">
      <w:bodyDiv w:val="1"/>
      <w:marLeft w:val="0"/>
      <w:marRight w:val="0"/>
      <w:marTop w:val="0"/>
      <w:marBottom w:val="0"/>
      <w:divBdr>
        <w:top w:val="none" w:sz="0" w:space="0" w:color="auto"/>
        <w:left w:val="none" w:sz="0" w:space="0" w:color="auto"/>
        <w:bottom w:val="none" w:sz="0" w:space="0" w:color="auto"/>
        <w:right w:val="none" w:sz="0" w:space="0" w:color="auto"/>
      </w:divBdr>
    </w:div>
    <w:div w:id="606961246">
      <w:bodyDiv w:val="1"/>
      <w:marLeft w:val="0"/>
      <w:marRight w:val="0"/>
      <w:marTop w:val="0"/>
      <w:marBottom w:val="0"/>
      <w:divBdr>
        <w:top w:val="none" w:sz="0" w:space="0" w:color="auto"/>
        <w:left w:val="none" w:sz="0" w:space="0" w:color="auto"/>
        <w:bottom w:val="none" w:sz="0" w:space="0" w:color="auto"/>
        <w:right w:val="none" w:sz="0" w:space="0" w:color="auto"/>
      </w:divBdr>
    </w:div>
    <w:div w:id="617877251">
      <w:bodyDiv w:val="1"/>
      <w:marLeft w:val="0"/>
      <w:marRight w:val="0"/>
      <w:marTop w:val="0"/>
      <w:marBottom w:val="0"/>
      <w:divBdr>
        <w:top w:val="none" w:sz="0" w:space="0" w:color="auto"/>
        <w:left w:val="none" w:sz="0" w:space="0" w:color="auto"/>
        <w:bottom w:val="none" w:sz="0" w:space="0" w:color="auto"/>
        <w:right w:val="none" w:sz="0" w:space="0" w:color="auto"/>
      </w:divBdr>
    </w:div>
    <w:div w:id="618419810">
      <w:bodyDiv w:val="1"/>
      <w:marLeft w:val="0"/>
      <w:marRight w:val="0"/>
      <w:marTop w:val="0"/>
      <w:marBottom w:val="0"/>
      <w:divBdr>
        <w:top w:val="none" w:sz="0" w:space="0" w:color="auto"/>
        <w:left w:val="none" w:sz="0" w:space="0" w:color="auto"/>
        <w:bottom w:val="none" w:sz="0" w:space="0" w:color="auto"/>
        <w:right w:val="none" w:sz="0" w:space="0" w:color="auto"/>
      </w:divBdr>
    </w:div>
    <w:div w:id="644941259">
      <w:bodyDiv w:val="1"/>
      <w:marLeft w:val="0"/>
      <w:marRight w:val="0"/>
      <w:marTop w:val="0"/>
      <w:marBottom w:val="0"/>
      <w:divBdr>
        <w:top w:val="none" w:sz="0" w:space="0" w:color="auto"/>
        <w:left w:val="none" w:sz="0" w:space="0" w:color="auto"/>
        <w:bottom w:val="none" w:sz="0" w:space="0" w:color="auto"/>
        <w:right w:val="none" w:sz="0" w:space="0" w:color="auto"/>
      </w:divBdr>
    </w:div>
    <w:div w:id="651833660">
      <w:bodyDiv w:val="1"/>
      <w:marLeft w:val="0"/>
      <w:marRight w:val="0"/>
      <w:marTop w:val="0"/>
      <w:marBottom w:val="0"/>
      <w:divBdr>
        <w:top w:val="none" w:sz="0" w:space="0" w:color="auto"/>
        <w:left w:val="none" w:sz="0" w:space="0" w:color="auto"/>
        <w:bottom w:val="none" w:sz="0" w:space="0" w:color="auto"/>
        <w:right w:val="none" w:sz="0" w:space="0" w:color="auto"/>
      </w:divBdr>
    </w:div>
    <w:div w:id="665134936">
      <w:bodyDiv w:val="1"/>
      <w:marLeft w:val="0"/>
      <w:marRight w:val="0"/>
      <w:marTop w:val="0"/>
      <w:marBottom w:val="0"/>
      <w:divBdr>
        <w:top w:val="none" w:sz="0" w:space="0" w:color="auto"/>
        <w:left w:val="none" w:sz="0" w:space="0" w:color="auto"/>
        <w:bottom w:val="none" w:sz="0" w:space="0" w:color="auto"/>
        <w:right w:val="none" w:sz="0" w:space="0" w:color="auto"/>
      </w:divBdr>
    </w:div>
    <w:div w:id="685909540">
      <w:bodyDiv w:val="1"/>
      <w:marLeft w:val="0"/>
      <w:marRight w:val="0"/>
      <w:marTop w:val="0"/>
      <w:marBottom w:val="0"/>
      <w:divBdr>
        <w:top w:val="none" w:sz="0" w:space="0" w:color="auto"/>
        <w:left w:val="none" w:sz="0" w:space="0" w:color="auto"/>
        <w:bottom w:val="none" w:sz="0" w:space="0" w:color="auto"/>
        <w:right w:val="none" w:sz="0" w:space="0" w:color="auto"/>
      </w:divBdr>
    </w:div>
    <w:div w:id="699747762">
      <w:bodyDiv w:val="1"/>
      <w:marLeft w:val="0"/>
      <w:marRight w:val="0"/>
      <w:marTop w:val="0"/>
      <w:marBottom w:val="0"/>
      <w:divBdr>
        <w:top w:val="none" w:sz="0" w:space="0" w:color="auto"/>
        <w:left w:val="none" w:sz="0" w:space="0" w:color="auto"/>
        <w:bottom w:val="none" w:sz="0" w:space="0" w:color="auto"/>
        <w:right w:val="none" w:sz="0" w:space="0" w:color="auto"/>
      </w:divBdr>
    </w:div>
    <w:div w:id="702287293">
      <w:bodyDiv w:val="1"/>
      <w:marLeft w:val="0"/>
      <w:marRight w:val="0"/>
      <w:marTop w:val="0"/>
      <w:marBottom w:val="0"/>
      <w:divBdr>
        <w:top w:val="none" w:sz="0" w:space="0" w:color="auto"/>
        <w:left w:val="none" w:sz="0" w:space="0" w:color="auto"/>
        <w:bottom w:val="none" w:sz="0" w:space="0" w:color="auto"/>
        <w:right w:val="none" w:sz="0" w:space="0" w:color="auto"/>
      </w:divBdr>
    </w:div>
    <w:div w:id="724528524">
      <w:bodyDiv w:val="1"/>
      <w:marLeft w:val="0"/>
      <w:marRight w:val="0"/>
      <w:marTop w:val="0"/>
      <w:marBottom w:val="0"/>
      <w:divBdr>
        <w:top w:val="none" w:sz="0" w:space="0" w:color="auto"/>
        <w:left w:val="none" w:sz="0" w:space="0" w:color="auto"/>
        <w:bottom w:val="none" w:sz="0" w:space="0" w:color="auto"/>
        <w:right w:val="none" w:sz="0" w:space="0" w:color="auto"/>
      </w:divBdr>
    </w:div>
    <w:div w:id="734008547">
      <w:bodyDiv w:val="1"/>
      <w:marLeft w:val="0"/>
      <w:marRight w:val="0"/>
      <w:marTop w:val="0"/>
      <w:marBottom w:val="0"/>
      <w:divBdr>
        <w:top w:val="none" w:sz="0" w:space="0" w:color="auto"/>
        <w:left w:val="none" w:sz="0" w:space="0" w:color="auto"/>
        <w:bottom w:val="none" w:sz="0" w:space="0" w:color="auto"/>
        <w:right w:val="none" w:sz="0" w:space="0" w:color="auto"/>
      </w:divBdr>
    </w:div>
    <w:div w:id="745883305">
      <w:bodyDiv w:val="1"/>
      <w:marLeft w:val="0"/>
      <w:marRight w:val="0"/>
      <w:marTop w:val="0"/>
      <w:marBottom w:val="0"/>
      <w:divBdr>
        <w:top w:val="none" w:sz="0" w:space="0" w:color="auto"/>
        <w:left w:val="none" w:sz="0" w:space="0" w:color="auto"/>
        <w:bottom w:val="none" w:sz="0" w:space="0" w:color="auto"/>
        <w:right w:val="none" w:sz="0" w:space="0" w:color="auto"/>
      </w:divBdr>
    </w:div>
    <w:div w:id="750394245">
      <w:bodyDiv w:val="1"/>
      <w:marLeft w:val="0"/>
      <w:marRight w:val="0"/>
      <w:marTop w:val="0"/>
      <w:marBottom w:val="0"/>
      <w:divBdr>
        <w:top w:val="none" w:sz="0" w:space="0" w:color="auto"/>
        <w:left w:val="none" w:sz="0" w:space="0" w:color="auto"/>
        <w:bottom w:val="none" w:sz="0" w:space="0" w:color="auto"/>
        <w:right w:val="none" w:sz="0" w:space="0" w:color="auto"/>
      </w:divBdr>
    </w:div>
    <w:div w:id="754396928">
      <w:bodyDiv w:val="1"/>
      <w:marLeft w:val="0"/>
      <w:marRight w:val="0"/>
      <w:marTop w:val="0"/>
      <w:marBottom w:val="0"/>
      <w:divBdr>
        <w:top w:val="none" w:sz="0" w:space="0" w:color="auto"/>
        <w:left w:val="none" w:sz="0" w:space="0" w:color="auto"/>
        <w:bottom w:val="none" w:sz="0" w:space="0" w:color="auto"/>
        <w:right w:val="none" w:sz="0" w:space="0" w:color="auto"/>
      </w:divBdr>
    </w:div>
    <w:div w:id="783425121">
      <w:bodyDiv w:val="1"/>
      <w:marLeft w:val="0"/>
      <w:marRight w:val="0"/>
      <w:marTop w:val="0"/>
      <w:marBottom w:val="0"/>
      <w:divBdr>
        <w:top w:val="none" w:sz="0" w:space="0" w:color="auto"/>
        <w:left w:val="none" w:sz="0" w:space="0" w:color="auto"/>
        <w:bottom w:val="none" w:sz="0" w:space="0" w:color="auto"/>
        <w:right w:val="none" w:sz="0" w:space="0" w:color="auto"/>
      </w:divBdr>
    </w:div>
    <w:div w:id="788473530">
      <w:bodyDiv w:val="1"/>
      <w:marLeft w:val="0"/>
      <w:marRight w:val="0"/>
      <w:marTop w:val="0"/>
      <w:marBottom w:val="0"/>
      <w:divBdr>
        <w:top w:val="none" w:sz="0" w:space="0" w:color="auto"/>
        <w:left w:val="none" w:sz="0" w:space="0" w:color="auto"/>
        <w:bottom w:val="none" w:sz="0" w:space="0" w:color="auto"/>
        <w:right w:val="none" w:sz="0" w:space="0" w:color="auto"/>
      </w:divBdr>
    </w:div>
    <w:div w:id="806048834">
      <w:bodyDiv w:val="1"/>
      <w:marLeft w:val="0"/>
      <w:marRight w:val="0"/>
      <w:marTop w:val="0"/>
      <w:marBottom w:val="0"/>
      <w:divBdr>
        <w:top w:val="none" w:sz="0" w:space="0" w:color="auto"/>
        <w:left w:val="none" w:sz="0" w:space="0" w:color="auto"/>
        <w:bottom w:val="none" w:sz="0" w:space="0" w:color="auto"/>
        <w:right w:val="none" w:sz="0" w:space="0" w:color="auto"/>
      </w:divBdr>
    </w:div>
    <w:div w:id="812914983">
      <w:bodyDiv w:val="1"/>
      <w:marLeft w:val="0"/>
      <w:marRight w:val="0"/>
      <w:marTop w:val="0"/>
      <w:marBottom w:val="0"/>
      <w:divBdr>
        <w:top w:val="none" w:sz="0" w:space="0" w:color="auto"/>
        <w:left w:val="none" w:sz="0" w:space="0" w:color="auto"/>
        <w:bottom w:val="none" w:sz="0" w:space="0" w:color="auto"/>
        <w:right w:val="none" w:sz="0" w:space="0" w:color="auto"/>
      </w:divBdr>
    </w:div>
    <w:div w:id="819542289">
      <w:bodyDiv w:val="1"/>
      <w:marLeft w:val="0"/>
      <w:marRight w:val="0"/>
      <w:marTop w:val="0"/>
      <w:marBottom w:val="0"/>
      <w:divBdr>
        <w:top w:val="none" w:sz="0" w:space="0" w:color="auto"/>
        <w:left w:val="none" w:sz="0" w:space="0" w:color="auto"/>
        <w:bottom w:val="none" w:sz="0" w:space="0" w:color="auto"/>
        <w:right w:val="none" w:sz="0" w:space="0" w:color="auto"/>
      </w:divBdr>
    </w:div>
    <w:div w:id="872155828">
      <w:bodyDiv w:val="1"/>
      <w:marLeft w:val="0"/>
      <w:marRight w:val="0"/>
      <w:marTop w:val="0"/>
      <w:marBottom w:val="0"/>
      <w:divBdr>
        <w:top w:val="none" w:sz="0" w:space="0" w:color="auto"/>
        <w:left w:val="none" w:sz="0" w:space="0" w:color="auto"/>
        <w:bottom w:val="none" w:sz="0" w:space="0" w:color="auto"/>
        <w:right w:val="none" w:sz="0" w:space="0" w:color="auto"/>
      </w:divBdr>
    </w:div>
    <w:div w:id="904533086">
      <w:bodyDiv w:val="1"/>
      <w:marLeft w:val="0"/>
      <w:marRight w:val="0"/>
      <w:marTop w:val="0"/>
      <w:marBottom w:val="0"/>
      <w:divBdr>
        <w:top w:val="none" w:sz="0" w:space="0" w:color="auto"/>
        <w:left w:val="none" w:sz="0" w:space="0" w:color="auto"/>
        <w:bottom w:val="none" w:sz="0" w:space="0" w:color="auto"/>
        <w:right w:val="none" w:sz="0" w:space="0" w:color="auto"/>
      </w:divBdr>
    </w:div>
    <w:div w:id="906458725">
      <w:bodyDiv w:val="1"/>
      <w:marLeft w:val="0"/>
      <w:marRight w:val="0"/>
      <w:marTop w:val="0"/>
      <w:marBottom w:val="0"/>
      <w:divBdr>
        <w:top w:val="none" w:sz="0" w:space="0" w:color="auto"/>
        <w:left w:val="none" w:sz="0" w:space="0" w:color="auto"/>
        <w:bottom w:val="none" w:sz="0" w:space="0" w:color="auto"/>
        <w:right w:val="none" w:sz="0" w:space="0" w:color="auto"/>
      </w:divBdr>
    </w:div>
    <w:div w:id="929462640">
      <w:bodyDiv w:val="1"/>
      <w:marLeft w:val="0"/>
      <w:marRight w:val="0"/>
      <w:marTop w:val="0"/>
      <w:marBottom w:val="0"/>
      <w:divBdr>
        <w:top w:val="none" w:sz="0" w:space="0" w:color="auto"/>
        <w:left w:val="none" w:sz="0" w:space="0" w:color="auto"/>
        <w:bottom w:val="none" w:sz="0" w:space="0" w:color="auto"/>
        <w:right w:val="none" w:sz="0" w:space="0" w:color="auto"/>
      </w:divBdr>
    </w:div>
    <w:div w:id="937100166">
      <w:bodyDiv w:val="1"/>
      <w:marLeft w:val="0"/>
      <w:marRight w:val="0"/>
      <w:marTop w:val="0"/>
      <w:marBottom w:val="0"/>
      <w:divBdr>
        <w:top w:val="none" w:sz="0" w:space="0" w:color="auto"/>
        <w:left w:val="none" w:sz="0" w:space="0" w:color="auto"/>
        <w:bottom w:val="none" w:sz="0" w:space="0" w:color="auto"/>
        <w:right w:val="none" w:sz="0" w:space="0" w:color="auto"/>
      </w:divBdr>
    </w:div>
    <w:div w:id="974289781">
      <w:bodyDiv w:val="1"/>
      <w:marLeft w:val="0"/>
      <w:marRight w:val="0"/>
      <w:marTop w:val="0"/>
      <w:marBottom w:val="0"/>
      <w:divBdr>
        <w:top w:val="none" w:sz="0" w:space="0" w:color="auto"/>
        <w:left w:val="none" w:sz="0" w:space="0" w:color="auto"/>
        <w:bottom w:val="none" w:sz="0" w:space="0" w:color="auto"/>
        <w:right w:val="none" w:sz="0" w:space="0" w:color="auto"/>
      </w:divBdr>
    </w:div>
    <w:div w:id="975792021">
      <w:bodyDiv w:val="1"/>
      <w:marLeft w:val="0"/>
      <w:marRight w:val="0"/>
      <w:marTop w:val="0"/>
      <w:marBottom w:val="0"/>
      <w:divBdr>
        <w:top w:val="none" w:sz="0" w:space="0" w:color="auto"/>
        <w:left w:val="none" w:sz="0" w:space="0" w:color="auto"/>
        <w:bottom w:val="none" w:sz="0" w:space="0" w:color="auto"/>
        <w:right w:val="none" w:sz="0" w:space="0" w:color="auto"/>
      </w:divBdr>
    </w:div>
    <w:div w:id="995108443">
      <w:bodyDiv w:val="1"/>
      <w:marLeft w:val="0"/>
      <w:marRight w:val="0"/>
      <w:marTop w:val="0"/>
      <w:marBottom w:val="0"/>
      <w:divBdr>
        <w:top w:val="none" w:sz="0" w:space="0" w:color="auto"/>
        <w:left w:val="none" w:sz="0" w:space="0" w:color="auto"/>
        <w:bottom w:val="none" w:sz="0" w:space="0" w:color="auto"/>
        <w:right w:val="none" w:sz="0" w:space="0" w:color="auto"/>
      </w:divBdr>
    </w:div>
    <w:div w:id="1001469257">
      <w:bodyDiv w:val="1"/>
      <w:marLeft w:val="0"/>
      <w:marRight w:val="0"/>
      <w:marTop w:val="0"/>
      <w:marBottom w:val="0"/>
      <w:divBdr>
        <w:top w:val="none" w:sz="0" w:space="0" w:color="auto"/>
        <w:left w:val="none" w:sz="0" w:space="0" w:color="auto"/>
        <w:bottom w:val="none" w:sz="0" w:space="0" w:color="auto"/>
        <w:right w:val="none" w:sz="0" w:space="0" w:color="auto"/>
      </w:divBdr>
    </w:div>
    <w:div w:id="1004087164">
      <w:bodyDiv w:val="1"/>
      <w:marLeft w:val="0"/>
      <w:marRight w:val="0"/>
      <w:marTop w:val="0"/>
      <w:marBottom w:val="0"/>
      <w:divBdr>
        <w:top w:val="none" w:sz="0" w:space="0" w:color="auto"/>
        <w:left w:val="none" w:sz="0" w:space="0" w:color="auto"/>
        <w:bottom w:val="none" w:sz="0" w:space="0" w:color="auto"/>
        <w:right w:val="none" w:sz="0" w:space="0" w:color="auto"/>
      </w:divBdr>
    </w:div>
    <w:div w:id="1005668841">
      <w:bodyDiv w:val="1"/>
      <w:marLeft w:val="0"/>
      <w:marRight w:val="0"/>
      <w:marTop w:val="0"/>
      <w:marBottom w:val="0"/>
      <w:divBdr>
        <w:top w:val="none" w:sz="0" w:space="0" w:color="auto"/>
        <w:left w:val="none" w:sz="0" w:space="0" w:color="auto"/>
        <w:bottom w:val="none" w:sz="0" w:space="0" w:color="auto"/>
        <w:right w:val="none" w:sz="0" w:space="0" w:color="auto"/>
      </w:divBdr>
    </w:div>
    <w:div w:id="1050111786">
      <w:bodyDiv w:val="1"/>
      <w:marLeft w:val="0"/>
      <w:marRight w:val="0"/>
      <w:marTop w:val="0"/>
      <w:marBottom w:val="0"/>
      <w:divBdr>
        <w:top w:val="none" w:sz="0" w:space="0" w:color="auto"/>
        <w:left w:val="none" w:sz="0" w:space="0" w:color="auto"/>
        <w:bottom w:val="none" w:sz="0" w:space="0" w:color="auto"/>
        <w:right w:val="none" w:sz="0" w:space="0" w:color="auto"/>
      </w:divBdr>
    </w:div>
    <w:div w:id="1061294154">
      <w:bodyDiv w:val="1"/>
      <w:marLeft w:val="0"/>
      <w:marRight w:val="0"/>
      <w:marTop w:val="0"/>
      <w:marBottom w:val="0"/>
      <w:divBdr>
        <w:top w:val="none" w:sz="0" w:space="0" w:color="auto"/>
        <w:left w:val="none" w:sz="0" w:space="0" w:color="auto"/>
        <w:bottom w:val="none" w:sz="0" w:space="0" w:color="auto"/>
        <w:right w:val="none" w:sz="0" w:space="0" w:color="auto"/>
      </w:divBdr>
    </w:div>
    <w:div w:id="1089427976">
      <w:bodyDiv w:val="1"/>
      <w:marLeft w:val="0"/>
      <w:marRight w:val="0"/>
      <w:marTop w:val="0"/>
      <w:marBottom w:val="0"/>
      <w:divBdr>
        <w:top w:val="none" w:sz="0" w:space="0" w:color="auto"/>
        <w:left w:val="none" w:sz="0" w:space="0" w:color="auto"/>
        <w:bottom w:val="none" w:sz="0" w:space="0" w:color="auto"/>
        <w:right w:val="none" w:sz="0" w:space="0" w:color="auto"/>
      </w:divBdr>
    </w:div>
    <w:div w:id="1094127349">
      <w:bodyDiv w:val="1"/>
      <w:marLeft w:val="0"/>
      <w:marRight w:val="0"/>
      <w:marTop w:val="0"/>
      <w:marBottom w:val="0"/>
      <w:divBdr>
        <w:top w:val="none" w:sz="0" w:space="0" w:color="auto"/>
        <w:left w:val="none" w:sz="0" w:space="0" w:color="auto"/>
        <w:bottom w:val="none" w:sz="0" w:space="0" w:color="auto"/>
        <w:right w:val="none" w:sz="0" w:space="0" w:color="auto"/>
      </w:divBdr>
    </w:div>
    <w:div w:id="1104111565">
      <w:bodyDiv w:val="1"/>
      <w:marLeft w:val="0"/>
      <w:marRight w:val="0"/>
      <w:marTop w:val="0"/>
      <w:marBottom w:val="0"/>
      <w:divBdr>
        <w:top w:val="none" w:sz="0" w:space="0" w:color="auto"/>
        <w:left w:val="none" w:sz="0" w:space="0" w:color="auto"/>
        <w:bottom w:val="none" w:sz="0" w:space="0" w:color="auto"/>
        <w:right w:val="none" w:sz="0" w:space="0" w:color="auto"/>
      </w:divBdr>
    </w:div>
    <w:div w:id="1104955158">
      <w:bodyDiv w:val="1"/>
      <w:marLeft w:val="0"/>
      <w:marRight w:val="0"/>
      <w:marTop w:val="0"/>
      <w:marBottom w:val="0"/>
      <w:divBdr>
        <w:top w:val="none" w:sz="0" w:space="0" w:color="auto"/>
        <w:left w:val="none" w:sz="0" w:space="0" w:color="auto"/>
        <w:bottom w:val="none" w:sz="0" w:space="0" w:color="auto"/>
        <w:right w:val="none" w:sz="0" w:space="0" w:color="auto"/>
      </w:divBdr>
    </w:div>
    <w:div w:id="1127745958">
      <w:bodyDiv w:val="1"/>
      <w:marLeft w:val="0"/>
      <w:marRight w:val="0"/>
      <w:marTop w:val="0"/>
      <w:marBottom w:val="0"/>
      <w:divBdr>
        <w:top w:val="none" w:sz="0" w:space="0" w:color="auto"/>
        <w:left w:val="none" w:sz="0" w:space="0" w:color="auto"/>
        <w:bottom w:val="none" w:sz="0" w:space="0" w:color="auto"/>
        <w:right w:val="none" w:sz="0" w:space="0" w:color="auto"/>
      </w:divBdr>
    </w:div>
    <w:div w:id="1136490911">
      <w:bodyDiv w:val="1"/>
      <w:marLeft w:val="0"/>
      <w:marRight w:val="0"/>
      <w:marTop w:val="0"/>
      <w:marBottom w:val="0"/>
      <w:divBdr>
        <w:top w:val="none" w:sz="0" w:space="0" w:color="auto"/>
        <w:left w:val="none" w:sz="0" w:space="0" w:color="auto"/>
        <w:bottom w:val="none" w:sz="0" w:space="0" w:color="auto"/>
        <w:right w:val="none" w:sz="0" w:space="0" w:color="auto"/>
      </w:divBdr>
    </w:div>
    <w:div w:id="1181553702">
      <w:bodyDiv w:val="1"/>
      <w:marLeft w:val="0"/>
      <w:marRight w:val="0"/>
      <w:marTop w:val="0"/>
      <w:marBottom w:val="0"/>
      <w:divBdr>
        <w:top w:val="none" w:sz="0" w:space="0" w:color="auto"/>
        <w:left w:val="none" w:sz="0" w:space="0" w:color="auto"/>
        <w:bottom w:val="none" w:sz="0" w:space="0" w:color="auto"/>
        <w:right w:val="none" w:sz="0" w:space="0" w:color="auto"/>
      </w:divBdr>
    </w:div>
    <w:div w:id="1196235384">
      <w:bodyDiv w:val="1"/>
      <w:marLeft w:val="0"/>
      <w:marRight w:val="0"/>
      <w:marTop w:val="0"/>
      <w:marBottom w:val="0"/>
      <w:divBdr>
        <w:top w:val="none" w:sz="0" w:space="0" w:color="auto"/>
        <w:left w:val="none" w:sz="0" w:space="0" w:color="auto"/>
        <w:bottom w:val="none" w:sz="0" w:space="0" w:color="auto"/>
        <w:right w:val="none" w:sz="0" w:space="0" w:color="auto"/>
      </w:divBdr>
    </w:div>
    <w:div w:id="1196574632">
      <w:bodyDiv w:val="1"/>
      <w:marLeft w:val="0"/>
      <w:marRight w:val="0"/>
      <w:marTop w:val="0"/>
      <w:marBottom w:val="0"/>
      <w:divBdr>
        <w:top w:val="none" w:sz="0" w:space="0" w:color="auto"/>
        <w:left w:val="none" w:sz="0" w:space="0" w:color="auto"/>
        <w:bottom w:val="none" w:sz="0" w:space="0" w:color="auto"/>
        <w:right w:val="none" w:sz="0" w:space="0" w:color="auto"/>
      </w:divBdr>
    </w:div>
    <w:div w:id="1198159516">
      <w:bodyDiv w:val="1"/>
      <w:marLeft w:val="0"/>
      <w:marRight w:val="0"/>
      <w:marTop w:val="0"/>
      <w:marBottom w:val="0"/>
      <w:divBdr>
        <w:top w:val="none" w:sz="0" w:space="0" w:color="auto"/>
        <w:left w:val="none" w:sz="0" w:space="0" w:color="auto"/>
        <w:bottom w:val="none" w:sz="0" w:space="0" w:color="auto"/>
        <w:right w:val="none" w:sz="0" w:space="0" w:color="auto"/>
      </w:divBdr>
    </w:div>
    <w:div w:id="1204630640">
      <w:bodyDiv w:val="1"/>
      <w:marLeft w:val="0"/>
      <w:marRight w:val="0"/>
      <w:marTop w:val="0"/>
      <w:marBottom w:val="0"/>
      <w:divBdr>
        <w:top w:val="none" w:sz="0" w:space="0" w:color="auto"/>
        <w:left w:val="none" w:sz="0" w:space="0" w:color="auto"/>
        <w:bottom w:val="none" w:sz="0" w:space="0" w:color="auto"/>
        <w:right w:val="none" w:sz="0" w:space="0" w:color="auto"/>
      </w:divBdr>
    </w:div>
    <w:div w:id="1216310370">
      <w:bodyDiv w:val="1"/>
      <w:marLeft w:val="0"/>
      <w:marRight w:val="0"/>
      <w:marTop w:val="0"/>
      <w:marBottom w:val="0"/>
      <w:divBdr>
        <w:top w:val="none" w:sz="0" w:space="0" w:color="auto"/>
        <w:left w:val="none" w:sz="0" w:space="0" w:color="auto"/>
        <w:bottom w:val="none" w:sz="0" w:space="0" w:color="auto"/>
        <w:right w:val="none" w:sz="0" w:space="0" w:color="auto"/>
      </w:divBdr>
    </w:div>
    <w:div w:id="1227378122">
      <w:bodyDiv w:val="1"/>
      <w:marLeft w:val="0"/>
      <w:marRight w:val="0"/>
      <w:marTop w:val="0"/>
      <w:marBottom w:val="0"/>
      <w:divBdr>
        <w:top w:val="none" w:sz="0" w:space="0" w:color="auto"/>
        <w:left w:val="none" w:sz="0" w:space="0" w:color="auto"/>
        <w:bottom w:val="none" w:sz="0" w:space="0" w:color="auto"/>
        <w:right w:val="none" w:sz="0" w:space="0" w:color="auto"/>
      </w:divBdr>
    </w:div>
    <w:div w:id="1233155458">
      <w:bodyDiv w:val="1"/>
      <w:marLeft w:val="0"/>
      <w:marRight w:val="0"/>
      <w:marTop w:val="0"/>
      <w:marBottom w:val="0"/>
      <w:divBdr>
        <w:top w:val="none" w:sz="0" w:space="0" w:color="auto"/>
        <w:left w:val="none" w:sz="0" w:space="0" w:color="auto"/>
        <w:bottom w:val="none" w:sz="0" w:space="0" w:color="auto"/>
        <w:right w:val="none" w:sz="0" w:space="0" w:color="auto"/>
      </w:divBdr>
    </w:div>
    <w:div w:id="1241257719">
      <w:bodyDiv w:val="1"/>
      <w:marLeft w:val="0"/>
      <w:marRight w:val="0"/>
      <w:marTop w:val="0"/>
      <w:marBottom w:val="0"/>
      <w:divBdr>
        <w:top w:val="none" w:sz="0" w:space="0" w:color="auto"/>
        <w:left w:val="none" w:sz="0" w:space="0" w:color="auto"/>
        <w:bottom w:val="none" w:sz="0" w:space="0" w:color="auto"/>
        <w:right w:val="none" w:sz="0" w:space="0" w:color="auto"/>
      </w:divBdr>
    </w:div>
    <w:div w:id="1248344756">
      <w:bodyDiv w:val="1"/>
      <w:marLeft w:val="0"/>
      <w:marRight w:val="0"/>
      <w:marTop w:val="0"/>
      <w:marBottom w:val="0"/>
      <w:divBdr>
        <w:top w:val="none" w:sz="0" w:space="0" w:color="auto"/>
        <w:left w:val="none" w:sz="0" w:space="0" w:color="auto"/>
        <w:bottom w:val="none" w:sz="0" w:space="0" w:color="auto"/>
        <w:right w:val="none" w:sz="0" w:space="0" w:color="auto"/>
      </w:divBdr>
    </w:div>
    <w:div w:id="1259098360">
      <w:bodyDiv w:val="1"/>
      <w:marLeft w:val="0"/>
      <w:marRight w:val="0"/>
      <w:marTop w:val="0"/>
      <w:marBottom w:val="0"/>
      <w:divBdr>
        <w:top w:val="none" w:sz="0" w:space="0" w:color="auto"/>
        <w:left w:val="none" w:sz="0" w:space="0" w:color="auto"/>
        <w:bottom w:val="none" w:sz="0" w:space="0" w:color="auto"/>
        <w:right w:val="none" w:sz="0" w:space="0" w:color="auto"/>
      </w:divBdr>
    </w:div>
    <w:div w:id="1303461515">
      <w:bodyDiv w:val="1"/>
      <w:marLeft w:val="0"/>
      <w:marRight w:val="0"/>
      <w:marTop w:val="0"/>
      <w:marBottom w:val="0"/>
      <w:divBdr>
        <w:top w:val="none" w:sz="0" w:space="0" w:color="auto"/>
        <w:left w:val="none" w:sz="0" w:space="0" w:color="auto"/>
        <w:bottom w:val="none" w:sz="0" w:space="0" w:color="auto"/>
        <w:right w:val="none" w:sz="0" w:space="0" w:color="auto"/>
      </w:divBdr>
    </w:div>
    <w:div w:id="1308582584">
      <w:bodyDiv w:val="1"/>
      <w:marLeft w:val="0"/>
      <w:marRight w:val="0"/>
      <w:marTop w:val="0"/>
      <w:marBottom w:val="0"/>
      <w:divBdr>
        <w:top w:val="none" w:sz="0" w:space="0" w:color="auto"/>
        <w:left w:val="none" w:sz="0" w:space="0" w:color="auto"/>
        <w:bottom w:val="none" w:sz="0" w:space="0" w:color="auto"/>
        <w:right w:val="none" w:sz="0" w:space="0" w:color="auto"/>
      </w:divBdr>
    </w:div>
    <w:div w:id="1342968251">
      <w:bodyDiv w:val="1"/>
      <w:marLeft w:val="0"/>
      <w:marRight w:val="0"/>
      <w:marTop w:val="0"/>
      <w:marBottom w:val="0"/>
      <w:divBdr>
        <w:top w:val="none" w:sz="0" w:space="0" w:color="auto"/>
        <w:left w:val="none" w:sz="0" w:space="0" w:color="auto"/>
        <w:bottom w:val="none" w:sz="0" w:space="0" w:color="auto"/>
        <w:right w:val="none" w:sz="0" w:space="0" w:color="auto"/>
      </w:divBdr>
    </w:div>
    <w:div w:id="1360886465">
      <w:bodyDiv w:val="1"/>
      <w:marLeft w:val="0"/>
      <w:marRight w:val="0"/>
      <w:marTop w:val="0"/>
      <w:marBottom w:val="0"/>
      <w:divBdr>
        <w:top w:val="none" w:sz="0" w:space="0" w:color="auto"/>
        <w:left w:val="none" w:sz="0" w:space="0" w:color="auto"/>
        <w:bottom w:val="none" w:sz="0" w:space="0" w:color="auto"/>
        <w:right w:val="none" w:sz="0" w:space="0" w:color="auto"/>
      </w:divBdr>
    </w:div>
    <w:div w:id="1364138431">
      <w:bodyDiv w:val="1"/>
      <w:marLeft w:val="0"/>
      <w:marRight w:val="0"/>
      <w:marTop w:val="0"/>
      <w:marBottom w:val="0"/>
      <w:divBdr>
        <w:top w:val="none" w:sz="0" w:space="0" w:color="auto"/>
        <w:left w:val="none" w:sz="0" w:space="0" w:color="auto"/>
        <w:bottom w:val="none" w:sz="0" w:space="0" w:color="auto"/>
        <w:right w:val="none" w:sz="0" w:space="0" w:color="auto"/>
      </w:divBdr>
    </w:div>
    <w:div w:id="1372919922">
      <w:bodyDiv w:val="1"/>
      <w:marLeft w:val="0"/>
      <w:marRight w:val="0"/>
      <w:marTop w:val="0"/>
      <w:marBottom w:val="0"/>
      <w:divBdr>
        <w:top w:val="none" w:sz="0" w:space="0" w:color="auto"/>
        <w:left w:val="none" w:sz="0" w:space="0" w:color="auto"/>
        <w:bottom w:val="none" w:sz="0" w:space="0" w:color="auto"/>
        <w:right w:val="none" w:sz="0" w:space="0" w:color="auto"/>
      </w:divBdr>
    </w:div>
    <w:div w:id="1418862759">
      <w:bodyDiv w:val="1"/>
      <w:marLeft w:val="0"/>
      <w:marRight w:val="0"/>
      <w:marTop w:val="0"/>
      <w:marBottom w:val="0"/>
      <w:divBdr>
        <w:top w:val="none" w:sz="0" w:space="0" w:color="auto"/>
        <w:left w:val="none" w:sz="0" w:space="0" w:color="auto"/>
        <w:bottom w:val="none" w:sz="0" w:space="0" w:color="auto"/>
        <w:right w:val="none" w:sz="0" w:space="0" w:color="auto"/>
      </w:divBdr>
    </w:div>
    <w:div w:id="1445271555">
      <w:bodyDiv w:val="1"/>
      <w:marLeft w:val="0"/>
      <w:marRight w:val="0"/>
      <w:marTop w:val="0"/>
      <w:marBottom w:val="0"/>
      <w:divBdr>
        <w:top w:val="none" w:sz="0" w:space="0" w:color="auto"/>
        <w:left w:val="none" w:sz="0" w:space="0" w:color="auto"/>
        <w:bottom w:val="none" w:sz="0" w:space="0" w:color="auto"/>
        <w:right w:val="none" w:sz="0" w:space="0" w:color="auto"/>
      </w:divBdr>
    </w:div>
    <w:div w:id="1493832320">
      <w:bodyDiv w:val="1"/>
      <w:marLeft w:val="0"/>
      <w:marRight w:val="0"/>
      <w:marTop w:val="0"/>
      <w:marBottom w:val="0"/>
      <w:divBdr>
        <w:top w:val="none" w:sz="0" w:space="0" w:color="auto"/>
        <w:left w:val="none" w:sz="0" w:space="0" w:color="auto"/>
        <w:bottom w:val="none" w:sz="0" w:space="0" w:color="auto"/>
        <w:right w:val="none" w:sz="0" w:space="0" w:color="auto"/>
      </w:divBdr>
    </w:div>
    <w:div w:id="1495878263">
      <w:bodyDiv w:val="1"/>
      <w:marLeft w:val="0"/>
      <w:marRight w:val="0"/>
      <w:marTop w:val="0"/>
      <w:marBottom w:val="0"/>
      <w:divBdr>
        <w:top w:val="none" w:sz="0" w:space="0" w:color="auto"/>
        <w:left w:val="none" w:sz="0" w:space="0" w:color="auto"/>
        <w:bottom w:val="none" w:sz="0" w:space="0" w:color="auto"/>
        <w:right w:val="none" w:sz="0" w:space="0" w:color="auto"/>
      </w:divBdr>
    </w:div>
    <w:div w:id="1513563678">
      <w:bodyDiv w:val="1"/>
      <w:marLeft w:val="0"/>
      <w:marRight w:val="0"/>
      <w:marTop w:val="0"/>
      <w:marBottom w:val="0"/>
      <w:divBdr>
        <w:top w:val="none" w:sz="0" w:space="0" w:color="auto"/>
        <w:left w:val="none" w:sz="0" w:space="0" w:color="auto"/>
        <w:bottom w:val="none" w:sz="0" w:space="0" w:color="auto"/>
        <w:right w:val="none" w:sz="0" w:space="0" w:color="auto"/>
      </w:divBdr>
    </w:div>
    <w:div w:id="1541279378">
      <w:bodyDiv w:val="1"/>
      <w:marLeft w:val="0"/>
      <w:marRight w:val="0"/>
      <w:marTop w:val="0"/>
      <w:marBottom w:val="0"/>
      <w:divBdr>
        <w:top w:val="none" w:sz="0" w:space="0" w:color="auto"/>
        <w:left w:val="none" w:sz="0" w:space="0" w:color="auto"/>
        <w:bottom w:val="none" w:sz="0" w:space="0" w:color="auto"/>
        <w:right w:val="none" w:sz="0" w:space="0" w:color="auto"/>
      </w:divBdr>
    </w:div>
    <w:div w:id="1549217217">
      <w:bodyDiv w:val="1"/>
      <w:marLeft w:val="0"/>
      <w:marRight w:val="0"/>
      <w:marTop w:val="0"/>
      <w:marBottom w:val="0"/>
      <w:divBdr>
        <w:top w:val="none" w:sz="0" w:space="0" w:color="auto"/>
        <w:left w:val="none" w:sz="0" w:space="0" w:color="auto"/>
        <w:bottom w:val="none" w:sz="0" w:space="0" w:color="auto"/>
        <w:right w:val="none" w:sz="0" w:space="0" w:color="auto"/>
      </w:divBdr>
    </w:div>
    <w:div w:id="1570578412">
      <w:bodyDiv w:val="1"/>
      <w:marLeft w:val="0"/>
      <w:marRight w:val="0"/>
      <w:marTop w:val="0"/>
      <w:marBottom w:val="0"/>
      <w:divBdr>
        <w:top w:val="none" w:sz="0" w:space="0" w:color="auto"/>
        <w:left w:val="none" w:sz="0" w:space="0" w:color="auto"/>
        <w:bottom w:val="none" w:sz="0" w:space="0" w:color="auto"/>
        <w:right w:val="none" w:sz="0" w:space="0" w:color="auto"/>
      </w:divBdr>
    </w:div>
    <w:div w:id="1597786508">
      <w:bodyDiv w:val="1"/>
      <w:marLeft w:val="0"/>
      <w:marRight w:val="0"/>
      <w:marTop w:val="0"/>
      <w:marBottom w:val="0"/>
      <w:divBdr>
        <w:top w:val="none" w:sz="0" w:space="0" w:color="auto"/>
        <w:left w:val="none" w:sz="0" w:space="0" w:color="auto"/>
        <w:bottom w:val="none" w:sz="0" w:space="0" w:color="auto"/>
        <w:right w:val="none" w:sz="0" w:space="0" w:color="auto"/>
      </w:divBdr>
    </w:div>
    <w:div w:id="1619987392">
      <w:bodyDiv w:val="1"/>
      <w:marLeft w:val="0"/>
      <w:marRight w:val="0"/>
      <w:marTop w:val="0"/>
      <w:marBottom w:val="0"/>
      <w:divBdr>
        <w:top w:val="none" w:sz="0" w:space="0" w:color="auto"/>
        <w:left w:val="none" w:sz="0" w:space="0" w:color="auto"/>
        <w:bottom w:val="none" w:sz="0" w:space="0" w:color="auto"/>
        <w:right w:val="none" w:sz="0" w:space="0" w:color="auto"/>
      </w:divBdr>
    </w:div>
    <w:div w:id="1632398178">
      <w:bodyDiv w:val="1"/>
      <w:marLeft w:val="0"/>
      <w:marRight w:val="0"/>
      <w:marTop w:val="0"/>
      <w:marBottom w:val="0"/>
      <w:divBdr>
        <w:top w:val="none" w:sz="0" w:space="0" w:color="auto"/>
        <w:left w:val="none" w:sz="0" w:space="0" w:color="auto"/>
        <w:bottom w:val="none" w:sz="0" w:space="0" w:color="auto"/>
        <w:right w:val="none" w:sz="0" w:space="0" w:color="auto"/>
      </w:divBdr>
    </w:div>
    <w:div w:id="1647934160">
      <w:bodyDiv w:val="1"/>
      <w:marLeft w:val="0"/>
      <w:marRight w:val="0"/>
      <w:marTop w:val="0"/>
      <w:marBottom w:val="0"/>
      <w:divBdr>
        <w:top w:val="none" w:sz="0" w:space="0" w:color="auto"/>
        <w:left w:val="none" w:sz="0" w:space="0" w:color="auto"/>
        <w:bottom w:val="none" w:sz="0" w:space="0" w:color="auto"/>
        <w:right w:val="none" w:sz="0" w:space="0" w:color="auto"/>
      </w:divBdr>
    </w:div>
    <w:div w:id="1652247961">
      <w:bodyDiv w:val="1"/>
      <w:marLeft w:val="0"/>
      <w:marRight w:val="0"/>
      <w:marTop w:val="0"/>
      <w:marBottom w:val="0"/>
      <w:divBdr>
        <w:top w:val="none" w:sz="0" w:space="0" w:color="auto"/>
        <w:left w:val="none" w:sz="0" w:space="0" w:color="auto"/>
        <w:bottom w:val="none" w:sz="0" w:space="0" w:color="auto"/>
        <w:right w:val="none" w:sz="0" w:space="0" w:color="auto"/>
      </w:divBdr>
    </w:div>
    <w:div w:id="1653866757">
      <w:bodyDiv w:val="1"/>
      <w:marLeft w:val="0"/>
      <w:marRight w:val="0"/>
      <w:marTop w:val="0"/>
      <w:marBottom w:val="0"/>
      <w:divBdr>
        <w:top w:val="none" w:sz="0" w:space="0" w:color="auto"/>
        <w:left w:val="none" w:sz="0" w:space="0" w:color="auto"/>
        <w:bottom w:val="none" w:sz="0" w:space="0" w:color="auto"/>
        <w:right w:val="none" w:sz="0" w:space="0" w:color="auto"/>
      </w:divBdr>
    </w:div>
    <w:div w:id="1654991745">
      <w:bodyDiv w:val="1"/>
      <w:marLeft w:val="0"/>
      <w:marRight w:val="0"/>
      <w:marTop w:val="0"/>
      <w:marBottom w:val="0"/>
      <w:divBdr>
        <w:top w:val="none" w:sz="0" w:space="0" w:color="auto"/>
        <w:left w:val="none" w:sz="0" w:space="0" w:color="auto"/>
        <w:bottom w:val="none" w:sz="0" w:space="0" w:color="auto"/>
        <w:right w:val="none" w:sz="0" w:space="0" w:color="auto"/>
      </w:divBdr>
    </w:div>
    <w:div w:id="1675913228">
      <w:bodyDiv w:val="1"/>
      <w:marLeft w:val="0"/>
      <w:marRight w:val="0"/>
      <w:marTop w:val="0"/>
      <w:marBottom w:val="0"/>
      <w:divBdr>
        <w:top w:val="none" w:sz="0" w:space="0" w:color="auto"/>
        <w:left w:val="none" w:sz="0" w:space="0" w:color="auto"/>
        <w:bottom w:val="none" w:sz="0" w:space="0" w:color="auto"/>
        <w:right w:val="none" w:sz="0" w:space="0" w:color="auto"/>
      </w:divBdr>
    </w:div>
    <w:div w:id="1685550633">
      <w:bodyDiv w:val="1"/>
      <w:marLeft w:val="0"/>
      <w:marRight w:val="0"/>
      <w:marTop w:val="0"/>
      <w:marBottom w:val="0"/>
      <w:divBdr>
        <w:top w:val="none" w:sz="0" w:space="0" w:color="auto"/>
        <w:left w:val="none" w:sz="0" w:space="0" w:color="auto"/>
        <w:bottom w:val="none" w:sz="0" w:space="0" w:color="auto"/>
        <w:right w:val="none" w:sz="0" w:space="0" w:color="auto"/>
      </w:divBdr>
    </w:div>
    <w:div w:id="1697727107">
      <w:bodyDiv w:val="1"/>
      <w:marLeft w:val="0"/>
      <w:marRight w:val="0"/>
      <w:marTop w:val="0"/>
      <w:marBottom w:val="0"/>
      <w:divBdr>
        <w:top w:val="none" w:sz="0" w:space="0" w:color="auto"/>
        <w:left w:val="none" w:sz="0" w:space="0" w:color="auto"/>
        <w:bottom w:val="none" w:sz="0" w:space="0" w:color="auto"/>
        <w:right w:val="none" w:sz="0" w:space="0" w:color="auto"/>
      </w:divBdr>
    </w:div>
    <w:div w:id="1719817443">
      <w:bodyDiv w:val="1"/>
      <w:marLeft w:val="0"/>
      <w:marRight w:val="0"/>
      <w:marTop w:val="0"/>
      <w:marBottom w:val="0"/>
      <w:divBdr>
        <w:top w:val="none" w:sz="0" w:space="0" w:color="auto"/>
        <w:left w:val="none" w:sz="0" w:space="0" w:color="auto"/>
        <w:bottom w:val="none" w:sz="0" w:space="0" w:color="auto"/>
        <w:right w:val="none" w:sz="0" w:space="0" w:color="auto"/>
      </w:divBdr>
    </w:div>
    <w:div w:id="1734423667">
      <w:bodyDiv w:val="1"/>
      <w:marLeft w:val="0"/>
      <w:marRight w:val="0"/>
      <w:marTop w:val="0"/>
      <w:marBottom w:val="0"/>
      <w:divBdr>
        <w:top w:val="none" w:sz="0" w:space="0" w:color="auto"/>
        <w:left w:val="none" w:sz="0" w:space="0" w:color="auto"/>
        <w:bottom w:val="none" w:sz="0" w:space="0" w:color="auto"/>
        <w:right w:val="none" w:sz="0" w:space="0" w:color="auto"/>
      </w:divBdr>
    </w:div>
    <w:div w:id="1738278363">
      <w:bodyDiv w:val="1"/>
      <w:marLeft w:val="0"/>
      <w:marRight w:val="0"/>
      <w:marTop w:val="0"/>
      <w:marBottom w:val="0"/>
      <w:divBdr>
        <w:top w:val="none" w:sz="0" w:space="0" w:color="auto"/>
        <w:left w:val="none" w:sz="0" w:space="0" w:color="auto"/>
        <w:bottom w:val="none" w:sz="0" w:space="0" w:color="auto"/>
        <w:right w:val="none" w:sz="0" w:space="0" w:color="auto"/>
      </w:divBdr>
    </w:div>
    <w:div w:id="1746875385">
      <w:bodyDiv w:val="1"/>
      <w:marLeft w:val="0"/>
      <w:marRight w:val="0"/>
      <w:marTop w:val="0"/>
      <w:marBottom w:val="0"/>
      <w:divBdr>
        <w:top w:val="none" w:sz="0" w:space="0" w:color="auto"/>
        <w:left w:val="none" w:sz="0" w:space="0" w:color="auto"/>
        <w:bottom w:val="none" w:sz="0" w:space="0" w:color="auto"/>
        <w:right w:val="none" w:sz="0" w:space="0" w:color="auto"/>
      </w:divBdr>
    </w:div>
    <w:div w:id="1748770461">
      <w:bodyDiv w:val="1"/>
      <w:marLeft w:val="0"/>
      <w:marRight w:val="0"/>
      <w:marTop w:val="0"/>
      <w:marBottom w:val="0"/>
      <w:divBdr>
        <w:top w:val="none" w:sz="0" w:space="0" w:color="auto"/>
        <w:left w:val="none" w:sz="0" w:space="0" w:color="auto"/>
        <w:bottom w:val="none" w:sz="0" w:space="0" w:color="auto"/>
        <w:right w:val="none" w:sz="0" w:space="0" w:color="auto"/>
      </w:divBdr>
    </w:div>
    <w:div w:id="1751849663">
      <w:bodyDiv w:val="1"/>
      <w:marLeft w:val="0"/>
      <w:marRight w:val="0"/>
      <w:marTop w:val="0"/>
      <w:marBottom w:val="0"/>
      <w:divBdr>
        <w:top w:val="none" w:sz="0" w:space="0" w:color="auto"/>
        <w:left w:val="none" w:sz="0" w:space="0" w:color="auto"/>
        <w:bottom w:val="none" w:sz="0" w:space="0" w:color="auto"/>
        <w:right w:val="none" w:sz="0" w:space="0" w:color="auto"/>
      </w:divBdr>
    </w:div>
    <w:div w:id="1791364132">
      <w:bodyDiv w:val="1"/>
      <w:marLeft w:val="0"/>
      <w:marRight w:val="0"/>
      <w:marTop w:val="0"/>
      <w:marBottom w:val="0"/>
      <w:divBdr>
        <w:top w:val="none" w:sz="0" w:space="0" w:color="auto"/>
        <w:left w:val="none" w:sz="0" w:space="0" w:color="auto"/>
        <w:bottom w:val="none" w:sz="0" w:space="0" w:color="auto"/>
        <w:right w:val="none" w:sz="0" w:space="0" w:color="auto"/>
      </w:divBdr>
    </w:div>
    <w:div w:id="1798404762">
      <w:bodyDiv w:val="1"/>
      <w:marLeft w:val="0"/>
      <w:marRight w:val="0"/>
      <w:marTop w:val="0"/>
      <w:marBottom w:val="0"/>
      <w:divBdr>
        <w:top w:val="none" w:sz="0" w:space="0" w:color="auto"/>
        <w:left w:val="none" w:sz="0" w:space="0" w:color="auto"/>
        <w:bottom w:val="none" w:sz="0" w:space="0" w:color="auto"/>
        <w:right w:val="none" w:sz="0" w:space="0" w:color="auto"/>
      </w:divBdr>
    </w:div>
    <w:div w:id="1816487605">
      <w:bodyDiv w:val="1"/>
      <w:marLeft w:val="0"/>
      <w:marRight w:val="0"/>
      <w:marTop w:val="0"/>
      <w:marBottom w:val="0"/>
      <w:divBdr>
        <w:top w:val="none" w:sz="0" w:space="0" w:color="auto"/>
        <w:left w:val="none" w:sz="0" w:space="0" w:color="auto"/>
        <w:bottom w:val="none" w:sz="0" w:space="0" w:color="auto"/>
        <w:right w:val="none" w:sz="0" w:space="0" w:color="auto"/>
      </w:divBdr>
      <w:divsChild>
        <w:div w:id="1843856017">
          <w:marLeft w:val="0"/>
          <w:marRight w:val="0"/>
          <w:marTop w:val="225"/>
          <w:marBottom w:val="225"/>
          <w:divBdr>
            <w:top w:val="none" w:sz="0" w:space="0" w:color="auto"/>
            <w:left w:val="none" w:sz="0" w:space="0" w:color="auto"/>
            <w:bottom w:val="none" w:sz="0" w:space="0" w:color="auto"/>
            <w:right w:val="none" w:sz="0" w:space="0" w:color="auto"/>
          </w:divBdr>
          <w:divsChild>
            <w:div w:id="526987557">
              <w:marLeft w:val="0"/>
              <w:marRight w:val="0"/>
              <w:marTop w:val="0"/>
              <w:marBottom w:val="0"/>
              <w:divBdr>
                <w:top w:val="none" w:sz="0" w:space="0" w:color="auto"/>
                <w:left w:val="none" w:sz="0" w:space="0" w:color="auto"/>
                <w:bottom w:val="none" w:sz="0" w:space="0" w:color="auto"/>
                <w:right w:val="none" w:sz="0" w:space="0" w:color="auto"/>
              </w:divBdr>
              <w:divsChild>
                <w:div w:id="1929269338">
                  <w:marLeft w:val="0"/>
                  <w:marRight w:val="0"/>
                  <w:marTop w:val="0"/>
                  <w:marBottom w:val="0"/>
                  <w:divBdr>
                    <w:top w:val="none" w:sz="0" w:space="0" w:color="auto"/>
                    <w:left w:val="none" w:sz="0" w:space="0" w:color="auto"/>
                    <w:bottom w:val="none" w:sz="0" w:space="0" w:color="auto"/>
                    <w:right w:val="none" w:sz="0" w:space="0" w:color="auto"/>
                  </w:divBdr>
                  <w:divsChild>
                    <w:div w:id="809439237">
                      <w:marLeft w:val="0"/>
                      <w:marRight w:val="0"/>
                      <w:marTop w:val="0"/>
                      <w:marBottom w:val="0"/>
                      <w:divBdr>
                        <w:top w:val="none" w:sz="0" w:space="0" w:color="auto"/>
                        <w:left w:val="none" w:sz="0" w:space="0" w:color="auto"/>
                        <w:bottom w:val="none" w:sz="0" w:space="0" w:color="auto"/>
                        <w:right w:val="none" w:sz="0" w:space="0" w:color="auto"/>
                      </w:divBdr>
                    </w:div>
                    <w:div w:id="207572026">
                      <w:marLeft w:val="0"/>
                      <w:marRight w:val="0"/>
                      <w:marTop w:val="0"/>
                      <w:marBottom w:val="0"/>
                      <w:divBdr>
                        <w:top w:val="none" w:sz="0" w:space="0" w:color="auto"/>
                        <w:left w:val="none" w:sz="0" w:space="0" w:color="auto"/>
                        <w:bottom w:val="none" w:sz="0" w:space="0" w:color="auto"/>
                        <w:right w:val="none" w:sz="0" w:space="0" w:color="auto"/>
                      </w:divBdr>
                    </w:div>
                    <w:div w:id="1729841767">
                      <w:marLeft w:val="0"/>
                      <w:marRight w:val="0"/>
                      <w:marTop w:val="0"/>
                      <w:marBottom w:val="0"/>
                      <w:divBdr>
                        <w:top w:val="none" w:sz="0" w:space="0" w:color="auto"/>
                        <w:left w:val="none" w:sz="0" w:space="0" w:color="auto"/>
                        <w:bottom w:val="none" w:sz="0" w:space="0" w:color="auto"/>
                        <w:right w:val="none" w:sz="0" w:space="0" w:color="auto"/>
                      </w:divBdr>
                    </w:div>
                    <w:div w:id="1950232371">
                      <w:marLeft w:val="0"/>
                      <w:marRight w:val="0"/>
                      <w:marTop w:val="0"/>
                      <w:marBottom w:val="0"/>
                      <w:divBdr>
                        <w:top w:val="none" w:sz="0" w:space="0" w:color="auto"/>
                        <w:left w:val="none" w:sz="0" w:space="0" w:color="auto"/>
                        <w:bottom w:val="none" w:sz="0" w:space="0" w:color="auto"/>
                        <w:right w:val="none" w:sz="0" w:space="0" w:color="auto"/>
                      </w:divBdr>
                    </w:div>
                    <w:div w:id="1587692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4731365">
      <w:bodyDiv w:val="1"/>
      <w:marLeft w:val="0"/>
      <w:marRight w:val="0"/>
      <w:marTop w:val="0"/>
      <w:marBottom w:val="0"/>
      <w:divBdr>
        <w:top w:val="none" w:sz="0" w:space="0" w:color="auto"/>
        <w:left w:val="none" w:sz="0" w:space="0" w:color="auto"/>
        <w:bottom w:val="none" w:sz="0" w:space="0" w:color="auto"/>
        <w:right w:val="none" w:sz="0" w:space="0" w:color="auto"/>
      </w:divBdr>
    </w:div>
    <w:div w:id="1841047269">
      <w:bodyDiv w:val="1"/>
      <w:marLeft w:val="0"/>
      <w:marRight w:val="0"/>
      <w:marTop w:val="0"/>
      <w:marBottom w:val="0"/>
      <w:divBdr>
        <w:top w:val="none" w:sz="0" w:space="0" w:color="auto"/>
        <w:left w:val="none" w:sz="0" w:space="0" w:color="auto"/>
        <w:bottom w:val="none" w:sz="0" w:space="0" w:color="auto"/>
        <w:right w:val="none" w:sz="0" w:space="0" w:color="auto"/>
      </w:divBdr>
    </w:div>
    <w:div w:id="1845392703">
      <w:bodyDiv w:val="1"/>
      <w:marLeft w:val="0"/>
      <w:marRight w:val="0"/>
      <w:marTop w:val="0"/>
      <w:marBottom w:val="0"/>
      <w:divBdr>
        <w:top w:val="none" w:sz="0" w:space="0" w:color="auto"/>
        <w:left w:val="none" w:sz="0" w:space="0" w:color="auto"/>
        <w:bottom w:val="none" w:sz="0" w:space="0" w:color="auto"/>
        <w:right w:val="none" w:sz="0" w:space="0" w:color="auto"/>
      </w:divBdr>
    </w:div>
    <w:div w:id="1877112008">
      <w:bodyDiv w:val="1"/>
      <w:marLeft w:val="0"/>
      <w:marRight w:val="0"/>
      <w:marTop w:val="0"/>
      <w:marBottom w:val="0"/>
      <w:divBdr>
        <w:top w:val="none" w:sz="0" w:space="0" w:color="auto"/>
        <w:left w:val="none" w:sz="0" w:space="0" w:color="auto"/>
        <w:bottom w:val="none" w:sz="0" w:space="0" w:color="auto"/>
        <w:right w:val="none" w:sz="0" w:space="0" w:color="auto"/>
      </w:divBdr>
    </w:div>
    <w:div w:id="1878228942">
      <w:bodyDiv w:val="1"/>
      <w:marLeft w:val="0"/>
      <w:marRight w:val="0"/>
      <w:marTop w:val="0"/>
      <w:marBottom w:val="0"/>
      <w:divBdr>
        <w:top w:val="none" w:sz="0" w:space="0" w:color="auto"/>
        <w:left w:val="none" w:sz="0" w:space="0" w:color="auto"/>
        <w:bottom w:val="none" w:sz="0" w:space="0" w:color="auto"/>
        <w:right w:val="none" w:sz="0" w:space="0" w:color="auto"/>
      </w:divBdr>
    </w:div>
    <w:div w:id="1900555292">
      <w:bodyDiv w:val="1"/>
      <w:marLeft w:val="0"/>
      <w:marRight w:val="0"/>
      <w:marTop w:val="0"/>
      <w:marBottom w:val="0"/>
      <w:divBdr>
        <w:top w:val="none" w:sz="0" w:space="0" w:color="auto"/>
        <w:left w:val="none" w:sz="0" w:space="0" w:color="auto"/>
        <w:bottom w:val="none" w:sz="0" w:space="0" w:color="auto"/>
        <w:right w:val="none" w:sz="0" w:space="0" w:color="auto"/>
      </w:divBdr>
    </w:div>
    <w:div w:id="1908031037">
      <w:bodyDiv w:val="1"/>
      <w:marLeft w:val="0"/>
      <w:marRight w:val="0"/>
      <w:marTop w:val="0"/>
      <w:marBottom w:val="0"/>
      <w:divBdr>
        <w:top w:val="none" w:sz="0" w:space="0" w:color="auto"/>
        <w:left w:val="none" w:sz="0" w:space="0" w:color="auto"/>
        <w:bottom w:val="none" w:sz="0" w:space="0" w:color="auto"/>
        <w:right w:val="none" w:sz="0" w:space="0" w:color="auto"/>
      </w:divBdr>
    </w:div>
    <w:div w:id="1914503852">
      <w:bodyDiv w:val="1"/>
      <w:marLeft w:val="0"/>
      <w:marRight w:val="0"/>
      <w:marTop w:val="0"/>
      <w:marBottom w:val="0"/>
      <w:divBdr>
        <w:top w:val="none" w:sz="0" w:space="0" w:color="auto"/>
        <w:left w:val="none" w:sz="0" w:space="0" w:color="auto"/>
        <w:bottom w:val="none" w:sz="0" w:space="0" w:color="auto"/>
        <w:right w:val="none" w:sz="0" w:space="0" w:color="auto"/>
      </w:divBdr>
    </w:div>
    <w:div w:id="1927377203">
      <w:bodyDiv w:val="1"/>
      <w:marLeft w:val="0"/>
      <w:marRight w:val="0"/>
      <w:marTop w:val="0"/>
      <w:marBottom w:val="0"/>
      <w:divBdr>
        <w:top w:val="none" w:sz="0" w:space="0" w:color="auto"/>
        <w:left w:val="none" w:sz="0" w:space="0" w:color="auto"/>
        <w:bottom w:val="none" w:sz="0" w:space="0" w:color="auto"/>
        <w:right w:val="none" w:sz="0" w:space="0" w:color="auto"/>
      </w:divBdr>
    </w:div>
    <w:div w:id="1929382658">
      <w:bodyDiv w:val="1"/>
      <w:marLeft w:val="0"/>
      <w:marRight w:val="0"/>
      <w:marTop w:val="0"/>
      <w:marBottom w:val="0"/>
      <w:divBdr>
        <w:top w:val="none" w:sz="0" w:space="0" w:color="auto"/>
        <w:left w:val="none" w:sz="0" w:space="0" w:color="auto"/>
        <w:bottom w:val="none" w:sz="0" w:space="0" w:color="auto"/>
        <w:right w:val="none" w:sz="0" w:space="0" w:color="auto"/>
      </w:divBdr>
    </w:div>
    <w:div w:id="1964994656">
      <w:bodyDiv w:val="1"/>
      <w:marLeft w:val="0"/>
      <w:marRight w:val="0"/>
      <w:marTop w:val="0"/>
      <w:marBottom w:val="0"/>
      <w:divBdr>
        <w:top w:val="none" w:sz="0" w:space="0" w:color="auto"/>
        <w:left w:val="none" w:sz="0" w:space="0" w:color="auto"/>
        <w:bottom w:val="none" w:sz="0" w:space="0" w:color="auto"/>
        <w:right w:val="none" w:sz="0" w:space="0" w:color="auto"/>
      </w:divBdr>
    </w:div>
    <w:div w:id="1998680989">
      <w:bodyDiv w:val="1"/>
      <w:marLeft w:val="0"/>
      <w:marRight w:val="0"/>
      <w:marTop w:val="0"/>
      <w:marBottom w:val="0"/>
      <w:divBdr>
        <w:top w:val="none" w:sz="0" w:space="0" w:color="auto"/>
        <w:left w:val="none" w:sz="0" w:space="0" w:color="auto"/>
        <w:bottom w:val="none" w:sz="0" w:space="0" w:color="auto"/>
        <w:right w:val="none" w:sz="0" w:space="0" w:color="auto"/>
      </w:divBdr>
    </w:div>
    <w:div w:id="2007392534">
      <w:bodyDiv w:val="1"/>
      <w:marLeft w:val="0"/>
      <w:marRight w:val="0"/>
      <w:marTop w:val="0"/>
      <w:marBottom w:val="0"/>
      <w:divBdr>
        <w:top w:val="none" w:sz="0" w:space="0" w:color="auto"/>
        <w:left w:val="none" w:sz="0" w:space="0" w:color="auto"/>
        <w:bottom w:val="none" w:sz="0" w:space="0" w:color="auto"/>
        <w:right w:val="none" w:sz="0" w:space="0" w:color="auto"/>
      </w:divBdr>
    </w:div>
    <w:div w:id="2045133889">
      <w:bodyDiv w:val="1"/>
      <w:marLeft w:val="0"/>
      <w:marRight w:val="0"/>
      <w:marTop w:val="0"/>
      <w:marBottom w:val="0"/>
      <w:divBdr>
        <w:top w:val="none" w:sz="0" w:space="0" w:color="auto"/>
        <w:left w:val="none" w:sz="0" w:space="0" w:color="auto"/>
        <w:bottom w:val="none" w:sz="0" w:space="0" w:color="auto"/>
        <w:right w:val="none" w:sz="0" w:space="0" w:color="auto"/>
      </w:divBdr>
    </w:div>
    <w:div w:id="2047291165">
      <w:bodyDiv w:val="1"/>
      <w:marLeft w:val="0"/>
      <w:marRight w:val="0"/>
      <w:marTop w:val="0"/>
      <w:marBottom w:val="0"/>
      <w:divBdr>
        <w:top w:val="none" w:sz="0" w:space="0" w:color="auto"/>
        <w:left w:val="none" w:sz="0" w:space="0" w:color="auto"/>
        <w:bottom w:val="none" w:sz="0" w:space="0" w:color="auto"/>
        <w:right w:val="none" w:sz="0" w:space="0" w:color="auto"/>
      </w:divBdr>
    </w:div>
    <w:div w:id="2068406745">
      <w:bodyDiv w:val="1"/>
      <w:marLeft w:val="0"/>
      <w:marRight w:val="0"/>
      <w:marTop w:val="0"/>
      <w:marBottom w:val="0"/>
      <w:divBdr>
        <w:top w:val="none" w:sz="0" w:space="0" w:color="auto"/>
        <w:left w:val="none" w:sz="0" w:space="0" w:color="auto"/>
        <w:bottom w:val="none" w:sz="0" w:space="0" w:color="auto"/>
        <w:right w:val="none" w:sz="0" w:space="0" w:color="auto"/>
      </w:divBdr>
    </w:div>
    <w:div w:id="2083872726">
      <w:bodyDiv w:val="1"/>
      <w:marLeft w:val="0"/>
      <w:marRight w:val="0"/>
      <w:marTop w:val="0"/>
      <w:marBottom w:val="0"/>
      <w:divBdr>
        <w:top w:val="none" w:sz="0" w:space="0" w:color="auto"/>
        <w:left w:val="none" w:sz="0" w:space="0" w:color="auto"/>
        <w:bottom w:val="none" w:sz="0" w:space="0" w:color="auto"/>
        <w:right w:val="none" w:sz="0" w:space="0" w:color="auto"/>
      </w:divBdr>
    </w:div>
    <w:div w:id="2097431842">
      <w:bodyDiv w:val="1"/>
      <w:marLeft w:val="0"/>
      <w:marRight w:val="0"/>
      <w:marTop w:val="0"/>
      <w:marBottom w:val="0"/>
      <w:divBdr>
        <w:top w:val="none" w:sz="0" w:space="0" w:color="auto"/>
        <w:left w:val="none" w:sz="0" w:space="0" w:color="auto"/>
        <w:bottom w:val="none" w:sz="0" w:space="0" w:color="auto"/>
        <w:right w:val="none" w:sz="0" w:space="0" w:color="auto"/>
      </w:divBdr>
    </w:div>
    <w:div w:id="2116900504">
      <w:bodyDiv w:val="1"/>
      <w:marLeft w:val="0"/>
      <w:marRight w:val="0"/>
      <w:marTop w:val="0"/>
      <w:marBottom w:val="0"/>
      <w:divBdr>
        <w:top w:val="none" w:sz="0" w:space="0" w:color="auto"/>
        <w:left w:val="none" w:sz="0" w:space="0" w:color="auto"/>
        <w:bottom w:val="none" w:sz="0" w:space="0" w:color="auto"/>
        <w:right w:val="none" w:sz="0" w:space="0" w:color="auto"/>
      </w:divBdr>
    </w:div>
    <w:div w:id="2120906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Custom 1">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Kon15</b:Tag>
    <b:SourceType>JournalArticle</b:SourceType>
    <b:Guid>{9B15FBB8-A8D9-4F1A-B22B-E14A2A7D726D}</b:Guid>
    <b:Author>
      <b:Author>
        <b:NameList>
          <b:Person>
            <b:Last>Kontra</b:Last>
            <b:First>C</b:First>
          </b:Person>
          <b:Person>
            <b:Last>Lyons</b:Last>
            <b:First>D</b:First>
          </b:Person>
          <b:Person>
            <b:Last>Fischer</b:Last>
            <b:First>S</b:First>
          </b:Person>
        </b:NameList>
      </b:Author>
    </b:Author>
    <b:Title>Physical Experience Enhances Science Learning</b:Title>
    <b:JournalName>psychological Science</b:JournalName>
    <b:Year>2015</b:Year>
    <b:Pages>737-749</b:Pages>
    <b:Volume>26</b:Volume>
    <b:Issue>6</b:Issue>
    <b:RefOrder>4</b:RefOrder>
  </b:Source>
  <b:Source>
    <b:Tag>Phi01</b:Tag>
    <b:SourceType>JournalArticle</b:SourceType>
    <b:Guid>{394F0298-6E98-4F83-9351-DD527178D791}</b:Guid>
    <b:Title>Making history curious: Using initial stimulus material (ISM) to promote enquiry, thinking and literacy</b:Title>
    <b:Year>2001</b:Year>
    <b:Pages>19-24</b:Pages>
    <b:Author>
      <b:Author>
        <b:NameList>
          <b:Person>
            <b:Last>Phillips</b:Last>
            <b:First>R</b:First>
          </b:Person>
        </b:NameList>
      </b:Author>
    </b:Author>
    <b:JournalName>Teaching History</b:JournalName>
    <b:Issue>105</b:Issue>
    <b:Volume>1</b:Volume>
    <b:RefOrder>3</b:RefOrder>
  </b:Source>
  <b:Source>
    <b:Tag>van01</b:Tag>
    <b:SourceType>JournalArticle</b:SourceType>
    <b:Guid>{8F0EDBDE-C3E4-4382-AF39-CBBEA184DA59}</b:Guid>
    <b:Author>
      <b:Author>
        <b:NameList>
          <b:Person>
            <b:Last>van Zee</b:Last>
            <b:First>Emily</b:First>
          </b:Person>
          <b:Person>
            <b:Last>Iwasyk</b:Last>
            <b:First>Marletta</b:First>
          </b:Person>
          <b:Person>
            <b:Last>Kurose</b:Last>
            <b:First>Akiko</b:First>
          </b:Person>
          <b:Person>
            <b:Last>Simpson</b:Last>
            <b:First>D</b:First>
          </b:Person>
          <b:Person>
            <b:Last>Wild</b:Last>
            <b:First>J</b:First>
          </b:Person>
        </b:NameList>
      </b:Author>
    </b:Author>
    <b:Title>Student and teacher questioning during conversations about science</b:Title>
    <b:JournalName>Journal of Research in Science Teaching</b:JournalName>
    <b:Year>2001</b:Year>
    <b:Pages>159-190</b:Pages>
    <b:Volume>38</b:Volume>
    <b:Issue>2</b:Issue>
    <b:RefOrder>5</b:RefOrder>
  </b:Source>
  <b:Source>
    <b:Tag>Gil14</b:Tag>
    <b:SourceType>JournalArticle</b:SourceType>
    <b:Guid>{E022619C-9355-4E88-B061-C6DDD8BFF20A}</b:Guid>
    <b:Author>
      <b:Author>
        <b:NameList>
          <b:Person>
            <b:Last>Gillies</b:Last>
            <b:First>Robyn</b:First>
            <b:Middle>M</b:Middle>
          </b:Person>
          <b:Person>
            <b:Last>Nichols</b:Last>
            <b:First>Kim</b:First>
          </b:Person>
          <b:Person>
            <b:Last>Burgh</b:Last>
            <b:First>Gilbert</b:First>
          </b:Person>
          <b:Person>
            <b:Last>Haynes</b:Last>
            <b:First>Michele</b:First>
          </b:Person>
        </b:NameList>
      </b:Author>
    </b:Author>
    <b:Title>primary students' scientific reasoning and discourse during cooperative inquiry-based science activities</b:Title>
    <b:JournalName>International Journal of Educational Research</b:JournalName>
    <b:Year>2014</b:Year>
    <b:Pages>127-140</b:Pages>
    <b:Volume>63</b:Volume>
    <b:RefOrder>6</b:RefOrder>
  </b:Source>
  <b:Source>
    <b:Tag>Wat24</b:Tag>
    <b:SourceType>Book</b:SourceType>
    <b:Guid>{A23157D8-61B5-4FA9-BCEA-6E62756A350B}</b:Guid>
    <b:Title>Behaviuorism</b:Title>
    <b:Year>1924</b:Year>
    <b:Author>
      <b:Author>
        <b:NameList>
          <b:Person>
            <b:Last>Watson</b:Last>
            <b:First>J</b:First>
            <b:Middle>B</b:Middle>
          </b:Person>
        </b:NameList>
      </b:Author>
    </b:Author>
    <b:City>New York</b:City>
    <b:Publisher>People's Institute Publishing Company</b:Publisher>
    <b:RefOrder>7</b:RefOrder>
  </b:Source>
  <b:Source>
    <b:Tag>Ski38</b:Tag>
    <b:SourceType>Book</b:SourceType>
    <b:Guid>{89A7DA5B-A088-4BF4-9FFF-4127FCC19F90}</b:Guid>
    <b:Author>
      <b:Author>
        <b:NameList>
          <b:Person>
            <b:Last>Skinner</b:Last>
            <b:First>B</b:First>
            <b:Middle>F</b:Middle>
          </b:Person>
        </b:NameList>
      </b:Author>
    </b:Author>
    <b:Title>The Behaviour of Organisms</b:Title>
    <b:Year>1938</b:Year>
    <b:City>New York</b:City>
    <b:Publisher>Appleton-Century</b:Publisher>
    <b:RefOrder>8</b:RefOrder>
  </b:Source>
  <b:Source>
    <b:Tag>Rog61</b:Tag>
    <b:SourceType>Book</b:SourceType>
    <b:Guid>{C0B887A5-96FC-4C3B-A73A-BE7BCD975BDB}</b:Guid>
    <b:Author>
      <b:Author>
        <b:NameList>
          <b:Person>
            <b:Last>Rogers</b:Last>
            <b:First>C</b:First>
            <b:Middle>R</b:Middle>
          </b:Person>
        </b:NameList>
      </b:Author>
    </b:Author>
    <b:Title>On Becoming a Person: A psychotherapists view of psychotherapy</b:Title>
    <b:Year>1961</b:Year>
    <b:City>New York</b:City>
    <b:Publisher>Houghton Mifflin</b:Publisher>
    <b:RefOrder>10</b:RefOrder>
  </b:Source>
  <b:Source>
    <b:Tag>Fre15</b:Tag>
    <b:SourceType>JournalArticle</b:SourceType>
    <b:Guid>{0201964E-F846-4292-BF2D-1C8CD94218B8}</b:Guid>
    <b:Title>The unconscious</b:Title>
    <b:Year>1915</b:Year>
    <b:Author>
      <b:Author>
        <b:NameList>
          <b:Person>
            <b:Last>Freud</b:Last>
            <b:First>S</b:First>
          </b:Person>
        </b:NameList>
      </b:Author>
    </b:Author>
    <b:JournalName>Standard Edition</b:JournalName>
    <b:Pages>159-204</b:Pages>
    <b:Volume>1</b:Volume>
    <b:Issue>14</b:Issue>
    <b:RefOrder>11</b:RefOrder>
  </b:Source>
  <b:Source>
    <b:Tag>How11</b:Tag>
    <b:SourceType>JournalArticle</b:SourceType>
    <b:Guid>{7D504FA9-16EE-48F4-A2F1-7F32E40759E1}</b:Guid>
    <b:Author>
      <b:Author>
        <b:NameList>
          <b:Person>
            <b:Last>Howitt</b:Last>
            <b:First>Christine</b:First>
          </b:Person>
          <b:Person>
            <b:Last>Upson</b:Last>
            <b:First>Emily</b:First>
          </b:Person>
          <b:Person>
            <b:Last>Lewis</b:Last>
            <b:First>Simon</b:First>
          </b:Person>
        </b:NameList>
      </b:Author>
    </b:Author>
    <b:Title>'It's a Mystery!' A case study of implementing forensic science in preschool as scientific inquiry</b:Title>
    <b:JournalName>Australasian Journal of Early Childhood</b:JournalName>
    <b:Year>2011</b:Year>
    <b:Pages>45-55</b:Pages>
    <b:Volume>36</b:Volume>
    <b:Issue>3</b:Issue>
    <b:RefOrder>13</b:RefOrder>
  </b:Source>
  <b:Source>
    <b:Tag>Pal10</b:Tag>
    <b:SourceType>JournalArticle</b:SourceType>
    <b:Guid>{0FA10C8F-3C0A-47ED-BB4F-F639B61BABA1}</b:Guid>
    <b:Author>
      <b:Author>
        <b:NameList>
          <b:Person>
            <b:Last>Palmer</b:Last>
            <b:First>Laura</b:First>
            <b:Middle>K</b:Middle>
          </b:Person>
        </b:NameList>
      </b:Author>
    </b:Author>
    <b:Title>Using Harry Potter to Introduce Students to DNA Fingerprinting and Forensic Science</b:Title>
    <b:JournalName>The American Biology Teacher</b:JournalName>
    <b:Year>2010</b:Year>
    <b:Pages>241-244</b:Pages>
    <b:Volume>72</b:Volume>
    <b:Issue>4</b:Issue>
    <b:RefOrder>12</b:RefOrder>
  </b:Source>
  <b:Source>
    <b:Tag>McL18</b:Tag>
    <b:SourceType>InternetSite</b:SourceType>
    <b:Guid>{02F5BF46-9925-4EE2-875D-4465AFEEBE33}</b:Guid>
    <b:Title>Skinner - operant conditioning</b:Title>
    <b:Year>2018</b:Year>
    <b:Author>
      <b:Author>
        <b:NameList>
          <b:Person>
            <b:Last>McLoed</b:Last>
            <b:First>S</b:First>
            <b:Middle>A</b:Middle>
          </b:Person>
        </b:NameList>
      </b:Author>
    </b:Author>
    <b:YearAccessed>2018</b:YearAccessed>
    <b:MonthAccessed>November</b:MonthAccessed>
    <b:DayAccessed>10th</b:DayAccessed>
    <b:URL>https://www.simplypsychology.org/operant-conditioning.html</b:URL>
    <b:RefOrder>9</b:RefOrder>
  </b:Source>
  <b:Source>
    <b:Tag>Pia58</b:Tag>
    <b:SourceType>JournalArticle</b:SourceType>
    <b:Guid>{1B1D5E34-A414-4F08-A373-C9DEDA885D49}</b:Guid>
    <b:Title>The growth of logical thinking from childhood to adolescence</b:Title>
    <b:Year>1958</b:Year>
    <b:Author>
      <b:Author>
        <b:NameList>
          <b:Person>
            <b:Last>Piaget</b:Last>
            <b:First>J</b:First>
          </b:Person>
        </b:NameList>
      </b:Author>
    </b:Author>
    <b:JournalName>AMC</b:JournalName>
    <b:Volume>10</b:Volume>
    <b:Issue>12</b:Issue>
    <b:RefOrder>14</b:RefOrder>
  </b:Source>
  <b:Source>
    <b:Tag>McL181</b:Tag>
    <b:SourceType>InternetSite</b:SourceType>
    <b:Guid>{2470FCFE-4433-4F0B-A3F9-17FF2FDE8FB9}</b:Guid>
    <b:Title>Lev Vygotsky</b:Title>
    <b:Year>2018</b:Year>
    <b:Author>
      <b:Author>
        <b:NameList>
          <b:Person>
            <b:Last>McLeod</b:Last>
          </b:Person>
        </b:NameList>
      </b:Author>
    </b:Author>
    <b:YearAccessed>2018</b:YearAccessed>
    <b:MonthAccessed>November</b:MonthAccessed>
    <b:DayAccessed>15th</b:DayAccessed>
    <b:URL>https://www.simplypsychology.org/vygotsky.html</b:URL>
    <b:RefOrder>15</b:RefOrder>
  </b:Source>
  <b:Source>
    <b:Tag>Vyg78</b:Tag>
    <b:SourceType>Book</b:SourceType>
    <b:Guid>{F235BEA8-0BDF-4A3A-A33B-B2C038B17551}</b:Guid>
    <b:Title>Mind in society: The development of higher psychological processes.</b:Title>
    <b:Year>1978</b:Year>
    <b:Author>
      <b:Author>
        <b:NameList>
          <b:Person>
            <b:Last>Vygotsky</b:Last>
            <b:First>L</b:First>
            <b:Middle>S</b:Middle>
          </b:Person>
        </b:NameList>
      </b:Author>
    </b:Author>
    <b:City>Cambridge, MA</b:City>
    <b:Publisher>Harvard University Press</b:Publisher>
    <b:RefOrder>17</b:RefOrder>
  </b:Source>
  <b:Source>
    <b:Tag>Bru66</b:Tag>
    <b:SourceType>Book</b:SourceType>
    <b:Guid>{497C2DA5-0506-4BAA-97D7-C18D5B0063E5}</b:Guid>
    <b:Author>
      <b:Author>
        <b:NameList>
          <b:Person>
            <b:Last>Bruner</b:Last>
            <b:First>J</b:First>
            <b:Middle>S</b:Middle>
          </b:Person>
        </b:NameList>
      </b:Author>
    </b:Author>
    <b:Title>Toward a theory of instruction</b:Title>
    <b:Year>1966</b:Year>
    <b:City>Cambridge, MA</b:City>
    <b:Publisher>Belkapp Press</b:Publisher>
    <b:RefOrder>16</b:RefOrder>
  </b:Source>
  <b:Source>
    <b:Tag>Coe14</b:Tag>
    <b:SourceType>Report</b:SourceType>
    <b:Guid>{5F5EDB88-776E-4613-91EB-5AD09D3A65F5}</b:Guid>
    <b:Title>What makes great teaching? Review of the underpinning research</b:Title>
    <b:Year>2014</b:Year>
    <b:City>Durham</b:City>
    <b:Publisher>Sutton Trust</b:Publisher>
    <b:Author>
      <b:Author>
        <b:NameList>
          <b:Person>
            <b:Last>Coe</b:Last>
            <b:First>R</b:First>
          </b:Person>
          <b:Person>
            <b:Last>Aloisi</b:Last>
            <b:First>C</b:First>
          </b:Person>
          <b:Person>
            <b:Last>Higgins</b:Last>
            <b:First>S</b:First>
          </b:Person>
          <b:Person>
            <b:Last>Major</b:Last>
            <b:First>L</b:First>
          </b:Person>
        </b:NameList>
      </b:Author>
    </b:Author>
    <b:RefOrder>18</b:RefOrder>
  </b:Source>
  <b:Source>
    <b:Tag>Coe17</b:Tag>
    <b:SourceType>Book</b:SourceType>
    <b:Guid>{C7F5420D-33BC-4FE6-8C2F-C12156328BF4}</b:Guid>
    <b:Title>Research methods and methodologies in education</b:Title>
    <b:Year>2017</b:Year>
    <b:Publisher>SAGE Publications Ltd</b:Publisher>
    <b:City>London</b:City>
    <b:Author>
      <b:Author>
        <b:NameList>
          <b:Person>
            <b:Last>Coe</b:Last>
            <b:First>R</b:First>
          </b:Person>
        </b:NameList>
      </b:Author>
    </b:Author>
    <b:Edition>2nd</b:Edition>
    <b:RefOrder>19</b:RefOrder>
  </b:Source>
  <b:Source>
    <b:Tag>Wel08</b:Tag>
    <b:SourceType>Report</b:SourceType>
    <b:Guid>{F283FBA4-18E4-4F9B-BA05-D88035E66236}</b:Guid>
    <b:Title>Science in the National Curriculum for Wales</b:Title>
    <b:Year>2008</b:Year>
    <b:City>Cardiff</b:City>
    <b:Publisher>Crown copyright</b:Publisher>
    <b:Author>
      <b:Author>
        <b:Corporate>Welsh Assembly</b:Corporate>
      </b:Author>
    </b:Author>
    <b:RefOrder>1</b:RefOrder>
  </b:Source>
  <b:Source>
    <b:Tag>Pas08</b:Tag>
    <b:SourceType>JournalArticle</b:SourceType>
    <b:Guid>{5C8EBCBF-4169-4A57-82A1-EFD9EB97D085}</b:Guid>
    <b:Title>Learning Styles: Concepts and Evidence</b:Title>
    <b:Year>2008</b:Year>
    <b:Author>
      <b:Author>
        <b:NameList>
          <b:Person>
            <b:Last>Pashler</b:Last>
            <b:First>H</b:First>
          </b:Person>
          <b:Person>
            <b:Last>McDaniel</b:Last>
            <b:First>M</b:First>
          </b:Person>
          <b:Person>
            <b:Last>Rohrer</b:Last>
            <b:First>D</b:First>
          </b:Person>
          <b:Person>
            <b:Last>Bjork</b:Last>
            <b:First>R</b:First>
          </b:Person>
        </b:NameList>
      </b:Author>
    </b:Author>
    <b:JournalName>Psychological Science in the public Interest</b:JournalName>
    <b:Pages>105-119</b:Pages>
    <b:Volume>9</b:Volume>
    <b:Issue>3</b:Issue>
    <b:RefOrder>20</b:RefOrder>
  </b:Source>
  <b:Source>
    <b:Tag>Mas06</b:Tag>
    <b:SourceType>JournalArticle</b:SourceType>
    <b:Guid>{4479240C-B7AD-472B-8E95-6EB4EC2F1F31}</b:Guid>
    <b:Author>
      <b:Author>
        <b:NameList>
          <b:Person>
            <b:Last>Massa</b:Last>
            <b:First>L</b:First>
            <b:Middle>J</b:Middle>
          </b:Person>
          <b:Person>
            <b:Last>Mayer</b:Last>
            <b:First>R</b:First>
            <b:Middle>E</b:Middle>
          </b:Person>
        </b:NameList>
      </b:Author>
    </b:Author>
    <b:Title>Testing the ATI hypothesis: Should multimedia instruction accommodate verbalizer-visualizer cognitive style?</b:Title>
    <b:JournalName>Learning and Individual Differences</b:JournalName>
    <b:Year>2006</b:Year>
    <b:Pages>321-336</b:Pages>
    <b:Volume>1</b:Volume>
    <b:Issue>16</b:Issue>
    <b:RefOrder>21</b:RefOrder>
  </b:Source>
  <b:Source>
    <b:Tag>Ago09</b:Tag>
    <b:SourceType>Report</b:SourceType>
    <b:Guid>{75BFA299-3B0D-4E5C-80C3-9791C7A6A2CE}</b:Guid>
    <b:Title>Achievement Effects of Four Early Elementary School Math Curricular: Findings from First Graders in 39 Schools</b:Title>
    <b:Year>2009</b:Year>
    <b:Publisher>National Center for Education Evaluation and Regional Assistance</b:Publisher>
    <b:Author>
      <b:Author>
        <b:NameList>
          <b:Person>
            <b:Last>Agodini</b:Last>
            <b:First>R</b:First>
          </b:Person>
          <b:Person>
            <b:Last>Harris</b:Last>
            <b:First>B</b:First>
          </b:Person>
          <b:Person>
            <b:Last>Atkins-Burnett</b:Last>
            <b:First>S</b:First>
          </b:Person>
          <b:Person>
            <b:Last>Heaviside</b:Last>
            <b:First>S</b:First>
          </b:Person>
          <b:Person>
            <b:Last>Novak</b:Last>
            <b:First>T</b:First>
          </b:Person>
          <b:Person>
            <b:Last>Murphy</b:Last>
            <b:First>R</b:First>
          </b:Person>
        </b:NameList>
      </b:Author>
    </b:Author>
    <b:City>Washington</b:City>
    <b:RefOrder>22</b:RefOrder>
  </b:Source>
  <b:Source>
    <b:Tag>Fat11</b:Tag>
    <b:SourceType>JournalArticle</b:SourceType>
    <b:Guid>{6D83CFF5-E33F-46B0-A41A-A92F2611602F}</b:Guid>
    <b:Title>Resisting Rote: The Importance of Active Learning for All Course Learning Objectives</b:Title>
    <b:Year>2011</b:Year>
    <b:Author>
      <b:Author>
        <b:NameList>
          <b:Person>
            <b:Last>Fata-Hartley</b:Last>
            <b:First>C</b:First>
          </b:Person>
        </b:NameList>
      </b:Author>
    </b:Author>
    <b:JournalName>Journal of College Science Teaching</b:JournalName>
    <b:Pages>36-39</b:Pages>
    <b:Volume>40</b:Volume>
    <b:Issue>3</b:Issue>
    <b:RefOrder>23</b:RefOrder>
  </b:Source>
  <b:Source>
    <b:Tag>Ger13</b:Tag>
    <b:SourceType>JournalArticle</b:SourceType>
    <b:Guid>{3AD4530D-8E1E-4689-967F-8394CFBDD910}</b:Guid>
    <b:Author>
      <b:Author>
        <b:NameList>
          <b:Person>
            <b:Last>Gerde</b:Last>
            <b:First>Hope</b:First>
            <b:Middle>K</b:Middle>
          </b:Person>
          <b:Person>
            <b:Last>Schachter</b:Last>
            <b:First>Rachel</b:First>
            <b:Middle>E</b:Middle>
          </b:Person>
          <b:Person>
            <b:Last>Wasik</b:Last>
            <b:First>Barbara</b:First>
            <b:Middle>A</b:Middle>
          </b:Person>
        </b:NameList>
      </b:Author>
    </b:Author>
    <b:Title>Using the Scientific Method to Guide Learning</b:Title>
    <b:JournalName>Early Childhood Educator</b:JournalName>
    <b:Year>2013</b:Year>
    <b:Pages>315-323</b:Pages>
    <b:Volume>41</b:Volume>
    <b:RefOrder>24</b:RefOrder>
  </b:Source>
  <b:Source>
    <b:Tag>Gla88</b:Tag>
    <b:SourceType>BookSection</b:SourceType>
    <b:Guid>{ABCAF338-47DE-412F-8C23-654AF9D0E32C}</b:Guid>
    <b:Title>Overview</b:Title>
    <b:Year>1988</b:Year>
    <b:Pages>xv-xxvii</b:Pages>
    <b:Author>
      <b:Author>
        <b:NameList>
          <b:Person>
            <b:Last>Glaser</b:Last>
            <b:First>R</b:First>
          </b:Person>
          <b:Person>
            <b:Last>Chi</b:Last>
            <b:First>M</b:First>
            <b:Middle>T</b:Middle>
          </b:Person>
        </b:NameList>
      </b:Author>
    </b:Author>
    <b:BookTitle>The Nature of Expertise</b:BookTitle>
    <b:City>Hillsdale</b:City>
    <b:Publisher>Erlbaum</b:Publisher>
    <b:RefOrder>26</b:RefOrder>
  </b:Source>
  <b:Source>
    <b:Tag>wil08</b:Tag>
    <b:SourceType>JournalArticle</b:SourceType>
    <b:Guid>{375A7E3D-D88B-4598-BF02-C828DEBF3DBD}</b:Guid>
    <b:Title>What is Developmentally Appropriate Practice</b:Title>
    <b:Year>2008</b:Year>
    <b:Pages>34-39</b:Pages>
    <b:Author>
      <b:Author>
        <b:NameList>
          <b:Person>
            <b:Last>Willingham</b:Last>
            <b:First>D</b:First>
            <b:Middle>T</b:Middle>
          </b:Person>
        </b:NameList>
      </b:Author>
    </b:Author>
    <b:JournalName>American educator</b:JournalName>
    <b:Volume>32</b:Volume>
    <b:Issue>2</b:Issue>
    <b:RefOrder>27</b:RefOrder>
  </b:Source>
  <b:Source>
    <b:Tag>Swe88</b:Tag>
    <b:SourceType>JournalArticle</b:SourceType>
    <b:Guid>{36DF3293-7A53-4B6C-A621-634D3ADF6C2C}</b:Guid>
    <b:Author>
      <b:Author>
        <b:NameList>
          <b:Person>
            <b:Last>Sweller</b:Last>
            <b:First>J</b:First>
          </b:Person>
        </b:NameList>
      </b:Author>
    </b:Author>
    <b:Title>Cognitive load during problem solving: Effects on learning</b:Title>
    <b:JournalName>Cognitive Science</b:JournalName>
    <b:Year>1988</b:Year>
    <b:Pages>257-285</b:Pages>
    <b:Volume>12</b:Volume>
    <b:Issue>2</b:Issue>
    <b:RefOrder>29</b:RefOrder>
  </b:Source>
  <b:Source>
    <b:Tag>Car18</b:Tag>
    <b:SourceType>InternetSite</b:SourceType>
    <b:Guid>{021ABF95-DAA3-4F96-A8D7-76190DF8E6A5}</b:Guid>
    <b:Title>Climbing The Hill</b:Title>
    <b:Year>2018</b:Year>
    <b:Author>
      <b:Author>
        <b:NameList>
          <b:Person>
            <b:Last>Carpenter</b:Last>
            <b:First>R</b:First>
          </b:Person>
        </b:NameList>
      </b:Author>
    </b:Author>
    <b:YearAccessed>2018</b:YearAccessed>
    <b:MonthAccessed>November</b:MonthAccessed>
    <b:DayAccessed>15</b:DayAccessed>
    <b:URL>http://www.robcarpenter.org.uk/44/climbing-the-hill/post/32/why-pupils-books-are-the-best-evidence-base-for-measuring-impact-of-teaching-on-learning</b:URL>
    <b:RefOrder>28</b:RefOrder>
  </b:Source>
  <b:Source>
    <b:Tag>Nat09</b:Tag>
    <b:SourceType>Report</b:SourceType>
    <b:Guid>{0926D431-B45D-46CC-AB1A-5FBA29DEB4C8}</b:Guid>
    <b:Title>Qualified Teacher Status Standards Wales 2009</b:Title>
    <b:Year>2009</b:Year>
    <b:Author>
      <b:Author>
        <b:Corporate>National Assembly for Wales</b:Corporate>
      </b:Author>
    </b:Author>
    <b:Publisher>Welsh National Assembly Government</b:Publisher>
    <b:City>Cardiff</b:City>
    <b:RefOrder>2</b:RefOrder>
  </b:Source>
  <b:Source>
    <b:Tag>Cha14</b:Tag>
    <b:SourceType>InternetSite</b:SourceType>
    <b:Guid>{8BD08A02-6A4D-42C3-85E2-59CB4A01023A}</b:Guid>
    <b:Title>Randon Name Generators</b:Title>
    <b:Year>2014</b:Year>
    <b:Author>
      <b:Author>
        <b:NameList>
          <b:Person>
            <b:Last>Chambers</b:Last>
            <b:First>R</b:First>
          </b:Person>
        </b:NameList>
      </b:Author>
    </b:Author>
    <b:YearAccessed>2018</b:YearAccessed>
    <b:MonthAccessed>November</b:MonthAccessed>
    <b:DayAccessed>14th</b:DayAccessed>
    <b:URL>https://ictacrossthecurriculum.wordpress.com/2014/06/05/random-name-generators/</b:URL>
    <b:RefOrder>25</b:RefOrder>
  </b:Source>
  <b:Source>
    <b:Tag>Par</b:Tag>
    <b:SourceType>JournalArticle</b:SourceType>
    <b:Guid>{14AB258E-4FAA-426F-98EB-7E3682F1CD43}</b:Guid>
    <b:Title>Video-Based Self-Review: Comparing Google Glass and GoPro Technologies</b:Title>
    <b:Author>
      <b:Author>
        <b:NameList>
          <b:Person>
            <b:Last>Paro</b:Last>
            <b:First>John</b:First>
            <b:Middle>A.M. MD</b:Middle>
          </b:Person>
          <b:Person>
            <b:Last>Nazareli</b:Last>
            <b:First>R</b:First>
            <b:Middle>MD</b:Middle>
          </b:Person>
          <b:Person>
            <b:Last>Gurjala</b:Last>
            <b:First>Anadev</b:First>
            <b:Middle>MD</b:Middle>
          </b:Person>
          <b:Person>
            <b:Last>Berger</b:Last>
            <b:First>Aaron</b:First>
            <b:Middle>MD, PhD</b:Middle>
          </b:Person>
          <b:Person>
            <b:Last>Lee</b:Last>
            <b:First>Gordon</b:First>
            <b:Middle>K. MD</b:Middle>
          </b:Person>
        </b:NameList>
      </b:Author>
    </b:Author>
    <b:JournalName>Annals of Plastic Surgery</b:JournalName>
    <b:Year>2015</b:Year>
    <b:Pages>S71-S74</b:Pages>
    <b:Volume>74</b:Volume>
    <b:RefOrder>30</b:RefOrder>
  </b:Source>
</b:Sources>
</file>

<file path=customXml/itemProps1.xml><?xml version="1.0" encoding="utf-8"?>
<ds:datastoreItem xmlns:ds="http://schemas.openxmlformats.org/officeDocument/2006/customXml" ds:itemID="{1D333446-0B00-4234-9134-B43D85926A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1126</TotalTime>
  <Pages>13</Pages>
  <Words>4415</Words>
  <Characters>25170</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Jason Davidge</dc:creator>
  <cp:keywords/>
  <dc:description/>
  <cp:lastModifiedBy>Jason Davidge (1803196)</cp:lastModifiedBy>
  <cp:revision>45</cp:revision>
  <dcterms:created xsi:type="dcterms:W3CDTF">2018-11-17T11:23:00Z</dcterms:created>
  <dcterms:modified xsi:type="dcterms:W3CDTF">2018-11-25T12:12:00Z</dcterms:modified>
</cp:coreProperties>
</file>