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EF49794" w14:textId="04F2A432" w:rsidR="00F7399E" w:rsidRDefault="00F7399E" w:rsidP="006514E2">
      <w:pPr>
        <w:spacing w:before="720" w:after="240"/>
        <w:rPr>
          <w:b/>
          <w:color w:val="0A2540"/>
          <w:sz w:val="48"/>
        </w:rPr>
      </w:pPr>
      <w:r>
        <w:rPr>
          <w:noProof/>
        </w:rPr>
        <w:drawing>
          <wp:inline distT="0" distB="0" distL="0" distR="0" wp14:anchorId="6B91D18D" wp14:editId="542101B0">
            <wp:extent cx="1809750" cy="723900"/>
            <wp:effectExtent l="0" t="0" r="0" b="0"/>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6" r:link="rId7">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p>
    <w:p w14:paraId="58AFE98E" w14:textId="4A642537" w:rsidR="00945FDF" w:rsidRDefault="00000000">
      <w:pPr>
        <w:spacing w:before="720" w:after="240"/>
        <w:jc w:val="center"/>
        <w:rPr>
          <w:b/>
          <w:color w:val="0A2540"/>
          <w:sz w:val="48"/>
        </w:rPr>
      </w:pPr>
      <w:r>
        <w:rPr>
          <w:b/>
          <w:color w:val="0A2540"/>
          <w:sz w:val="48"/>
        </w:rPr>
        <w:t xml:space="preserve">STRATEGIC HUMAN </w:t>
      </w:r>
      <w:r w:rsidR="00F7399E">
        <w:rPr>
          <w:b/>
          <w:color w:val="0A2540"/>
          <w:sz w:val="48"/>
        </w:rPr>
        <w:t>CAPITAL REPORT</w:t>
      </w:r>
    </w:p>
    <w:p w14:paraId="1C93A84A" w14:textId="037DD992" w:rsidR="000622C4" w:rsidRPr="000622C4" w:rsidRDefault="000622C4" w:rsidP="000622C4">
      <w:pPr>
        <w:spacing w:before="720" w:after="240"/>
        <w:jc w:val="center"/>
        <w:rPr>
          <w:b/>
          <w:bCs/>
          <w:color w:val="0A2540"/>
          <w:sz w:val="32"/>
          <w:szCs w:val="32"/>
          <w:lang w:val="en-GB"/>
        </w:rPr>
      </w:pPr>
      <w:r w:rsidRPr="000622C4">
        <w:rPr>
          <w:b/>
          <w:bCs/>
          <w:color w:val="0A2540"/>
          <w:sz w:val="32"/>
          <w:szCs w:val="32"/>
          <w:lang w:val="en-GB"/>
        </w:rPr>
        <w:t>Innovating New Working Practices and Breeding an Environment Where Talent May Grow</w:t>
      </w:r>
    </w:p>
    <w:p w14:paraId="19E3253A" w14:textId="3A17F0BF" w:rsidR="006514E2" w:rsidRPr="006514E2" w:rsidRDefault="000622C4" w:rsidP="006514E2">
      <w:pPr>
        <w:spacing w:after="480" w:line="240" w:lineRule="auto"/>
        <w:rPr>
          <w:rFonts w:ascii="Arial" w:hAnsi="Arial" w:cs="Arial"/>
          <w:sz w:val="20"/>
          <w:szCs w:val="20"/>
        </w:rPr>
      </w:pPr>
      <w:r w:rsidRPr="006514E2">
        <w:rPr>
          <w:rFonts w:ascii="Arial" w:hAnsi="Arial" w:cs="Arial"/>
          <w:sz w:val="20"/>
          <w:szCs w:val="20"/>
        </w:rPr>
        <w:t>Master of Business Administration</w:t>
      </w:r>
    </w:p>
    <w:p w14:paraId="2782B34E" w14:textId="0141C95C" w:rsidR="000622C4" w:rsidRPr="006514E2" w:rsidRDefault="000622C4" w:rsidP="006514E2">
      <w:pPr>
        <w:spacing w:after="480" w:line="240" w:lineRule="auto"/>
        <w:rPr>
          <w:rFonts w:ascii="Arial" w:hAnsi="Arial" w:cs="Arial"/>
          <w:sz w:val="20"/>
          <w:szCs w:val="20"/>
        </w:rPr>
      </w:pPr>
      <w:r w:rsidRPr="006514E2">
        <w:rPr>
          <w:rFonts w:ascii="Arial" w:hAnsi="Arial" w:cs="Arial"/>
          <w:sz w:val="20"/>
          <w:szCs w:val="20"/>
        </w:rPr>
        <w:t>Module:</w:t>
      </w:r>
      <w:r w:rsidRPr="006514E2">
        <w:rPr>
          <w:rFonts w:ascii="Arial" w:hAnsi="Arial" w:cs="Arial"/>
          <w:sz w:val="20"/>
          <w:szCs w:val="20"/>
        </w:rPr>
        <w:tab/>
        <w:t xml:space="preserve">Human Capital Management </w:t>
      </w:r>
    </w:p>
    <w:p w14:paraId="145B39ED" w14:textId="77777777" w:rsidR="006514E2" w:rsidRPr="006514E2" w:rsidRDefault="006514E2" w:rsidP="006514E2">
      <w:pPr>
        <w:spacing w:after="480" w:line="240" w:lineRule="auto"/>
        <w:rPr>
          <w:rFonts w:ascii="Arial" w:hAnsi="Arial" w:cs="Arial"/>
          <w:sz w:val="20"/>
          <w:szCs w:val="20"/>
        </w:rPr>
      </w:pPr>
      <w:r w:rsidRPr="006514E2">
        <w:rPr>
          <w:rFonts w:ascii="Arial" w:hAnsi="Arial" w:cs="Arial"/>
          <w:sz w:val="20"/>
          <w:szCs w:val="20"/>
        </w:rPr>
        <w:t>Module code:</w:t>
      </w:r>
      <w:r w:rsidRPr="006514E2">
        <w:rPr>
          <w:rFonts w:ascii="Arial" w:hAnsi="Arial" w:cs="Arial"/>
          <w:sz w:val="20"/>
          <w:szCs w:val="20"/>
        </w:rPr>
        <w:tab/>
        <w:t>LCMB7023</w:t>
      </w:r>
    </w:p>
    <w:p w14:paraId="7EADFEC5" w14:textId="4FDB90D6" w:rsidR="006514E2" w:rsidRPr="006514E2" w:rsidRDefault="006514E2" w:rsidP="006514E2">
      <w:pPr>
        <w:spacing w:after="480" w:line="240" w:lineRule="auto"/>
        <w:rPr>
          <w:rFonts w:ascii="Arial" w:hAnsi="Arial" w:cs="Arial"/>
          <w:sz w:val="20"/>
          <w:szCs w:val="20"/>
        </w:rPr>
      </w:pPr>
      <w:r w:rsidRPr="006514E2">
        <w:rPr>
          <w:rFonts w:ascii="Arial" w:hAnsi="Arial" w:cs="Arial"/>
          <w:sz w:val="20"/>
          <w:szCs w:val="20"/>
        </w:rPr>
        <w:t>Lecturer:</w:t>
      </w:r>
      <w:r w:rsidRPr="006514E2">
        <w:rPr>
          <w:rFonts w:ascii="Arial" w:hAnsi="Arial" w:cs="Arial"/>
          <w:sz w:val="20"/>
          <w:szCs w:val="20"/>
        </w:rPr>
        <w:tab/>
        <w:t>Eno Maycock (Birmingham)</w:t>
      </w:r>
    </w:p>
    <w:p w14:paraId="787FBA1A" w14:textId="7413CD7D" w:rsidR="006514E2" w:rsidRPr="006514E2" w:rsidRDefault="006514E2" w:rsidP="006514E2">
      <w:pPr>
        <w:spacing w:after="480" w:line="240" w:lineRule="auto"/>
        <w:rPr>
          <w:rFonts w:ascii="Arial" w:hAnsi="Arial" w:cs="Arial"/>
          <w:sz w:val="20"/>
          <w:szCs w:val="20"/>
        </w:rPr>
      </w:pPr>
      <w:r w:rsidRPr="006514E2">
        <w:rPr>
          <w:rFonts w:ascii="Arial" w:hAnsi="Arial" w:cs="Arial"/>
          <w:sz w:val="20"/>
          <w:szCs w:val="20"/>
        </w:rPr>
        <w:t>Assignment Title:</w:t>
      </w:r>
      <w:r w:rsidRPr="006514E2">
        <w:rPr>
          <w:rFonts w:ascii="Arial" w:hAnsi="Arial" w:cs="Arial"/>
          <w:sz w:val="20"/>
          <w:szCs w:val="20"/>
        </w:rPr>
        <w:tab/>
        <w:t>Assessment component 1: Individual report</w:t>
      </w:r>
    </w:p>
    <w:p w14:paraId="5E90A52E" w14:textId="47A4BF94" w:rsidR="00F7399E" w:rsidRDefault="000622C4" w:rsidP="006514E2">
      <w:pPr>
        <w:spacing w:after="480"/>
      </w:pPr>
      <w:r>
        <w:rPr>
          <w:b/>
        </w:rPr>
        <w:t xml:space="preserve">STUDENT NAME: </w:t>
      </w:r>
      <w:r>
        <w:t>Aurel Apopei</w:t>
      </w:r>
      <w:r>
        <w:br/>
      </w:r>
      <w:r>
        <w:rPr>
          <w:b/>
        </w:rPr>
        <w:t xml:space="preserve">STUDENT ID: </w:t>
      </w:r>
      <w:r>
        <w:t>2245793</w:t>
      </w:r>
      <w:r>
        <w:br/>
      </w:r>
      <w:r>
        <w:br/>
      </w:r>
      <w:r w:rsidR="00F7399E">
        <w:rPr>
          <w:b/>
        </w:rPr>
        <w:t xml:space="preserve">Submission due </w:t>
      </w:r>
      <w:r w:rsidR="000303F8">
        <w:rPr>
          <w:b/>
        </w:rPr>
        <w:t>date:</w:t>
      </w:r>
      <w:r>
        <w:rPr>
          <w:b/>
        </w:rPr>
        <w:t xml:space="preserve"> </w:t>
      </w:r>
      <w:r>
        <w:t>1</w:t>
      </w:r>
      <w:r w:rsidR="00F7399E">
        <w:t>5th</w:t>
      </w:r>
      <w:r>
        <w:t>October 2026</w:t>
      </w:r>
    </w:p>
    <w:p w14:paraId="6F9FDDCD" w14:textId="61AA64A4" w:rsidR="00945FDF" w:rsidRDefault="00F7399E" w:rsidP="00F7399E">
      <w:pPr>
        <w:spacing w:after="480"/>
      </w:pPr>
      <w:r>
        <w:t>Disclaimer:</w:t>
      </w:r>
    </w:p>
    <w:p w14:paraId="2EC52EFC" w14:textId="5456D4C4" w:rsidR="00F7399E" w:rsidRDefault="00F7399E">
      <w:r>
        <w:rPr>
          <w:i/>
          <w:sz w:val="17"/>
        </w:rPr>
        <w:t xml:space="preserve">LEGAL, ETHICAL AND OPERATIONAL FOOTNOTE: This document </w:t>
      </w:r>
      <w:proofErr w:type="gramStart"/>
      <w:r>
        <w:rPr>
          <w:i/>
          <w:sz w:val="17"/>
        </w:rPr>
        <w:t>is designed</w:t>
      </w:r>
      <w:proofErr w:type="gramEnd"/>
      <w:r>
        <w:rPr>
          <w:i/>
          <w:sz w:val="17"/>
        </w:rPr>
        <w:t xml:space="preserve"> exclusively as an operational human capital blueprint for organizational development. It does not constitute formal legal advice regarding local employment laws across the United Kingdom, India, or the United Arab Emirates. All proposed software engineering adjustments, algorithmic workflows, and operational practices must </w:t>
      </w:r>
      <w:proofErr w:type="gramStart"/>
      <w:r>
        <w:rPr>
          <w:i/>
          <w:sz w:val="17"/>
        </w:rPr>
        <w:t>be independently validated</w:t>
      </w:r>
      <w:proofErr w:type="gramEnd"/>
      <w:r>
        <w:rPr>
          <w:i/>
          <w:sz w:val="17"/>
        </w:rPr>
        <w:t xml:space="preserve"> against regional medical compliance standards and data governance frameworks before deployment. This is for informational purposes only. For medical advice or diagnosis, consult a professional. AI responses may include </w:t>
      </w:r>
      <w:r w:rsidR="000303F8">
        <w:rPr>
          <w:i/>
          <w:sz w:val="17"/>
        </w:rPr>
        <w:t>mistakes.</w:t>
      </w:r>
    </w:p>
    <w:p w14:paraId="01E9DF7F" w14:textId="77777777" w:rsidR="00945FDF" w:rsidRDefault="00000000">
      <w:pPr>
        <w:keepNext/>
        <w:spacing w:before="360"/>
      </w:pPr>
      <w:r>
        <w:rPr>
          <w:b/>
          <w:color w:val="0A2540"/>
          <w:sz w:val="36"/>
        </w:rPr>
        <w:lastRenderedPageBreak/>
        <w:t>1. EXECUTIVE SUMMARY</w:t>
      </w:r>
    </w:p>
    <w:p w14:paraId="042FC2BD" w14:textId="183556A2" w:rsidR="00945FDF" w:rsidRDefault="00000000">
      <w:proofErr w:type="spellStart"/>
      <w:r>
        <w:t>NexSpace</w:t>
      </w:r>
      <w:proofErr w:type="spellEnd"/>
      <w:r>
        <w:t xml:space="preserve"> Health Systems (NHSX) stands at a critical strategic inflection point. Following significant international expansion across the United Kingdom, India, and the United Arab Emirates, alongside intensive capital investment in artificial intelligence (AI), the </w:t>
      </w:r>
      <w:r w:rsidR="000303F8">
        <w:t>organization’s</w:t>
      </w:r>
      <w:r>
        <w:t xml:space="preserve"> legacy structural architecture is failing to sustain its operational demands. Currently, NHSX </w:t>
      </w:r>
      <w:proofErr w:type="gramStart"/>
      <w:r>
        <w:t>is limited</w:t>
      </w:r>
      <w:proofErr w:type="gramEnd"/>
      <w:r>
        <w:t xml:space="preserve"> by a traditional hierarchical work design that actively slows down product-release velocity, suppresses local autonomy, fragments cross-border knowledge transfer, and induces high-performer attrition due to stagnant internal career paths. This advisory report presents an integrated framework designed to transition NHSX from a mechanistic, siloed hierarchy into an organic, high-involvement innovation ecosystem.</w:t>
      </w:r>
    </w:p>
    <w:p w14:paraId="7E221704" w14:textId="77777777" w:rsidR="006514E2" w:rsidRDefault="00000000">
      <w:r>
        <w:t xml:space="preserve">Task A deconstructs classical work designs using Sociotechnical Systems (STS) and High-Involvement Work Systems (HIWS) theories, recommending a structural shift towards multi-disciplinary, autonomous Agile Product Pods supported by asynchronous communication regimes. </w:t>
      </w:r>
    </w:p>
    <w:p w14:paraId="5043C616" w14:textId="3EB667B5" w:rsidR="006514E2" w:rsidRDefault="00000000">
      <w:r>
        <w:t xml:space="preserve">Task B establishes a strategic talent growth framework rooted in Peter Senge’s Learning </w:t>
      </w:r>
      <w:r w:rsidR="000303F8">
        <w:t>Organization</w:t>
      </w:r>
      <w:r>
        <w:t xml:space="preserve"> model, Carol Dweck’s Growth Mindset, and Amy Edmondson’s construct of Psychological Safety, implementing an automated Internal Skill Marketplace paired with targeted learning architecture to halt high-performer turnover.</w:t>
      </w:r>
    </w:p>
    <w:p w14:paraId="374E7799" w14:textId="29597BF3" w:rsidR="00945FDF" w:rsidRDefault="00000000">
      <w:r>
        <w:t xml:space="preserve"> Task C provides a reflective self-analysis assessing the utility, capabilities, and ethical boundary conditions of </w:t>
      </w:r>
      <w:r w:rsidR="000303F8">
        <w:t>utilizing</w:t>
      </w:r>
      <w:r>
        <w:t xml:space="preserve"> Artificial Intelligence as an automated decision-support mechanism within modern strategic Human Resource Management (HRM).</w:t>
      </w:r>
    </w:p>
    <w:p w14:paraId="1721C4FD" w14:textId="77777777" w:rsidR="00F7399E" w:rsidRDefault="00F7399E"/>
    <w:p w14:paraId="53FDA962" w14:textId="77777777" w:rsidR="00F7399E" w:rsidRDefault="00F7399E"/>
    <w:p w14:paraId="5D14EC2C" w14:textId="77777777" w:rsidR="00F7399E" w:rsidRDefault="00F7399E"/>
    <w:p w14:paraId="73633E84" w14:textId="77777777" w:rsidR="00F7399E" w:rsidRDefault="00F7399E"/>
    <w:p w14:paraId="7018ABD6" w14:textId="77777777" w:rsidR="00F7399E" w:rsidRDefault="00F7399E"/>
    <w:p w14:paraId="7560D786" w14:textId="77777777" w:rsidR="00F7399E" w:rsidRDefault="00F7399E"/>
    <w:p w14:paraId="6E4555FC" w14:textId="77777777" w:rsidR="00F7399E" w:rsidRDefault="00F7399E"/>
    <w:p w14:paraId="3521C70C" w14:textId="77777777" w:rsidR="00F7399E" w:rsidRDefault="00F7399E"/>
    <w:p w14:paraId="3A251E1A" w14:textId="77777777" w:rsidR="00F7399E" w:rsidRDefault="00F7399E"/>
    <w:p w14:paraId="59005F29" w14:textId="77777777" w:rsidR="00F7399E" w:rsidRDefault="00F7399E"/>
    <w:p w14:paraId="4E21F916" w14:textId="77777777" w:rsidR="00F7399E" w:rsidRDefault="00F7399E"/>
    <w:p w14:paraId="0923B967" w14:textId="77777777" w:rsidR="00F7399E" w:rsidRDefault="00F7399E"/>
    <w:p w14:paraId="32AD998A" w14:textId="77777777" w:rsidR="00F7399E" w:rsidRDefault="00F7399E"/>
    <w:p w14:paraId="3CF5B3A5" w14:textId="3B48FD52" w:rsidR="00F7399E" w:rsidRDefault="00F7399E"/>
    <w:p w14:paraId="584EF61F" w14:textId="77777777" w:rsidR="00945FDF" w:rsidRDefault="00000000">
      <w:pPr>
        <w:keepNext/>
        <w:spacing w:before="360"/>
      </w:pPr>
      <w:r>
        <w:rPr>
          <w:b/>
          <w:color w:val="0A2540"/>
          <w:sz w:val="36"/>
        </w:rPr>
        <w:lastRenderedPageBreak/>
        <w:t>2. TABLE OF CONTENTS</w:t>
      </w:r>
    </w:p>
    <w:p w14:paraId="6844F41A" w14:textId="77777777" w:rsidR="00945FDF" w:rsidRDefault="00000000">
      <w:r>
        <w:t>1. EXECUTIVE SUMMARY</w:t>
      </w:r>
    </w:p>
    <w:p w14:paraId="3855786A" w14:textId="77777777" w:rsidR="00945FDF" w:rsidRDefault="00000000">
      <w:r>
        <w:t>2. TABLE OF CONTENTS</w:t>
      </w:r>
    </w:p>
    <w:p w14:paraId="41F954B9" w14:textId="77777777" w:rsidR="00945FDF" w:rsidRDefault="00000000">
      <w:r>
        <w:t>3. INTRODUCTION</w:t>
      </w:r>
    </w:p>
    <w:p w14:paraId="15340B5C" w14:textId="77777777" w:rsidR="00945FDF" w:rsidRDefault="00000000">
      <w:r>
        <w:t xml:space="preserve">   3.1 Context and Operational Bottlenecks</w:t>
      </w:r>
    </w:p>
    <w:p w14:paraId="08A48D36" w14:textId="77777777" w:rsidR="00945FDF" w:rsidRDefault="00000000">
      <w:r>
        <w:t xml:space="preserve">   3.2 Scope and Theoretical Foundation</w:t>
      </w:r>
    </w:p>
    <w:p w14:paraId="2BC9FA5B" w14:textId="77777777" w:rsidR="00945FDF" w:rsidRDefault="00000000">
      <w:r>
        <w:t>4. TASK A: DESIGNING INNOVATIVE WORKING PRACTICES</w:t>
      </w:r>
    </w:p>
    <w:p w14:paraId="7E962F33" w14:textId="77777777" w:rsidR="00945FDF" w:rsidRDefault="00000000">
      <w:r>
        <w:t xml:space="preserve">   4.1 Critical Evaluation of Work Design Paradigms</w:t>
      </w:r>
    </w:p>
    <w:p w14:paraId="629DB5EE" w14:textId="77777777" w:rsidR="00945FDF" w:rsidRDefault="00000000">
      <w:r>
        <w:t xml:space="preserve">   4.2 Structural Comparative Architecture Matrix</w:t>
      </w:r>
    </w:p>
    <w:p w14:paraId="575955C8" w14:textId="77777777" w:rsidR="00945FDF" w:rsidRDefault="00000000">
      <w:r>
        <w:t xml:space="preserve">   4.3 Target Operational Recommendations for NHSX</w:t>
      </w:r>
    </w:p>
    <w:p w14:paraId="193CD032" w14:textId="77777777" w:rsidR="00945FDF" w:rsidRDefault="00000000">
      <w:r>
        <w:t xml:space="preserve">   4.4 Impact Metrics and Strategic Justification</w:t>
      </w:r>
    </w:p>
    <w:p w14:paraId="4D0BCF47" w14:textId="77777777" w:rsidR="00945FDF" w:rsidRDefault="00000000">
      <w:r>
        <w:t>5. TASK B: BREEDING AN ENVIRONMENT WHERE TALENT MAY GROW</w:t>
      </w:r>
    </w:p>
    <w:p w14:paraId="591BAAB6" w14:textId="77777777" w:rsidR="00945FDF" w:rsidRDefault="00000000">
      <w:r>
        <w:t xml:space="preserve">   5.1 Exclusive versus Inclusive Talent Optimization Environments</w:t>
      </w:r>
    </w:p>
    <w:p w14:paraId="1570F2BE" w14:textId="77777777" w:rsidR="00945FDF" w:rsidRDefault="00000000">
      <w:r>
        <w:t xml:space="preserve">   5.2 Holistic Synthesis of Learning and Motivation Paradigms</w:t>
      </w:r>
    </w:p>
    <w:p w14:paraId="291D28B5" w14:textId="77777777" w:rsidR="00945FDF" w:rsidRDefault="00000000">
      <w:r>
        <w:t xml:space="preserve">   5.3 The NHSX Global Talent Growth Strategy Blueprints</w:t>
      </w:r>
    </w:p>
    <w:p w14:paraId="5EAF7EBE" w14:textId="77777777" w:rsidR="00945FDF" w:rsidRDefault="00000000">
      <w:r>
        <w:t>6. CONCLUSION AND INTEGRATED BOARD ROADMAP</w:t>
      </w:r>
    </w:p>
    <w:p w14:paraId="0D9E3ACF" w14:textId="77777777" w:rsidR="00945FDF" w:rsidRDefault="00000000">
      <w:r>
        <w:t>7. TASK C: REFLECTIVE REPORT</w:t>
      </w:r>
    </w:p>
    <w:p w14:paraId="0A42CD60" w14:textId="77777777" w:rsidR="00945FDF" w:rsidRDefault="00000000">
      <w:r>
        <w:t xml:space="preserve">   7.1 Artificial Intelligence as a Decision-Support Tool in Strategic HRM</w:t>
      </w:r>
    </w:p>
    <w:p w14:paraId="3FCD9BDD" w14:textId="77777777" w:rsidR="00945FDF" w:rsidRDefault="00000000">
      <w:r>
        <w:t xml:space="preserve">   7.2 Reflective Analysis of AI Engagement in Professional Practice</w:t>
      </w:r>
    </w:p>
    <w:p w14:paraId="4DE14BC5" w14:textId="77777777" w:rsidR="00945FDF" w:rsidRDefault="00000000">
      <w:r>
        <w:t xml:space="preserve">   7.3 24-Month Personal Capability Development Plan (PDP)</w:t>
      </w:r>
    </w:p>
    <w:p w14:paraId="5724A047" w14:textId="4B161E24" w:rsidR="00945FDF" w:rsidRDefault="00000000">
      <w:r>
        <w:t>8</w:t>
      </w:r>
      <w:r w:rsidR="006514E2">
        <w:t>. REFERENCES List</w:t>
      </w:r>
    </w:p>
    <w:p w14:paraId="3C2D9ECC" w14:textId="77777777" w:rsidR="00F7399E" w:rsidRDefault="00F7399E"/>
    <w:p w14:paraId="3D38D2F7" w14:textId="77777777" w:rsidR="00F7399E" w:rsidRDefault="00F7399E"/>
    <w:p w14:paraId="14226FD2" w14:textId="77777777" w:rsidR="00F7399E" w:rsidRDefault="00F7399E"/>
    <w:p w14:paraId="14BC3511" w14:textId="77777777" w:rsidR="00F7399E" w:rsidRDefault="00F7399E"/>
    <w:p w14:paraId="7BB93844" w14:textId="77777777" w:rsidR="00F7399E" w:rsidRDefault="00F7399E"/>
    <w:p w14:paraId="0AC0E93A" w14:textId="77777777" w:rsidR="00F7399E" w:rsidRDefault="00F7399E"/>
    <w:p w14:paraId="5382EE4C" w14:textId="77777777" w:rsidR="00F7399E" w:rsidRDefault="00F7399E"/>
    <w:p w14:paraId="5B3AA067" w14:textId="77777777" w:rsidR="00F7399E" w:rsidRDefault="00F7399E"/>
    <w:p w14:paraId="03A77400" w14:textId="77777777" w:rsidR="00F7399E" w:rsidRDefault="00F7399E"/>
    <w:p w14:paraId="3325AA39" w14:textId="77777777" w:rsidR="00945FDF" w:rsidRDefault="00000000">
      <w:pPr>
        <w:keepNext/>
        <w:spacing w:before="360"/>
      </w:pPr>
      <w:r>
        <w:rPr>
          <w:b/>
          <w:color w:val="0A2540"/>
          <w:sz w:val="36"/>
        </w:rPr>
        <w:lastRenderedPageBreak/>
        <w:t>3. INTRODUCTION</w:t>
      </w:r>
    </w:p>
    <w:p w14:paraId="47000BCC" w14:textId="77777777" w:rsidR="00945FDF" w:rsidRDefault="00000000">
      <w:pPr>
        <w:keepNext/>
        <w:spacing w:before="280" w:after="80"/>
      </w:pPr>
      <w:r>
        <w:rPr>
          <w:b/>
          <w:color w:val="0A2540"/>
          <w:sz w:val="28"/>
        </w:rPr>
        <w:t>3.1 Context and Operational Bottlenecks</w:t>
      </w:r>
    </w:p>
    <w:p w14:paraId="67D168B3" w14:textId="223C2DA9" w:rsidR="00945FDF" w:rsidRDefault="00000000">
      <w:proofErr w:type="spellStart"/>
      <w:r>
        <w:t>NexSpace</w:t>
      </w:r>
      <w:proofErr w:type="spellEnd"/>
      <w:r>
        <w:t xml:space="preserve"> Health Systems (NHSX) operates at the high-stakes intersection of advanced artificial intelligence engineering and clinical healthcare delivery. Employing approximately </w:t>
      </w:r>
      <w:proofErr w:type="gramStart"/>
      <w:r>
        <w:t>600</w:t>
      </w:r>
      <w:proofErr w:type="gramEnd"/>
      <w:r>
        <w:t xml:space="preserve"> highly </w:t>
      </w:r>
      <w:r w:rsidR="000303F8">
        <w:t>specialized</w:t>
      </w:r>
      <w:r>
        <w:t xml:space="preserve"> professionals distributed across the United Kingdom, India, and the United Arab Emirates, the </w:t>
      </w:r>
      <w:r w:rsidR="000303F8">
        <w:t>organization</w:t>
      </w:r>
      <w:r>
        <w:t xml:space="preserve"> has engineered market-leading AI-enabled digital health platforms, remote patient monitoring devices, and clinical decision-support infrastructures. However, this rapid scaling and geographic fan-out have exposed severe operational bottlenecks. The Board of Directors </w:t>
      </w:r>
      <w:r w:rsidR="000303F8">
        <w:t>recognizes</w:t>
      </w:r>
      <w:r>
        <w:t xml:space="preserve"> that while technology-led investment has been substantial, the </w:t>
      </w:r>
      <w:r w:rsidR="000303F8">
        <w:t>organizational</w:t>
      </w:r>
      <w:r>
        <w:t xml:space="preserve"> architecture remains constrained by legacy traditional working practices.</w:t>
      </w:r>
    </w:p>
    <w:p w14:paraId="67AA81D4" w14:textId="77777777" w:rsidR="00945FDF" w:rsidRDefault="00000000">
      <w:r>
        <w:t>Currently, NHSX faces five core, systemic operational issues: (a) traditional hierarchical structures that significantly delay software delivery cycles and product approvals; (b) an internal environment where employees experience limited autonomy and minimal opportunities for creative experimentation; (c) the fragmentation of knowledge-sharing and cross-border collaboration across the UK, Indian, and UAE development hubs due to misaligned hybrid schedules; (d) an alarming upward trend in high-performer attrition, driven by perceived stagnation in learning and professional advancement; and (e) high levels of manager burnout resulting from an unsustainable requirement to balance strict performance targets with basic employee well-being. This advisory report directly addresses these issues by translating contemporary human capital theory into an integrated, operational blueprint.</w:t>
      </w:r>
    </w:p>
    <w:p w14:paraId="134383F3" w14:textId="77777777" w:rsidR="00945FDF" w:rsidRDefault="00000000">
      <w:pPr>
        <w:keepNext/>
        <w:spacing w:before="280" w:after="80"/>
      </w:pPr>
      <w:r>
        <w:rPr>
          <w:b/>
          <w:color w:val="0A2540"/>
          <w:sz w:val="28"/>
        </w:rPr>
        <w:t>3.2 Scope and Theoretical Foundation</w:t>
      </w:r>
    </w:p>
    <w:p w14:paraId="2029C444" w14:textId="0312095F" w:rsidR="00945FDF" w:rsidRDefault="00000000">
      <w:r>
        <w:t xml:space="preserve">The scope of this strategic report is to provide a holistic framework for comprehensive organizational transformation. It moves beyond isolated transactional interventions, positing that future competitive advantage depends fundamentally on the systemic optimization of the social and structural conditions within which talent operates. Task A draws upon Sociotechnical Systems (STS) Theory, High-Involvement Work Systems (HIWS), and Agile Architecture to redefine work design, moving the organization from a mechanistic structure to an adaptive configuration. Task B integrates Senge's Five Disciplines of the Learning </w:t>
      </w:r>
      <w:r w:rsidR="000303F8">
        <w:t>Organization</w:t>
      </w:r>
      <w:r>
        <w:t>, Edmondson's Psychological Safety framework, Dweck's Growth Mindset, and Self-Determination Theory (SDT) to build an inclusive talent development ecosystem. Task C offers an analytical reflection on the ethical and strategic application of Artificial Intelligence within contemporary Human Resource Management, establishing a direct link between advanced data systems and human-in-the-loop governance. This comprehensive approach ensures that NHSX's organizational capabilities scale alongside its technical innovations, securing its long-term market position.</w:t>
      </w:r>
    </w:p>
    <w:p w14:paraId="7D5B2703" w14:textId="77777777" w:rsidR="00945FDF" w:rsidRDefault="00000000">
      <w:pPr>
        <w:keepNext/>
        <w:spacing w:before="360"/>
      </w:pPr>
      <w:r>
        <w:rPr>
          <w:b/>
          <w:color w:val="0A2540"/>
          <w:sz w:val="36"/>
        </w:rPr>
        <w:lastRenderedPageBreak/>
        <w:t>4. TASK A: DESIGNING INNOVATIVE WORKING PRACTICES</w:t>
      </w:r>
    </w:p>
    <w:p w14:paraId="2CF494C7" w14:textId="77777777" w:rsidR="00945FDF" w:rsidRDefault="00000000">
      <w:pPr>
        <w:keepNext/>
        <w:spacing w:before="280" w:after="80"/>
      </w:pPr>
      <w:r>
        <w:rPr>
          <w:b/>
          <w:color w:val="0A2540"/>
          <w:sz w:val="28"/>
        </w:rPr>
        <w:t>4.1 Critical Evaluation of Work Design Paradigms</w:t>
      </w:r>
    </w:p>
    <w:p w14:paraId="3DFC6558" w14:textId="638BA7DC" w:rsidR="00945FDF" w:rsidRDefault="00000000">
      <w:r>
        <w:t xml:space="preserve">To resolve the core bottlenecks impeding operational agility at NHSX, it is necessary to critically evaluate the theoretical dichotomy between classical mechanistic work design and contemporary, organic high-involvement systems. Traditional work design, derived from </w:t>
      </w:r>
      <w:r w:rsidR="000303F8">
        <w:t>Taylorism</w:t>
      </w:r>
      <w:r>
        <w:t xml:space="preserve"> scientific management and classical bureaucratic frameworks, views the enterprise as a closed, deterministic system optimized through rigid task specialization, narrow roles, strict vertical reporting hierarchies, and centralized decision-making (Boxall and Purcell, 2022). While this configuration is highly effective for minimizing variance in stable, manual manufacturing environments, it creates severe structural drag within high-velocity, knowledge-intensive industries such as digital health tech. Within NHSX, this legacy paradigm manifests as multi-tiered vertical validation chains that slow software development cycles, create functional silos across regional boundaries, and isolate engineering teams from real-world clinical contexts.</w:t>
      </w:r>
    </w:p>
    <w:p w14:paraId="16C8ACA6" w14:textId="77777777" w:rsidR="00945FDF" w:rsidRDefault="00000000">
      <w:r>
        <w:t>Conversely, contemporary organizational development theory emphasizes organic frameworks that leverage the interdependencies of human capability and technical architecture. Sociotechnical Systems (STS) Theory states that organizational performance is optimized only when the technical subsystem (such as AI engines and automated cloud infrastructures) and the social subsystem (including team structures, autonomy, and cross-border networks) are deliberately co-designed to complement each other (</w:t>
      </w:r>
      <w:proofErr w:type="spellStart"/>
      <w:r>
        <w:t>Cherns</w:t>
      </w:r>
      <w:proofErr w:type="spellEnd"/>
      <w:r>
        <w:t>, 1976). When an organization over-indexes on technical enhancements—as evidenced by NHSX's extensive capital allocation toward AI engine development—while ignoring the necessary social architecture, systemic operational drag occurs. At NHSX, this imbalance is clear: siloed engineering teams build advanced clinical decision-support systems that, while technically sound, fail to align with real-world hospital workflows due to a lack of communication with clinical safety officers and front-line health practitioners.</w:t>
      </w:r>
    </w:p>
    <w:p w14:paraId="2B942151" w14:textId="77777777" w:rsidR="00945FDF" w:rsidRDefault="00000000">
      <w:r>
        <w:t xml:space="preserve">Furthermore, High-Involvement Work Systems (HIWS) and High-Performance Work Systems (HPWS) demonstrate that long-term competitive advantage relies on decentralizing decision-making authority to front-line teams (Lawler, 1986). According to the foundational AMO Framework, organizational effectiveness is a direct function of three interrelated variables: Ability, Motivation, and Opportunity (Delery and </w:t>
      </w:r>
      <w:proofErr w:type="spellStart"/>
      <w:r>
        <w:t>Roumpi</w:t>
      </w:r>
      <w:proofErr w:type="spellEnd"/>
      <w:r>
        <w:t xml:space="preserve">, 2017). While NHSX recruits highly skilled professionals (Ability) and provides competitive financial rewards (Motivation), its rigid hierarchy restricts the 'Opportunity' variable. Front-line specialists are structurally denied the autonomy needed to make localized technical decisions. As a result, creative output drops, product delivery slows, and the agility of the UK, Indian, and UAE hubs </w:t>
      </w:r>
      <w:proofErr w:type="gramStart"/>
      <w:r>
        <w:t>is significantly reduced</w:t>
      </w:r>
      <w:proofErr w:type="gramEnd"/>
      <w:r>
        <w:t xml:space="preserve"> (Wood and de Menezes, 2011; Wright and McMahan, 1992).</w:t>
      </w:r>
    </w:p>
    <w:p w14:paraId="1E262177" w14:textId="77777777" w:rsidR="006514E2" w:rsidRDefault="006514E2"/>
    <w:p w14:paraId="73904AD0" w14:textId="77777777" w:rsidR="006514E2" w:rsidRDefault="006514E2"/>
    <w:p w14:paraId="6CCEDF10" w14:textId="77777777" w:rsidR="00945FDF" w:rsidRDefault="00000000">
      <w:pPr>
        <w:keepNext/>
        <w:spacing w:before="280" w:after="80"/>
      </w:pPr>
      <w:r>
        <w:rPr>
          <w:b/>
          <w:color w:val="0A2540"/>
          <w:sz w:val="28"/>
        </w:rPr>
        <w:lastRenderedPageBreak/>
        <w:t>4.2 Structural Comparative Architecture Matrix</w:t>
      </w:r>
    </w:p>
    <w:p w14:paraId="57506352" w14:textId="77777777" w:rsidR="00945FDF" w:rsidRDefault="00000000">
      <w:r>
        <w:t>To guide the Board through this structural transition, the matrix below outlines the operational differences between the legacy mechanistic configuration and the target high-involvement system:</w:t>
      </w:r>
    </w:p>
    <w:p w14:paraId="369D35C2" w14:textId="0F0C2738" w:rsidR="00945FDF" w:rsidRDefault="00D914CA">
      <w:pPr>
        <w:spacing w:before="120"/>
      </w:pPr>
      <w:r w:rsidRPr="00D914CA">
        <w:drawing>
          <wp:inline distT="0" distB="0" distL="0" distR="0" wp14:anchorId="60493EC6" wp14:editId="33B1565D">
            <wp:extent cx="5943600" cy="4402455"/>
            <wp:effectExtent l="0" t="0" r="0" b="0"/>
            <wp:docPr id="7918026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1802656" name=""/>
                    <pic:cNvPicPr/>
                  </pic:nvPicPr>
                  <pic:blipFill>
                    <a:blip r:embed="rId8"/>
                    <a:stretch>
                      <a:fillRect/>
                    </a:stretch>
                  </pic:blipFill>
                  <pic:spPr>
                    <a:xfrm>
                      <a:off x="0" y="0"/>
                      <a:ext cx="5943600" cy="4402455"/>
                    </a:xfrm>
                    <a:prstGeom prst="rect">
                      <a:avLst/>
                    </a:prstGeom>
                  </pic:spPr>
                </pic:pic>
              </a:graphicData>
            </a:graphic>
          </wp:inline>
        </w:drawing>
      </w:r>
    </w:p>
    <w:p w14:paraId="482413D7" w14:textId="77777777" w:rsidR="00945FDF" w:rsidRDefault="00000000">
      <w:pPr>
        <w:keepNext/>
        <w:spacing w:before="280" w:after="80"/>
      </w:pPr>
      <w:r>
        <w:rPr>
          <w:b/>
          <w:color w:val="0A2540"/>
          <w:sz w:val="28"/>
        </w:rPr>
        <w:t>4.3 Target Operational Recommendations for NHSX</w:t>
      </w:r>
    </w:p>
    <w:p w14:paraId="2B19FA12" w14:textId="77777777" w:rsidR="00945FDF" w:rsidRDefault="00000000">
      <w:pPr>
        <w:keepNext/>
        <w:spacing w:before="200" w:after="40"/>
      </w:pPr>
      <w:r>
        <w:rPr>
          <w:b/>
          <w:i/>
          <w:color w:val="0A2540"/>
          <w:sz w:val="24"/>
        </w:rPr>
        <w:t xml:space="preserve">Recommendation 1: </w:t>
      </w:r>
      <w:proofErr w:type="spellStart"/>
      <w:r>
        <w:rPr>
          <w:b/>
          <w:i/>
          <w:color w:val="0A2540"/>
          <w:sz w:val="24"/>
        </w:rPr>
        <w:t>Institutionalisation</w:t>
      </w:r>
      <w:proofErr w:type="spellEnd"/>
      <w:r>
        <w:rPr>
          <w:b/>
          <w:i/>
          <w:color w:val="0A2540"/>
          <w:sz w:val="24"/>
        </w:rPr>
        <w:t xml:space="preserve"> of Cross-Functional Agile Product Pods</w:t>
      </w:r>
    </w:p>
    <w:p w14:paraId="1E9B4BA6" w14:textId="2B6F2F57" w:rsidR="00945FDF" w:rsidRDefault="00000000">
      <w:r>
        <w:t>NHSX must transition away from its functional department structures (such as engineering, product management, clinical regulatory compliance, and quality assurance) and re-</w:t>
      </w:r>
      <w:proofErr w:type="spellStart"/>
      <w:r>
        <w:t>organise</w:t>
      </w:r>
      <w:proofErr w:type="spellEnd"/>
      <w:r>
        <w:t xml:space="preserve"> its 600-person global workforce into autonomous, multi-disciplinary Agile Product Pods. Each pod will operate as a </w:t>
      </w:r>
      <w:r w:rsidR="00D914CA">
        <w:t>resolute</w:t>
      </w:r>
      <w:r>
        <w:t xml:space="preserve">, self-contained unit focused on a distinct product asset, such as remote patient monitoring systems. These pods will feature embedded clinical safety officers alongside software engineers, ensuring that clinical compliance </w:t>
      </w:r>
      <w:proofErr w:type="gramStart"/>
      <w:r>
        <w:t>is integrated</w:t>
      </w:r>
      <w:proofErr w:type="gramEnd"/>
      <w:r>
        <w:t xml:space="preserve"> continuously throughout the software development lifecycle rather than addressed as a late-stage gatekeeper. This structural approach shortens delivery cycles and prevents engineering silos.</w:t>
      </w:r>
    </w:p>
    <w:p w14:paraId="46B1E13E" w14:textId="77777777" w:rsidR="00945FDF" w:rsidRDefault="00000000">
      <w:pPr>
        <w:keepNext/>
        <w:spacing w:before="200" w:after="40"/>
      </w:pPr>
      <w:r>
        <w:rPr>
          <w:b/>
          <w:i/>
          <w:color w:val="0A2540"/>
          <w:sz w:val="24"/>
        </w:rPr>
        <w:lastRenderedPageBreak/>
        <w:t>Recommendation 2: Asynchronous-First Global Collaboration Architecture</w:t>
      </w:r>
    </w:p>
    <w:p w14:paraId="311ADB5F" w14:textId="77777777" w:rsidR="00945FDF" w:rsidRDefault="00000000">
      <w:r>
        <w:t xml:space="preserve">To bridge the geographical fractures across the UK, India, and UAE hubs, NHSX should transition from synchronous communication to an asynchronous-first working model. Relying heavily on real-time virtual meetings across disparate time zones causes collaboration fatigue and isolates teams. NHSX should mandate that all technical architecture decisions, product roadmaps, and strategic rationale </w:t>
      </w:r>
      <w:proofErr w:type="gramStart"/>
      <w:r>
        <w:t>be documented</w:t>
      </w:r>
      <w:proofErr w:type="gramEnd"/>
      <w:r>
        <w:t xml:space="preserve"> within a transparent, company-wide Digital Knowledge Graph. This shared documentation allows a developer in Bangalore, a regulatory specialist in London, and a commercial director in Dubai to contribute to project files without requiring simultaneous attendance on a live call.</w:t>
      </w:r>
    </w:p>
    <w:p w14:paraId="6E5E88CD" w14:textId="77777777" w:rsidR="00945FDF" w:rsidRDefault="00000000">
      <w:pPr>
        <w:keepNext/>
        <w:spacing w:before="200" w:after="40"/>
      </w:pPr>
      <w:r>
        <w:rPr>
          <w:b/>
          <w:i/>
          <w:color w:val="0A2540"/>
          <w:sz w:val="24"/>
        </w:rPr>
        <w:t xml:space="preserve">Recommendation 3: Implementation of a </w:t>
      </w:r>
      <w:proofErr w:type="spellStart"/>
      <w:r>
        <w:rPr>
          <w:b/>
          <w:i/>
          <w:color w:val="0A2540"/>
          <w:sz w:val="24"/>
        </w:rPr>
        <w:t>Formalised</w:t>
      </w:r>
      <w:proofErr w:type="spellEnd"/>
      <w:r>
        <w:rPr>
          <w:b/>
          <w:i/>
          <w:color w:val="0A2540"/>
          <w:sz w:val="24"/>
        </w:rPr>
        <w:t xml:space="preserve"> 15% Free-Experimentation Policy</w:t>
      </w:r>
    </w:p>
    <w:p w14:paraId="3BB310A4" w14:textId="77777777" w:rsidR="00945FDF" w:rsidRDefault="00000000">
      <w:r>
        <w:t>To reverse the drop in creative output, NHSX should introduce a structured policy allowing employees to dedicate up to 15% of their contractual working hours to self-directed innovation projects. These projects must focus on exploring new AI health applications or addressing technical debt, outside the constraints of client-driven roadmaps. To maintain alignment, these self-directed tracks will culminate in quarterly, cross-border Innovation Markets, where teams pitch functional prototypes to an internal investment panel for dedicated seed funding.</w:t>
      </w:r>
    </w:p>
    <w:p w14:paraId="5F923A45" w14:textId="77777777" w:rsidR="00945FDF" w:rsidRDefault="00000000">
      <w:pPr>
        <w:keepNext/>
        <w:spacing w:before="200" w:after="40"/>
      </w:pPr>
      <w:r>
        <w:rPr>
          <w:b/>
          <w:i/>
          <w:color w:val="0A2540"/>
          <w:sz w:val="24"/>
        </w:rPr>
        <w:t xml:space="preserve">Recommendation 4: Structural Employee Autonomy and Radical </w:t>
      </w:r>
      <w:proofErr w:type="spellStart"/>
      <w:r>
        <w:rPr>
          <w:b/>
          <w:i/>
          <w:color w:val="0A2540"/>
          <w:sz w:val="24"/>
        </w:rPr>
        <w:t>Decentralisation</w:t>
      </w:r>
      <w:proofErr w:type="spellEnd"/>
    </w:p>
    <w:p w14:paraId="07D248FA" w14:textId="77777777" w:rsidR="00945FDF" w:rsidRDefault="00000000">
      <w:r>
        <w:t>NHSX should adjust its corporate delegation of authority. Pod leaders and lead software architects must receive the formal authority to sign off on architectural code deployments and product feature alterations without upper-management review, provided the changes clear automated clinical validation testing pipelines. This structural shift removes management bottlenecks and gives frontline specialists genuine control over their work.</w:t>
      </w:r>
    </w:p>
    <w:p w14:paraId="2946657B" w14:textId="77777777" w:rsidR="00945FDF" w:rsidRDefault="00000000">
      <w:pPr>
        <w:keepNext/>
        <w:spacing w:before="280" w:after="80"/>
      </w:pPr>
      <w:r>
        <w:rPr>
          <w:b/>
          <w:color w:val="0A2540"/>
          <w:sz w:val="28"/>
        </w:rPr>
        <w:t>4.4 Impact Metrics and Strategic Justification</w:t>
      </w:r>
    </w:p>
    <w:p w14:paraId="0CAFDE2D" w14:textId="3EFAD833" w:rsidR="00945FDF" w:rsidRDefault="00000000">
      <w:r>
        <w:t xml:space="preserve">Implementing this integrated work design directly targets the core vulnerabilities identified by the Board. By transitioning to Agile Product Pods, NHSX will significantly reduce its time-to-market for digital health platforms. Rather than passing product designs back and forth across separate functional silos, the embedded presence of compliance and engineering specialists within a single team allows for simultaneous iterations, accelerating code deployment (Delery and </w:t>
      </w:r>
      <w:proofErr w:type="spellStart"/>
      <w:r>
        <w:t>Roumpi</w:t>
      </w:r>
      <w:proofErr w:type="spellEnd"/>
      <w:r>
        <w:t xml:space="preserve">, 2017). Adopting an asynchronous operating structure directly improves employee well-being and reduces burnout. It eliminates the need for early-morning or late-night cross-zone synchronization calls, allowing international teams to work within sustainable local hours. Finally, providing </w:t>
      </w:r>
      <w:r w:rsidR="00D914CA">
        <w:t>elevated levels</w:t>
      </w:r>
      <w:r>
        <w:t xml:space="preserve"> of structural autonomy paired with dedicated innovation time transforms the employee value proposition. High-performing engineers will no longer feel restricted by rigid hierarchies; instead, they gain </w:t>
      </w:r>
      <w:r w:rsidR="000303F8">
        <w:t>operational</w:t>
      </w:r>
      <w:r>
        <w:t xml:space="preserve"> freedom and resources to </w:t>
      </w:r>
      <w:r w:rsidR="00D914CA">
        <w:t>function as</w:t>
      </w:r>
      <w:r>
        <w:t xml:space="preserve"> internal entrepreneurs. This systemic shift addresses a primary driver of top-talent attrition and strengthens NHSX's long-term competitive advantage in the AI healthcare space.</w:t>
      </w:r>
    </w:p>
    <w:p w14:paraId="51EB2A8E" w14:textId="77777777" w:rsidR="00945FDF" w:rsidRDefault="00000000">
      <w:pPr>
        <w:keepNext/>
        <w:spacing w:before="360"/>
      </w:pPr>
      <w:r>
        <w:rPr>
          <w:b/>
          <w:color w:val="0A2540"/>
          <w:sz w:val="36"/>
        </w:rPr>
        <w:lastRenderedPageBreak/>
        <w:t>5. TASK B: BREEDING AN ENVIRONMENT WHERE TALENT MAY GROW</w:t>
      </w:r>
    </w:p>
    <w:p w14:paraId="45CC6AFE" w14:textId="77777777" w:rsidR="00945FDF" w:rsidRDefault="00000000">
      <w:pPr>
        <w:keepNext/>
        <w:spacing w:before="280" w:after="80"/>
      </w:pPr>
      <w:r>
        <w:rPr>
          <w:b/>
          <w:color w:val="0A2540"/>
          <w:sz w:val="28"/>
        </w:rPr>
        <w:t>5.1 Exclusive versus Inclusive Talent Optimization Environments</w:t>
      </w:r>
    </w:p>
    <w:p w14:paraId="4E317135" w14:textId="72B7DD7E" w:rsidR="00945FDF" w:rsidRDefault="00000000">
      <w:r>
        <w:t xml:space="preserve">To address the high turnover of top performers at NHSX, the Board must evaluate the difference between exclusive and inclusive talent management strategies. Traditional exclusive models focus primarily on identifying and rewarding a small elite layer of high-potential individuals (Lepak et al., 2006). This approach often creates a hyper-competitive internal culture that discourages collaboration, encourages knowledge hoarding, and fosters a fixed mindset. To build a resilient workforce, NHSX must implement an inclusive, system-wide development paradigm. This approach treats talent as a dynamic organizational capability that can </w:t>
      </w:r>
      <w:proofErr w:type="gramStart"/>
      <w:r>
        <w:t>be expanded</w:t>
      </w:r>
      <w:proofErr w:type="gramEnd"/>
      <w:r>
        <w:t xml:space="preserve"> through deliberate structural design. By </w:t>
      </w:r>
      <w:r w:rsidR="000303F8">
        <w:t>focusing on</w:t>
      </w:r>
      <w:r>
        <w:t xml:space="preserve"> development resources across all levels of the workforce, NHSX can unlock hidden technical potential across its global operations. This inclusive approach reduces reliance on costly external hiring and builds shared organizational resilience, which is particularly valuable for stabilizing software engineering support across different time zones.</w:t>
      </w:r>
    </w:p>
    <w:p w14:paraId="59D0DD69" w14:textId="77777777" w:rsidR="00945FDF" w:rsidRDefault="00000000">
      <w:pPr>
        <w:keepNext/>
        <w:spacing w:before="280" w:after="80"/>
      </w:pPr>
      <w:r>
        <w:rPr>
          <w:b/>
          <w:color w:val="0A2540"/>
          <w:sz w:val="28"/>
        </w:rPr>
        <w:t>5.2 Holistic Synthesis of Learning and Motivation Paradigms</w:t>
      </w:r>
    </w:p>
    <w:p w14:paraId="3CCAF935" w14:textId="77777777" w:rsidR="00945FDF" w:rsidRDefault="00000000">
      <w:r>
        <w:t xml:space="preserve">This inclusive framework </w:t>
      </w:r>
      <w:proofErr w:type="gramStart"/>
      <w:r>
        <w:t>is built</w:t>
      </w:r>
      <w:proofErr w:type="gramEnd"/>
      <w:r>
        <w:t xml:space="preserve"> on Peter Senge’s concept of the Learning </w:t>
      </w:r>
      <w:proofErr w:type="spellStart"/>
      <w:r>
        <w:t>Organisation</w:t>
      </w:r>
      <w:proofErr w:type="spellEnd"/>
      <w:r>
        <w:t>, which states that long-term competitive advantage relies on an organization's ability to learn faster than its competitors (Senge, 1990). This framework requires a shift across Senge's Five Core Disciplines: Personal Mastery (individual commitment to continuous technical and personal growth), Mental Models (uncovering and challenging internal assumptions about healthcare technology), Shared Vision (aligning cross-border teams around a common purpose), Team Learning (using collaborative dialogue to solve complex problems), and Systems Thinking (understanding how localized changes impact the broader organizational network). For NHSX, implementing Systems Thinking is critical to ensuring that teams in the UK, India, and the UAE function as interconnected elements of a unified global network rather than competing isolation units.</w:t>
      </w:r>
    </w:p>
    <w:p w14:paraId="51C74DF4" w14:textId="77777777" w:rsidR="00945FDF" w:rsidRDefault="00000000">
      <w:r>
        <w:t xml:space="preserve">However, a learning organization cannot function without a foundation of Psychological Safety. This concept, defined by Amy Edmondson, represents a shared belief that a team is safe for interpersonal risk-taking (Edmondson, 1999). In environments with low psychological safety, employees routinely hide mistakes, withhold innovative ideas, and avoid asking questions out of fear of looking incompetent (Edmondson, 2018). In a high-stakes sector like AI-enabled health tech, a lack of psychological safety can be highly damaging. Engineers may stay silent about algorithmic errors or data biases in clinical decision models to avoid management criticism, which can introduce serious clinical risks. According to Carol Dweck’s research on Growth Mindset, when an organization establishes a psychologically safe environment, employees are far more likely to view failures as learning opportunities rather than permanent indicators of inability (Dweck, 2016). This structural safety satisfies the core psychological needs outlined in Self-Determination Theory (SDT): Autonomy (feeling in control of one's actions), </w:t>
      </w:r>
      <w:r>
        <w:lastRenderedPageBreak/>
        <w:t>Competence (feeling effective and capable of growth), and Relatedness (feeling a sense of belonging with peers) (Ryan and Deci, 2017).</w:t>
      </w:r>
    </w:p>
    <w:p w14:paraId="66067277" w14:textId="77777777" w:rsidR="00945FDF" w:rsidRDefault="00000000">
      <w:pPr>
        <w:keepNext/>
        <w:spacing w:before="280" w:after="80"/>
      </w:pPr>
      <w:r>
        <w:rPr>
          <w:b/>
          <w:color w:val="0A2540"/>
          <w:sz w:val="28"/>
        </w:rPr>
        <w:t>5.3 The NHSX Global Talent Growth Strategy Blueprints</w:t>
      </w:r>
    </w:p>
    <w:p w14:paraId="20621D7E" w14:textId="77777777" w:rsidR="00945FDF" w:rsidRDefault="00000000">
      <w:pPr>
        <w:keepNext/>
        <w:spacing w:before="200" w:after="40"/>
      </w:pPr>
      <w:r>
        <w:rPr>
          <w:b/>
          <w:i/>
          <w:color w:val="0A2540"/>
          <w:sz w:val="24"/>
        </w:rPr>
        <w:t>Operational Pillar 1: The Automated Internal Skill Marketplace</w:t>
      </w:r>
    </w:p>
    <w:p w14:paraId="6F123194" w14:textId="77777777" w:rsidR="00945FDF" w:rsidRDefault="00000000">
      <w:r>
        <w:t xml:space="preserve">NHSX will implement a platform-driven internal marketplace that matches engineering and clinical talent with upcoming strategic projects based on skills, development goals, and availability, rather than geographical location or manager preferences. If a new remote monitoring platform launches in the UK, the system automatically opens project roles to QA engineers in India or clinical compliance teams in the UAE. This infrastructure prevents regional talent hoarding, </w:t>
      </w:r>
      <w:proofErr w:type="gramStart"/>
      <w:r>
        <w:t>opens up</w:t>
      </w:r>
      <w:proofErr w:type="gramEnd"/>
      <w:r>
        <w:t xml:space="preserve"> diverse career advancement paths, and allows professionals to customize their career progression by gaining exposure to multiple business units (Guzzo et al., 2022).</w:t>
      </w:r>
    </w:p>
    <w:p w14:paraId="2804ED8F" w14:textId="77777777" w:rsidR="00945FDF" w:rsidRDefault="00000000">
      <w:pPr>
        <w:keepNext/>
        <w:spacing w:before="200" w:after="40"/>
      </w:pPr>
      <w:r>
        <w:rPr>
          <w:b/>
          <w:i/>
          <w:color w:val="0A2540"/>
          <w:sz w:val="24"/>
        </w:rPr>
        <w:t>Operational Pillar 2: Corporate Learning Rituals and Systemic Failure Safeguards</w:t>
      </w:r>
    </w:p>
    <w:p w14:paraId="601A44EA" w14:textId="77777777" w:rsidR="00945FDF" w:rsidRDefault="00000000">
      <w:r>
        <w:t xml:space="preserve">To build psychological safety and embed a growth mindset across the global workforce, NHSX will establish two formal learning practices: (1) Blameless Post-Mortems: Every software deployment error, algorithmic exception, or product delay will undergo a collaborative cross-hub review. The investigation will focus exclusively on identifying systemic flaws in the technical pipeline, rather than assigning individual blame (Edmondson, 2018). (2) Fail-Forward Seed Grants: NHSX will create a dedicated annual fund to reward innovation teams that take bold, well-reasoned technical risks, even if the project </w:t>
      </w:r>
      <w:proofErr w:type="gramStart"/>
      <w:r>
        <w:t>ultimately fails</w:t>
      </w:r>
      <w:proofErr w:type="gramEnd"/>
      <w:r>
        <w:t xml:space="preserve"> to reach commercial launch. These teams must document and share their technical findings across the global knowledge graph to help the wider organization learn from the outcome.</w:t>
      </w:r>
    </w:p>
    <w:p w14:paraId="6AD2A729" w14:textId="77777777" w:rsidR="00945FDF" w:rsidRDefault="00000000">
      <w:pPr>
        <w:keepNext/>
        <w:spacing w:before="200" w:after="40"/>
      </w:pPr>
      <w:r>
        <w:rPr>
          <w:b/>
          <w:i/>
          <w:color w:val="0A2540"/>
          <w:sz w:val="24"/>
        </w:rPr>
        <w:t xml:space="preserve">Operational Pillar 3: </w:t>
      </w:r>
      <w:proofErr w:type="spellStart"/>
      <w:r>
        <w:rPr>
          <w:b/>
          <w:i/>
          <w:color w:val="0A2540"/>
          <w:sz w:val="24"/>
        </w:rPr>
        <w:t>Individualised</w:t>
      </w:r>
      <w:proofErr w:type="spellEnd"/>
      <w:r>
        <w:rPr>
          <w:b/>
          <w:i/>
          <w:color w:val="0A2540"/>
          <w:sz w:val="24"/>
        </w:rPr>
        <w:t xml:space="preserve"> Learning Accounts (ILAs)</w:t>
      </w:r>
    </w:p>
    <w:p w14:paraId="2E63CE26" w14:textId="1B1770AC" w:rsidR="00945FDF" w:rsidRDefault="00000000">
      <w:r>
        <w:t xml:space="preserve">To reverse high-performer attrition driven by limited growth opportunities, NHSX will replace its centralized training </w:t>
      </w:r>
      <w:r w:rsidR="000303F8">
        <w:t>budget</w:t>
      </w:r>
      <w:r>
        <w:t xml:space="preserve"> with independent </w:t>
      </w:r>
      <w:r w:rsidR="000303F8">
        <w:t>Individualized</w:t>
      </w:r>
      <w:r>
        <w:t xml:space="preserve"> Learning Accounts. Every employee will receive an annual allocation of £2,500 (or regional currency equivalent) managed via an internal learning portal. Employees retain full autonomy over this allocation, allowing them to pursue certified credentials in areas like deep learning </w:t>
      </w:r>
      <w:r w:rsidR="000303F8">
        <w:t>architecture</w:t>
      </w:r>
      <w:r>
        <w:t>, advanced clinical data informatics, or agile project management without needing multi-tiered executive approval.</w:t>
      </w:r>
    </w:p>
    <w:p w14:paraId="45E86431" w14:textId="77777777" w:rsidR="00945FDF" w:rsidRDefault="00000000">
      <w:pPr>
        <w:keepNext/>
        <w:spacing w:before="200" w:after="40"/>
      </w:pPr>
      <w:r>
        <w:rPr>
          <w:b/>
          <w:i/>
          <w:color w:val="0A2540"/>
          <w:sz w:val="24"/>
        </w:rPr>
        <w:t>Operational Pillar 4: Shifting Management KPIs to an Executive Coaching Model</w:t>
      </w:r>
    </w:p>
    <w:p w14:paraId="7F588436" w14:textId="77777777" w:rsidR="00945FDF" w:rsidRDefault="00000000">
      <w:r>
        <w:t xml:space="preserve">NHSX will systematically redefine the role of the people manager. Traditional performance reviews focused on output metrics will </w:t>
      </w:r>
      <w:proofErr w:type="gramStart"/>
      <w:r>
        <w:t>be replaced</w:t>
      </w:r>
      <w:proofErr w:type="gramEnd"/>
      <w:r>
        <w:t xml:space="preserve"> by an executive coaching model. Managers will </w:t>
      </w:r>
      <w:proofErr w:type="gramStart"/>
      <w:r>
        <w:t>be evaluated</w:t>
      </w:r>
      <w:proofErr w:type="gramEnd"/>
      <w:r>
        <w:t xml:space="preserve"> on quarterly team metrics tracking psychological safety, internal mobility rates, and skill acquisition (Vroom, 1964). Managers will receive comprehensive training to support employee-led career development, helping team members realign their daily work with personal interests and professional growth goals.</w:t>
      </w:r>
    </w:p>
    <w:p w14:paraId="01D518B6" w14:textId="409EFF62" w:rsidR="00945FDF" w:rsidRDefault="00000000">
      <w:pPr>
        <w:keepNext/>
        <w:spacing w:before="360"/>
      </w:pPr>
      <w:r>
        <w:rPr>
          <w:b/>
          <w:color w:val="0A2540"/>
          <w:sz w:val="36"/>
        </w:rPr>
        <w:lastRenderedPageBreak/>
        <w:t xml:space="preserve">6. CONCLUSION </w:t>
      </w:r>
    </w:p>
    <w:p w14:paraId="6721B2CA" w14:textId="100F576F" w:rsidR="00945FDF" w:rsidRDefault="00000000">
      <w:r>
        <w:t xml:space="preserve">The strategic transformation of </w:t>
      </w:r>
      <w:proofErr w:type="spellStart"/>
      <w:r>
        <w:t>NexSpace</w:t>
      </w:r>
      <w:proofErr w:type="spellEnd"/>
      <w:r>
        <w:t xml:space="preserve"> Health Systems requires shifting away from outdated hierarchical designs and adopting a modern, integrated people strategy. By restructuring the workforce into autonomous Agile Product Pods (Task A), NHSX can remove internal bottlenecks, streamline workflows, and decrease the time-to-market for its AI platforms. Simultaneously, building a talent strategy around Psychological Safety and </w:t>
      </w:r>
      <w:proofErr w:type="spellStart"/>
      <w:r>
        <w:t>Individualised</w:t>
      </w:r>
      <w:proofErr w:type="spellEnd"/>
      <w:r>
        <w:t xml:space="preserve"> Learning Accounts (Task B) can help stop high-performer attrition and transform mistakes into learning opportunities (Senge, 1990). This transformation requires a clear, phased approach. Over the next 6 months, the organization should focus on launching pilot cross-functional pods and setting up the asynchronous knowledge platform. Months 6 to 12 will involve rollouts of individual training accounts and the internal project marketplace. Finally, by month </w:t>
      </w:r>
      <w:r w:rsidR="00D914CA">
        <w:t>twenty-four</w:t>
      </w:r>
      <w:r>
        <w:t>, management metrics should fully transition to a coaching-based evaluation system. This comprehensive approach ensures that NHSX's organizational capabilities scale alongside its technical innovations, securing its long-term market position.</w:t>
      </w:r>
    </w:p>
    <w:p w14:paraId="5AC2C822" w14:textId="77777777" w:rsidR="00F7399E" w:rsidRDefault="00F7399E"/>
    <w:p w14:paraId="627562F9" w14:textId="77777777" w:rsidR="00F7399E" w:rsidRDefault="00F7399E"/>
    <w:p w14:paraId="05535ACD" w14:textId="77777777" w:rsidR="00F7399E" w:rsidRDefault="00F7399E"/>
    <w:p w14:paraId="497D87CB" w14:textId="77777777" w:rsidR="00F7399E" w:rsidRDefault="00F7399E"/>
    <w:p w14:paraId="0158C4E4" w14:textId="77777777" w:rsidR="00F7399E" w:rsidRDefault="00F7399E"/>
    <w:p w14:paraId="417F22C5" w14:textId="77777777" w:rsidR="00F7399E" w:rsidRDefault="00F7399E"/>
    <w:p w14:paraId="6BA32FA6" w14:textId="77777777" w:rsidR="00F7399E" w:rsidRDefault="00F7399E"/>
    <w:p w14:paraId="213E1EB5" w14:textId="77777777" w:rsidR="00F7399E" w:rsidRDefault="00F7399E"/>
    <w:p w14:paraId="3CEFB9E5" w14:textId="77777777" w:rsidR="00F7399E" w:rsidRDefault="00F7399E"/>
    <w:p w14:paraId="55DBAA87" w14:textId="77777777" w:rsidR="00F7399E" w:rsidRDefault="00F7399E"/>
    <w:p w14:paraId="4ABDF26E" w14:textId="77777777" w:rsidR="00F7399E" w:rsidRDefault="00F7399E"/>
    <w:p w14:paraId="4769B6B7" w14:textId="77777777" w:rsidR="00F7399E" w:rsidRDefault="00F7399E"/>
    <w:p w14:paraId="5A207399" w14:textId="77777777" w:rsidR="00F7399E" w:rsidRDefault="00F7399E"/>
    <w:p w14:paraId="4E7A3AB6" w14:textId="77777777" w:rsidR="00F7399E" w:rsidRDefault="00F7399E"/>
    <w:p w14:paraId="116FAFEA" w14:textId="77777777" w:rsidR="00F7399E" w:rsidRDefault="00F7399E"/>
    <w:p w14:paraId="4C071898" w14:textId="77777777" w:rsidR="00F7399E" w:rsidRDefault="00F7399E"/>
    <w:p w14:paraId="16337181" w14:textId="77777777" w:rsidR="00F7399E" w:rsidRDefault="00F7399E"/>
    <w:p w14:paraId="71471F0C" w14:textId="77777777" w:rsidR="00F7399E" w:rsidRDefault="00F7399E"/>
    <w:p w14:paraId="33DB6C33" w14:textId="77777777" w:rsidR="00F7399E" w:rsidRDefault="00F7399E"/>
    <w:p w14:paraId="182EABC2" w14:textId="355395B9" w:rsidR="00F7399E" w:rsidRDefault="00F7399E"/>
    <w:p w14:paraId="12D4E3D4" w14:textId="77777777" w:rsidR="00945FDF" w:rsidRDefault="00000000">
      <w:pPr>
        <w:keepNext/>
        <w:spacing w:before="360"/>
      </w:pPr>
      <w:r>
        <w:rPr>
          <w:b/>
          <w:color w:val="0A2540"/>
          <w:sz w:val="36"/>
        </w:rPr>
        <w:lastRenderedPageBreak/>
        <w:t>7. TASK C: REFLECTIVE REPORT</w:t>
      </w:r>
    </w:p>
    <w:p w14:paraId="0C34EA7A" w14:textId="77777777" w:rsidR="00945FDF" w:rsidRDefault="00000000">
      <w:pPr>
        <w:keepNext/>
        <w:spacing w:before="280" w:after="80"/>
      </w:pPr>
      <w:r>
        <w:rPr>
          <w:b/>
          <w:color w:val="0A2540"/>
          <w:sz w:val="28"/>
        </w:rPr>
        <w:t>7.1 Artificial Intelligence as a Decision-Support Tool in Strategic HRM</w:t>
      </w:r>
    </w:p>
    <w:p w14:paraId="6513EF1C" w14:textId="512A34AF" w:rsidR="00945FDF" w:rsidRDefault="00000000">
      <w:r>
        <w:t xml:space="preserve">Using Artificial Intelligence within Human Resource Management presents a significant balance between analytical efficiency and human-centric responsibility. In data-heavy areas like workforce planning, multi-market talent tracking, and compensation modeling, advanced machine learning models serve as powerful tools for strategic decision support (Tambe et al., 2019). By analyzing large volumes of operational data, AI can uncover deep patterns—such as identifying early turnover risks or highlighting hidden skills gaps across international hubs—far faster than traditional manual reviews (Guzzo et al., 2022). However, relying entirely on algorithmic management introduces significant operational and ethical risks. AI systems are fundamentally backward-looking; they </w:t>
      </w:r>
      <w:r w:rsidR="000303F8">
        <w:t>train</w:t>
      </w:r>
      <w:r>
        <w:t xml:space="preserve"> historical workforce datasets and risk mirroring, repeating, and locking in past human biases (Study to Support an Impact Assessment, 2020). If historical promotion paths or hiring decisions favored specific demographic profiles or educational institutions, an unmoderated algorithm will systematically down-rank highly qualified non-traditional applicants. This can undermine diversity initiatives and compromise fair hiring practices.</w:t>
      </w:r>
    </w:p>
    <w:p w14:paraId="48C8E621" w14:textId="77777777" w:rsidR="00945FDF" w:rsidRDefault="00000000">
      <w:r>
        <w:t xml:space="preserve">Additionally, machine learning models cannot interpret nuance, understand personal context, or experience empathy. Critical workplace interventions—such as managing employee burnout, resolving interpersonal conflict, or guiding career transitions—cannot </w:t>
      </w:r>
      <w:proofErr w:type="gramStart"/>
      <w:r>
        <w:t>be reduced</w:t>
      </w:r>
      <w:proofErr w:type="gramEnd"/>
      <w:r>
        <w:t xml:space="preserve"> to pure mathematical optimization. As HR professionals, we must approach AI not as an independent decision-maker, but as an operational advisor. Human oversight must remain central to the process. HR practitioners must actively interrogate algorithmic outputs, challenge data assumptions, and ensure that every automated recommendation </w:t>
      </w:r>
      <w:proofErr w:type="gramStart"/>
      <w:r>
        <w:t>is evaluated</w:t>
      </w:r>
      <w:proofErr w:type="gramEnd"/>
      <w:r>
        <w:t xml:space="preserve"> through a clear lens of ethics, empathy, and professional responsibility.</w:t>
      </w:r>
    </w:p>
    <w:p w14:paraId="5E315B79" w14:textId="77777777" w:rsidR="00945FDF" w:rsidRDefault="00000000">
      <w:pPr>
        <w:keepNext/>
        <w:spacing w:before="280" w:after="80"/>
      </w:pPr>
      <w:r>
        <w:rPr>
          <w:b/>
          <w:color w:val="0A2540"/>
          <w:sz w:val="28"/>
        </w:rPr>
        <w:t>7.2 Reflective Analysis of AI Engagement in Professional Practice</w:t>
      </w:r>
    </w:p>
    <w:p w14:paraId="268F28D8" w14:textId="77777777" w:rsidR="00945FDF" w:rsidRDefault="00000000">
      <w:r>
        <w:t>During my consultative research and strategic analysis for the NHSX advisory project, I used conversational AI models across three distinct scenarios, highlighting both the practical advantages and limitations of these technologies:</w:t>
      </w:r>
    </w:p>
    <w:p w14:paraId="5D1EB1EC" w14:textId="77777777" w:rsidR="00945FDF" w:rsidRDefault="00000000">
      <w:r>
        <w:t>Scenario 1: Academic Literature Synthesis and Theoretical Mapping. I used an AI model to analyze and summarize foundational academic papers across High-Involvement Work Systems (HIWS) and Sociotechnical Systems (STS) theory, extracting core concepts to build the comparative matrix in Task A. The tool accelerated the initial research phase by organizing core theories quickly. However, it lacked context regarding recent developments in digital health organizations. I had to manually review and refine the text to ensure the theoretical concepts directly addressed NHSX's specific cross-border operational challenges.</w:t>
      </w:r>
    </w:p>
    <w:p w14:paraId="7D9C8133" w14:textId="77777777" w:rsidR="00945FDF" w:rsidRDefault="00000000">
      <w:r>
        <w:t xml:space="preserve">Scenario 2: Quantitative Modeling of Strategic HR Metrics. I used an AI model to structure a balanced metrics scorecard, calculating estimated changes in software release velocity and employee retention across the UK, India, and UAE hubs. The AI performed effectively as an analytical assistant, generating structured data frameworks quickly. However, it could not account for real-world execution challenges, </w:t>
      </w:r>
      <w:r>
        <w:lastRenderedPageBreak/>
        <w:t xml:space="preserve">such as regional differences in cultural resistance to agile adoption. This highlighted that while AI can generate optimized data models, human context </w:t>
      </w:r>
      <w:proofErr w:type="gramStart"/>
      <w:r>
        <w:t>is required</w:t>
      </w:r>
      <w:proofErr w:type="gramEnd"/>
      <w:r>
        <w:t xml:space="preserve"> to assess operational viability.</w:t>
      </w:r>
    </w:p>
    <w:p w14:paraId="781572E4" w14:textId="77777777" w:rsidR="00945FDF" w:rsidRDefault="00000000">
      <w:r>
        <w:t>Scenario 3: Cross-Jurisdictional Employment Framework Drafting. I used an AI tool to draft a preliminary compliance roadmap for the global talent marketplace, aiming to balance employment guidelines across the UK, India, and the UAE. The tool provided helpful baseline summaries of standard regulatory frameworks. However, it missed subtle, localized updates in regional labor policies and remote work laws. This underscored that relying blindly on automated legal or regulatory summaries without expert validation poses major operational risks.</w:t>
      </w:r>
    </w:p>
    <w:p w14:paraId="69E58E49" w14:textId="77777777" w:rsidR="00945FDF" w:rsidRDefault="00000000">
      <w:pPr>
        <w:keepNext/>
        <w:spacing w:before="280" w:after="80"/>
      </w:pPr>
      <w:r>
        <w:rPr>
          <w:b/>
          <w:color w:val="0A2540"/>
          <w:sz w:val="28"/>
        </w:rPr>
        <w:t>7.3 24-Month Personal Capability Development Plan (PDP)</w:t>
      </w:r>
    </w:p>
    <w:p w14:paraId="2690714B" w14:textId="77777777" w:rsidR="00945FDF" w:rsidRDefault="00000000">
      <w:r>
        <w:t>To strengthen my professional capabilities and prepare for senior human resource leadership roles in international technology organizations, I will pursue a structured 24-month professional development plan:</w:t>
      </w:r>
    </w:p>
    <w:p w14:paraId="52A2CEB0" w14:textId="418BD7FD" w:rsidR="00945FDF" w:rsidRDefault="00D914CA">
      <w:pPr>
        <w:spacing w:before="120"/>
      </w:pPr>
      <w:r w:rsidRPr="00D914CA">
        <w:drawing>
          <wp:inline distT="0" distB="0" distL="0" distR="0" wp14:anchorId="2CE9CBF2" wp14:editId="5BB0933D">
            <wp:extent cx="5943600" cy="3983990"/>
            <wp:effectExtent l="0" t="0" r="0" b="0"/>
            <wp:docPr id="1845754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575481" name=""/>
                    <pic:cNvPicPr/>
                  </pic:nvPicPr>
                  <pic:blipFill>
                    <a:blip r:embed="rId9"/>
                    <a:stretch>
                      <a:fillRect/>
                    </a:stretch>
                  </pic:blipFill>
                  <pic:spPr>
                    <a:xfrm>
                      <a:off x="0" y="0"/>
                      <a:ext cx="5943600" cy="3983990"/>
                    </a:xfrm>
                    <a:prstGeom prst="rect">
                      <a:avLst/>
                    </a:prstGeom>
                  </pic:spPr>
                </pic:pic>
              </a:graphicData>
            </a:graphic>
          </wp:inline>
        </w:drawing>
      </w:r>
    </w:p>
    <w:p w14:paraId="3C7E2775" w14:textId="77777777" w:rsidR="00D914CA" w:rsidRDefault="00D914CA">
      <w:pPr>
        <w:keepNext/>
        <w:spacing w:before="360"/>
        <w:rPr>
          <w:b/>
          <w:color w:val="0A2540"/>
          <w:sz w:val="36"/>
        </w:rPr>
      </w:pPr>
    </w:p>
    <w:p w14:paraId="4AE01AB7" w14:textId="200D623B" w:rsidR="00945FDF" w:rsidRDefault="00000000">
      <w:pPr>
        <w:keepNext/>
        <w:spacing w:before="360"/>
      </w:pPr>
      <w:r>
        <w:rPr>
          <w:b/>
          <w:color w:val="0A2540"/>
          <w:sz w:val="36"/>
        </w:rPr>
        <w:t>8. REFERENCES</w:t>
      </w:r>
      <w:r w:rsidR="00F7399E">
        <w:rPr>
          <w:b/>
          <w:color w:val="0A2540"/>
          <w:sz w:val="36"/>
        </w:rPr>
        <w:t xml:space="preserve"> List</w:t>
      </w:r>
    </w:p>
    <w:p w14:paraId="126DC416" w14:textId="77777777" w:rsidR="00945FDF" w:rsidRDefault="00000000">
      <w:pPr>
        <w:ind w:left="360" w:hanging="360"/>
      </w:pPr>
      <w:r>
        <w:t>Boxall, P. and Purcell, J., 2022. Strategy and Human Resource Management. 5th ed. London: Bloomsbury Academic.</w:t>
      </w:r>
    </w:p>
    <w:p w14:paraId="18083F29" w14:textId="77777777" w:rsidR="00945FDF" w:rsidRDefault="00000000">
      <w:pPr>
        <w:ind w:left="360" w:hanging="360"/>
      </w:pPr>
      <w:proofErr w:type="spellStart"/>
      <w:r>
        <w:t>Cherns</w:t>
      </w:r>
      <w:proofErr w:type="spellEnd"/>
      <w:r>
        <w:t>, A., 1976. The principles of sociotechnical design. Human Relations, 29(8), pp.783-792.</w:t>
      </w:r>
    </w:p>
    <w:p w14:paraId="0F6BC018" w14:textId="33A4C6C5" w:rsidR="00945FDF" w:rsidRDefault="00000000">
      <w:pPr>
        <w:ind w:left="360" w:hanging="360"/>
      </w:pPr>
      <w:r>
        <w:t xml:space="preserve">Delery, J.E. and </w:t>
      </w:r>
      <w:proofErr w:type="spellStart"/>
      <w:r>
        <w:t>Roumpi</w:t>
      </w:r>
      <w:proofErr w:type="spellEnd"/>
      <w:r>
        <w:t xml:space="preserve">, D., 2017. Strategic human resource management, human </w:t>
      </w:r>
      <w:r w:rsidR="00D914CA">
        <w:t>capital,</w:t>
      </w:r>
      <w:r>
        <w:t xml:space="preserve"> and competitive advantage: Is the AMO framework the whole story? Human Resource Management Journal, 27(1), pp.1-21.</w:t>
      </w:r>
    </w:p>
    <w:p w14:paraId="33B51509" w14:textId="77777777" w:rsidR="00945FDF" w:rsidRDefault="00000000">
      <w:pPr>
        <w:ind w:left="360" w:hanging="360"/>
      </w:pPr>
      <w:r>
        <w:t>Dweck, C.S., 2016. Mindset: The New Psychology of Success. New York: Ballantine Books.</w:t>
      </w:r>
    </w:p>
    <w:p w14:paraId="44F4DC93" w14:textId="77777777" w:rsidR="00945FDF" w:rsidRDefault="00000000">
      <w:pPr>
        <w:ind w:left="360" w:hanging="360"/>
      </w:pPr>
      <w:r>
        <w:t>Edmondson, A., 1999. Psychological safety and learning behavior in work teams. Administrative Science Quarterly, 44(2), pp.350-383.</w:t>
      </w:r>
    </w:p>
    <w:p w14:paraId="00BED93C" w14:textId="7200716E" w:rsidR="00945FDF" w:rsidRDefault="00000000">
      <w:pPr>
        <w:ind w:left="360" w:hanging="360"/>
      </w:pPr>
      <w:r>
        <w:t xml:space="preserve">Edmondson, A.C., 2018. </w:t>
      </w:r>
      <w:r w:rsidR="000303F8">
        <w:t>"</w:t>
      </w:r>
      <w:r>
        <w:t>The Fearless Organization: Creating Psychological Safety in the Workplace for Learning, Innovation, and Growth.</w:t>
      </w:r>
      <w:r w:rsidR="000303F8">
        <w:t>" (“The Fearless Organization: Creating Psychological Safety in the ...”)</w:t>
      </w:r>
      <w:r>
        <w:t xml:space="preserve"> Hoboken: John Wiley &amp; Sons.</w:t>
      </w:r>
    </w:p>
    <w:p w14:paraId="34A08081" w14:textId="77777777" w:rsidR="00945FDF" w:rsidRDefault="00000000">
      <w:pPr>
        <w:ind w:left="360" w:hanging="360"/>
      </w:pPr>
      <w:r>
        <w:t>Gibbs, G. and Simpson, C., 2005. Conditions under which assessment supports students' learning. Learning and Teaching in Higher Education, 1(1), pp.3-31.</w:t>
      </w:r>
    </w:p>
    <w:p w14:paraId="0C6EA710" w14:textId="77777777" w:rsidR="00945FDF" w:rsidRDefault="00000000">
      <w:pPr>
        <w:ind w:left="360" w:hanging="360"/>
      </w:pPr>
      <w:r>
        <w:t xml:space="preserve">Guzzo, R.A., King, E.E. and </w:t>
      </w:r>
      <w:proofErr w:type="spellStart"/>
      <w:r>
        <w:t>Tonidandel</w:t>
      </w:r>
      <w:proofErr w:type="spellEnd"/>
      <w:r>
        <w:t>, S., 2022. Big data and human resources management: The search for meaning. Annual Review of Organizational Psychology and Organizational Behavior, 9(1), pp.311-338.</w:t>
      </w:r>
    </w:p>
    <w:p w14:paraId="0C0BD9C2" w14:textId="77777777" w:rsidR="00945FDF" w:rsidRDefault="00000000">
      <w:pPr>
        <w:ind w:left="360" w:hanging="360"/>
      </w:pPr>
      <w:r>
        <w:t>Lawler, E.E., 1986. High-Involvement Management: Participative Strategies for Improving Organizational Performance. San Francisco: Jossey-Bass.</w:t>
      </w:r>
    </w:p>
    <w:p w14:paraId="3DADA781" w14:textId="77777777" w:rsidR="00945FDF" w:rsidRDefault="00000000">
      <w:pPr>
        <w:ind w:left="360" w:hanging="360"/>
      </w:pPr>
      <w:r>
        <w:t xml:space="preserve">Lepak, D.P., Liao, H., Chung, </w:t>
      </w:r>
      <w:proofErr w:type="gramStart"/>
      <w:r>
        <w:t>Y.</w:t>
      </w:r>
      <w:proofErr w:type="gramEnd"/>
      <w:r>
        <w:t xml:space="preserve"> and Harden, E.E., 2006. Industrial relations and human resource management systems: Taking stock and moving forward. Research in Personnel and Human Resources Management, 25, pp.1-54.</w:t>
      </w:r>
    </w:p>
    <w:p w14:paraId="49FFCEA6" w14:textId="77777777" w:rsidR="00945FDF" w:rsidRDefault="00000000">
      <w:pPr>
        <w:ind w:left="360" w:hanging="360"/>
      </w:pPr>
      <w:r>
        <w:t>Ryan, R.M. and Deci, E.L., 2017. Self-determination theory: Basic psychological needs in motivation, development, and wellness. New York: Guilford Publishing.</w:t>
      </w:r>
    </w:p>
    <w:p w14:paraId="75A7A319" w14:textId="77777777" w:rsidR="00945FDF" w:rsidRDefault="00000000">
      <w:pPr>
        <w:ind w:left="360" w:hanging="360"/>
      </w:pPr>
      <w:r>
        <w:t>Senge, P.M., 1990. The Fifth Discipline: The Art and Practice of the Learning Organization. New York: Doubleday/Currency.</w:t>
      </w:r>
    </w:p>
    <w:p w14:paraId="3B28EC65" w14:textId="77777777" w:rsidR="00945FDF" w:rsidRDefault="00000000">
      <w:pPr>
        <w:ind w:left="360" w:hanging="360"/>
      </w:pPr>
      <w:r>
        <w:t>Study to Support an Impact Assessment of Regulatory Requirements for Artificial Intelligence, 2020. European Commission Report, Brussels, pp.45-62.</w:t>
      </w:r>
    </w:p>
    <w:p w14:paraId="2C01B157" w14:textId="77777777" w:rsidR="00945FDF" w:rsidRDefault="00000000">
      <w:pPr>
        <w:ind w:left="360" w:hanging="360"/>
      </w:pPr>
      <w:r>
        <w:t>Tambe, P., Cappelli, P. and Yakubovich, V., 2019. Artificial intelligence in human resources management: Challenges and a path forward. California Management Review, 61(4), pp.15-42.</w:t>
      </w:r>
    </w:p>
    <w:p w14:paraId="57FD177E" w14:textId="77777777" w:rsidR="00945FDF" w:rsidRDefault="00000000">
      <w:pPr>
        <w:ind w:left="360" w:hanging="360"/>
      </w:pPr>
      <w:r>
        <w:lastRenderedPageBreak/>
        <w:t>Ulrich, D., 2016. Human Resource Champions: The next agenda for adding value and delivering results. Boston: Harvard Business School Press.</w:t>
      </w:r>
    </w:p>
    <w:p w14:paraId="237B2227" w14:textId="77777777" w:rsidR="00945FDF" w:rsidRDefault="00000000">
      <w:pPr>
        <w:ind w:left="360" w:hanging="360"/>
      </w:pPr>
      <w:r>
        <w:t>Vroom, V.H., 1964. Work and motivation. New York: John Wiley &amp; Sons.</w:t>
      </w:r>
    </w:p>
    <w:p w14:paraId="45DA02CA" w14:textId="77777777" w:rsidR="00945FDF" w:rsidRDefault="00000000">
      <w:pPr>
        <w:ind w:left="360" w:hanging="360"/>
      </w:pPr>
      <w:r>
        <w:t xml:space="preserve">Wall, T.D. and Cordery, J.L., 2004. Work design. In: D.B. </w:t>
      </w:r>
      <w:proofErr w:type="spellStart"/>
      <w:r>
        <w:t>Blandstejn</w:t>
      </w:r>
      <w:proofErr w:type="spellEnd"/>
      <w:r>
        <w:t>, ed. Handbook of Work and Organizational Psychology. London: Sage Publications. pp.221-248.</w:t>
      </w:r>
    </w:p>
    <w:p w14:paraId="57A9EA4E" w14:textId="77777777" w:rsidR="00945FDF" w:rsidRDefault="00000000">
      <w:pPr>
        <w:ind w:left="360" w:hanging="360"/>
      </w:pPr>
      <w:r>
        <w:t xml:space="preserve">Wood, S. and de Menezes, L.M., 2011. High-involvement management, high-performance work </w:t>
      </w:r>
      <w:proofErr w:type="gramStart"/>
      <w:r>
        <w:t>systems</w:t>
      </w:r>
      <w:proofErr w:type="gramEnd"/>
      <w:r>
        <w:t xml:space="preserve"> and well-being. International Journal of Human Resource Management, 22(7), pp.1586-1608.</w:t>
      </w:r>
    </w:p>
    <w:p w14:paraId="2C8E93E5" w14:textId="77777777" w:rsidR="00945FDF" w:rsidRDefault="00000000">
      <w:pPr>
        <w:ind w:left="360" w:hanging="360"/>
      </w:pPr>
      <w:r>
        <w:t>Wright, P.M. and McMahan, G.C., 1992. Theoretical perspectives for strategic human resource management. Journal of Management, 18(2), pp.295-320.</w:t>
      </w:r>
    </w:p>
    <w:p w14:paraId="74CC7EB2" w14:textId="77777777" w:rsidR="00945FDF" w:rsidRDefault="00000000">
      <w:pPr>
        <w:ind w:left="360" w:hanging="360"/>
      </w:pPr>
      <w:r>
        <w:t>Yorke, M., 2010. Formative assessment and its relevance to retention. Higher Education Research and Development, 20(2), pp.115-126.</w:t>
      </w:r>
    </w:p>
    <w:p w14:paraId="64256FF1" w14:textId="77777777" w:rsidR="00945FDF" w:rsidRDefault="00945FDF">
      <w:pPr>
        <w:spacing w:before="240"/>
      </w:pPr>
    </w:p>
    <w:p w14:paraId="20FFB208" w14:textId="77777777" w:rsidR="007E0E45" w:rsidRDefault="007E0E45"/>
    <w:sectPr w:rsidR="007E0E45" w:rsidSect="00034616">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1819109949">
    <w:abstractNumId w:val="8"/>
  </w:num>
  <w:num w:numId="2" w16cid:durableId="739058913">
    <w:abstractNumId w:val="6"/>
  </w:num>
  <w:num w:numId="3" w16cid:durableId="1735883436">
    <w:abstractNumId w:val="5"/>
  </w:num>
  <w:num w:numId="4" w16cid:durableId="1447382835">
    <w:abstractNumId w:val="4"/>
  </w:num>
  <w:num w:numId="5" w16cid:durableId="119111631">
    <w:abstractNumId w:val="7"/>
  </w:num>
  <w:num w:numId="6" w16cid:durableId="49304069">
    <w:abstractNumId w:val="3"/>
  </w:num>
  <w:num w:numId="7" w16cid:durableId="215288779">
    <w:abstractNumId w:val="2"/>
  </w:num>
  <w:num w:numId="8" w16cid:durableId="664280504">
    <w:abstractNumId w:val="1"/>
  </w:num>
  <w:num w:numId="9" w16cid:durableId="37947409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97"/>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303F8"/>
    <w:rsid w:val="00034616"/>
    <w:rsid w:val="0006063C"/>
    <w:rsid w:val="000622C4"/>
    <w:rsid w:val="0015074B"/>
    <w:rsid w:val="0029639D"/>
    <w:rsid w:val="00326F90"/>
    <w:rsid w:val="00622302"/>
    <w:rsid w:val="006262E6"/>
    <w:rsid w:val="006514E2"/>
    <w:rsid w:val="00653A6E"/>
    <w:rsid w:val="007E0E45"/>
    <w:rsid w:val="00945FDF"/>
    <w:rsid w:val="00AA1D8D"/>
    <w:rsid w:val="00AE0FC2"/>
    <w:rsid w:val="00B47730"/>
    <w:rsid w:val="00CB0664"/>
    <w:rsid w:val="00D914CA"/>
    <w:rsid w:val="00F7399E"/>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3AB5E851"/>
  <w14:defaultImageDpi w14:val="300"/>
  <w15:docId w15:val="{9A0D0496-8E81-4BAA-B282-2A637F5C2C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pPr>
      <w:spacing w:after="120"/>
    </w:pPr>
    <w:rPr>
      <w:rFonts w:ascii="Calibri" w:hAnsi="Calibri"/>
      <w:color w:val="2B2B2B"/>
    </w:rPr>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ind w:left="360"/>
      <w:contextualSpacing/>
    </w:pPr>
  </w:style>
  <w:style w:type="paragraph" w:styleId="ListContinue2">
    <w:name w:val="List Continue 2"/>
    <w:basedOn w:val="Normal"/>
    <w:uiPriority w:val="99"/>
    <w:unhideWhenUsed/>
    <w:rsid w:val="0029639D"/>
    <w:pPr>
      <w:ind w:left="720"/>
      <w:contextualSpacing/>
    </w:pPr>
  </w:style>
  <w:style w:type="paragraph" w:styleId="ListContinue3">
    <w:name w:val="List Continue 3"/>
    <w:basedOn w:val="Normal"/>
    <w:uiPriority w:val="99"/>
    <w:unhideWhenUsed/>
    <w:rsid w:val="0029639D"/>
    <w:pPr>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tyles" Target="styles.xml"/><Relationship Id="rId7" Type="http://schemas.openxmlformats.org/officeDocument/2006/relationships/image" Target="cid:image001.png@01D0EA4A.2BD679A0" TargetMode="External"/><Relationship Id="rId12" Type="http://schemas.microsoft.com/office/2020/10/relationships/intelligence" Target="intelligence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4292</Words>
  <Characters>24467</Characters>
  <Application>Microsoft Office Word</Application>
  <DocSecurity>0</DocSecurity>
  <Lines>203</Lines>
  <Paragraphs>57</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28702</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aurel apopei</cp:lastModifiedBy>
  <cp:revision>2</cp:revision>
  <dcterms:created xsi:type="dcterms:W3CDTF">2026-10-14T08:49:00Z</dcterms:created>
  <dcterms:modified xsi:type="dcterms:W3CDTF">2026-10-14T08:49:00Z</dcterms:modified>
  <cp:category/>
</cp:coreProperties>
</file>