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2"/>
        <w:keepNext w:val="0"/>
        <w:keepLines w:val="0"/>
        <w:spacing w:before="180" w:after="180" w:line="240" w:lineRule="auto"/>
        <w:rPr>
          <w:rFonts w:ascii="Roboto" w:cs="Roboto" w:hAnsi="Roboto" w:eastAsia="Roboto"/>
          <w:b w:val="1"/>
          <w:bCs w:val="1"/>
          <w:outline w:val="0"/>
          <w:color w:val="1d2125"/>
          <w:sz w:val="20"/>
          <w:szCs w:val="20"/>
          <w:u w:color="1d2125"/>
          <w14:textFill>
            <w14:solidFill>
              <w14:srgbClr w14:val="1D2125"/>
            </w14:solidFill>
          </w14:textFill>
        </w:rPr>
      </w:pPr>
      <w:bookmarkStart w:name="_oksk77mpllm3" w:id="0"/>
      <w:bookmarkEnd w:id="0"/>
      <w:r>
        <w:rPr>
          <w:rFonts w:ascii="Roboto" w:cs="Roboto" w:hAnsi="Roboto" w:eastAsia="Roboto"/>
          <w:b w:val="1"/>
          <w:bCs w:val="1"/>
          <w:outline w:val="0"/>
          <w:color w:val="1d2125"/>
          <w:sz w:val="20"/>
          <w:szCs w:val="20"/>
          <w:u w:color="1d2125"/>
          <w14:textFill>
            <w14:solidFill>
              <w14:srgbClr w14:val="1D2125"/>
            </w14:solidFill>
          </w14:textFill>
        </w:rPr>
        <w:drawing xmlns:a="http://schemas.openxmlformats.org/drawingml/2006/main">
          <wp:inline distT="0" distB="0" distL="0" distR="0">
            <wp:extent cx="2009592" cy="757238"/>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2009592" cy="757238"/>
                    </a:xfrm>
                    <a:prstGeom prst="rect">
                      <a:avLst/>
                    </a:prstGeom>
                    <a:ln w="12700" cap="flat">
                      <a:noFill/>
                      <a:miter lim="400000"/>
                    </a:ln>
                    <a:effectLst/>
                  </pic:spPr>
                </pic:pic>
              </a:graphicData>
            </a:graphic>
          </wp:inline>
        </w:drawing>
      </w:r>
    </w:p>
    <w:p>
      <w:pPr>
        <w:pStyle w:val="Heading 2"/>
        <w:keepNext w:val="0"/>
        <w:keepLines w:val="0"/>
        <w:spacing w:before="180" w:after="180" w:line="240" w:lineRule="auto"/>
        <w:rPr>
          <w:rFonts w:ascii="Roboto" w:cs="Roboto" w:hAnsi="Roboto" w:eastAsia="Roboto"/>
          <w:b w:val="1"/>
          <w:bCs w:val="1"/>
          <w:outline w:val="0"/>
          <w:color w:val="1d2125"/>
          <w:sz w:val="20"/>
          <w:szCs w:val="20"/>
          <w:u w:color="1d2125"/>
          <w14:textFill>
            <w14:solidFill>
              <w14:srgbClr w14:val="1D2125"/>
            </w14:solidFill>
          </w14:textFill>
        </w:rPr>
      </w:pPr>
      <w:bookmarkStart w:name="_he0vpy9ov4" w:id="1"/>
      <w:bookmarkEnd w:id="1"/>
    </w:p>
    <w:p>
      <w:pPr>
        <w:pStyle w:val="Heading 2"/>
        <w:keepNext w:val="0"/>
        <w:keepLines w:val="0"/>
        <w:spacing w:before="0" w:after="0"/>
        <w:jc w:val="center"/>
        <w:rPr>
          <w:b w:val="1"/>
          <w:bCs w:val="1"/>
          <w:outline w:val="0"/>
          <w:color w:val="1d2125"/>
          <w:sz w:val="21"/>
          <w:szCs w:val="21"/>
          <w:u w:color="1d2125"/>
          <w14:textFill>
            <w14:solidFill>
              <w14:srgbClr w14:val="1D2125"/>
            </w14:solidFill>
          </w14:textFill>
        </w:rPr>
      </w:pPr>
      <w:bookmarkStart w:name="_bc44sy3sdbz" w:id="2"/>
      <w:bookmarkEnd w:id="2"/>
      <w:r>
        <w:rPr>
          <w:b w:val="1"/>
          <w:bCs w:val="1"/>
          <w:outline w:val="0"/>
          <w:color w:val="1d2125"/>
          <w:sz w:val="21"/>
          <w:szCs w:val="21"/>
          <w:u w:color="1d2125"/>
          <w:rtl w:val="0"/>
          <w14:textFill>
            <w14:solidFill>
              <w14:srgbClr w14:val="1D2125"/>
            </w14:solidFill>
          </w14:textFill>
        </w:rPr>
        <w:t>P</w:t>
      </w:r>
      <w:r>
        <w:rPr>
          <w:b w:val="1"/>
          <w:bCs w:val="1"/>
          <w:outline w:val="0"/>
          <w:color w:val="1d2125"/>
          <w:sz w:val="21"/>
          <w:szCs w:val="21"/>
          <w:u w:color="1d2125"/>
          <w:rtl w:val="0"/>
          <w:lang w:val="en-US"/>
          <w14:textFill>
            <w14:solidFill>
              <w14:srgbClr w14:val="1D2125"/>
            </w14:solidFill>
          </w14:textFill>
        </w:rPr>
        <w:t xml:space="preserve">ostgraduate/Distance Learning </w:t>
      </w:r>
    </w:p>
    <w:p>
      <w:pPr>
        <w:pStyle w:val="Heading 2"/>
        <w:keepNext w:val="0"/>
        <w:keepLines w:val="0"/>
        <w:spacing w:before="0" w:after="0"/>
        <w:jc w:val="center"/>
        <w:rPr>
          <w:b w:val="1"/>
          <w:bCs w:val="1"/>
          <w:outline w:val="0"/>
          <w:color w:val="1d2125"/>
          <w:sz w:val="21"/>
          <w:szCs w:val="21"/>
          <w:u w:color="1d2125"/>
          <w14:textFill>
            <w14:solidFill>
              <w14:srgbClr w14:val="1D2125"/>
            </w14:solidFill>
          </w14:textFill>
        </w:rPr>
      </w:pPr>
      <w:bookmarkStart w:name="_chsrkut0y3n" w:id="3"/>
      <w:bookmarkEnd w:id="3"/>
      <w:r>
        <w:rPr>
          <w:b w:val="1"/>
          <w:bCs w:val="1"/>
          <w:outline w:val="0"/>
          <w:color w:val="1d2125"/>
          <w:sz w:val="21"/>
          <w:szCs w:val="21"/>
          <w:u w:color="1d2125"/>
          <w:rtl w:val="0"/>
          <w14:textFill>
            <w14:solidFill>
              <w14:srgbClr w14:val="1D2125"/>
            </w14:solidFill>
          </w14:textFill>
        </w:rPr>
        <w:t>A</w:t>
      </w:r>
      <w:r>
        <w:rPr>
          <w:b w:val="1"/>
          <w:bCs w:val="1"/>
          <w:outline w:val="0"/>
          <w:color w:val="1d2125"/>
          <w:sz w:val="21"/>
          <w:szCs w:val="21"/>
          <w:u w:color="1d2125"/>
          <w:rtl w:val="0"/>
          <w:lang w:val="en-US"/>
          <w14:textFill>
            <w14:solidFill>
              <w14:srgbClr w14:val="1D2125"/>
            </w14:solidFill>
          </w14:textFill>
        </w:rPr>
        <w:t>ssignment coversheet &amp; feedback form</w:t>
      </w:r>
    </w:p>
    <w:p>
      <w:pPr>
        <w:pStyle w:val="Body"/>
      </w:pPr>
      <w:r>
        <w:drawing xmlns:a="http://schemas.openxmlformats.org/drawingml/2006/main">
          <wp:inline distT="0" distB="0" distL="0" distR="0">
            <wp:extent cx="5943600" cy="7543800"/>
            <wp:effectExtent l="0" t="0" r="0" b="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5">
                      <a:extLst/>
                    </a:blip>
                    <a:stretch>
                      <a:fillRect/>
                    </a:stretch>
                  </pic:blipFill>
                  <pic:spPr>
                    <a:xfrm>
                      <a:off x="0" y="0"/>
                      <a:ext cx="5943600" cy="7543800"/>
                    </a:xfrm>
                    <a:prstGeom prst="rect">
                      <a:avLst/>
                    </a:prstGeom>
                    <a:ln w="12700" cap="flat">
                      <a:noFill/>
                      <a:miter lim="400000"/>
                    </a:ln>
                    <a:effectLst/>
                  </pic:spPr>
                </pic:pic>
              </a:graphicData>
            </a:graphic>
          </wp:inline>
        </w:drawing>
      </w:r>
    </w:p>
    <w:p>
      <w:pPr>
        <w:pStyle w:val="Body"/>
      </w:pPr>
      <w:r>
        <w:drawing xmlns:a="http://schemas.openxmlformats.org/drawingml/2006/main">
          <wp:inline distT="0" distB="0" distL="0" distR="0">
            <wp:extent cx="5943600" cy="7518400"/>
            <wp:effectExtent l="0" t="0" r="0" b="0"/>
            <wp:docPr id="1073741827" name="officeArt object" descr="image3.png"/>
            <wp:cNvGraphicFramePr/>
            <a:graphic xmlns:a="http://schemas.openxmlformats.org/drawingml/2006/main">
              <a:graphicData uri="http://schemas.openxmlformats.org/drawingml/2006/picture">
                <pic:pic xmlns:pic="http://schemas.openxmlformats.org/drawingml/2006/picture">
                  <pic:nvPicPr>
                    <pic:cNvPr id="1073741827" name="image3.png" descr="image3.png"/>
                    <pic:cNvPicPr>
                      <a:picLocks noChangeAspect="1"/>
                    </pic:cNvPicPr>
                  </pic:nvPicPr>
                  <pic:blipFill>
                    <a:blip r:embed="rId6">
                      <a:extLst/>
                    </a:blip>
                    <a:stretch>
                      <a:fillRect/>
                    </a:stretch>
                  </pic:blipFill>
                  <pic:spPr>
                    <a:xfrm>
                      <a:off x="0" y="0"/>
                      <a:ext cx="5943600" cy="7518400"/>
                    </a:xfrm>
                    <a:prstGeom prst="rect">
                      <a:avLst/>
                    </a:prstGeom>
                    <a:ln w="12700" cap="flat">
                      <a:noFill/>
                      <a:miter lim="400000"/>
                    </a:ln>
                    <a:effectLst/>
                  </pic:spPr>
                </pic:pic>
              </a:graphicData>
            </a:graphic>
          </wp:inline>
        </w:drawing>
      </w:r>
    </w:p>
    <w:p>
      <w:pPr>
        <w:pStyle w:val="Heading 2"/>
        <w:keepNext w:val="0"/>
        <w:keepLines w:val="0"/>
        <w:spacing w:before="180" w:after="180" w:line="240" w:lineRule="auto"/>
        <w:rPr>
          <w:rFonts w:ascii="Roboto" w:cs="Roboto" w:hAnsi="Roboto" w:eastAsia="Roboto"/>
          <w:b w:val="1"/>
          <w:bCs w:val="1"/>
          <w:outline w:val="0"/>
          <w:color w:val="1d2125"/>
          <w:sz w:val="20"/>
          <w:szCs w:val="20"/>
          <w:u w:color="1d2125"/>
          <w14:textFill>
            <w14:solidFill>
              <w14:srgbClr w14:val="1D2125"/>
            </w14:solidFill>
          </w14:textFill>
        </w:rPr>
      </w:pPr>
      <w:bookmarkStart w:name="_bc44sy3sdbz2" w:id="4"/>
      <w:bookmarkEnd w:id="4"/>
    </w:p>
    <w:p>
      <w:pPr>
        <w:pStyle w:val="Heading 2"/>
        <w:keepNext w:val="0"/>
        <w:keepLines w:val="0"/>
        <w:spacing w:before="180" w:after="180" w:line="240" w:lineRule="auto"/>
        <w:rPr>
          <w:rFonts w:ascii="Roboto" w:cs="Roboto" w:hAnsi="Roboto" w:eastAsia="Roboto"/>
          <w:b w:val="1"/>
          <w:bCs w:val="1"/>
          <w:outline w:val="0"/>
          <w:color w:val="1d2125"/>
          <w:sz w:val="20"/>
          <w:szCs w:val="20"/>
          <w:u w:color="1d2125"/>
          <w14:textFill>
            <w14:solidFill>
              <w14:srgbClr w14:val="1D2125"/>
            </w14:solidFill>
          </w14:textFill>
        </w:rPr>
      </w:pPr>
      <w:bookmarkStart w:name="_sc5hfwvx2gir" w:id="5"/>
      <w:bookmarkEnd w:id="5"/>
    </w:p>
    <w:p>
      <w:pPr>
        <w:pStyle w:val="Heading 2"/>
        <w:keepNext w:val="0"/>
        <w:spacing w:before="0" w:after="180" w:line="240" w:lineRule="auto"/>
        <w:rPr>
          <w:rFonts w:ascii="Times New Roman" w:cs="Times New Roman" w:hAnsi="Times New Roman" w:eastAsia="Times New Roman"/>
          <w:b w:val="1"/>
          <w:bCs w:val="1"/>
          <w:outline w:val="0"/>
          <w:color w:val="666666"/>
          <w:sz w:val="26"/>
          <w:szCs w:val="26"/>
          <w:u w:color="666666"/>
          <w14:textFill>
            <w14:solidFill>
              <w14:srgbClr w14:val="666666"/>
            </w14:solidFill>
          </w14:textFill>
        </w:rPr>
      </w:pPr>
      <w:bookmarkStart w:name="_fm5nbg1432" w:id="6"/>
      <w:bookmarkEnd w:id="6"/>
      <w:r>
        <w:rPr>
          <w:rFonts w:ascii="Times New Roman" w:hAnsi="Times New Roman"/>
          <w:b w:val="1"/>
          <w:bCs w:val="1"/>
          <w:outline w:val="0"/>
          <w:color w:val="666666"/>
          <w:sz w:val="26"/>
          <w:szCs w:val="26"/>
          <w:u w:color="666666"/>
          <w:rtl w:val="0"/>
          <w14:textFill>
            <w14:solidFill>
              <w14:srgbClr w14:val="666666"/>
            </w14:solidFill>
          </w14:textFill>
        </w:rPr>
        <w:t>I</w:t>
      </w:r>
      <w:r>
        <w:rPr>
          <w:rFonts w:ascii="Times New Roman" w:hAnsi="Times New Roman"/>
          <w:b w:val="1"/>
          <w:bCs w:val="1"/>
          <w:outline w:val="0"/>
          <w:color w:val="666666"/>
          <w:sz w:val="26"/>
          <w:szCs w:val="26"/>
          <w:u w:color="666666"/>
          <w:rtl w:val="0"/>
          <w:lang w:val="fr-FR"/>
          <w14:textFill>
            <w14:solidFill>
              <w14:srgbClr w14:val="666666"/>
            </w14:solidFill>
          </w14:textFill>
        </w:rPr>
        <w:t>ntroduction</w:t>
      </w:r>
    </w:p>
    <w:p>
      <w:pPr>
        <w:pStyle w:val="Body"/>
        <w:keepLines w:val="1"/>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This comparative essay contrasts two secondary sources: Kirsten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 xml:space="preserve">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it-IT"/>
          <w14:textFill>
            <w14:solidFill>
              <w14:srgbClr w14:val="666666"/>
            </w14:solidFill>
          </w14:textFill>
        </w:rPr>
        <w:t>Joseph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de-DE"/>
          <w14:textFill>
            <w14:solidFill>
              <w14:srgbClr w14:val="666666"/>
            </w14:solidFill>
          </w14:textFill>
        </w:rPr>
        <w:t>s Cosmos: An Artist</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Modern Interpretations of Astronomical Myths</w:t>
      </w:r>
      <w:r>
        <w:rPr>
          <w:rFonts w:ascii="Times New Roman" w:hAnsi="Times New Roman" w:hint="default"/>
          <w:outline w:val="0"/>
          <w:color w:val="666666"/>
          <w:sz w:val="24"/>
          <w:szCs w:val="24"/>
          <w:u w:color="666666"/>
          <w:rtl w:val="0"/>
          <w:lang w:val="en-US"/>
          <w14:textFill>
            <w14:solidFill>
              <w14:srgbClr w14:val="666666"/>
            </w14:solidFill>
          </w14:textFill>
        </w:rPr>
        <w:t xml:space="preserve">’ </w:t>
      </w:r>
      <w:r>
        <w:rPr>
          <w:rFonts w:ascii="Times New Roman" w:hAnsi="Times New Roman"/>
          <w:outline w:val="0"/>
          <w:color w:val="666666"/>
          <w:sz w:val="24"/>
          <w:szCs w:val="24"/>
          <w:u w:color="666666"/>
          <w:rtl w:val="0"/>
          <w:lang w:val="de-DE"/>
          <w14:textFill>
            <w14:solidFill>
              <w14:srgbClr w14:val="666666"/>
            </w14:solidFill>
          </w14:textFill>
        </w:rPr>
        <w:t>and Ben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 xml:space="preserve">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The Sun Within: New Solar Myth in Early Novels of Wilson Harris and J. G. Ballard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
      </w:r>
      <w:r>
        <w:rPr>
          <w:rFonts w:ascii="Times New Roman" w:hAnsi="Times New Roman"/>
          <w:outline w:val="0"/>
          <w:color w:val="666666"/>
          <w:sz w:val="24"/>
          <w:szCs w:val="24"/>
          <w:u w:color="666666"/>
          <w:rtl w:val="0"/>
          <w:lang w:val="en-US"/>
          <w14:textFill>
            <w14:solidFill>
              <w14:srgbClr w14:val="666666"/>
            </w14:solidFill>
          </w14:textFill>
        </w:rPr>
        <w:t xml:space="preserve"> Visual art for Hoving and modern mythopoeic literature for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they both examine the role of sky myth in modern culture. Hoving investigates how astronomical and mythological symbolism appears in the work of artist Joseph Cornell, while Pestell studies how solar myth is adapted by comparing twentieth-century fiction. Although both articles are concerned with myth, they diverge in the methods they use, the evidence they privilege, and the claims they ultimately make.</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Hoving relies on an art-historical case study based on visual and archival analysis, while Pestell uses a comparative literary approach to study how solar imagery functions in two modern novels. Hoving's essay is centred on Joseph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use of astronomical myths, specifically his interest in Andromeda, to explore how astronomical stories and mythology are expressed through personal symbolism, artistic practice, and cultural memory.</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
      </w:r>
      <w:r>
        <w:rPr>
          <w:rFonts w:ascii="Times New Roman" w:hAnsi="Times New Roman"/>
          <w:outline w:val="0"/>
          <w:color w:val="666666"/>
          <w:sz w:val="24"/>
          <w:szCs w:val="24"/>
          <w:u w:color="666666"/>
          <w:rtl w:val="0"/>
          <w:lang w:val="en-US"/>
          <w14:textFill>
            <w14:solidFill>
              <w14:srgbClr w14:val="666666"/>
            </w14:solidFill>
          </w14:textFill>
        </w:rPr>
        <w:t xml:space="preserve"> Pestell, on the other hand, compares novelists Wilson Harris and J. G. Ballard, arguing that solar imagery in </w:t>
      </w:r>
      <w:r>
        <w:rPr>
          <w:rFonts w:ascii="Times New Roman" w:hAnsi="Times New Roman"/>
          <w:i w:val="1"/>
          <w:iCs w:val="1"/>
          <w:outline w:val="0"/>
          <w:color w:val="666666"/>
          <w:sz w:val="24"/>
          <w:szCs w:val="24"/>
          <w:u w:color="666666"/>
          <w:rtl w:val="0"/>
          <w:lang w:val="en-US"/>
          <w14:textFill>
            <w14:solidFill>
              <w14:srgbClr w14:val="666666"/>
            </w14:solidFill>
          </w14:textFill>
        </w:rPr>
        <w:t>Palace of the Peacock</w:t>
      </w:r>
      <w:r>
        <w:rPr>
          <w:rFonts w:ascii="Times New Roman" w:hAnsi="Times New Roman"/>
          <w:outline w:val="0"/>
          <w:color w:val="666666"/>
          <w:sz w:val="24"/>
          <w:szCs w:val="24"/>
          <w:u w:color="666666"/>
          <w:rtl w:val="0"/>
          <w:lang w:val="en-US"/>
          <w14:textFill>
            <w14:solidFill>
              <w14:srgbClr w14:val="666666"/>
            </w14:solidFill>
          </w14:textFill>
        </w:rPr>
        <w:t xml:space="preserve"> and </w:t>
      </w:r>
      <w:r>
        <w:rPr>
          <w:rFonts w:ascii="Times New Roman" w:hAnsi="Times New Roman"/>
          <w:i w:val="1"/>
          <w:iCs w:val="1"/>
          <w:outline w:val="0"/>
          <w:color w:val="666666"/>
          <w:sz w:val="24"/>
          <w:szCs w:val="24"/>
          <w:u w:color="666666"/>
          <w:rtl w:val="0"/>
          <w:lang w:val="en-US"/>
          <w14:textFill>
            <w14:solidFill>
              <w14:srgbClr w14:val="666666"/>
            </w14:solidFill>
          </w14:textFill>
        </w:rPr>
        <w:t>The Drowned World</w:t>
      </w:r>
      <w:r>
        <w:rPr>
          <w:rFonts w:ascii="Times New Roman" w:hAnsi="Times New Roman"/>
          <w:outline w:val="0"/>
          <w:color w:val="666666"/>
          <w:sz w:val="24"/>
          <w:szCs w:val="24"/>
          <w:u w:color="666666"/>
          <w:rtl w:val="0"/>
          <w:lang w:val="en-US"/>
          <w14:textFill>
            <w14:solidFill>
              <w14:srgbClr w14:val="666666"/>
            </w14:solidFill>
          </w14:textFill>
        </w:rPr>
        <w:t xml:space="preserve"> is central to how each writer deals with myth and individuation.</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3"/>
      </w:r>
      <w:r>
        <w:rPr>
          <w:rFonts w:ascii="Times New Roman" w:hAnsi="Times New Roman"/>
          <w:outline w:val="0"/>
          <w:color w:val="666666"/>
          <w:sz w:val="24"/>
          <w:szCs w:val="24"/>
          <w:u w:color="666666"/>
          <w:rtl w:val="0"/>
          <w:lang w:val="en-US"/>
          <w14:textFill>
            <w14:solidFill>
              <w14:srgbClr w14:val="666666"/>
            </w14:solidFill>
          </w14:textFill>
        </w:rPr>
        <w:t xml:space="preserve"> Both articles fit within the field of cultural astronomy, but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is more comparative and theoretical, while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is more rooted in archival material, biography, and analysis of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works. This essay suggests that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is more consistent in its conceptual framework and use of scholarship, while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is more persuasive when it stays close to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works and archival materials, but less so when it broadens into claims that are more narrowly centred on the artist and less fully supported by wider scholarly discussion.</w:t>
      </w:r>
    </w:p>
    <w:p>
      <w:pPr>
        <w:pStyle w:val="Heading 2"/>
        <w:keepNext w:val="0"/>
        <w:keepLines w:val="0"/>
        <w:spacing w:before="340" w:after="180" w:line="240" w:lineRule="auto"/>
        <w:rPr>
          <w:rFonts w:ascii="Times New Roman" w:cs="Times New Roman" w:hAnsi="Times New Roman" w:eastAsia="Times New Roman"/>
          <w:b w:val="1"/>
          <w:bCs w:val="1"/>
          <w:outline w:val="0"/>
          <w:color w:val="666666"/>
          <w:sz w:val="26"/>
          <w:szCs w:val="26"/>
          <w:u w:color="666666"/>
          <w14:textFill>
            <w14:solidFill>
              <w14:srgbClr w14:val="666666"/>
            </w14:solidFill>
          </w14:textFill>
        </w:rPr>
      </w:pPr>
      <w:bookmarkStart w:name="_h93ufiy9q0gb" w:id="7"/>
      <w:bookmarkEnd w:id="7"/>
      <w:r>
        <w:rPr>
          <w:rFonts w:ascii="Times New Roman" w:hAnsi="Times New Roman"/>
          <w:b w:val="1"/>
          <w:bCs w:val="1"/>
          <w:outline w:val="0"/>
          <w:color w:val="666666"/>
          <w:sz w:val="26"/>
          <w:szCs w:val="26"/>
          <w:u w:color="666666"/>
          <w:rtl w:val="0"/>
          <w14:textFill>
            <w14:solidFill>
              <w14:srgbClr w14:val="666666"/>
            </w14:solidFill>
          </w14:textFill>
        </w:rPr>
        <w:t>A</w:t>
      </w:r>
      <w:r>
        <w:rPr>
          <w:rFonts w:ascii="Times New Roman" w:hAnsi="Times New Roman"/>
          <w:b w:val="1"/>
          <w:bCs w:val="1"/>
          <w:outline w:val="0"/>
          <w:color w:val="666666"/>
          <w:sz w:val="26"/>
          <w:szCs w:val="26"/>
          <w:u w:color="666666"/>
          <w:rtl w:val="0"/>
          <w:lang w:val="en-US"/>
          <w14:textFill>
            <w14:solidFill>
              <w14:srgbClr w14:val="666666"/>
            </w14:solidFill>
          </w14:textFill>
        </w:rPr>
        <w:t>uthor Background and Critical Positioning</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is an art-historical study of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engagement with astronomical myths of the spiralling galaxy Andromeda amongst his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wide-ranging obsessions</w:t>
      </w:r>
      <w:r>
        <w:rPr>
          <w:rFonts w:ascii="Times New Roman" w:hAnsi="Times New Roman" w:hint="default"/>
          <w:outline w:val="0"/>
          <w:color w:val="666666"/>
          <w:sz w:val="24"/>
          <w:szCs w:val="24"/>
          <w:u w:color="666666"/>
          <w:rtl w:val="0"/>
          <w:lang w:val="en-US"/>
          <w14:textFill>
            <w14:solidFill>
              <w14:srgbClr w14:val="666666"/>
            </w14:solidFill>
          </w14:textFill>
        </w:rPr>
        <w:t xml:space="preserve">’ </w:t>
      </w:r>
      <w:r>
        <w:rPr>
          <w:rFonts w:ascii="Times New Roman" w:hAnsi="Times New Roman"/>
          <w:outline w:val="0"/>
          <w:color w:val="666666"/>
          <w:sz w:val="24"/>
          <w:szCs w:val="24"/>
          <w:u w:color="666666"/>
          <w:rtl w:val="0"/>
          <w:lang w:val="en-US"/>
          <w14:textFill>
            <w14:solidFill>
              <w14:srgbClr w14:val="666666"/>
            </w14:solidFill>
          </w14:textFill>
        </w:rPr>
        <w:t xml:space="preserve">centralised throughout his artwork. Her abstract describes the paper as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a case study of the complex relations between myth and art</w:t>
      </w:r>
      <w:r>
        <w:rPr>
          <w:rFonts w:ascii="Times New Roman" w:hAnsi="Times New Roman" w:hint="default"/>
          <w:outline w:val="0"/>
          <w:color w:val="666666"/>
          <w:sz w:val="24"/>
          <w:szCs w:val="24"/>
          <w:u w:color="666666"/>
          <w:rtl w:val="0"/>
          <w:lang w:val="en-US"/>
          <w14:textFill>
            <w14:solidFill>
              <w14:srgbClr w14:val="666666"/>
            </w14:solidFill>
          </w14:textFill>
        </w:rPr>
        <w:t xml:space="preserve">’ </w:t>
      </w:r>
      <w:r>
        <w:rPr>
          <w:rFonts w:ascii="Times New Roman" w:hAnsi="Times New Roman"/>
          <w:outline w:val="0"/>
          <w:color w:val="666666"/>
          <w:sz w:val="24"/>
          <w:szCs w:val="24"/>
          <w:u w:color="666666"/>
          <w:rtl w:val="0"/>
          <w:lang w:val="en-US"/>
          <w14:textFill>
            <w14:solidFill>
              <w14:srgbClr w14:val="666666"/>
            </w14:solidFill>
          </w14:textFill>
        </w:rPr>
        <w:t>and proposes that psychological myth theory can illuminate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 xml:space="preserve">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personalized reconfigurations of established tales of the stars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4"/>
      </w:r>
      <w:r>
        <w:rPr>
          <w:rFonts w:ascii="Times New Roman" w:hAnsi="Times New Roman"/>
          <w:outline w:val="0"/>
          <w:color w:val="666666"/>
          <w:sz w:val="24"/>
          <w:szCs w:val="24"/>
          <w:u w:color="666666"/>
          <w:rtl w:val="0"/>
          <w:lang w:val="en-US"/>
          <w14:textFill>
            <w14:solidFill>
              <w14:srgbClr w14:val="666666"/>
            </w14:solidFill>
          </w14:textFill>
        </w:rPr>
        <w:t xml:space="preserve"> Hoving outlines the paper</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main focus from the outset. She writes from an established position within Cornell scholarship and as a professor and scholar of modern art, and cites her own monograph, </w:t>
      </w:r>
      <w:r>
        <w:rPr>
          <w:rFonts w:ascii="Times New Roman" w:hAnsi="Times New Roman"/>
          <w:i w:val="1"/>
          <w:iCs w:val="1"/>
          <w:outline w:val="0"/>
          <w:color w:val="666666"/>
          <w:sz w:val="24"/>
          <w:szCs w:val="24"/>
          <w:u w:color="666666"/>
          <w:rtl w:val="0"/>
          <w:lang w:val="en-US"/>
          <w14:textFill>
            <w14:solidFill>
              <w14:srgbClr w14:val="666666"/>
            </w14:solidFill>
          </w14:textFill>
        </w:rPr>
        <w:t>Joseph Cornell and Astronomy: A Case for the Stars</w:t>
      </w:r>
      <w:r>
        <w:rPr>
          <w:rFonts w:ascii="Times New Roman" w:hAnsi="Times New Roman"/>
          <w:outline w:val="0"/>
          <w:color w:val="666666"/>
          <w:sz w:val="24"/>
          <w:szCs w:val="24"/>
          <w:u w:color="666666"/>
          <w:rtl w:val="0"/>
          <w:lang w:val="en-US"/>
          <w14:textFill>
            <w14:solidFill>
              <w14:srgbClr w14:val="666666"/>
            </w14:solidFill>
          </w14:textFill>
        </w:rPr>
        <w:t>, as an earlier contribution to the field.</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5"/>
      </w:r>
      <w:r>
        <w:rPr>
          <w:rFonts w:ascii="Times New Roman" w:hAnsi="Times New Roman"/>
          <w:outline w:val="0"/>
          <w:color w:val="666666"/>
          <w:sz w:val="24"/>
          <w:szCs w:val="24"/>
          <w:u w:color="666666"/>
          <w:rtl w:val="0"/>
          <w:lang w:val="en-US"/>
          <w14:textFill>
            <w14:solidFill>
              <w14:srgbClr w14:val="666666"/>
            </w14:solidFill>
          </w14:textFill>
        </w:rPr>
        <w:t xml:space="preserve"> She approaches the subject as a specialist in Cornell studies, though not as an insider to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historical world. This background is apparent in her handling of the archival record,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library, his clipping files, and the visual history of the motifs he reworks. The essay is strongest and more convincing when it draws on her expertise. </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While Hoving builds a case study, Pestell develops a comparative argument. Rather than focusing on a single artist, he compares two early novels through the shared image of the Sun. His abstract outlines the main differences between the two novels: Ballard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Sun is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a transcendental engine that drives individual psychic integration, while Harris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is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a gateway into a metaphysical realm of spiritual unity</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6"/>
      </w:r>
      <w:r>
        <w:rPr>
          <w:rFonts w:ascii="Times New Roman" w:hAnsi="Times New Roman"/>
          <w:outline w:val="0"/>
          <w:color w:val="666666"/>
          <w:sz w:val="24"/>
          <w:szCs w:val="24"/>
          <w:u w:color="666666"/>
          <w:rtl w:val="0"/>
          <w:lang w:val="en-US"/>
          <w14:textFill>
            <w14:solidFill>
              <w14:srgbClr w14:val="666666"/>
            </w14:solidFill>
          </w14:textFill>
        </w:rPr>
        <w:t xml:space="preserve"> Pestell makes his comparative goal initially clear by showing that the two novels use solar imagery in different ways, which gives his essay a stronger structure. As a literary scholar and Visiting Fellow at the University of Essex, Pestell works at the intersection of myth, psychology, and modern literature.</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7"/>
      </w:r>
      <w:r>
        <w:rPr>
          <w:rFonts w:ascii="Times New Roman" w:hAnsi="Times New Roman"/>
          <w:outline w:val="0"/>
          <w:color w:val="666666"/>
          <w:sz w:val="24"/>
          <w:szCs w:val="24"/>
          <w:u w:color="666666"/>
          <w:rtl w:val="0"/>
          <w:lang w:val="en-US"/>
          <w14:textFill>
            <w14:solidFill>
              <w14:srgbClr w14:val="666666"/>
            </w14:solidFill>
          </w14:textFill>
        </w:rPr>
        <w:t xml:space="preserve"> He also pays attention to the biographical and cultural backgrounds of Harris and Ballard, especially their experiences of migration and displacement, augmenting the study. Drawing on Charles Sugnet</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discussion of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exile,</w:t>
      </w:r>
      <w:r>
        <w:rPr>
          <w:rFonts w:ascii="Times New Roman" w:hAnsi="Times New Roman" w:hint="default"/>
          <w:outline w:val="0"/>
          <w:color w:val="666666"/>
          <w:sz w:val="24"/>
          <w:szCs w:val="24"/>
          <w:u w:color="666666"/>
          <w:rtl w:val="0"/>
          <w:lang w:val="en-US"/>
          <w14:textFill>
            <w14:solidFill>
              <w14:srgbClr w14:val="666666"/>
            </w14:solidFill>
          </w14:textFill>
        </w:rPr>
        <w:t xml:space="preserve">’ </w:t>
      </w:r>
      <w:r>
        <w:rPr>
          <w:rFonts w:ascii="Times New Roman" w:hAnsi="Times New Roman"/>
          <w:outline w:val="0"/>
          <w:color w:val="666666"/>
          <w:sz w:val="24"/>
          <w:szCs w:val="24"/>
          <w:u w:color="666666"/>
          <w:rtl w:val="0"/>
          <w:lang w:val="en-US"/>
          <w14:textFill>
            <w14:solidFill>
              <w14:srgbClr w14:val="666666"/>
            </w14:solidFill>
          </w14:textFill>
        </w:rPr>
        <w:t>Pestell presents both writers as outsiders, suggesting that this status gave them a unique view of Western modernity.</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8"/>
      </w:r>
      <w:r>
        <w:rPr>
          <w:rFonts w:ascii="Times New Roman" w:hAnsi="Times New Roman"/>
          <w:outline w:val="0"/>
          <w:color w:val="666666"/>
          <w:sz w:val="24"/>
          <w:szCs w:val="24"/>
          <w:u w:color="666666"/>
          <w:rtl w:val="0"/>
          <w:lang w:val="en-US"/>
          <w14:textFill>
            <w14:solidFill>
              <w14:srgbClr w14:val="666666"/>
            </w14:solidFill>
          </w14:textFill>
        </w:rPr>
        <w:t xml:space="preserve"> Pestell addresses the position of the authors more directly, showing how their backgrounds shape his interpretation, whereas Hoving says less about how her own scholarly position informs her reading.</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In this essay, reflexivity refers to how far an author makes their own critical standpoint and method visible within the analysis.</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9"/>
      </w:r>
      <w:r>
        <w:rPr>
          <w:rFonts w:ascii="Times New Roman" w:hAnsi="Times New Roman"/>
          <w:outline w:val="0"/>
          <w:color w:val="666666"/>
          <w:sz w:val="24"/>
          <w:szCs w:val="24"/>
          <w:u w:color="666666"/>
          <w:rtl w:val="0"/>
          <w:lang w:val="en-US"/>
          <w14:textFill>
            <w14:solidFill>
              <w14:srgbClr w14:val="666666"/>
            </w14:solidFill>
          </w14:textFill>
        </w:rPr>
        <w:t>The two articles differ in how far the authors develop their own critical position and in how they handle distance and reflexive awareness. Pestell is more explicit about the terms of his reading: he defines the comparative basis of the article early, stating more clearly how theory is being used, and distinguishes his interpretation from a simple application of psychology to literature. Hoving, by contrast, says less about how her position as a Cornell specialist shapes the article</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perspective. She identifies the essay as a case study and invokes psychological myth theory, but does not reflect in the same detail on how that framework guides her interpretation. In this respect,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is more reflexive at the level of method, whereas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remains less explicit about its own critical standpoint.</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A further contrast appears in the articles</w:t>
      </w:r>
      <w:r>
        <w:rPr>
          <w:rFonts w:ascii="Times New Roman" w:hAnsi="Times New Roman" w:hint="default"/>
          <w:outline w:val="0"/>
          <w:color w:val="666666"/>
          <w:sz w:val="24"/>
          <w:szCs w:val="24"/>
          <w:u w:color="666666"/>
          <w:rtl w:val="0"/>
          <w:lang w:val="en-US"/>
          <w14:textFill>
            <w14:solidFill>
              <w14:srgbClr w14:val="666666"/>
            </w14:solidFill>
          </w14:textFill>
        </w:rPr>
        <w:t xml:space="preserve">’ </w:t>
      </w:r>
      <w:r>
        <w:rPr>
          <w:rFonts w:ascii="Times New Roman" w:hAnsi="Times New Roman"/>
          <w:outline w:val="0"/>
          <w:color w:val="666666"/>
          <w:sz w:val="24"/>
          <w:szCs w:val="24"/>
          <w:u w:color="666666"/>
          <w:rtl w:val="0"/>
          <w:lang w:val="en-US"/>
          <w14:textFill>
            <w14:solidFill>
              <w14:srgbClr w14:val="666666"/>
            </w14:solidFill>
          </w14:textFill>
        </w:rPr>
        <w:t>handling of scale.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analysis is centrally focused on the single figure of Cornell, and this concentration gives the essay a clear centre, but also means that broader contextual claims are introduced selectively and often return quickly to the artist</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symbolic world.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is more insular, while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comparison between his selected authors' works reaches farther and wider. His article thoughtfully holds together two novelists, two texts, and a larger theoretical frame; he is required to make his transitions and comparative terms more visible to the reader. This difference does not make one article automatically superior to the other, but it does affect how each argument is supported.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reads more as a study led by objects and motifs, while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reads more as a study led by comparison. Noting this difference helps clarify why Hoving's article is more intimate and texturally rich in detail, whereas Pestell often appears more explicit in method and structure.</w:t>
      </w:r>
    </w:p>
    <w:p>
      <w:pPr>
        <w:pStyle w:val="Heading 2"/>
        <w:keepNext w:val="0"/>
        <w:keepLines w:val="0"/>
        <w:spacing w:before="200" w:after="180" w:line="240" w:lineRule="auto"/>
        <w:rPr>
          <w:rFonts w:ascii="Times New Roman" w:cs="Times New Roman" w:hAnsi="Times New Roman" w:eastAsia="Times New Roman"/>
          <w:b w:val="1"/>
          <w:bCs w:val="1"/>
          <w:outline w:val="0"/>
          <w:color w:val="666666"/>
          <w:sz w:val="26"/>
          <w:szCs w:val="26"/>
          <w:u w:color="666666"/>
          <w14:textFill>
            <w14:solidFill>
              <w14:srgbClr w14:val="666666"/>
            </w14:solidFill>
          </w14:textFill>
        </w:rPr>
      </w:pPr>
      <w:bookmarkStart w:name="_hwppklljyd30" w:id="8"/>
      <w:bookmarkEnd w:id="8"/>
      <w:r>
        <w:rPr>
          <w:rFonts w:ascii="Times New Roman" w:hAnsi="Times New Roman"/>
          <w:b w:val="1"/>
          <w:bCs w:val="1"/>
          <w:outline w:val="0"/>
          <w:color w:val="666666"/>
          <w:sz w:val="26"/>
          <w:szCs w:val="26"/>
          <w:u w:color="666666"/>
          <w:rtl w:val="0"/>
          <w14:textFill>
            <w14:solidFill>
              <w14:srgbClr w14:val="666666"/>
            </w14:solidFill>
          </w14:textFill>
        </w:rPr>
        <w:t>S</w:t>
      </w:r>
      <w:r>
        <w:rPr>
          <w:rFonts w:ascii="Times New Roman" w:hAnsi="Times New Roman"/>
          <w:b w:val="1"/>
          <w:bCs w:val="1"/>
          <w:outline w:val="0"/>
          <w:color w:val="666666"/>
          <w:sz w:val="26"/>
          <w:szCs w:val="26"/>
          <w:u w:color="666666"/>
          <w:rtl w:val="0"/>
          <w:lang w:val="en-US"/>
          <w14:textFill>
            <w14:solidFill>
              <w14:srgbClr w14:val="666666"/>
            </w14:solidFill>
          </w14:textFill>
        </w:rPr>
        <w:t>ubject Matter and Scholarly Context</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The two papers share a central concern: both ask how heavenly bodies retain meaning in modern times; however, they approach this question differently. Hoving looks at how astronomical myth appears in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collages, assemblages, and boxed constructions. She traces his interest in astronomy through his reading of Camille Flammarion, his use of Hevelius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and Bode</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constellation maps, and his turning these materials into personal symbols.</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0"/>
      </w:r>
      <w:r>
        <w:rPr>
          <w:rFonts w:ascii="Times New Roman" w:hAnsi="Times New Roman"/>
          <w:outline w:val="0"/>
          <w:color w:val="666666"/>
          <w:sz w:val="24"/>
          <w:szCs w:val="24"/>
          <w:u w:color="666666"/>
          <w:rtl w:val="0"/>
          <w:lang w:val="en-US"/>
          <w14:textFill>
            <w14:solidFill>
              <w14:srgbClr w14:val="666666"/>
            </w14:solidFill>
          </w14:textFill>
        </w:rPr>
        <w:t xml:space="preserve"> Hoving moves from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fascination with Andromeda to his use of the old constellation Custos Messium in works related to Marilyn Monroe.</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1"/>
      </w:r>
      <w:r>
        <w:rPr>
          <w:rFonts w:ascii="Times New Roman" w:hAnsi="Times New Roman"/>
          <w:outline w:val="0"/>
          <w:color w:val="666666"/>
          <w:sz w:val="24"/>
          <w:szCs w:val="24"/>
          <w:u w:color="666666"/>
          <w:rtl w:val="0"/>
          <w:lang w:val="en-US"/>
          <w14:textFill>
            <w14:solidFill>
              <w14:srgbClr w14:val="666666"/>
            </w14:solidFill>
          </w14:textFill>
        </w:rPr>
        <w:t xml:space="preserve"> Her main point is that myth gave Cornell a way to explore his own inner process through scientific modernity, desire, companionship, grief, and release.</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2"/>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de-DE"/>
          <w14:textFill>
            <w14:solidFill>
              <w14:srgbClr w14:val="666666"/>
            </w14:solidFill>
          </w14:textFill>
        </w:rPr>
        <w:t>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discussion is broader in scope and more overtly concerned with philosophical questions.</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3"/>
      </w:r>
      <w:r>
        <w:rPr>
          <w:rFonts w:ascii="Times New Roman" w:hAnsi="Times New Roman"/>
          <w:outline w:val="0"/>
          <w:color w:val="666666"/>
          <w:sz w:val="24"/>
          <w:szCs w:val="24"/>
          <w:u w:color="666666"/>
          <w:rtl w:val="0"/>
          <w:lang w:val="en-US"/>
          <w14:textFill>
            <w14:solidFill>
              <w14:srgbClr w14:val="666666"/>
            </w14:solidFill>
          </w14:textFill>
        </w:rPr>
        <w:t xml:space="preserve"> He starts by placing the modern Sun in the context of a supposedly disenchanted twentieth century, referencing Weber</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idea of modern rationality but arguing that fiction can still bring back spiritual and mythic forms.</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4"/>
      </w:r>
      <w:r>
        <w:rPr>
          <w:rFonts w:ascii="Times New Roman" w:hAnsi="Times New Roman"/>
          <w:outline w:val="0"/>
          <w:color w:val="666666"/>
          <w:sz w:val="24"/>
          <w:szCs w:val="24"/>
          <w:u w:color="666666"/>
          <w:rtl w:val="0"/>
          <w:lang w:val="en-US"/>
          <w14:textFill>
            <w14:solidFill>
              <w14:srgbClr w14:val="666666"/>
            </w14:solidFill>
          </w14:textFill>
        </w:rPr>
        <w:t xml:space="preserve"> Pestell claims that, for both writers, the Sun is a symbol connected to inner life and change. He then makes a clear distinction between the two authors. As he says in the abstract,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Ballard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Sun is a transcendental engine that drives individual psychic integration, while Harris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is a gateway into a metaphysical realm of spiritual unity</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5"/>
      </w:r>
      <w:r>
        <w:rPr>
          <w:rFonts w:ascii="Times New Roman" w:hAnsi="Times New Roman"/>
          <w:outline w:val="0"/>
          <w:color w:val="666666"/>
          <w:sz w:val="24"/>
          <w:szCs w:val="24"/>
          <w:u w:color="666666"/>
          <w:rtl w:val="0"/>
          <w:lang w:val="en-US"/>
          <w14:textFill>
            <w14:solidFill>
              <w14:srgbClr w14:val="666666"/>
            </w14:solidFill>
          </w14:textFill>
        </w:rPr>
        <w:t xml:space="preserve"> So, the focus is not just on solar imagery, but on how mythic consciousness continues in modern literature. Comparatively,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approach is more ambitious and more clearly theoretical.</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The difference is also evident in the way the two articles are organised.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is clear and mostly well-organised. The beginning explains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long-term interest in astronomy, highlights Flammarion and old celestial atlases as key sources, and then narrows the focus to Andromeda and Custos Messium.</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6"/>
      </w:r>
      <w:r>
        <w:rPr>
          <w:rFonts w:ascii="Times New Roman" w:hAnsi="Times New Roman"/>
          <w:outline w:val="0"/>
          <w:color w:val="666666"/>
          <w:sz w:val="24"/>
          <w:szCs w:val="24"/>
          <w:u w:color="666666"/>
          <w:rtl w:val="0"/>
          <w:lang w:val="en-US"/>
          <w14:textFill>
            <w14:solidFill>
              <w14:srgbClr w14:val="666666"/>
            </w14:solidFill>
          </w14:textFill>
        </w:rPr>
        <w:t xml:space="preserve"> Her essay is structured around specific examples from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work. The shift from Andromeda to Custos Messium is also thematically coherent: the first group centres on eroticism, innocence, and sacrifice, while the second is more concerned with mourning, guardianship, and memory. Hoving concludes by arguing that Cornell transformed myth into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personalized visions of the stars</w:t>
      </w:r>
      <w:r>
        <w:rPr>
          <w:rFonts w:ascii="Times New Roman" w:hAnsi="Times New Roman" w:hint="default"/>
          <w:outline w:val="0"/>
          <w:color w:val="666666"/>
          <w:sz w:val="24"/>
          <w:szCs w:val="24"/>
          <w:u w:color="666666"/>
          <w:rtl w:val="0"/>
          <w:lang w:val="en-US"/>
          <w14:textFill>
            <w14:solidFill>
              <w14:srgbClr w14:val="666666"/>
            </w14:solidFill>
          </w14:textFill>
        </w:rPr>
        <w:t xml:space="preserve">’ </w:t>
      </w:r>
      <w:r>
        <w:rPr>
          <w:rFonts w:ascii="Times New Roman" w:hAnsi="Times New Roman"/>
          <w:outline w:val="0"/>
          <w:color w:val="666666"/>
          <w:sz w:val="24"/>
          <w:szCs w:val="24"/>
          <w:u w:color="666666"/>
          <w:rtl w:val="0"/>
          <w:lang w:val="en-US"/>
          <w14:textFill>
            <w14:solidFill>
              <w14:srgbClr w14:val="666666"/>
            </w14:solidFill>
          </w14:textFill>
        </w:rPr>
        <w:t xml:space="preserve">that answered his need for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companionship, intimacy, and deliverance</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7"/>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However, there are some structural weaknesses.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thesis is not as fully developed as it could be. The abstract promises to use psychological myth theory, but the paper does not define this theory, name its main thinkers, or explicitly explain how it is used as a method. The article shifts between art history, biography, archives, and psychological ideas without always explaining the connections between them.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wider cultural importance is more often assumed than fully demonstrated. More broadly, although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expertise is clear, the article does not fully develop its scholarly and theoretical context. Hoving notes his lifelong interest in astronomy and refers to a </w:t>
      </w:r>
      <w:r>
        <w:rPr>
          <w:rFonts w:ascii="Times New Roman" w:hAnsi="Times New Roman"/>
          <w:i w:val="1"/>
          <w:iCs w:val="1"/>
          <w:outline w:val="0"/>
          <w:color w:val="666666"/>
          <w:sz w:val="24"/>
          <w:szCs w:val="24"/>
          <w:u w:color="666666"/>
          <w:rtl w:val="0"/>
          <w:lang w:val="en-US"/>
          <w14:textFill>
            <w14:solidFill>
              <w14:srgbClr w14:val="666666"/>
            </w14:solidFill>
          </w14:textFill>
        </w:rPr>
        <w:t>Life</w:t>
      </w:r>
      <w:r>
        <w:rPr>
          <w:rFonts w:ascii="Times New Roman" w:hAnsi="Times New Roman"/>
          <w:outline w:val="0"/>
          <w:color w:val="666666"/>
          <w:sz w:val="24"/>
          <w:szCs w:val="24"/>
          <w:u w:color="666666"/>
          <w:rtl w:val="0"/>
          <w:lang w:val="en-US"/>
          <w14:textFill>
            <w14:solidFill>
              <w14:srgbClr w14:val="666666"/>
            </w14:solidFill>
          </w14:textFill>
        </w:rPr>
        <w:t xml:space="preserve"> article about his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imagined universe stored in boxes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but she does not fully explain why Cornell is important within a broader modern context of astronomical imagination.</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8"/>
      </w:r>
      <w:r>
        <w:rPr>
          <w:rFonts w:ascii="Times New Roman" w:hAnsi="Times New Roman"/>
          <w:outline w:val="0"/>
          <w:color w:val="666666"/>
          <w:sz w:val="24"/>
          <w:szCs w:val="24"/>
          <w:u w:color="666666"/>
          <w:rtl w:val="0"/>
          <w:lang w:val="en-US"/>
          <w14:textFill>
            <w14:solidFill>
              <w14:srgbClr w14:val="666666"/>
            </w14:solidFill>
          </w14:textFill>
        </w:rPr>
        <w:t xml:space="preserve"> This does not undermine the essay as a whole, but it does narrow the reach of its argument.</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de-DE"/>
          <w14:textFill>
            <w14:solidFill>
              <w14:srgbClr w14:val="666666"/>
            </w14:solidFill>
          </w14:textFill>
        </w:rPr>
        <w:t>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is more tightly organised and more consistently supported by secondary scholarship than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After the introductory framing around disenchantment and modern solar symbolism, he offers a short discussion of modernist precedents, especially Yeats and Stevens, which helps situate Harris and Ballard within a wider literary tradition.</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19"/>
      </w:r>
      <w:r>
        <w:rPr>
          <w:rFonts w:ascii="Times New Roman" w:hAnsi="Times New Roman"/>
          <w:outline w:val="0"/>
          <w:color w:val="666666"/>
          <w:sz w:val="24"/>
          <w:szCs w:val="24"/>
          <w:u w:color="666666"/>
          <w:rtl w:val="0"/>
          <w:lang w:val="en-US"/>
          <w14:textFill>
            <w14:solidFill>
              <w14:srgbClr w14:val="666666"/>
            </w14:solidFill>
          </w14:textFill>
        </w:rPr>
        <w:t xml:space="preserve"> Pestell uses Jungian individuation as a way of comparing the two novels, but he is careful not to claim that the novels are just examples of Jungian psychology.</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0"/>
      </w:r>
      <w:r>
        <w:rPr>
          <w:rFonts w:ascii="Times New Roman" w:hAnsi="Times New Roman"/>
          <w:outline w:val="0"/>
          <w:color w:val="666666"/>
          <w:sz w:val="24"/>
          <w:szCs w:val="24"/>
          <w:u w:color="666666"/>
          <w:rtl w:val="0"/>
          <w:lang w:val="en-US"/>
          <w14:textFill>
            <w14:solidFill>
              <w14:srgbClr w14:val="666666"/>
            </w14:solidFill>
          </w14:textFill>
        </w:rPr>
        <w:t xml:space="preserve"> From there, the article divides cleanly into substantial sections on </w:t>
      </w:r>
      <w:r>
        <w:rPr>
          <w:rFonts w:ascii="Times New Roman" w:hAnsi="Times New Roman"/>
          <w:i w:val="1"/>
          <w:iCs w:val="1"/>
          <w:outline w:val="0"/>
          <w:color w:val="666666"/>
          <w:sz w:val="24"/>
          <w:szCs w:val="24"/>
          <w:u w:color="666666"/>
          <w:rtl w:val="0"/>
          <w:lang w:val="en-US"/>
          <w14:textFill>
            <w14:solidFill>
              <w14:srgbClr w14:val="666666"/>
            </w14:solidFill>
          </w14:textFill>
        </w:rPr>
        <w:t xml:space="preserve">The Drowned World </w:t>
      </w:r>
      <w:r>
        <w:rPr>
          <w:rFonts w:ascii="Times New Roman" w:hAnsi="Times New Roman"/>
          <w:outline w:val="0"/>
          <w:color w:val="666666"/>
          <w:sz w:val="24"/>
          <w:szCs w:val="24"/>
          <w:u w:color="666666"/>
          <w:rtl w:val="0"/>
          <w:lang w:val="en-US"/>
          <w14:textFill>
            <w14:solidFill>
              <w14:srgbClr w14:val="666666"/>
            </w14:solidFill>
          </w14:textFill>
        </w:rPr>
        <w:t xml:space="preserve">and </w:t>
      </w:r>
      <w:r>
        <w:rPr>
          <w:rFonts w:ascii="Times New Roman" w:hAnsi="Times New Roman"/>
          <w:i w:val="1"/>
          <w:iCs w:val="1"/>
          <w:outline w:val="0"/>
          <w:color w:val="666666"/>
          <w:sz w:val="24"/>
          <w:szCs w:val="24"/>
          <w:u w:color="666666"/>
          <w:rtl w:val="0"/>
          <w:lang w:val="en-US"/>
          <w14:textFill>
            <w14:solidFill>
              <w14:srgbClr w14:val="666666"/>
            </w14:solidFill>
          </w14:textFill>
        </w:rPr>
        <w:t>Palace of the Peacock</w:t>
      </w:r>
      <w:r>
        <w:rPr>
          <w:rFonts w:ascii="Times New Roman" w:hAnsi="Times New Roman"/>
          <w:outline w:val="0"/>
          <w:color w:val="666666"/>
          <w:sz w:val="24"/>
          <w:szCs w:val="24"/>
          <w:u w:color="666666"/>
          <w:rtl w:val="0"/>
          <w:lang w:val="en-US"/>
          <w14:textFill>
            <w14:solidFill>
              <w14:srgbClr w14:val="666666"/>
            </w14:solidFill>
          </w14:textFill>
        </w:rPr>
        <w:t xml:space="preserve">, before returning in a final section to a more general question of the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twentieth-century Sun-god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1"/>
      </w:r>
      <w:r>
        <w:rPr>
          <w:rFonts w:ascii="Times New Roman" w:hAnsi="Times New Roman"/>
          <w:outline w:val="0"/>
          <w:color w:val="666666"/>
          <w:sz w:val="24"/>
          <w:szCs w:val="24"/>
          <w:u w:color="666666"/>
          <w:rtl w:val="0"/>
          <w:lang w:val="en-US"/>
          <w14:textFill>
            <w14:solidFill>
              <w14:srgbClr w14:val="666666"/>
            </w14:solidFill>
          </w14:textFill>
        </w:rPr>
        <w:t xml:space="preserve"> The article is organised so that the argument builds progressively; each section is analytically distinct, and its conclusion draws the argument together smoothly. Pestell is also careful to keep his main ideas clear throughout the article. He often returns to terms such as myth, psyche, transcendence, exile, and visionary experience, and each recurrence helps clarify and strengthen the comparison. Pestell refines his comparison by bringing in Francis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reading of Ballard, which understands Jungian individuation in </w:t>
      </w:r>
      <w:r>
        <w:rPr>
          <w:rFonts w:ascii="Times New Roman" w:hAnsi="Times New Roman"/>
          <w:i w:val="1"/>
          <w:iCs w:val="1"/>
          <w:outline w:val="0"/>
          <w:color w:val="666666"/>
          <w:sz w:val="24"/>
          <w:szCs w:val="24"/>
          <w:u w:color="666666"/>
          <w:rtl w:val="0"/>
          <w:lang w:val="en-US"/>
          <w14:textFill>
            <w14:solidFill>
              <w14:srgbClr w14:val="666666"/>
            </w14:solidFill>
          </w14:textFill>
        </w:rPr>
        <w:t>The Drowned World</w:t>
      </w:r>
      <w:r>
        <w:rPr>
          <w:rFonts w:ascii="Times New Roman" w:hAnsi="Times New Roman"/>
          <w:outline w:val="0"/>
          <w:color w:val="666666"/>
          <w:sz w:val="24"/>
          <w:szCs w:val="24"/>
          <w:u w:color="666666"/>
          <w:rtl w:val="0"/>
          <w:lang w:val="en-US"/>
          <w14:textFill>
            <w14:solidFill>
              <w14:srgbClr w14:val="666666"/>
            </w14:solidFill>
          </w14:textFill>
        </w:rPr>
        <w:t xml:space="preserve"> through a Freudian death instinct and helps clarify the difference between Ballard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bleak path and Harris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movement towards unity.</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2"/>
      </w:r>
      <w:r>
        <w:rPr>
          <w:rFonts w:ascii="Times New Roman" w:hAnsi="Times New Roman"/>
          <w:outline w:val="0"/>
          <w:color w:val="666666"/>
          <w:sz w:val="24"/>
          <w:szCs w:val="24"/>
          <w:u w:color="666666"/>
          <w:rtl w:val="0"/>
          <w:lang w:val="en-US"/>
          <w14:textFill>
            <w14:solidFill>
              <w14:srgbClr w14:val="666666"/>
            </w14:solidFill>
          </w14:textFill>
        </w:rPr>
        <w:t xml:space="preserve"> This use of scholarship helps to refine and sustain the comparison.</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Both papers outline how myth remains active in modern culture rather than being preserved solely in earlier traditions. In Hoving, myth often appears as narrative content or a symbolic reservoir specific to Cornell. It is something he adapts, personalises, and modernises through his art. Hoving argues that Cornell used the myths of Andromeda and Custos Messium as symbolic structures through which private desire and public grief could be mediated.</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3"/>
      </w:r>
      <w:r>
        <w:rPr>
          <w:rFonts w:ascii="Times New Roman" w:hAnsi="Times New Roman"/>
          <w:outline w:val="0"/>
          <w:color w:val="666666"/>
          <w:sz w:val="24"/>
          <w:szCs w:val="24"/>
          <w:u w:color="666666"/>
          <w:rtl w:val="0"/>
          <w:lang w:val="de-DE"/>
          <w14:textFill>
            <w14:solidFill>
              <w14:srgbClr w14:val="666666"/>
            </w14:solidFill>
          </w14:textFill>
        </w:rPr>
        <w:t xml:space="preserve"> In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myth is not only part of the novels</w:t>
      </w:r>
      <w:r>
        <w:rPr>
          <w:rFonts w:ascii="Times New Roman" w:hAnsi="Times New Roman" w:hint="default"/>
          <w:outline w:val="0"/>
          <w:color w:val="666666"/>
          <w:sz w:val="24"/>
          <w:szCs w:val="24"/>
          <w:u w:color="666666"/>
          <w:rtl w:val="0"/>
          <w:lang w:val="en-US"/>
          <w14:textFill>
            <w14:solidFill>
              <w14:srgbClr w14:val="666666"/>
            </w14:solidFill>
          </w14:textFill>
        </w:rPr>
        <w:t xml:space="preserve">’ </w:t>
      </w:r>
      <w:r>
        <w:rPr>
          <w:rFonts w:ascii="Times New Roman" w:hAnsi="Times New Roman"/>
          <w:outline w:val="0"/>
          <w:color w:val="666666"/>
          <w:sz w:val="24"/>
          <w:szCs w:val="24"/>
          <w:u w:color="666666"/>
          <w:rtl w:val="0"/>
          <w:lang w:val="en-US"/>
          <w14:textFill>
            <w14:solidFill>
              <w14:srgbClr w14:val="666666"/>
            </w14:solidFill>
          </w14:textFill>
        </w:rPr>
        <w:t>content, but also part of the interpretive framework used to read them. He is interested in solar depictions, but also in how literary form can become mythopoeic. Pestell argues that myth remains meaningful in a disenchanted age and that the Sun continues to hold symbolic power in modern literature.</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4"/>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Hoving is most persuasive when she shows how Cornell combines modern science, old star maps, and private fantasy into his visual world. In passages of this kind, Hoving is not relying primarily on broad theory or psychological interpretation, but rather showing, through visual and material evidence, how Cornell brings together scientific imagery, historical star charts, and his own imaginative symbolism. Her discussion of Andromeda is especially effective in showing that the myth provided Cornell with a flexible structure through which innocence, eroticism, sacrifice, and scientific vastness could coexist.</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5"/>
      </w:r>
      <w:r>
        <w:rPr>
          <w:rFonts w:ascii="Times New Roman" w:hAnsi="Times New Roman"/>
          <w:outline w:val="0"/>
          <w:color w:val="666666"/>
          <w:sz w:val="24"/>
          <w:szCs w:val="24"/>
          <w:u w:color="666666"/>
          <w:rtl w:val="0"/>
          <w:lang w:val="en-US"/>
          <w14:textFill>
            <w14:solidFill>
              <w14:srgbClr w14:val="666666"/>
            </w14:solidFill>
          </w14:textFill>
        </w:rPr>
        <w:t xml:space="preserve"> Still, these interpretive moves are not consistently supported by a clarified theory of myth. When she suggests that myths can function as culturally sanctioned outlets for repressed desire, the point is suggestive but briefly stated and insufficiently grounded in scholarship.</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6"/>
      </w:r>
      <w:r>
        <w:rPr>
          <w:rFonts w:ascii="Times New Roman" w:hAnsi="Times New Roman"/>
          <w:outline w:val="0"/>
          <w:color w:val="666666"/>
          <w:sz w:val="24"/>
          <w:szCs w:val="24"/>
          <w:u w:color="666666"/>
          <w:rtl w:val="0"/>
          <w:lang w:val="en-US"/>
          <w14:textFill>
            <w14:solidFill>
              <w14:srgbClr w14:val="666666"/>
            </w14:solidFill>
          </w14:textFill>
        </w:rPr>
        <w:t xml:space="preserve"> The reader is left to infer the theoretical basis.</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Pestell, on the other hand, handles similar concepts with greater explicitness. His solar myth is tied to modern disenchantment, to literary modernism, to Jungian and post-Jungian discussion, and to outsider consciousness.</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7"/>
      </w:r>
      <w:r>
        <w:rPr>
          <w:rFonts w:ascii="Times New Roman" w:hAnsi="Times New Roman"/>
          <w:outline w:val="0"/>
          <w:color w:val="666666"/>
          <w:sz w:val="24"/>
          <w:szCs w:val="24"/>
          <w:u w:color="666666"/>
          <w:rtl w:val="0"/>
          <w:lang w:val="en-US"/>
          <w14:textFill>
            <w14:solidFill>
              <w14:srgbClr w14:val="666666"/>
            </w14:solidFill>
          </w14:textFill>
        </w:rPr>
        <w:t xml:space="preserve"> He is careful not to overstate theoretical correspondence. At a crucial point, he remarks that fiction is not obliged to reproduce psychological theories or scientific hypotheses and that the novelist</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observations possess their own kind of truth.</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8"/>
      </w:r>
      <w:r>
        <w:rPr>
          <w:rFonts w:ascii="Times New Roman" w:hAnsi="Times New Roman"/>
          <w:outline w:val="0"/>
          <w:color w:val="666666"/>
          <w:sz w:val="24"/>
          <w:szCs w:val="24"/>
          <w:u w:color="666666"/>
          <w:rtl w:val="0"/>
          <w:lang w:val="en-US"/>
          <w14:textFill>
            <w14:solidFill>
              <w14:srgbClr w14:val="666666"/>
            </w14:solidFill>
          </w14:textFill>
        </w:rPr>
        <w:t xml:space="preserve"> This is methodologically helpful because it shows that Pestell uses theory to guide his interpretation without making the novels conform too neatly to it. Hoving does not offer a similar clarification, leaving her theoretical approach less clearly explained.</w:t>
      </w:r>
    </w:p>
    <w:p>
      <w:pPr>
        <w:pStyle w:val="Heading 3"/>
        <w:keepNext w:val="0"/>
        <w:keepLines w:val="0"/>
        <w:spacing w:before="200" w:after="140" w:line="240" w:lineRule="auto"/>
        <w:rPr>
          <w:rFonts w:ascii="Times New Roman" w:cs="Times New Roman" w:hAnsi="Times New Roman" w:eastAsia="Times New Roman"/>
          <w:b w:val="1"/>
          <w:bCs w:val="1"/>
          <w:outline w:val="0"/>
          <w:color w:val="666666"/>
          <w:sz w:val="26"/>
          <w:szCs w:val="26"/>
          <w:u w:color="666666"/>
          <w14:textFill>
            <w14:solidFill>
              <w14:srgbClr w14:val="666666"/>
            </w14:solidFill>
          </w14:textFill>
        </w:rPr>
      </w:pPr>
      <w:bookmarkStart w:name="_hw18l94d5es0" w:id="9"/>
      <w:bookmarkEnd w:id="9"/>
      <w:r>
        <w:rPr>
          <w:rFonts w:ascii="Times New Roman" w:hAnsi="Times New Roman"/>
          <w:b w:val="1"/>
          <w:bCs w:val="1"/>
          <w:outline w:val="0"/>
          <w:color w:val="666666"/>
          <w:sz w:val="26"/>
          <w:szCs w:val="26"/>
          <w:u w:color="666666"/>
          <w:rtl w:val="0"/>
          <w14:textFill>
            <w14:solidFill>
              <w14:srgbClr w14:val="666666"/>
            </w14:solidFill>
          </w14:textFill>
        </w:rPr>
        <w:t>U</w:t>
      </w:r>
      <w:r>
        <w:rPr>
          <w:rFonts w:ascii="Times New Roman" w:hAnsi="Times New Roman"/>
          <w:b w:val="1"/>
          <w:bCs w:val="1"/>
          <w:outline w:val="0"/>
          <w:color w:val="666666"/>
          <w:sz w:val="26"/>
          <w:szCs w:val="26"/>
          <w:u w:color="666666"/>
          <w:rtl w:val="0"/>
          <w:lang w:val="en-US"/>
          <w14:textFill>
            <w14:solidFill>
              <w14:srgbClr w14:val="666666"/>
            </w14:solidFill>
          </w14:textFill>
        </w:rPr>
        <w:t>se of Sources and Critical Limits</w:t>
      </w:r>
    </w:p>
    <w:p>
      <w:pPr>
        <w:pStyle w:val="Body"/>
        <w:spacing w:before="200"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use of sources as evidence is strongest at the level of visual and archival material.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clipping files, library, notes, star charts, and works give the article substantial texture, and her discussion of visual precedents such as Titian, Rubens, Delacroix, and Burne-Jones adds a persuasive art-historical depth.</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29"/>
      </w:r>
      <w:r>
        <w:rPr>
          <w:rFonts w:ascii="Times New Roman" w:hAnsi="Times New Roman"/>
          <w:outline w:val="0"/>
          <w:color w:val="666666"/>
          <w:sz w:val="24"/>
          <w:szCs w:val="24"/>
          <w:u w:color="666666"/>
          <w:rtl w:val="0"/>
          <w:lang w:val="en-US"/>
          <w14:textFill>
            <w14:solidFill>
              <w14:srgbClr w14:val="666666"/>
            </w14:solidFill>
          </w14:textFill>
        </w:rPr>
        <w:t xml:space="preserve"> This is one of the article</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most defining strengths. Even so, the secondary scholarship is lighter and less dialogic than in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essay. The references often provide support or context, but they are less often placed in active tension with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own reading. As a result, the article can at times feel assured without being equally debated.</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The two articles also differ in the role that citation plays in their arguments.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references frequently anchor a point of context or visual precedent, help identify sources, position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interests, and support the link between his artwork, archive, and biography. Pestell uses references often throughout his article to define and develop the argument</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conceptual terms, refining distinctions and positioning his individual claims within larger debates about myth, modernity, and psychic process.</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30"/>
      </w:r>
      <w:r>
        <w:rPr>
          <w:rFonts w:ascii="Times New Roman" w:hAnsi="Times New Roman"/>
          <w:outline w:val="0"/>
          <w:color w:val="666666"/>
          <w:sz w:val="24"/>
          <w:szCs w:val="24"/>
          <w:u w:color="666666"/>
          <w:rtl w:val="0"/>
          <w:lang w:val="en-US"/>
          <w14:textFill>
            <w14:solidFill>
              <w14:srgbClr w14:val="666666"/>
            </w14:solidFill>
          </w14:textFill>
        </w:rPr>
        <w:t xml:space="preserve"> His scholarship is more dialogic, despite both authors being well read.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sources are not just there to support what he already thinks; they actively help form the argument and direct how the novels are being read. While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references often stabilise the reading,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more often support, extend, and qualify his argument. Their differences in citations help explain why the two essays feel different and why they argue differently.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method is easier to follow because the structure of the argument remains coherent, whereas Hoving more often leaves the reader to make the connection between method, evidence, and interpretation. </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Pestell draws on a broader and more sustained range of secondary scholarship. References to Weber, Francis, and Sugnet help Pestell define the conceptual terms of his argument and situate particular claims within existing scholarship.</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31"/>
      </w:r>
      <w:r>
        <w:rPr>
          <w:rFonts w:ascii="Times New Roman" w:hAnsi="Times New Roman"/>
          <w:outline w:val="0"/>
          <w:color w:val="666666"/>
          <w:sz w:val="24"/>
          <w:szCs w:val="24"/>
          <w:u w:color="666666"/>
          <w:rtl w:val="0"/>
          <w:lang w:val="en-US"/>
          <w14:textFill>
            <w14:solidFill>
              <w14:srgbClr w14:val="666666"/>
            </w14:solidFill>
          </w14:textFill>
        </w:rPr>
        <w:t xml:space="preserve"> They help him connect solar symbolism to larger questions of disenchantment, literary form, myth, and psychic process. This makes the essay more fully situated within an ongoing scholarly conversation. At the same time,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confidence at the level of theory can sometimes move the discussion towards abstraction, where the argument becomes more conceptual than concrete. Harris, in particular, is mainly described through myth and spiritual ideas, and gives less space than he might to Harris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specific historical and Guyanese colonial background. Ballard, similarly, is read mainly through psyche and symbolic process, which can reduce attention to the political force of environmental collapse in The Drowned World. The result is a stronger comparative argument overall, but one that occasionally smooths over historical differences in order to sustain conceptual coherence.</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limitations are different. They arise less from abstraction than from uneven theoretical development. Her treatment of objects and archives is often impressive, and her discussion of Silent Dedication to MM through Custos Messium is especially memorable. She is particularly good at outlining how an obsolete constellation, removed from modern astronomical systems, could still return in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work as a figure of mourning and protection.</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32"/>
      </w:r>
      <w:r>
        <w:rPr>
          <w:rFonts w:ascii="Times New Roman" w:hAnsi="Times New Roman"/>
          <w:outline w:val="0"/>
          <w:color w:val="666666"/>
          <w:sz w:val="24"/>
          <w:szCs w:val="24"/>
          <w:u w:color="666666"/>
          <w:rtl w:val="0"/>
          <w:lang w:val="en-US"/>
          <w14:textFill>
            <w14:solidFill>
              <w14:srgbClr w14:val="666666"/>
            </w14:solidFill>
          </w14:textFill>
        </w:rPr>
        <w:t xml:space="preserve"> One of the article</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most suggestive implicit claims is that astronomical exactness and imaginative personification do not cancel one another out. Yet because this point remains more suggestive than fully developed, the article does not always build out the wider analytical implications of its strongest material. </w:t>
      </w:r>
    </w:p>
    <w:p>
      <w:pPr>
        <w:pStyle w:val="Heading 3"/>
        <w:keepNext w:val="0"/>
        <w:keepLines w:val="0"/>
        <w:spacing w:before="260" w:after="140" w:line="240" w:lineRule="auto"/>
        <w:rPr>
          <w:rFonts w:ascii="Times New Roman" w:cs="Times New Roman" w:hAnsi="Times New Roman" w:eastAsia="Times New Roman"/>
          <w:b w:val="1"/>
          <w:bCs w:val="1"/>
          <w:outline w:val="0"/>
          <w:color w:val="666666"/>
          <w:sz w:val="26"/>
          <w:szCs w:val="26"/>
          <w:u w:color="666666"/>
          <w14:textFill>
            <w14:solidFill>
              <w14:srgbClr w14:val="666666"/>
            </w14:solidFill>
          </w14:textFill>
        </w:rPr>
      </w:pPr>
      <w:bookmarkStart w:name="_f5wqed6wwka" w:id="10"/>
      <w:bookmarkEnd w:id="10"/>
      <w:r>
        <w:rPr>
          <w:rFonts w:ascii="Times New Roman" w:hAnsi="Times New Roman"/>
          <w:b w:val="1"/>
          <w:bCs w:val="1"/>
          <w:outline w:val="0"/>
          <w:color w:val="666666"/>
          <w:sz w:val="26"/>
          <w:szCs w:val="26"/>
          <w:u w:color="666666"/>
          <w:rtl w:val="0"/>
          <w14:textFill>
            <w14:solidFill>
              <w14:srgbClr w14:val="666666"/>
            </w14:solidFill>
          </w14:textFill>
        </w:rPr>
        <w:t>C</w:t>
      </w:r>
      <w:r>
        <w:rPr>
          <w:rFonts w:ascii="Times New Roman" w:hAnsi="Times New Roman"/>
          <w:b w:val="1"/>
          <w:bCs w:val="1"/>
          <w:outline w:val="0"/>
          <w:color w:val="666666"/>
          <w:sz w:val="26"/>
          <w:szCs w:val="26"/>
          <w:u w:color="666666"/>
          <w:rtl w:val="0"/>
          <w:lang w:val="it-IT"/>
          <w14:textFill>
            <w14:solidFill>
              <w14:srgbClr w14:val="666666"/>
            </w14:solidFill>
          </w14:textFill>
        </w:rPr>
        <w:t>onclusion</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Both essays end coherently, though again with different levels of persuasiveness. Hoving concludes that Cornell turned constellation myths into personal visions that enlarged the expressive range of his art and sustained him psychologically.</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33"/>
      </w:r>
      <w:r>
        <w:rPr>
          <w:rFonts w:ascii="Times New Roman" w:hAnsi="Times New Roman"/>
          <w:outline w:val="0"/>
          <w:color w:val="666666"/>
          <w:sz w:val="24"/>
          <w:szCs w:val="24"/>
          <w:u w:color="666666"/>
          <w:rtl w:val="0"/>
          <w:lang w:val="en-US"/>
          <w14:textFill>
            <w14:solidFill>
              <w14:srgbClr w14:val="666666"/>
            </w14:solidFill>
          </w14:textFill>
        </w:rPr>
        <w:t xml:space="preserve"> This results from the examples discussed, especially Andromeda and Custos Messium. The conclusion is therefore justified by the archival evidence, even if it does not completely resolve the theoretical questions opened at the start.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conclusion, by contrast, synthesises his readings of Harris and Ballard into a broader claim about the reactivation of the Sun as a modern deity or visionary lens.</w:t>
      </w: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erence w:id="34"/>
      </w:r>
      <w:r>
        <w:rPr>
          <w:rFonts w:ascii="Times New Roman" w:hAnsi="Times New Roman"/>
          <w:outline w:val="0"/>
          <w:color w:val="666666"/>
          <w:sz w:val="24"/>
          <w:szCs w:val="24"/>
          <w:u w:color="666666"/>
          <w:rtl w:val="0"/>
          <w:lang w:val="en-US"/>
          <w14:textFill>
            <w14:solidFill>
              <w14:srgbClr w14:val="666666"/>
            </w14:solidFill>
          </w14:textFill>
        </w:rPr>
        <w:t xml:space="preserve"> This is a stronger conclusion because it both answers the comparative question and returns to the opening frame of disenchantment. It grows as the natural progression and outcome of the analysis rather than a separate final statement.</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Both articles challenge the idea that myth belongs only to the ancient world by showing how celestial symbolism continues to shape modern art and literature. The main differences between Hoving and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articles lie in their methods, use of evidence, and engagement with secondary scholarship. 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is a centralised and thoughtful reading of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s work, grounded in visual analysis and rich archival material, but its conceptual framework is often underdeveloped and poorly defined, and its engagement with wider scholarship is limited. Pestell, by contrast, presents a more sustained argument, supported by a clearly stated and well-supported methodology and a more extensive range of secondary sources. He defines its key terms more clearly, distinguishes more carefully between its two authors, and sustains a clearer line of argument from beginning from the abstract to the conclusion, woven throughout. </w:t>
      </w:r>
    </w:p>
    <w:p>
      <w:pPr>
        <w:pStyle w:val="Body"/>
        <w:spacing w:after="120"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Hoving</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continues to hold value for its archival sensitivity and for demonstrating how Cornell made star myth intimate and modern. Pestell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article offers a more persuasive model of comparative analysis because it continually relates textual evidence, clearly outlines Pestell's thought process and conclusion throughout the paper through clearly articulated claims, while keeping its theoretical commitments visible and under control. Taken together, the two papers show the range of ways in which modern culture can reimagine the sky and myth. Both Hoving and Pestell show that interpretive ambition requires strong methodological and scholarship to remain convincing.</w:t>
      </w: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p>
    <w:p>
      <w:pPr>
        <w:pStyle w:val="Body"/>
        <w:spacing w:line="240" w:lineRule="auto"/>
        <w:rPr>
          <w:rFonts w:ascii="Times New Roman" w:cs="Times New Roman" w:hAnsi="Times New Roman" w:eastAsia="Times New Roman"/>
          <w:b w:val="1"/>
          <w:bCs w:val="1"/>
          <w:outline w:val="0"/>
          <w:color w:val="666666"/>
          <w:sz w:val="26"/>
          <w:szCs w:val="26"/>
          <w:u w:color="666666"/>
          <w14:textFill>
            <w14:solidFill>
              <w14:srgbClr w14:val="666666"/>
            </w14:solidFill>
          </w14:textFill>
        </w:rPr>
      </w:pPr>
      <w:r>
        <w:rPr>
          <w:rFonts w:ascii="Times New Roman" w:hAnsi="Times New Roman"/>
          <w:b w:val="1"/>
          <w:bCs w:val="1"/>
          <w:outline w:val="0"/>
          <w:color w:val="666666"/>
          <w:sz w:val="26"/>
          <w:szCs w:val="26"/>
          <w:u w:color="666666"/>
          <w:rtl w:val="0"/>
          <w:lang w:val="fr-FR"/>
          <w14:textFill>
            <w14:solidFill>
              <w14:srgbClr w14:val="666666"/>
            </w14:solidFill>
          </w14:textFill>
        </w:rPr>
        <w:t>Bibliography</w:t>
      </w: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s-ES_tradnl"/>
          <w14:textFill>
            <w14:solidFill>
              <w14:srgbClr w14:val="666666"/>
            </w14:solidFill>
          </w14:textFill>
        </w:rPr>
        <w:t xml:space="preserve">Francis, Samuel, </w:t>
      </w:r>
      <w:r>
        <w:rPr>
          <w:rFonts w:ascii="Times New Roman" w:hAnsi="Times New Roman"/>
          <w:i w:val="1"/>
          <w:iCs w:val="1"/>
          <w:outline w:val="0"/>
          <w:color w:val="666666"/>
          <w:sz w:val="24"/>
          <w:szCs w:val="24"/>
          <w:u w:color="666666"/>
          <w:rtl w:val="0"/>
          <w:lang w:val="en-US"/>
          <w14:textFill>
            <w14:solidFill>
              <w14:srgbClr w14:val="666666"/>
            </w14:solidFill>
          </w14:textFill>
        </w:rPr>
        <w:t>The Psychological Fictions of J. G. Ballard</w:t>
      </w:r>
      <w:r>
        <w:rPr>
          <w:rFonts w:ascii="Times New Roman" w:hAnsi="Times New Roman"/>
          <w:outline w:val="0"/>
          <w:color w:val="666666"/>
          <w:sz w:val="24"/>
          <w:szCs w:val="24"/>
          <w:u w:color="666666"/>
          <w:rtl w:val="0"/>
          <w:lang w:val="en-US"/>
          <w14:textFill>
            <w14:solidFill>
              <w14:srgbClr w14:val="666666"/>
            </w14:solidFill>
          </w14:textFill>
        </w:rPr>
        <w:t xml:space="preserve"> (London: Continuum, 2011), cited</w:t>
      </w:r>
    </w:p>
    <w:p>
      <w:pPr>
        <w:pStyle w:val="Body"/>
        <w:spacing w:line="240" w:lineRule="auto"/>
        <w:ind w:left="720" w:hanging="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de-DE"/>
          <w14:textFill>
            <w14:solidFill>
              <w14:srgbClr w14:val="666666"/>
            </w14:solidFill>
          </w14:textFill>
        </w:rPr>
        <w:t xml:space="preserve">in Ben Pestell,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The Sun Within: New Solar Myth in Early Novels of Wilson Harris and J. G. </w:t>
      </w:r>
    </w:p>
    <w:p>
      <w:pPr>
        <w:pStyle w:val="Body"/>
        <w:spacing w:line="240" w:lineRule="auto"/>
        <w:ind w:left="360" w:firstLine="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14:textFill>
            <w14:solidFill>
              <w14:srgbClr w14:val="666666"/>
            </w14:solidFill>
          </w14:textFill>
        </w:rPr>
        <w:t>Ballard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 xml:space="preserve">, </w:t>
      </w:r>
      <w:r>
        <w:rPr>
          <w:rFonts w:ascii="Times New Roman" w:hAnsi="Times New Roman"/>
          <w:i w:val="1"/>
          <w:iCs w:val="1"/>
          <w:outline w:val="0"/>
          <w:color w:val="666666"/>
          <w:sz w:val="24"/>
          <w:szCs w:val="24"/>
          <w:u w:color="666666"/>
          <w:rtl w:val="0"/>
          <w:lang w:val="en-US"/>
          <w14:textFill>
            <w14:solidFill>
              <w14:srgbClr w14:val="666666"/>
            </w14:solidFill>
          </w14:textFill>
        </w:rPr>
        <w:t>Culture and Cosmos</w:t>
      </w:r>
      <w:r>
        <w:rPr>
          <w:rFonts w:ascii="Times New Roman" w:hAnsi="Times New Roman"/>
          <w:outline w:val="0"/>
          <w:color w:val="666666"/>
          <w:sz w:val="24"/>
          <w:szCs w:val="24"/>
          <w:u w:color="666666"/>
          <w:rtl w:val="0"/>
          <w14:textFill>
            <w14:solidFill>
              <w14:srgbClr w14:val="666666"/>
            </w14:solidFill>
          </w14:textFill>
        </w:rPr>
        <w:t>, 24.1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2 (2023), 81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95</w:t>
      </w:r>
    </w:p>
    <w:p>
      <w:pPr>
        <w:pStyle w:val="Body"/>
        <w:spacing w:line="240" w:lineRule="auto"/>
        <w:rPr>
          <w:rFonts w:ascii="Times New Roman" w:cs="Times New Roman" w:hAnsi="Times New Roman" w:eastAsia="Times New Roman"/>
          <w:i w:val="1"/>
          <w:iCs w:val="1"/>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da-DK"/>
          <w14:textFill>
            <w14:solidFill>
              <w14:srgbClr w14:val="666666"/>
            </w14:solidFill>
          </w14:textFill>
        </w:rPr>
        <w:t xml:space="preserve">Haynes, Karen,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Reflexivity and Researcher Positionality</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it-IT"/>
          <w14:textFill>
            <w14:solidFill>
              <w14:srgbClr w14:val="666666"/>
            </w14:solidFill>
          </w14:textFill>
        </w:rPr>
        <w:t xml:space="preserve">, in </w:t>
      </w:r>
      <w:r>
        <w:rPr>
          <w:rFonts w:ascii="Times New Roman" w:hAnsi="Times New Roman"/>
          <w:i w:val="1"/>
          <w:iCs w:val="1"/>
          <w:outline w:val="0"/>
          <w:color w:val="666666"/>
          <w:sz w:val="24"/>
          <w:szCs w:val="24"/>
          <w:u w:color="666666"/>
          <w:rtl w:val="0"/>
          <w:lang w:val="en-US"/>
          <w14:textFill>
            <w14:solidFill>
              <w14:srgbClr w14:val="666666"/>
            </w14:solidFill>
          </w14:textFill>
        </w:rPr>
        <w:t>The SAGE Handbook of</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i w:val="1"/>
          <w:iCs w:val="1"/>
          <w:outline w:val="0"/>
          <w:color w:val="666666"/>
          <w:sz w:val="24"/>
          <w:szCs w:val="24"/>
          <w:u w:color="666666"/>
          <w:rtl w:val="0"/>
          <w:lang w:val="en-US"/>
          <w14:textFill>
            <w14:solidFill>
              <w14:srgbClr w14:val="666666"/>
            </w14:solidFill>
          </w14:textFill>
        </w:rPr>
        <w:t>Qualitative Business and Management Research Methods</w:t>
      </w:r>
      <w:r>
        <w:rPr>
          <w:rFonts w:ascii="Times New Roman" w:hAnsi="Times New Roman"/>
          <w:outline w:val="0"/>
          <w:color w:val="666666"/>
          <w:sz w:val="24"/>
          <w:szCs w:val="24"/>
          <w:u w:color="666666"/>
          <w:rtl w:val="0"/>
          <w:lang w:val="en-US"/>
          <w14:textFill>
            <w14:solidFill>
              <w14:srgbClr w14:val="666666"/>
            </w14:solidFill>
          </w14:textFill>
        </w:rPr>
        <w:t>, ed. by Catherine Cassell, Ann</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Cunliffe, and Gina Grandy, 2 vols (London: SAGE, 2018), I, pp. 72</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89</w:t>
      </w: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da-DK"/>
          <w14:textFill>
            <w14:solidFill>
              <w14:srgbClr w14:val="666666"/>
            </w14:solidFill>
          </w14:textFill>
        </w:rPr>
        <w:t xml:space="preserve">Hoving, Kirsten,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it-IT"/>
          <w14:textFill>
            <w14:solidFill>
              <w14:srgbClr w14:val="666666"/>
            </w14:solidFill>
          </w14:textFill>
        </w:rPr>
        <w:t>Joseph Cornell</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de-DE"/>
          <w14:textFill>
            <w14:solidFill>
              <w14:srgbClr w14:val="666666"/>
            </w14:solidFill>
          </w14:textFill>
        </w:rPr>
        <w:t>s Cosmos: An Artist</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 Modern Interpretations of Astronomical</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Myths</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 xml:space="preserve">, </w:t>
      </w:r>
      <w:r>
        <w:rPr>
          <w:rFonts w:ascii="Times New Roman" w:hAnsi="Times New Roman"/>
          <w:i w:val="1"/>
          <w:iCs w:val="1"/>
          <w:outline w:val="0"/>
          <w:color w:val="666666"/>
          <w:sz w:val="24"/>
          <w:szCs w:val="24"/>
          <w:u w:color="666666"/>
          <w:rtl w:val="0"/>
          <w:lang w:val="en-US"/>
          <w14:textFill>
            <w14:solidFill>
              <w14:srgbClr w14:val="666666"/>
            </w14:solidFill>
          </w14:textFill>
        </w:rPr>
        <w:t>Culture and Cosmos</w:t>
      </w:r>
      <w:r>
        <w:rPr>
          <w:rFonts w:ascii="Times New Roman" w:hAnsi="Times New Roman"/>
          <w:outline w:val="0"/>
          <w:color w:val="666666"/>
          <w:sz w:val="24"/>
          <w:szCs w:val="24"/>
          <w:u w:color="666666"/>
          <w:rtl w:val="0"/>
          <w14:textFill>
            <w14:solidFill>
              <w14:srgbClr w14:val="666666"/>
            </w14:solidFill>
          </w14:textFill>
        </w:rPr>
        <w:t>, 24.1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2 (2020), 57</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67</w:t>
      </w: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de-DE"/>
          <w14:textFill>
            <w14:solidFill>
              <w14:srgbClr w14:val="666666"/>
            </w14:solidFill>
          </w14:textFill>
        </w:rPr>
        <w:t xml:space="preserve">Pestell, Ben,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The Sun Within: New Solar Myth in Early Novels of Wilson Harris and J. G.</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14:textFill>
            <w14:solidFill>
              <w14:srgbClr w14:val="666666"/>
            </w14:solidFill>
          </w14:textFill>
        </w:rPr>
        <w:t>Ballard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 xml:space="preserve">, </w:t>
      </w:r>
      <w:r>
        <w:rPr>
          <w:rFonts w:ascii="Times New Roman" w:hAnsi="Times New Roman"/>
          <w:i w:val="1"/>
          <w:iCs w:val="1"/>
          <w:outline w:val="0"/>
          <w:color w:val="666666"/>
          <w:sz w:val="24"/>
          <w:szCs w:val="24"/>
          <w:u w:color="666666"/>
          <w:rtl w:val="0"/>
          <w:lang w:val="en-US"/>
          <w14:textFill>
            <w14:solidFill>
              <w14:srgbClr w14:val="666666"/>
            </w14:solidFill>
          </w14:textFill>
        </w:rPr>
        <w:t>Culture and Cosmos</w:t>
      </w:r>
      <w:r>
        <w:rPr>
          <w:rFonts w:ascii="Times New Roman" w:hAnsi="Times New Roman"/>
          <w:outline w:val="0"/>
          <w:color w:val="666666"/>
          <w:sz w:val="24"/>
          <w:szCs w:val="24"/>
          <w:u w:color="666666"/>
          <w:rtl w:val="0"/>
          <w14:textFill>
            <w14:solidFill>
              <w14:srgbClr w14:val="666666"/>
            </w14:solidFill>
          </w14:textFill>
        </w:rPr>
        <w:t>, 24.1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2 (2023), 81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95</w:t>
      </w:r>
    </w:p>
    <w:p>
      <w:pPr>
        <w:pStyle w:val="Body"/>
        <w:spacing w:line="240" w:lineRule="auto"/>
        <w:rPr>
          <w:rFonts w:ascii="Times New Roman" w:cs="Times New Roman" w:hAnsi="Times New Roman" w:eastAsia="Times New Roman"/>
          <w:i w:val="1"/>
          <w:iCs w:val="1"/>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fr-FR"/>
          <w14:textFill>
            <w14:solidFill>
              <w14:srgbClr w14:val="666666"/>
            </w14:solidFill>
          </w14:textFill>
        </w:rPr>
        <w:t xml:space="preserve">Sugnet, Charles,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fr-FR"/>
          <w14:textFill>
            <w14:solidFill>
              <w14:srgbClr w14:val="666666"/>
            </w14:solidFill>
          </w14:textFill>
        </w:rPr>
        <w:t>Introduction</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it-IT"/>
          <w14:textFill>
            <w14:solidFill>
              <w14:srgbClr w14:val="666666"/>
            </w14:solidFill>
          </w14:textFill>
        </w:rPr>
        <w:t xml:space="preserve">, in </w:t>
      </w:r>
      <w:r>
        <w:rPr>
          <w:rFonts w:ascii="Times New Roman" w:hAnsi="Times New Roman"/>
          <w:i w:val="1"/>
          <w:iCs w:val="1"/>
          <w:outline w:val="0"/>
          <w:color w:val="666666"/>
          <w:sz w:val="24"/>
          <w:szCs w:val="24"/>
          <w:u w:color="666666"/>
          <w:rtl w:val="0"/>
          <w:lang w:val="en-US"/>
          <w14:textFill>
            <w14:solidFill>
              <w14:srgbClr w14:val="666666"/>
            </w14:solidFill>
          </w14:textFill>
        </w:rPr>
        <w:t xml:space="preserve">The Imagination on Trial: British and American Writers </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i w:val="1"/>
          <w:iCs w:val="1"/>
          <w:outline w:val="0"/>
          <w:color w:val="666666"/>
          <w:sz w:val="24"/>
          <w:szCs w:val="24"/>
          <w:u w:color="666666"/>
          <w:rtl w:val="0"/>
          <w:lang w:val="en-US"/>
          <w14:textFill>
            <w14:solidFill>
              <w14:srgbClr w14:val="666666"/>
            </w14:solidFill>
          </w14:textFill>
        </w:rPr>
        <w:t>Discuss Their Working Methods</w:t>
      </w:r>
      <w:r>
        <w:rPr>
          <w:rFonts w:ascii="Times New Roman" w:hAnsi="Times New Roman"/>
          <w:outline w:val="0"/>
          <w:color w:val="666666"/>
          <w:sz w:val="24"/>
          <w:szCs w:val="24"/>
          <w:u w:color="666666"/>
          <w:rtl w:val="0"/>
          <w:lang w:val="en-US"/>
          <w14:textFill>
            <w14:solidFill>
              <w14:srgbClr w14:val="666666"/>
            </w14:solidFill>
          </w14:textFill>
        </w:rPr>
        <w:t>, ed. by Alan Burns and Charles Sugnet (London: Allison and</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14:textFill>
            <w14:solidFill>
              <w14:srgbClr w14:val="666666"/>
            </w14:solidFill>
          </w14:textFill>
        </w:rPr>
        <w:t>Busby, 1981), pp. 2</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 xml:space="preserve">13, cited in Ben Pestell,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The Sun Within: New Solar Myth in Early</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Novels of Wilson Harris and J. G. Ballard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 xml:space="preserve">, </w:t>
      </w:r>
      <w:r>
        <w:rPr>
          <w:rFonts w:ascii="Times New Roman" w:hAnsi="Times New Roman"/>
          <w:i w:val="1"/>
          <w:iCs w:val="1"/>
          <w:outline w:val="0"/>
          <w:color w:val="666666"/>
          <w:sz w:val="24"/>
          <w:szCs w:val="24"/>
          <w:u w:color="666666"/>
          <w:rtl w:val="0"/>
          <w:lang w:val="en-US"/>
          <w14:textFill>
            <w14:solidFill>
              <w14:srgbClr w14:val="666666"/>
            </w14:solidFill>
          </w14:textFill>
        </w:rPr>
        <w:t>Culture and Cosmos</w:t>
      </w:r>
      <w:r>
        <w:rPr>
          <w:rFonts w:ascii="Times New Roman" w:hAnsi="Times New Roman"/>
          <w:outline w:val="0"/>
          <w:color w:val="666666"/>
          <w:sz w:val="24"/>
          <w:szCs w:val="24"/>
          <w:u w:color="666666"/>
          <w:rtl w:val="0"/>
          <w14:textFill>
            <w14:solidFill>
              <w14:srgbClr w14:val="666666"/>
            </w14:solidFill>
          </w14:textFill>
        </w:rPr>
        <w:t>, 24.1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2 (2023), 81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95</w:t>
      </w:r>
    </w:p>
    <w:p>
      <w:pPr>
        <w:pStyle w:val="Body"/>
        <w:spacing w:line="240" w:lineRule="auto"/>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 xml:space="preserve">Weber, Max,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Science as a Vocation</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it-IT"/>
          <w14:textFill>
            <w14:solidFill>
              <w14:srgbClr w14:val="666666"/>
            </w14:solidFill>
          </w14:textFill>
        </w:rPr>
        <w:t xml:space="preserve">, in </w:t>
      </w:r>
      <w:r>
        <w:rPr>
          <w:rFonts w:ascii="Times New Roman" w:hAnsi="Times New Roman"/>
          <w:i w:val="1"/>
          <w:iCs w:val="1"/>
          <w:outline w:val="0"/>
          <w:color w:val="666666"/>
          <w:sz w:val="24"/>
          <w:szCs w:val="24"/>
          <w:u w:color="666666"/>
          <w:rtl w:val="0"/>
          <w:lang w:val="en-US"/>
          <w14:textFill>
            <w14:solidFill>
              <w14:srgbClr w14:val="666666"/>
            </w14:solidFill>
          </w14:textFill>
        </w:rPr>
        <w:t>From Max Weber: Essays in Sociology</w:t>
      </w:r>
      <w:r>
        <w:rPr>
          <w:rFonts w:ascii="Times New Roman" w:hAnsi="Times New Roman"/>
          <w:outline w:val="0"/>
          <w:color w:val="666666"/>
          <w:sz w:val="24"/>
          <w:szCs w:val="24"/>
          <w:u w:color="666666"/>
          <w:rtl w:val="0"/>
          <w:lang w:val="en-US"/>
          <w14:textFill>
            <w14:solidFill>
              <w14:srgbClr w14:val="666666"/>
            </w14:solidFill>
          </w14:textFill>
        </w:rPr>
        <w:t xml:space="preserve">, trans. and ed. by </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en-US"/>
          <w14:textFill>
            <w14:solidFill>
              <w14:srgbClr w14:val="666666"/>
            </w14:solidFill>
          </w14:textFill>
        </w:rPr>
        <w:t>H. H. Gerth and C. Wright Mills (London: Routledge, 1991), pp. 129</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56, cited in Ben</w:t>
      </w:r>
    </w:p>
    <w:p>
      <w:pPr>
        <w:pStyle w:val="Body"/>
        <w:spacing w:line="240" w:lineRule="auto"/>
        <w:ind w:firstLine="360"/>
        <w:rPr>
          <w:rFonts w:ascii="Times New Roman" w:cs="Times New Roman" w:hAnsi="Times New Roman" w:eastAsia="Times New Roman"/>
          <w:outline w:val="0"/>
          <w:color w:val="666666"/>
          <w:sz w:val="24"/>
          <w:szCs w:val="24"/>
          <w:u w:color="666666"/>
          <w14:textFill>
            <w14:solidFill>
              <w14:srgbClr w14:val="666666"/>
            </w14:solidFill>
          </w14:textFill>
        </w:rPr>
      </w:pPr>
      <w:r>
        <w:rPr>
          <w:rFonts w:ascii="Times New Roman" w:hAnsi="Times New Roman"/>
          <w:outline w:val="0"/>
          <w:color w:val="666666"/>
          <w:sz w:val="24"/>
          <w:szCs w:val="24"/>
          <w:u w:color="666666"/>
          <w:rtl w:val="0"/>
          <w:lang w:val="de-DE"/>
          <w14:textFill>
            <w14:solidFill>
              <w14:srgbClr w14:val="666666"/>
            </w14:solidFill>
          </w14:textFill>
        </w:rPr>
        <w:t xml:space="preserve">Pestell, </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lang w:val="en-US"/>
          <w14:textFill>
            <w14:solidFill>
              <w14:srgbClr w14:val="666666"/>
            </w14:solidFill>
          </w14:textFill>
        </w:rPr>
        <w:t>The Sun Within: New Solar Myth in Early Novels of Wilson Harris and J. G.</w:t>
      </w:r>
    </w:p>
    <w:p>
      <w:pPr>
        <w:pStyle w:val="Body"/>
        <w:spacing w:line="240" w:lineRule="auto"/>
        <w:ind w:firstLine="360"/>
      </w:pPr>
      <w:r>
        <w:rPr>
          <w:rFonts w:ascii="Times New Roman" w:hAnsi="Times New Roman"/>
          <w:outline w:val="0"/>
          <w:color w:val="666666"/>
          <w:sz w:val="24"/>
          <w:szCs w:val="24"/>
          <w:u w:color="666666"/>
          <w:rtl w:val="0"/>
          <w14:textFill>
            <w14:solidFill>
              <w14:srgbClr w14:val="666666"/>
            </w14:solidFill>
          </w14:textFill>
        </w:rPr>
        <w:t>Ballard</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 xml:space="preserve">, </w:t>
      </w:r>
      <w:r>
        <w:rPr>
          <w:rFonts w:ascii="Times New Roman" w:hAnsi="Times New Roman"/>
          <w:i w:val="1"/>
          <w:iCs w:val="1"/>
          <w:outline w:val="0"/>
          <w:color w:val="666666"/>
          <w:sz w:val="24"/>
          <w:szCs w:val="24"/>
          <w:u w:color="666666"/>
          <w:rtl w:val="0"/>
          <w:lang w:val="en-US"/>
          <w14:textFill>
            <w14:solidFill>
              <w14:srgbClr w14:val="666666"/>
            </w14:solidFill>
          </w14:textFill>
        </w:rPr>
        <w:t>Culture and Cosmos</w:t>
      </w:r>
      <w:r>
        <w:rPr>
          <w:rFonts w:ascii="Times New Roman" w:hAnsi="Times New Roman"/>
          <w:outline w:val="0"/>
          <w:color w:val="666666"/>
          <w:sz w:val="24"/>
          <w:szCs w:val="24"/>
          <w:u w:color="666666"/>
          <w:rtl w:val="0"/>
          <w14:textFill>
            <w14:solidFill>
              <w14:srgbClr w14:val="666666"/>
            </w14:solidFill>
          </w14:textFill>
        </w:rPr>
        <w:t>, 24.1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2 (2023), 81</w:t>
      </w:r>
      <w:r>
        <w:rPr>
          <w:rFonts w:ascii="Times New Roman" w:hAnsi="Times New Roman" w:hint="default"/>
          <w:outline w:val="0"/>
          <w:color w:val="666666"/>
          <w:sz w:val="24"/>
          <w:szCs w:val="24"/>
          <w:u w:color="666666"/>
          <w:rtl w:val="0"/>
          <w:lang w:val="en-US"/>
          <w14:textFill>
            <w14:solidFill>
              <w14:srgbClr w14:val="666666"/>
            </w14:solidFill>
          </w14:textFill>
        </w:rPr>
        <w:t>–</w:t>
      </w:r>
      <w:r>
        <w:rPr>
          <w:rFonts w:ascii="Times New Roman" w:hAnsi="Times New Roman"/>
          <w:outline w:val="0"/>
          <w:color w:val="666666"/>
          <w:sz w:val="24"/>
          <w:szCs w:val="24"/>
          <w:u w:color="666666"/>
          <w:rtl w:val="0"/>
          <w14:textFill>
            <w14:solidFill>
              <w14:srgbClr w14:val="666666"/>
            </w14:solidFill>
          </w14:textFill>
        </w:rPr>
        <w:t>95</w:t>
      </w:r>
    </w:p>
    <w:sectPr>
      <w:headerReference w:type="default" r:id="rId7"/>
      <w:footerReference w:type="default" r:id="rId8"/>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Robot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rFonts w:ascii="Times New Roman" w:hAnsi="Times New Roman"/>
          <w:sz w:val="16"/>
          <w:szCs w:val="16"/>
          <w:rtl w:val="0"/>
          <w:lang w:val="de-DE"/>
        </w:rPr>
        <w:t xml:space="preserve"> Ben Pestell, </w:t>
      </w:r>
      <w:r>
        <w:rPr>
          <w:rFonts w:ascii="Times New Roman" w:hAnsi="Times New Roman" w:hint="default"/>
          <w:sz w:val="16"/>
          <w:szCs w:val="16"/>
          <w:rtl w:val="0"/>
          <w:lang w:val="en-US"/>
        </w:rPr>
        <w:t>‘</w:t>
      </w:r>
      <w:r>
        <w:rPr>
          <w:rFonts w:ascii="Times New Roman" w:hAnsi="Times New Roman"/>
          <w:sz w:val="16"/>
          <w:szCs w:val="16"/>
          <w:rtl w:val="0"/>
          <w:lang w:val="en-US"/>
        </w:rPr>
        <w:t>The Sun Within: New Solar Myth in Early Novels of Wilson Harris and J. G. Ballard</w:t>
      </w:r>
      <w:r>
        <w:rPr>
          <w:rFonts w:ascii="Times New Roman" w:hAnsi="Times New Roman" w:hint="default"/>
          <w:sz w:val="16"/>
          <w:szCs w:val="16"/>
          <w:rtl w:val="0"/>
          <w:lang w:val="en-US"/>
        </w:rPr>
        <w:t>’</w:t>
      </w:r>
      <w:r>
        <w:rPr>
          <w:rFonts w:ascii="Times New Roman" w:hAnsi="Times New Roman"/>
          <w:sz w:val="16"/>
          <w:szCs w:val="16"/>
          <w:rtl w:val="0"/>
        </w:rPr>
        <w:t xml:space="preserve">, </w:t>
      </w:r>
      <w:r>
        <w:rPr>
          <w:rFonts w:ascii="Times New Roman" w:hAnsi="Times New Roman"/>
          <w:i w:val="1"/>
          <w:iCs w:val="1"/>
          <w:sz w:val="16"/>
          <w:szCs w:val="16"/>
          <w:rtl w:val="0"/>
          <w:lang w:val="en-US"/>
        </w:rPr>
        <w:t>Culture and Cosmos</w:t>
      </w:r>
      <w:r>
        <w:rPr>
          <w:rFonts w:ascii="Times New Roman" w:hAnsi="Times New Roman"/>
          <w:sz w:val="16"/>
          <w:szCs w:val="16"/>
          <w:rtl w:val="0"/>
        </w:rPr>
        <w:t>, 24.1</w:t>
      </w:r>
      <w:r>
        <w:rPr>
          <w:rFonts w:ascii="Times New Roman" w:hAnsi="Times New Roman" w:hint="default"/>
          <w:sz w:val="16"/>
          <w:szCs w:val="16"/>
          <w:rtl w:val="0"/>
          <w:lang w:val="en-US"/>
        </w:rPr>
        <w:t>–</w:t>
      </w:r>
      <w:r>
        <w:rPr>
          <w:rFonts w:ascii="Times New Roman" w:hAnsi="Times New Roman"/>
          <w:sz w:val="16"/>
          <w:szCs w:val="16"/>
          <w:rtl w:val="0"/>
        </w:rPr>
        <w:t>2 (2023), 81</w:t>
      </w:r>
      <w:r>
        <w:rPr>
          <w:rFonts w:ascii="Times New Roman" w:hAnsi="Times New Roman" w:hint="default"/>
          <w:sz w:val="16"/>
          <w:szCs w:val="16"/>
          <w:rtl w:val="0"/>
          <w:lang w:val="en-US"/>
        </w:rPr>
        <w:t>–</w:t>
      </w:r>
      <w:r>
        <w:rPr>
          <w:rFonts w:ascii="Times New Roman" w:hAnsi="Times New Roman"/>
          <w:sz w:val="16"/>
          <w:szCs w:val="16"/>
          <w:rtl w:val="0"/>
          <w:lang w:val="da-DK"/>
        </w:rPr>
        <w:t xml:space="preserve">95 (p. 81); Kirsten Hoving, </w:t>
      </w:r>
      <w:r>
        <w:rPr>
          <w:rFonts w:ascii="Times New Roman" w:hAnsi="Times New Roman" w:hint="default"/>
          <w:sz w:val="16"/>
          <w:szCs w:val="16"/>
          <w:rtl w:val="0"/>
          <w:lang w:val="en-US"/>
        </w:rPr>
        <w:t>‘</w:t>
      </w:r>
      <w:r>
        <w:rPr>
          <w:rFonts w:ascii="Times New Roman" w:hAnsi="Times New Roman"/>
          <w:sz w:val="16"/>
          <w:szCs w:val="16"/>
          <w:rtl w:val="0"/>
          <w:lang w:val="it-IT"/>
        </w:rPr>
        <w:t>Joseph Cornell</w:t>
      </w:r>
      <w:r>
        <w:rPr>
          <w:rFonts w:ascii="Times New Roman" w:hAnsi="Times New Roman" w:hint="default"/>
          <w:sz w:val="16"/>
          <w:szCs w:val="16"/>
          <w:rtl w:val="0"/>
          <w:lang w:val="en-US"/>
        </w:rPr>
        <w:t>’</w:t>
      </w:r>
      <w:r>
        <w:rPr>
          <w:rFonts w:ascii="Times New Roman" w:hAnsi="Times New Roman"/>
          <w:sz w:val="16"/>
          <w:szCs w:val="16"/>
          <w:rtl w:val="0"/>
          <w:lang w:val="de-DE"/>
        </w:rPr>
        <w:t>s Cosmos: An Artist</w:t>
      </w:r>
      <w:r>
        <w:rPr>
          <w:rFonts w:ascii="Times New Roman" w:hAnsi="Times New Roman" w:hint="default"/>
          <w:sz w:val="16"/>
          <w:szCs w:val="16"/>
          <w:rtl w:val="0"/>
          <w:lang w:val="en-US"/>
        </w:rPr>
        <w:t>’</w:t>
      </w:r>
      <w:r>
        <w:rPr>
          <w:rFonts w:ascii="Times New Roman" w:hAnsi="Times New Roman"/>
          <w:sz w:val="16"/>
          <w:szCs w:val="16"/>
          <w:rtl w:val="0"/>
          <w:lang w:val="en-US"/>
        </w:rPr>
        <w:t>s Modern Interpretations of Astronomical Myths</w:t>
      </w:r>
      <w:r>
        <w:rPr>
          <w:rFonts w:ascii="Times New Roman" w:hAnsi="Times New Roman" w:hint="default"/>
          <w:sz w:val="16"/>
          <w:szCs w:val="16"/>
          <w:rtl w:val="0"/>
          <w:lang w:val="en-US"/>
        </w:rPr>
        <w:t>’</w:t>
      </w:r>
      <w:r>
        <w:rPr>
          <w:rFonts w:ascii="Times New Roman" w:hAnsi="Times New Roman"/>
          <w:sz w:val="16"/>
          <w:szCs w:val="16"/>
          <w:rtl w:val="0"/>
        </w:rPr>
        <w:t xml:space="preserve">, </w:t>
      </w:r>
      <w:r>
        <w:rPr>
          <w:rFonts w:ascii="Times New Roman" w:hAnsi="Times New Roman"/>
          <w:i w:val="1"/>
          <w:iCs w:val="1"/>
          <w:sz w:val="16"/>
          <w:szCs w:val="16"/>
          <w:rtl w:val="0"/>
          <w:lang w:val="en-US"/>
        </w:rPr>
        <w:t>Culture and Cosmos</w:t>
      </w:r>
      <w:r>
        <w:rPr>
          <w:rFonts w:ascii="Times New Roman" w:hAnsi="Times New Roman"/>
          <w:sz w:val="16"/>
          <w:szCs w:val="16"/>
          <w:rtl w:val="0"/>
        </w:rPr>
        <w:t>, 24.1</w:t>
      </w:r>
      <w:r>
        <w:rPr>
          <w:rFonts w:ascii="Times New Roman" w:hAnsi="Times New Roman" w:hint="default"/>
          <w:sz w:val="16"/>
          <w:szCs w:val="16"/>
          <w:rtl w:val="0"/>
          <w:lang w:val="en-US"/>
        </w:rPr>
        <w:t>–</w:t>
      </w:r>
      <w:r>
        <w:rPr>
          <w:rFonts w:ascii="Times New Roman" w:hAnsi="Times New Roman"/>
          <w:sz w:val="16"/>
          <w:szCs w:val="16"/>
          <w:rtl w:val="0"/>
        </w:rPr>
        <w:t>2 (2020), 57</w:t>
      </w:r>
      <w:r>
        <w:rPr>
          <w:rFonts w:ascii="Times New Roman" w:hAnsi="Times New Roman" w:hint="default"/>
          <w:sz w:val="16"/>
          <w:szCs w:val="16"/>
          <w:rtl w:val="0"/>
          <w:lang w:val="en-US"/>
        </w:rPr>
        <w:t>–</w:t>
      </w:r>
      <w:r>
        <w:rPr>
          <w:rFonts w:ascii="Times New Roman" w:hAnsi="Times New Roman"/>
          <w:sz w:val="16"/>
          <w:szCs w:val="16"/>
          <w:rtl w:val="0"/>
        </w:rPr>
        <w:t>67 (p. 57).</w:t>
      </w:r>
    </w:p>
  </w:footnote>
  <w:footnote w:id="2">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rPr>
        <w:t>Hoving, p. 57.</w:t>
      </w:r>
    </w:p>
  </w:footnote>
  <w:footnote w:id="3">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 81</w:t>
      </w:r>
    </w:p>
  </w:footnote>
  <w:footnote w:id="4">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 57</w:t>
      </w:r>
    </w:p>
  </w:footnote>
  <w:footnote w:id="5">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a-DK"/>
        </w:rPr>
        <w:t xml:space="preserve">Kirsten Hoving, </w:t>
      </w:r>
      <w:r>
        <w:rPr>
          <w:rFonts w:ascii="Times New Roman" w:hAnsi="Times New Roman"/>
          <w:i w:val="1"/>
          <w:iCs w:val="1"/>
          <w:sz w:val="16"/>
          <w:szCs w:val="16"/>
          <w:rtl w:val="0"/>
          <w:lang w:val="en-US"/>
        </w:rPr>
        <w:t>Joseph Cornell and Astronomy: A Case for the Stars</w:t>
      </w:r>
      <w:r>
        <w:rPr>
          <w:rFonts w:ascii="Times New Roman" w:hAnsi="Times New Roman"/>
          <w:sz w:val="16"/>
          <w:szCs w:val="16"/>
          <w:rtl w:val="0"/>
          <w:lang w:val="en-US"/>
        </w:rPr>
        <w:t xml:space="preserve"> (Princeton, NJ: Princeton University Press, 2009), cited in Kirsten Hoving, </w:t>
      </w:r>
      <w:r>
        <w:rPr>
          <w:rFonts w:ascii="Times New Roman" w:hAnsi="Times New Roman" w:hint="default"/>
          <w:sz w:val="16"/>
          <w:szCs w:val="16"/>
          <w:rtl w:val="0"/>
          <w:lang w:val="en-US"/>
        </w:rPr>
        <w:t>‘</w:t>
      </w:r>
      <w:r>
        <w:rPr>
          <w:rFonts w:ascii="Times New Roman" w:hAnsi="Times New Roman"/>
          <w:sz w:val="16"/>
          <w:szCs w:val="16"/>
          <w:rtl w:val="0"/>
          <w:lang w:val="it-IT"/>
        </w:rPr>
        <w:t>Joseph Cornell</w:t>
      </w:r>
      <w:r>
        <w:rPr>
          <w:rFonts w:ascii="Times New Roman" w:hAnsi="Times New Roman" w:hint="default"/>
          <w:sz w:val="16"/>
          <w:szCs w:val="16"/>
          <w:rtl w:val="0"/>
          <w:lang w:val="en-US"/>
        </w:rPr>
        <w:t>’</w:t>
      </w:r>
      <w:r>
        <w:rPr>
          <w:rFonts w:ascii="Times New Roman" w:hAnsi="Times New Roman"/>
          <w:sz w:val="16"/>
          <w:szCs w:val="16"/>
          <w:rtl w:val="0"/>
          <w:lang w:val="de-DE"/>
        </w:rPr>
        <w:t>s Cosmos: An Artist</w:t>
      </w:r>
      <w:r>
        <w:rPr>
          <w:rFonts w:ascii="Times New Roman" w:hAnsi="Times New Roman" w:hint="default"/>
          <w:sz w:val="16"/>
          <w:szCs w:val="16"/>
          <w:rtl w:val="0"/>
          <w:lang w:val="en-US"/>
        </w:rPr>
        <w:t>’</w:t>
      </w:r>
      <w:r>
        <w:rPr>
          <w:rFonts w:ascii="Times New Roman" w:hAnsi="Times New Roman"/>
          <w:sz w:val="16"/>
          <w:szCs w:val="16"/>
          <w:rtl w:val="0"/>
          <w:lang w:val="en-US"/>
        </w:rPr>
        <w:t>s Modern Interpretations of Astronomical Myths</w:t>
      </w:r>
      <w:r>
        <w:rPr>
          <w:rFonts w:ascii="Times New Roman" w:hAnsi="Times New Roman" w:hint="default"/>
          <w:sz w:val="16"/>
          <w:szCs w:val="16"/>
          <w:rtl w:val="0"/>
          <w:lang w:val="en-US"/>
        </w:rPr>
        <w:t>’</w:t>
      </w:r>
      <w:r>
        <w:rPr>
          <w:rFonts w:ascii="Times New Roman" w:hAnsi="Times New Roman"/>
          <w:sz w:val="16"/>
          <w:szCs w:val="16"/>
          <w:rtl w:val="0"/>
        </w:rPr>
        <w:t xml:space="preserve">, </w:t>
      </w:r>
      <w:r>
        <w:rPr>
          <w:rFonts w:ascii="Times New Roman" w:hAnsi="Times New Roman"/>
          <w:i w:val="1"/>
          <w:iCs w:val="1"/>
          <w:sz w:val="16"/>
          <w:szCs w:val="16"/>
          <w:rtl w:val="0"/>
          <w:lang w:val="en-US"/>
        </w:rPr>
        <w:t>Culture and Cosmos</w:t>
      </w:r>
      <w:r>
        <w:rPr>
          <w:rFonts w:ascii="Times New Roman" w:hAnsi="Times New Roman"/>
          <w:sz w:val="16"/>
          <w:szCs w:val="16"/>
          <w:rtl w:val="0"/>
        </w:rPr>
        <w:t>, 24.1</w:t>
      </w:r>
      <w:r>
        <w:rPr>
          <w:rFonts w:ascii="Times New Roman" w:hAnsi="Times New Roman" w:hint="default"/>
          <w:sz w:val="16"/>
          <w:szCs w:val="16"/>
          <w:rtl w:val="0"/>
          <w:lang w:val="en-US"/>
        </w:rPr>
        <w:t>–</w:t>
      </w:r>
      <w:r>
        <w:rPr>
          <w:rFonts w:ascii="Times New Roman" w:hAnsi="Times New Roman"/>
          <w:sz w:val="16"/>
          <w:szCs w:val="16"/>
          <w:rtl w:val="0"/>
        </w:rPr>
        <w:t>2 (2020), 57</w:t>
      </w:r>
      <w:r>
        <w:rPr>
          <w:rFonts w:ascii="Times New Roman" w:hAnsi="Times New Roman" w:hint="default"/>
          <w:sz w:val="16"/>
          <w:szCs w:val="16"/>
          <w:rtl w:val="0"/>
          <w:lang w:val="en-US"/>
        </w:rPr>
        <w:t>–</w:t>
      </w:r>
      <w:r>
        <w:rPr>
          <w:rFonts w:ascii="Times New Roman" w:hAnsi="Times New Roman"/>
          <w:sz w:val="16"/>
          <w:szCs w:val="16"/>
          <w:rtl w:val="0"/>
        </w:rPr>
        <w:t>67 (p. 57).</w:t>
      </w:r>
    </w:p>
  </w:footnote>
  <w:footnote w:id="6">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 81</w:t>
      </w:r>
    </w:p>
  </w:footnote>
  <w:footnote w:id="7">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 xml:space="preserve">University of Essex, </w:t>
      </w:r>
      <w:r>
        <w:rPr>
          <w:rFonts w:ascii="Times New Roman" w:hAnsi="Times New Roman" w:hint="default"/>
          <w:sz w:val="16"/>
          <w:szCs w:val="16"/>
          <w:rtl w:val="0"/>
          <w:lang w:val="en-US"/>
        </w:rPr>
        <w:t>‘</w:t>
      </w:r>
      <w:r>
        <w:rPr>
          <w:rFonts w:ascii="Times New Roman" w:hAnsi="Times New Roman"/>
          <w:sz w:val="16"/>
          <w:szCs w:val="16"/>
          <w:rtl w:val="0"/>
        </w:rPr>
        <w:t>Dr Benjamin Pestell</w:t>
      </w:r>
      <w:r>
        <w:rPr>
          <w:rFonts w:ascii="Times New Roman" w:hAnsi="Times New Roman" w:hint="default"/>
          <w:sz w:val="16"/>
          <w:szCs w:val="16"/>
          <w:rtl w:val="0"/>
          <w:lang w:val="en-US"/>
        </w:rPr>
        <w:t>’</w:t>
      </w:r>
      <w:r>
        <w:rPr>
          <w:rFonts w:ascii="Times New Roman" w:hAnsi="Times New Roman"/>
          <w:sz w:val="16"/>
          <w:szCs w:val="16"/>
          <w:rtl w:val="0"/>
          <w:lang w:val="en-US"/>
        </w:rPr>
        <w:t>, staff profile, accessed 22 March 2026.</w:t>
      </w:r>
    </w:p>
  </w:footnote>
  <w:footnote w:id="8">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 xml:space="preserve">Ben Pestell, </w:t>
      </w:r>
      <w:r>
        <w:rPr>
          <w:rFonts w:ascii="Times New Roman" w:hAnsi="Times New Roman" w:hint="default"/>
          <w:sz w:val="16"/>
          <w:szCs w:val="16"/>
          <w:rtl w:val="0"/>
          <w:lang w:val="en-US"/>
        </w:rPr>
        <w:t>‘</w:t>
      </w:r>
      <w:r>
        <w:rPr>
          <w:rFonts w:ascii="Times New Roman" w:hAnsi="Times New Roman"/>
          <w:sz w:val="16"/>
          <w:szCs w:val="16"/>
          <w:rtl w:val="0"/>
          <w:lang w:val="en-US"/>
        </w:rPr>
        <w:t>The Sun Within: New Solar Myth in Early Novels of Wilson Harris and J. G. Ballard</w:t>
      </w:r>
      <w:r>
        <w:rPr>
          <w:rFonts w:ascii="Times New Roman" w:hAnsi="Times New Roman" w:hint="default"/>
          <w:sz w:val="16"/>
          <w:szCs w:val="16"/>
          <w:rtl w:val="0"/>
          <w:lang w:val="en-US"/>
        </w:rPr>
        <w:t>’</w:t>
      </w:r>
      <w:r>
        <w:rPr>
          <w:rFonts w:ascii="Times New Roman" w:hAnsi="Times New Roman"/>
          <w:sz w:val="16"/>
          <w:szCs w:val="16"/>
          <w:rtl w:val="0"/>
        </w:rPr>
        <w:t xml:space="preserve">, </w:t>
      </w:r>
      <w:r>
        <w:rPr>
          <w:rFonts w:ascii="Times New Roman" w:hAnsi="Times New Roman"/>
          <w:i w:val="1"/>
          <w:iCs w:val="1"/>
          <w:sz w:val="16"/>
          <w:szCs w:val="16"/>
          <w:rtl w:val="0"/>
          <w:lang w:val="en-US"/>
        </w:rPr>
        <w:t>Culture and Cosmos</w:t>
      </w:r>
      <w:r>
        <w:rPr>
          <w:rFonts w:ascii="Times New Roman" w:hAnsi="Times New Roman"/>
          <w:sz w:val="16"/>
          <w:szCs w:val="16"/>
          <w:rtl w:val="0"/>
        </w:rPr>
        <w:t>, 24.1</w:t>
      </w:r>
      <w:r>
        <w:rPr>
          <w:rFonts w:ascii="Times New Roman" w:hAnsi="Times New Roman" w:hint="default"/>
          <w:sz w:val="16"/>
          <w:szCs w:val="16"/>
          <w:rtl w:val="0"/>
          <w:lang w:val="en-US"/>
        </w:rPr>
        <w:t>–</w:t>
      </w:r>
      <w:r>
        <w:rPr>
          <w:rFonts w:ascii="Times New Roman" w:hAnsi="Times New Roman"/>
          <w:sz w:val="16"/>
          <w:szCs w:val="16"/>
          <w:rtl w:val="0"/>
        </w:rPr>
        <w:t>2 (2023), 81</w:t>
      </w:r>
      <w:r>
        <w:rPr>
          <w:rFonts w:ascii="Times New Roman" w:hAnsi="Times New Roman" w:hint="default"/>
          <w:sz w:val="16"/>
          <w:szCs w:val="16"/>
          <w:rtl w:val="0"/>
          <w:lang w:val="en-US"/>
        </w:rPr>
        <w:t>–</w:t>
      </w:r>
      <w:r>
        <w:rPr>
          <w:rFonts w:ascii="Times New Roman" w:hAnsi="Times New Roman"/>
          <w:sz w:val="16"/>
          <w:szCs w:val="16"/>
          <w:rtl w:val="0"/>
          <w:lang w:val="en-US"/>
        </w:rPr>
        <w:t xml:space="preserve">95 (p. 84), citing Charles Sugnet, </w:t>
      </w:r>
      <w:r>
        <w:rPr>
          <w:rFonts w:ascii="Times New Roman" w:hAnsi="Times New Roman" w:hint="default"/>
          <w:sz w:val="16"/>
          <w:szCs w:val="16"/>
          <w:rtl w:val="0"/>
          <w:lang w:val="en-US"/>
        </w:rPr>
        <w:t>‘</w:t>
      </w:r>
      <w:r>
        <w:rPr>
          <w:rFonts w:ascii="Times New Roman" w:hAnsi="Times New Roman"/>
          <w:sz w:val="16"/>
          <w:szCs w:val="16"/>
          <w:rtl w:val="0"/>
          <w:lang w:val="fr-FR"/>
        </w:rPr>
        <w:t>Introduction</w:t>
      </w:r>
      <w:r>
        <w:rPr>
          <w:rFonts w:ascii="Times New Roman" w:hAnsi="Times New Roman" w:hint="default"/>
          <w:sz w:val="16"/>
          <w:szCs w:val="16"/>
          <w:rtl w:val="0"/>
          <w:lang w:val="en-US"/>
        </w:rPr>
        <w:t>’</w:t>
      </w:r>
      <w:r>
        <w:rPr>
          <w:rFonts w:ascii="Times New Roman" w:hAnsi="Times New Roman"/>
          <w:sz w:val="16"/>
          <w:szCs w:val="16"/>
          <w:rtl w:val="0"/>
          <w:lang w:val="it-IT"/>
        </w:rPr>
        <w:t xml:space="preserve">, in </w:t>
      </w:r>
      <w:r>
        <w:rPr>
          <w:rFonts w:ascii="Times New Roman" w:hAnsi="Times New Roman"/>
          <w:i w:val="1"/>
          <w:iCs w:val="1"/>
          <w:sz w:val="16"/>
          <w:szCs w:val="16"/>
          <w:rtl w:val="0"/>
          <w:lang w:val="en-US"/>
        </w:rPr>
        <w:t>The Imagination on Trial: British and American Writers Discuss Their Working Methods</w:t>
      </w:r>
      <w:r>
        <w:rPr>
          <w:rFonts w:ascii="Times New Roman" w:hAnsi="Times New Roman"/>
          <w:sz w:val="16"/>
          <w:szCs w:val="16"/>
          <w:rtl w:val="0"/>
          <w:lang w:val="en-US"/>
        </w:rPr>
        <w:t>, ed. by Alan Burns and Charles Sugnet (London: Allison and Busby, 1981), pp. 2</w:t>
      </w:r>
      <w:r>
        <w:rPr>
          <w:rFonts w:ascii="Times New Roman" w:hAnsi="Times New Roman" w:hint="default"/>
          <w:sz w:val="16"/>
          <w:szCs w:val="16"/>
          <w:rtl w:val="0"/>
          <w:lang w:val="en-US"/>
        </w:rPr>
        <w:t>–</w:t>
      </w:r>
      <w:r>
        <w:rPr>
          <w:rFonts w:ascii="Times New Roman" w:hAnsi="Times New Roman"/>
          <w:sz w:val="16"/>
          <w:szCs w:val="16"/>
          <w:rtl w:val="0"/>
        </w:rPr>
        <w:t>13 (p. 5).</w:t>
      </w:r>
    </w:p>
  </w:footnote>
  <w:footnote w:id="9">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a-DK"/>
        </w:rPr>
        <w:t xml:space="preserve">Karen Haynes, </w:t>
      </w:r>
      <w:r>
        <w:rPr>
          <w:rFonts w:ascii="Times New Roman" w:hAnsi="Times New Roman" w:hint="default"/>
          <w:sz w:val="16"/>
          <w:szCs w:val="16"/>
          <w:rtl w:val="0"/>
          <w:lang w:val="en-US"/>
        </w:rPr>
        <w:t>‘</w:t>
      </w:r>
      <w:r>
        <w:rPr>
          <w:rFonts w:ascii="Times New Roman" w:hAnsi="Times New Roman"/>
          <w:sz w:val="16"/>
          <w:szCs w:val="16"/>
          <w:rtl w:val="0"/>
          <w:lang w:val="en-US"/>
        </w:rPr>
        <w:t>Reflexivity and Researcher Positionality</w:t>
      </w:r>
      <w:r>
        <w:rPr>
          <w:rFonts w:ascii="Times New Roman" w:hAnsi="Times New Roman" w:hint="default"/>
          <w:sz w:val="16"/>
          <w:szCs w:val="16"/>
          <w:rtl w:val="0"/>
          <w:lang w:val="en-US"/>
        </w:rPr>
        <w:t>’</w:t>
      </w:r>
      <w:r>
        <w:rPr>
          <w:rFonts w:ascii="Times New Roman" w:hAnsi="Times New Roman"/>
          <w:sz w:val="16"/>
          <w:szCs w:val="16"/>
          <w:rtl w:val="0"/>
          <w:lang w:val="it-IT"/>
        </w:rPr>
        <w:t xml:space="preserve">, in </w:t>
      </w:r>
      <w:r>
        <w:rPr>
          <w:rFonts w:ascii="Times New Roman" w:hAnsi="Times New Roman"/>
          <w:i w:val="1"/>
          <w:iCs w:val="1"/>
          <w:sz w:val="16"/>
          <w:szCs w:val="16"/>
          <w:rtl w:val="0"/>
          <w:lang w:val="en-US"/>
        </w:rPr>
        <w:t>The SAGE Handbook of Qualitative Business and Management Research Methods</w:t>
      </w:r>
      <w:r>
        <w:rPr>
          <w:rFonts w:ascii="Times New Roman" w:hAnsi="Times New Roman"/>
          <w:sz w:val="16"/>
          <w:szCs w:val="16"/>
          <w:rtl w:val="0"/>
          <w:lang w:val="en-US"/>
        </w:rPr>
        <w:t>, ed. by Catherine Cassell, Ann Cunliffe, and Gina Grandy, 2 vols (London: SAGE, 2018), I, pp. 72</w:t>
      </w:r>
      <w:r>
        <w:rPr>
          <w:rFonts w:ascii="Times New Roman" w:hAnsi="Times New Roman" w:hint="default"/>
          <w:sz w:val="16"/>
          <w:szCs w:val="16"/>
          <w:rtl w:val="0"/>
          <w:lang w:val="en-US"/>
        </w:rPr>
        <w:t>–</w:t>
      </w:r>
      <w:r>
        <w:rPr>
          <w:rFonts w:ascii="Times New Roman" w:hAnsi="Times New Roman"/>
          <w:sz w:val="16"/>
          <w:szCs w:val="16"/>
          <w:rtl w:val="0"/>
        </w:rPr>
        <w:t>89.</w:t>
      </w:r>
    </w:p>
  </w:footnote>
  <w:footnote w:id="10">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 58</w:t>
      </w:r>
    </w:p>
  </w:footnote>
  <w:footnote w:id="11">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pp. 59</w:t>
      </w:r>
      <w:r>
        <w:rPr>
          <w:rFonts w:ascii="Times New Roman" w:hAnsi="Times New Roman" w:hint="default"/>
          <w:sz w:val="16"/>
          <w:szCs w:val="16"/>
          <w:rtl w:val="0"/>
          <w:lang w:val="en-US"/>
        </w:rPr>
        <w:t>–</w:t>
      </w:r>
      <w:r>
        <w:rPr>
          <w:rFonts w:ascii="Times New Roman" w:hAnsi="Times New Roman"/>
          <w:sz w:val="16"/>
          <w:szCs w:val="16"/>
          <w:rtl w:val="0"/>
        </w:rPr>
        <w:t>67</w:t>
      </w:r>
    </w:p>
  </w:footnote>
  <w:footnote w:id="12">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rPr>
        <w:t>Hoving, pp. 57, 63, 68.</w:t>
      </w:r>
    </w:p>
  </w:footnote>
  <w:footnote w:id="13">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pp. 81</w:t>
      </w:r>
      <w:r>
        <w:rPr>
          <w:rFonts w:ascii="Times New Roman" w:hAnsi="Times New Roman" w:hint="default"/>
          <w:sz w:val="16"/>
          <w:szCs w:val="16"/>
          <w:rtl w:val="0"/>
          <w:lang w:val="en-US"/>
        </w:rPr>
        <w:t>–</w:t>
      </w:r>
      <w:r>
        <w:rPr>
          <w:rFonts w:ascii="Times New Roman" w:hAnsi="Times New Roman"/>
          <w:sz w:val="16"/>
          <w:szCs w:val="16"/>
          <w:rtl w:val="0"/>
        </w:rPr>
        <w:t>82</w:t>
      </w:r>
    </w:p>
  </w:footnote>
  <w:footnote w:id="14">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 xml:space="preserve">Max Weber, </w:t>
      </w:r>
      <w:r>
        <w:rPr>
          <w:rFonts w:ascii="Times New Roman" w:hAnsi="Times New Roman" w:hint="default"/>
          <w:sz w:val="16"/>
          <w:szCs w:val="16"/>
          <w:rtl w:val="0"/>
          <w:lang w:val="en-US"/>
        </w:rPr>
        <w:t>‘</w:t>
      </w:r>
      <w:r>
        <w:rPr>
          <w:rFonts w:ascii="Times New Roman" w:hAnsi="Times New Roman"/>
          <w:sz w:val="16"/>
          <w:szCs w:val="16"/>
          <w:rtl w:val="0"/>
          <w:lang w:val="en-US"/>
        </w:rPr>
        <w:t>Science as a Vocation</w:t>
      </w:r>
      <w:r>
        <w:rPr>
          <w:rFonts w:ascii="Times New Roman" w:hAnsi="Times New Roman" w:hint="default"/>
          <w:sz w:val="16"/>
          <w:szCs w:val="16"/>
          <w:rtl w:val="0"/>
          <w:lang w:val="en-US"/>
        </w:rPr>
        <w:t>’</w:t>
      </w:r>
      <w:r>
        <w:rPr>
          <w:rFonts w:ascii="Times New Roman" w:hAnsi="Times New Roman"/>
          <w:sz w:val="16"/>
          <w:szCs w:val="16"/>
          <w:rtl w:val="0"/>
          <w:lang w:val="it-IT"/>
        </w:rPr>
        <w:t xml:space="preserve">, in </w:t>
      </w:r>
      <w:r>
        <w:rPr>
          <w:rFonts w:ascii="Times New Roman" w:hAnsi="Times New Roman"/>
          <w:i w:val="1"/>
          <w:iCs w:val="1"/>
          <w:sz w:val="16"/>
          <w:szCs w:val="16"/>
          <w:rtl w:val="0"/>
          <w:lang w:val="en-US"/>
        </w:rPr>
        <w:t>From Max Weber: Essays in Sociology</w:t>
      </w:r>
      <w:r>
        <w:rPr>
          <w:rFonts w:ascii="Times New Roman" w:hAnsi="Times New Roman"/>
          <w:sz w:val="16"/>
          <w:szCs w:val="16"/>
          <w:rtl w:val="0"/>
          <w:lang w:val="en-US"/>
        </w:rPr>
        <w:t>, trans. and ed. by H. H. Gerth and C. Wright Mills (London: Routledge, 1991), pp. 129</w:t>
      </w:r>
      <w:r>
        <w:rPr>
          <w:rFonts w:ascii="Times New Roman" w:hAnsi="Times New Roman" w:hint="default"/>
          <w:sz w:val="16"/>
          <w:szCs w:val="16"/>
          <w:rtl w:val="0"/>
          <w:lang w:val="en-US"/>
        </w:rPr>
        <w:t>–</w:t>
      </w:r>
      <w:r>
        <w:rPr>
          <w:rFonts w:ascii="Times New Roman" w:hAnsi="Times New Roman"/>
          <w:sz w:val="16"/>
          <w:szCs w:val="16"/>
          <w:rtl w:val="0"/>
          <w:lang w:val="en-US"/>
        </w:rPr>
        <w:t xml:space="preserve">56, cited in Ben Pestell, </w:t>
      </w:r>
      <w:r>
        <w:rPr>
          <w:rFonts w:ascii="Times New Roman" w:hAnsi="Times New Roman" w:hint="default"/>
          <w:sz w:val="16"/>
          <w:szCs w:val="16"/>
          <w:rtl w:val="0"/>
          <w:lang w:val="en-US"/>
        </w:rPr>
        <w:t>‘</w:t>
      </w:r>
      <w:r>
        <w:rPr>
          <w:rFonts w:ascii="Times New Roman" w:hAnsi="Times New Roman"/>
          <w:sz w:val="16"/>
          <w:szCs w:val="16"/>
          <w:rtl w:val="0"/>
          <w:lang w:val="en-US"/>
        </w:rPr>
        <w:t>The Sun Within: New Solar Myth in Early Novels of Wilson Harris and J. G. Ballard</w:t>
      </w:r>
      <w:r>
        <w:rPr>
          <w:rFonts w:ascii="Times New Roman" w:hAnsi="Times New Roman" w:hint="default"/>
          <w:sz w:val="16"/>
          <w:szCs w:val="16"/>
          <w:rtl w:val="0"/>
          <w:lang w:val="en-US"/>
        </w:rPr>
        <w:t>’</w:t>
      </w:r>
      <w:r>
        <w:rPr>
          <w:rFonts w:ascii="Times New Roman" w:hAnsi="Times New Roman"/>
          <w:sz w:val="16"/>
          <w:szCs w:val="16"/>
          <w:rtl w:val="0"/>
        </w:rPr>
        <w:t xml:space="preserve">, </w:t>
      </w:r>
      <w:r>
        <w:rPr>
          <w:rFonts w:ascii="Times New Roman" w:hAnsi="Times New Roman"/>
          <w:i w:val="1"/>
          <w:iCs w:val="1"/>
          <w:sz w:val="16"/>
          <w:szCs w:val="16"/>
          <w:rtl w:val="0"/>
          <w:lang w:val="en-US"/>
        </w:rPr>
        <w:t>Culture and Cosmos</w:t>
      </w:r>
      <w:r>
        <w:rPr>
          <w:rFonts w:ascii="Times New Roman" w:hAnsi="Times New Roman"/>
          <w:sz w:val="16"/>
          <w:szCs w:val="16"/>
          <w:rtl w:val="0"/>
        </w:rPr>
        <w:t>, 24.1</w:t>
      </w:r>
      <w:r>
        <w:rPr>
          <w:rFonts w:ascii="Times New Roman" w:hAnsi="Times New Roman" w:hint="default"/>
          <w:sz w:val="16"/>
          <w:szCs w:val="16"/>
          <w:rtl w:val="0"/>
          <w:lang w:val="en-US"/>
        </w:rPr>
        <w:t>–</w:t>
      </w:r>
      <w:r>
        <w:rPr>
          <w:rFonts w:ascii="Times New Roman" w:hAnsi="Times New Roman"/>
          <w:sz w:val="16"/>
          <w:szCs w:val="16"/>
          <w:rtl w:val="0"/>
        </w:rPr>
        <w:t>2 (2023), 81</w:t>
      </w:r>
      <w:r>
        <w:rPr>
          <w:rFonts w:ascii="Times New Roman" w:hAnsi="Times New Roman" w:hint="default"/>
          <w:sz w:val="16"/>
          <w:szCs w:val="16"/>
          <w:rtl w:val="0"/>
          <w:lang w:val="en-US"/>
        </w:rPr>
        <w:t>–</w:t>
      </w:r>
      <w:r>
        <w:rPr>
          <w:rFonts w:ascii="Times New Roman" w:hAnsi="Times New Roman"/>
          <w:sz w:val="16"/>
          <w:szCs w:val="16"/>
          <w:rtl w:val="0"/>
        </w:rPr>
        <w:t>95 (p. 82).</w:t>
      </w:r>
    </w:p>
  </w:footnote>
  <w:footnote w:id="15">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 81</w:t>
      </w:r>
    </w:p>
  </w:footnote>
  <w:footnote w:id="16">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pp. 57</w:t>
      </w:r>
      <w:r>
        <w:rPr>
          <w:rFonts w:ascii="Times New Roman" w:hAnsi="Times New Roman" w:hint="default"/>
          <w:sz w:val="16"/>
          <w:szCs w:val="16"/>
          <w:rtl w:val="0"/>
          <w:lang w:val="en-US"/>
        </w:rPr>
        <w:t>–</w:t>
      </w:r>
      <w:r>
        <w:rPr>
          <w:rFonts w:ascii="Times New Roman" w:hAnsi="Times New Roman"/>
          <w:sz w:val="16"/>
          <w:szCs w:val="16"/>
          <w:rtl w:val="0"/>
          <w:lang w:val="ru-RU"/>
        </w:rPr>
        <w:t>58</w:t>
      </w:r>
    </w:p>
  </w:footnote>
  <w:footnote w:id="17">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 68</w:t>
      </w:r>
    </w:p>
  </w:footnote>
  <w:footnote w:id="18">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pp. 57</w:t>
      </w:r>
      <w:r>
        <w:rPr>
          <w:rFonts w:ascii="Times New Roman" w:hAnsi="Times New Roman" w:hint="default"/>
          <w:sz w:val="16"/>
          <w:szCs w:val="16"/>
          <w:rtl w:val="0"/>
          <w:lang w:val="en-US"/>
        </w:rPr>
        <w:t>–</w:t>
      </w:r>
      <w:r>
        <w:rPr>
          <w:rFonts w:ascii="Times New Roman" w:hAnsi="Times New Roman"/>
          <w:sz w:val="16"/>
          <w:szCs w:val="16"/>
          <w:rtl w:val="0"/>
          <w:lang w:val="ru-RU"/>
        </w:rPr>
        <w:t>58</w:t>
      </w:r>
    </w:p>
  </w:footnote>
  <w:footnote w:id="19">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pp. 82</w:t>
      </w:r>
      <w:r>
        <w:rPr>
          <w:rFonts w:ascii="Times New Roman" w:hAnsi="Times New Roman" w:hint="default"/>
          <w:sz w:val="16"/>
          <w:szCs w:val="16"/>
          <w:rtl w:val="0"/>
          <w:lang w:val="en-US"/>
        </w:rPr>
        <w:t>–</w:t>
      </w:r>
      <w:r>
        <w:rPr>
          <w:rFonts w:ascii="Times New Roman" w:hAnsi="Times New Roman"/>
          <w:sz w:val="16"/>
          <w:szCs w:val="16"/>
          <w:rtl w:val="0"/>
        </w:rPr>
        <w:t>83</w:t>
      </w:r>
    </w:p>
  </w:footnote>
  <w:footnote w:id="20">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rPr>
        <w:t>Pestell, p. 83.</w:t>
      </w:r>
    </w:p>
  </w:footnote>
  <w:footnote w:id="21">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pp. 84</w:t>
      </w:r>
      <w:r>
        <w:rPr>
          <w:rFonts w:ascii="Times New Roman" w:hAnsi="Times New Roman" w:hint="default"/>
          <w:sz w:val="16"/>
          <w:szCs w:val="16"/>
          <w:rtl w:val="0"/>
          <w:lang w:val="en-US"/>
        </w:rPr>
        <w:t>–</w:t>
      </w:r>
      <w:r>
        <w:rPr>
          <w:rFonts w:ascii="Times New Roman" w:hAnsi="Times New Roman"/>
          <w:sz w:val="16"/>
          <w:szCs w:val="16"/>
          <w:rtl w:val="0"/>
        </w:rPr>
        <w:t>95.</w:t>
      </w:r>
    </w:p>
  </w:footnote>
  <w:footnote w:id="22">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s-ES_tradnl"/>
        </w:rPr>
        <w:t xml:space="preserve">Samuel Francis, </w:t>
      </w:r>
      <w:r>
        <w:rPr>
          <w:rFonts w:ascii="Times New Roman" w:hAnsi="Times New Roman"/>
          <w:i w:val="1"/>
          <w:iCs w:val="1"/>
          <w:sz w:val="16"/>
          <w:szCs w:val="16"/>
          <w:rtl w:val="0"/>
          <w:lang w:val="en-US"/>
        </w:rPr>
        <w:t>The Psychological Fictions of J. G. Ballard</w:t>
      </w:r>
      <w:r>
        <w:rPr>
          <w:rFonts w:ascii="Times New Roman" w:hAnsi="Times New Roman"/>
          <w:sz w:val="16"/>
          <w:szCs w:val="16"/>
          <w:rtl w:val="0"/>
          <w:lang w:val="en-US"/>
        </w:rPr>
        <w:t xml:space="preserve"> (London: Continuum, 2011), p. 73, cited in Ben Pestell, </w:t>
      </w:r>
      <w:r>
        <w:rPr>
          <w:rFonts w:ascii="Times New Roman" w:hAnsi="Times New Roman" w:hint="default"/>
          <w:sz w:val="16"/>
          <w:szCs w:val="16"/>
          <w:rtl w:val="0"/>
          <w:lang w:val="en-US"/>
        </w:rPr>
        <w:t>‘</w:t>
      </w:r>
      <w:r>
        <w:rPr>
          <w:rFonts w:ascii="Times New Roman" w:hAnsi="Times New Roman"/>
          <w:sz w:val="16"/>
          <w:szCs w:val="16"/>
          <w:rtl w:val="0"/>
          <w:lang w:val="en-US"/>
        </w:rPr>
        <w:t>The Sun Within: New Solar Myth in Early Novels of Wilson Harris and J. G. Ballard</w:t>
      </w:r>
      <w:r>
        <w:rPr>
          <w:rFonts w:ascii="Times New Roman" w:hAnsi="Times New Roman" w:hint="default"/>
          <w:sz w:val="16"/>
          <w:szCs w:val="16"/>
          <w:rtl w:val="0"/>
          <w:lang w:val="en-US"/>
        </w:rPr>
        <w:t>’</w:t>
      </w:r>
      <w:r>
        <w:rPr>
          <w:rFonts w:ascii="Times New Roman" w:hAnsi="Times New Roman"/>
          <w:sz w:val="16"/>
          <w:szCs w:val="16"/>
          <w:rtl w:val="0"/>
        </w:rPr>
        <w:t xml:space="preserve">, </w:t>
      </w:r>
      <w:r>
        <w:rPr>
          <w:rFonts w:ascii="Times New Roman" w:hAnsi="Times New Roman"/>
          <w:i w:val="1"/>
          <w:iCs w:val="1"/>
          <w:sz w:val="16"/>
          <w:szCs w:val="16"/>
          <w:rtl w:val="0"/>
          <w:lang w:val="en-US"/>
        </w:rPr>
        <w:t>Culture and Cosmos</w:t>
      </w:r>
      <w:r>
        <w:rPr>
          <w:rFonts w:ascii="Times New Roman" w:hAnsi="Times New Roman"/>
          <w:sz w:val="16"/>
          <w:szCs w:val="16"/>
          <w:rtl w:val="0"/>
        </w:rPr>
        <w:t>, 24.1</w:t>
      </w:r>
      <w:r>
        <w:rPr>
          <w:rFonts w:ascii="Times New Roman" w:hAnsi="Times New Roman" w:hint="default"/>
          <w:sz w:val="16"/>
          <w:szCs w:val="16"/>
          <w:rtl w:val="0"/>
          <w:lang w:val="en-US"/>
        </w:rPr>
        <w:t>–</w:t>
      </w:r>
      <w:r>
        <w:rPr>
          <w:rFonts w:ascii="Times New Roman" w:hAnsi="Times New Roman"/>
          <w:sz w:val="16"/>
          <w:szCs w:val="16"/>
          <w:rtl w:val="0"/>
        </w:rPr>
        <w:t>2 (2023), 81</w:t>
      </w:r>
      <w:r>
        <w:rPr>
          <w:rFonts w:ascii="Times New Roman" w:hAnsi="Times New Roman" w:hint="default"/>
          <w:sz w:val="16"/>
          <w:szCs w:val="16"/>
          <w:rtl w:val="0"/>
          <w:lang w:val="en-US"/>
        </w:rPr>
        <w:t>–</w:t>
      </w:r>
      <w:r>
        <w:rPr>
          <w:rFonts w:ascii="Times New Roman" w:hAnsi="Times New Roman"/>
          <w:sz w:val="16"/>
          <w:szCs w:val="16"/>
          <w:rtl w:val="0"/>
        </w:rPr>
        <w:t>95 (p. 84).</w:t>
      </w:r>
    </w:p>
  </w:footnote>
  <w:footnote w:id="23">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pp. 63</w:t>
      </w:r>
      <w:r>
        <w:rPr>
          <w:rFonts w:ascii="Times New Roman" w:hAnsi="Times New Roman" w:hint="default"/>
          <w:sz w:val="16"/>
          <w:szCs w:val="16"/>
          <w:rtl w:val="0"/>
          <w:lang w:val="en-US"/>
        </w:rPr>
        <w:t>–</w:t>
      </w:r>
      <w:r>
        <w:rPr>
          <w:rFonts w:ascii="Times New Roman" w:hAnsi="Times New Roman"/>
          <w:sz w:val="16"/>
          <w:szCs w:val="16"/>
          <w:rtl w:val="0"/>
        </w:rPr>
        <w:t>65, 68</w:t>
      </w:r>
    </w:p>
  </w:footnote>
  <w:footnote w:id="24">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pp. 81</w:t>
      </w:r>
      <w:r>
        <w:rPr>
          <w:rFonts w:ascii="Times New Roman" w:hAnsi="Times New Roman" w:hint="default"/>
          <w:sz w:val="16"/>
          <w:szCs w:val="16"/>
          <w:rtl w:val="0"/>
          <w:lang w:val="en-US"/>
        </w:rPr>
        <w:t>–</w:t>
      </w:r>
      <w:r>
        <w:rPr>
          <w:rFonts w:ascii="Times New Roman" w:hAnsi="Times New Roman"/>
          <w:sz w:val="16"/>
          <w:szCs w:val="16"/>
          <w:rtl w:val="0"/>
        </w:rPr>
        <w:t>82</w:t>
      </w:r>
    </w:p>
  </w:footnote>
  <w:footnote w:id="25">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pp. 59</w:t>
      </w:r>
      <w:r>
        <w:rPr>
          <w:rFonts w:ascii="Times New Roman" w:hAnsi="Times New Roman" w:hint="default"/>
          <w:sz w:val="16"/>
          <w:szCs w:val="16"/>
          <w:rtl w:val="0"/>
          <w:lang w:val="en-US"/>
        </w:rPr>
        <w:t>–</w:t>
      </w:r>
      <w:r>
        <w:rPr>
          <w:rFonts w:ascii="Times New Roman" w:hAnsi="Times New Roman"/>
          <w:sz w:val="16"/>
          <w:szCs w:val="16"/>
          <w:rtl w:val="0"/>
        </w:rPr>
        <w:t>63</w:t>
      </w:r>
    </w:p>
  </w:footnote>
  <w:footnote w:id="26">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 63</w:t>
      </w:r>
    </w:p>
  </w:footnote>
  <w:footnote w:id="27">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pp. 81</w:t>
      </w:r>
      <w:r>
        <w:rPr>
          <w:rFonts w:ascii="Times New Roman" w:hAnsi="Times New Roman" w:hint="default"/>
          <w:sz w:val="16"/>
          <w:szCs w:val="16"/>
          <w:rtl w:val="0"/>
          <w:lang w:val="en-US"/>
        </w:rPr>
        <w:t>–</w:t>
      </w:r>
      <w:r>
        <w:rPr>
          <w:rFonts w:ascii="Times New Roman" w:hAnsi="Times New Roman"/>
          <w:sz w:val="16"/>
          <w:szCs w:val="16"/>
          <w:rtl w:val="0"/>
        </w:rPr>
        <w:t>84</w:t>
      </w:r>
    </w:p>
  </w:footnote>
  <w:footnote w:id="28">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rPr>
        <w:t>Pestell, p. 84.</w:t>
      </w:r>
    </w:p>
  </w:footnote>
  <w:footnote w:id="29">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pp. 57</w:t>
      </w:r>
      <w:r>
        <w:rPr>
          <w:rFonts w:ascii="Times New Roman" w:hAnsi="Times New Roman" w:hint="default"/>
          <w:sz w:val="16"/>
          <w:szCs w:val="16"/>
          <w:rtl w:val="0"/>
          <w:lang w:val="en-US"/>
        </w:rPr>
        <w:t>–</w:t>
      </w:r>
      <w:r>
        <w:rPr>
          <w:rFonts w:ascii="Times New Roman" w:hAnsi="Times New Roman"/>
          <w:sz w:val="16"/>
          <w:szCs w:val="16"/>
          <w:rtl w:val="0"/>
        </w:rPr>
        <w:t>59</w:t>
      </w:r>
    </w:p>
  </w:footnote>
  <w:footnote w:id="30">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pp. 81</w:t>
      </w:r>
      <w:r>
        <w:rPr>
          <w:rFonts w:ascii="Times New Roman" w:hAnsi="Times New Roman" w:hint="default"/>
          <w:sz w:val="16"/>
          <w:szCs w:val="16"/>
          <w:rtl w:val="0"/>
          <w:lang w:val="en-US"/>
        </w:rPr>
        <w:t>–</w:t>
      </w:r>
      <w:r>
        <w:rPr>
          <w:rFonts w:ascii="Times New Roman" w:hAnsi="Times New Roman"/>
          <w:sz w:val="16"/>
          <w:szCs w:val="16"/>
          <w:rtl w:val="0"/>
        </w:rPr>
        <w:t>84</w:t>
      </w:r>
    </w:p>
  </w:footnote>
  <w:footnote w:id="31">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pp. 82</w:t>
      </w:r>
      <w:r>
        <w:rPr>
          <w:rFonts w:ascii="Times New Roman" w:hAnsi="Times New Roman" w:hint="default"/>
          <w:sz w:val="16"/>
          <w:szCs w:val="16"/>
          <w:rtl w:val="0"/>
          <w:lang w:val="en-US"/>
        </w:rPr>
        <w:t>–</w:t>
      </w:r>
      <w:r>
        <w:rPr>
          <w:rFonts w:ascii="Times New Roman" w:hAnsi="Times New Roman"/>
          <w:sz w:val="16"/>
          <w:szCs w:val="16"/>
          <w:rtl w:val="0"/>
        </w:rPr>
        <w:t>84</w:t>
      </w:r>
    </w:p>
  </w:footnote>
  <w:footnote w:id="32">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pp. 64</w:t>
      </w:r>
      <w:r>
        <w:rPr>
          <w:rFonts w:ascii="Times New Roman" w:hAnsi="Times New Roman" w:hint="default"/>
          <w:sz w:val="16"/>
          <w:szCs w:val="16"/>
          <w:rtl w:val="0"/>
          <w:lang w:val="en-US"/>
        </w:rPr>
        <w:t>–</w:t>
      </w:r>
      <w:r>
        <w:rPr>
          <w:rFonts w:ascii="Times New Roman" w:hAnsi="Times New Roman"/>
          <w:sz w:val="16"/>
          <w:szCs w:val="16"/>
          <w:rtl w:val="0"/>
        </w:rPr>
        <w:t>66</w:t>
      </w:r>
    </w:p>
  </w:footnote>
  <w:footnote w:id="33">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en-US"/>
        </w:rPr>
        <w:t>Hoving, p. 68</w:t>
      </w:r>
    </w:p>
  </w:footnote>
  <w:footnote w:id="34">
    <w:p>
      <w:pPr>
        <w:pStyle w:val="Body"/>
        <w:spacing w:line="240" w:lineRule="auto"/>
      </w:pPr>
      <w:r>
        <w:rPr>
          <w:rFonts w:ascii="Times New Roman" w:cs="Times New Roman" w:hAnsi="Times New Roman" w:eastAsia="Times New Roman"/>
          <w:outline w:val="0"/>
          <w:color w:val="666666"/>
          <w:sz w:val="24"/>
          <w:szCs w:val="24"/>
          <w:u w:color="666666"/>
          <w:vertAlign w:val="superscript"/>
          <w14:textFill>
            <w14:solidFill>
              <w14:srgbClr w14:val="666666"/>
            </w14:solidFill>
          </w14:textFill>
        </w:rPr>
        <w:footnoteRef/>
      </w:r>
      <w:r>
        <w:rPr>
          <w:sz w:val="20"/>
          <w:szCs w:val="20"/>
          <w:rtl w:val="0"/>
        </w:rPr>
        <w:t xml:space="preserve"> </w:t>
      </w:r>
      <w:r>
        <w:rPr>
          <w:rFonts w:ascii="Times New Roman" w:hAnsi="Times New Roman"/>
          <w:sz w:val="16"/>
          <w:szCs w:val="16"/>
          <w:rtl w:val="0"/>
          <w:lang w:val="de-DE"/>
        </w:rPr>
        <w:t>Pestell, pp. 94</w:t>
      </w:r>
      <w:r>
        <w:rPr>
          <w:rFonts w:ascii="Times New Roman" w:hAnsi="Times New Roman" w:hint="default"/>
          <w:sz w:val="16"/>
          <w:szCs w:val="16"/>
          <w:rtl w:val="0"/>
          <w:lang w:val="en-US"/>
        </w:rPr>
        <w:t>–</w:t>
      </w:r>
      <w:r>
        <w:rPr>
          <w:rFonts w:ascii="Times New Roman" w:hAnsi="Times New Roman"/>
          <w:sz w:val="16"/>
          <w:szCs w:val="16"/>
          <w:rtl w:val="0"/>
        </w:rPr>
        <w:t>95</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320" w:after="80" w:line="276" w:lineRule="auto"/>
      <w:ind w:left="0" w:right="0" w:firstLine="0"/>
      <w:jc w:val="left"/>
      <w:outlineLvl w:val="2"/>
    </w:pPr>
    <w:rPr>
      <w:rFonts w:ascii="Arial" w:cs="Arial" w:hAnsi="Arial" w:eastAsia="Arial"/>
      <w:b w:val="0"/>
      <w:bCs w:val="0"/>
      <w:i w:val="0"/>
      <w:iCs w:val="0"/>
      <w:caps w:val="0"/>
      <w:smallCaps w:val="0"/>
      <w:strike w:val="0"/>
      <w:dstrike w:val="0"/>
      <w:outline w:val="0"/>
      <w:color w:val="434343"/>
      <w:spacing w:val="0"/>
      <w:kern w:val="0"/>
      <w:position w:val="0"/>
      <w:sz w:val="28"/>
      <w:szCs w:val="28"/>
      <w:u w:val="none" w:color="434343"/>
      <w:shd w:val="nil" w:color="auto" w:fill="auto"/>
      <w:vertAlign w:val="baseline"/>
      <w14:textOutline>
        <w14:noFill/>
      </w14:textOutline>
      <w14:textFill>
        <w14:solidFill>
          <w14:srgbClr w14:val="434343"/>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notes" Target="footnotes.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