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91093" w:rsidRPr="00B91093" w:rsidRDefault="00B91093" w:rsidP="0019674D">
      <w:pPr>
        <w:spacing w:line="360" w:lineRule="auto"/>
        <w:ind w:firstLine="720"/>
        <w:jc w:val="center"/>
        <w:rPr>
          <w:sz w:val="28"/>
          <w:u w:val="single"/>
        </w:rPr>
      </w:pPr>
      <w:r w:rsidRPr="00B91093">
        <w:rPr>
          <w:sz w:val="28"/>
          <w:u w:val="single"/>
        </w:rPr>
        <w:t>Take home exam:</w:t>
      </w:r>
    </w:p>
    <w:p w:rsidR="00D4035A" w:rsidRDefault="00B91093" w:rsidP="0019674D">
      <w:pPr>
        <w:pStyle w:val="Heading1"/>
        <w:spacing w:line="360" w:lineRule="auto"/>
        <w:ind w:firstLine="720"/>
        <w:rPr>
          <w:sz w:val="28"/>
        </w:rPr>
      </w:pPr>
      <w:r w:rsidRPr="00D4035A">
        <w:rPr>
          <w:sz w:val="28"/>
        </w:rPr>
        <w:t>“How might the concerns of animal liberationists and ethical holists conflict and / or converge?”</w:t>
      </w:r>
    </w:p>
    <w:p w:rsidR="002A6679" w:rsidRPr="000A5673" w:rsidRDefault="002A6679" w:rsidP="0019674D">
      <w:pPr>
        <w:spacing w:line="360" w:lineRule="auto"/>
        <w:ind w:firstLine="720"/>
      </w:pPr>
      <w:r>
        <w:t xml:space="preserve">There are many ways the welfare of animals and the welfare of ecosystems </w:t>
      </w:r>
      <w:r w:rsidR="00E85F98">
        <w:t>conflict</w:t>
      </w:r>
      <w:r>
        <w:t>. One of the most prominent issue</w:t>
      </w:r>
      <w:r w:rsidR="00E85F98">
        <w:t>s is</w:t>
      </w:r>
      <w:r>
        <w:t xml:space="preserve"> of a specie</w:t>
      </w:r>
      <w:r w:rsidR="00DB43C3">
        <w:t>s</w:t>
      </w:r>
      <w:r>
        <w:t xml:space="preserve"> over-grazing a certain area of land. Such as specie</w:t>
      </w:r>
      <w:r w:rsidR="00DB43C3">
        <w:t>s</w:t>
      </w:r>
      <w:r>
        <w:t xml:space="preserve"> might be foreign to the land and carry many foreign diseases that the local wildlife is not equipped to defend itself from. Therefore, the question arises: should we cull a large portion of this particular specie in order to benefit the </w:t>
      </w:r>
      <w:r w:rsidR="00E85F98">
        <w:t>whole ecology? Either way, w</w:t>
      </w:r>
      <w:r>
        <w:t xml:space="preserve">e seem to be caught between two evils. Thusly, several philosophers have attempted to resolve this conflict by </w:t>
      </w:r>
      <w:r w:rsidR="00E85F98">
        <w:t>possibly</w:t>
      </w:r>
      <w:r>
        <w:t xml:space="preserve"> </w:t>
      </w:r>
      <w:r w:rsidR="00E85F98">
        <w:t>merging</w:t>
      </w:r>
      <w:r>
        <w:t xml:space="preserve"> both animal and environmental </w:t>
      </w:r>
      <w:r w:rsidR="00E85F98">
        <w:t>concerns</w:t>
      </w:r>
      <w:r>
        <w:t xml:space="preserve"> into one cohesive theory.</w:t>
      </w:r>
      <w:r w:rsidR="00DB43C3">
        <w:t xml:space="preserve"> A detailing of both Midgley’s and Callicott’s theories will be followed by a criticism that both theories fail to provide sufficient action-guidance in regards to conflicting values of animal and environmental interests.</w:t>
      </w:r>
    </w:p>
    <w:p w:rsidR="00B578E5" w:rsidRDefault="00B578E5" w:rsidP="0019674D">
      <w:pPr>
        <w:spacing w:line="360" w:lineRule="auto"/>
        <w:ind w:firstLine="720"/>
      </w:pPr>
    </w:p>
    <w:p w:rsidR="00B91093" w:rsidRDefault="0087648F" w:rsidP="0019674D">
      <w:pPr>
        <w:spacing w:line="360" w:lineRule="auto"/>
        <w:ind w:firstLine="720"/>
      </w:pPr>
      <w:r w:rsidRPr="0001070B">
        <w:t>Midgley’s “mixed community”</w:t>
      </w:r>
      <w:r w:rsidR="0001070B" w:rsidRPr="0001070B">
        <w:rPr>
          <w:rStyle w:val="FootnoteReference"/>
        </w:rPr>
        <w:footnoteReference w:id="1"/>
      </w:r>
      <w:r w:rsidR="0001070B">
        <w:t xml:space="preserve"> </w:t>
      </w:r>
      <w:r>
        <w:t>thesis</w:t>
      </w:r>
      <w:r w:rsidR="002A6679">
        <w:t xml:space="preserve"> attempts to merge both interests</w:t>
      </w:r>
      <w:r>
        <w:t xml:space="preserve">. </w:t>
      </w:r>
      <w:r w:rsidR="00E85F98">
        <w:t>She</w:t>
      </w:r>
      <w:r>
        <w:t xml:space="preserve"> posits that </w:t>
      </w:r>
      <w:r w:rsidR="00E85F98">
        <w:t xml:space="preserve">the </w:t>
      </w:r>
      <w:r>
        <w:t>concerns of animal</w:t>
      </w:r>
      <w:r w:rsidR="00E85F98">
        <w:t>s</w:t>
      </w:r>
      <w:r>
        <w:t xml:space="preserve"> and </w:t>
      </w:r>
      <w:r w:rsidR="00E85F98">
        <w:t xml:space="preserve">the </w:t>
      </w:r>
      <w:r>
        <w:t xml:space="preserve">environmental overlap. </w:t>
      </w:r>
      <w:r w:rsidR="00E85F98">
        <w:t>E</w:t>
      </w:r>
      <w:r>
        <w:t xml:space="preserve">ach individual is part of a larger, unified, system. For example, the extinction of bees </w:t>
      </w:r>
      <w:r w:rsidR="00E85F98">
        <w:t>would be</w:t>
      </w:r>
      <w:r>
        <w:t xml:space="preserve"> trouble</w:t>
      </w:r>
      <w:r w:rsidR="00E85F98">
        <w:t xml:space="preserve">some as they pollinate flowers </w:t>
      </w:r>
      <w:r>
        <w:t>whi</w:t>
      </w:r>
      <w:r w:rsidR="00E85F98">
        <w:t>ch are then digested by animals</w:t>
      </w:r>
      <w:r>
        <w:t xml:space="preserve"> and so on. </w:t>
      </w:r>
      <w:r w:rsidR="00D4035A">
        <w:t>If bees were taken out of our ecological system this would have catastrophic environmental implications. “Thus the two causes do overlap widely.”</w:t>
      </w:r>
      <w:r w:rsidR="0001070B">
        <w:rPr>
          <w:rStyle w:val="FootnoteReference"/>
        </w:rPr>
        <w:footnoteReference w:id="2"/>
      </w:r>
    </w:p>
    <w:p w:rsidR="00D4035A" w:rsidRDefault="00D4035A" w:rsidP="0019674D">
      <w:pPr>
        <w:spacing w:line="360" w:lineRule="auto"/>
        <w:ind w:firstLine="720"/>
      </w:pPr>
      <w:r>
        <w:tab/>
        <w:t>Furthermore, “concern for the whole environment gives no direct motive to oppose bull-fighting, nor does human concern for bulls directly forbid the proliferation of cars.”</w:t>
      </w:r>
      <w:r w:rsidR="0001070B">
        <w:rPr>
          <w:rStyle w:val="FootnoteReference"/>
        </w:rPr>
        <w:footnoteReference w:id="3"/>
      </w:r>
      <w:r>
        <w:t xml:space="preserve"> </w:t>
      </w:r>
      <w:r w:rsidR="00E85F98">
        <w:t>T</w:t>
      </w:r>
      <w:r>
        <w:t>his implies that, at the pragmatic level, there is more convergence of interests than conflict. If one were to adopt a more holistic ethical view one will find</w:t>
      </w:r>
      <w:r w:rsidR="00E85F98">
        <w:t xml:space="preserve"> the</w:t>
      </w:r>
      <w:r>
        <w:t xml:space="preserve"> conflict less fierce. Midgley claims theories such as Utilitarianism fail to capture the “complexity of life”</w:t>
      </w:r>
      <w:r w:rsidR="0001070B">
        <w:rPr>
          <w:rStyle w:val="FootnoteReference"/>
        </w:rPr>
        <w:footnoteReference w:id="4"/>
      </w:r>
      <w:r>
        <w:t xml:space="preserve"> due to their desire to unify ethics into a single theory or principle, such as Utilitarianism’s ‘principle of utility.’ Furthermore, philosophies do not have to necessarily clash according to Midgley. There are many truths to be found in all theories and these should not be neglected on the grounds on dogmatic-unification.</w:t>
      </w:r>
      <w:r w:rsidR="0001070B">
        <w:rPr>
          <w:rStyle w:val="FootnoteReference"/>
        </w:rPr>
        <w:footnoteReference w:id="5"/>
      </w:r>
    </w:p>
    <w:p w:rsidR="00D4035A" w:rsidRDefault="00D4035A" w:rsidP="0019674D">
      <w:pPr>
        <w:spacing w:line="360" w:lineRule="auto"/>
        <w:ind w:firstLine="720"/>
      </w:pPr>
      <w:r>
        <w:lastRenderedPageBreak/>
        <w:t>In regards to resolving conflicts of animal and environmental concerns Midgley states: “There is no clear, reductive way of settling who wins this kind of contest. We know that in these cases we can face a real choice of evils, and we then have</w:t>
      </w:r>
      <w:r w:rsidR="004C6ED7">
        <w:t xml:space="preserve"> </w:t>
      </w:r>
      <w:r>
        <w:t xml:space="preserve">to find some way of deciding which of these evils </w:t>
      </w:r>
      <w:proofErr w:type="gramStart"/>
      <w:r>
        <w:t>is, in this particular case, the worse</w:t>
      </w:r>
      <w:proofErr w:type="gramEnd"/>
      <w:r>
        <w:t>.”</w:t>
      </w:r>
      <w:r w:rsidR="0001070B">
        <w:rPr>
          <w:rStyle w:val="FootnoteReference"/>
        </w:rPr>
        <w:footnoteReference w:id="6"/>
      </w:r>
      <w:r>
        <w:t xml:space="preserve"> </w:t>
      </w:r>
      <w:r w:rsidR="004C6ED7">
        <w:t xml:space="preserve">Her claim that there is no clear way of settling these conflicts appears initially almost </w:t>
      </w:r>
      <w:proofErr w:type="spellStart"/>
      <w:r w:rsidR="004C6ED7">
        <w:t>uninsightful</w:t>
      </w:r>
      <w:proofErr w:type="spellEnd"/>
      <w:r w:rsidR="004C6ED7">
        <w:t xml:space="preserve"> as not only does</w:t>
      </w:r>
      <w:r w:rsidR="00C33A6B">
        <w:t xml:space="preserve"> she offer</w:t>
      </w:r>
      <w:r w:rsidR="004C6ED7">
        <w:t xml:space="preserve"> no clear method for discerning between conflicting values, but appears to be advocating for such a stance. To one who is concerned with the identification and formulation of action-guiding moral principles Midgley’s position can be argued to be lacking. However, an individual who is not concerned with formulation of action-guiding principles might see this as a strength.</w:t>
      </w:r>
    </w:p>
    <w:p w:rsidR="004C6ED7" w:rsidRDefault="004C6ED7" w:rsidP="0019674D">
      <w:pPr>
        <w:spacing w:line="360" w:lineRule="auto"/>
        <w:ind w:firstLine="720"/>
      </w:pPr>
      <w:r>
        <w:t>Moral particularism</w:t>
      </w:r>
      <w:r w:rsidR="00E85F98">
        <w:t>, for example,</w:t>
      </w:r>
      <w:r>
        <w:t xml:space="preserve"> claims that the identification and formulation of moral principles is at most useless and at worst harmful to our moral conduct. </w:t>
      </w:r>
      <w:proofErr w:type="spellStart"/>
      <w:r>
        <w:t>Particularists</w:t>
      </w:r>
      <w:proofErr w:type="spellEnd"/>
      <w:r>
        <w:t xml:space="preserve"> argue for a paradigm of morality which focuses more on moral character than on moral principles. Similar to a virtue ethicist, the </w:t>
      </w:r>
      <w:proofErr w:type="spellStart"/>
      <w:r w:rsidR="00C33A6B">
        <w:t>particularist</w:t>
      </w:r>
      <w:proofErr w:type="spellEnd"/>
      <w:r>
        <w:t xml:space="preserve"> assumes that if one has decent moral character </w:t>
      </w:r>
      <w:r w:rsidR="002A6679">
        <w:t xml:space="preserve">then </w:t>
      </w:r>
      <w:r>
        <w:t xml:space="preserve">one will make the right choices. A </w:t>
      </w:r>
      <w:proofErr w:type="spellStart"/>
      <w:r>
        <w:t>particularist</w:t>
      </w:r>
      <w:proofErr w:type="spellEnd"/>
      <w:r>
        <w:t xml:space="preserve"> would see Midgley’s position as not only attractive but also potentially synergetic with their own position. If each moral dilemma is wholly unique and distinct then how could we possibly offer a consistent formulation for how to deal with each specific situation? Whether the </w:t>
      </w:r>
      <w:proofErr w:type="spellStart"/>
      <w:r>
        <w:t>particularist</w:t>
      </w:r>
      <w:proofErr w:type="spellEnd"/>
      <w:r>
        <w:t xml:space="preserve"> is right in rejecting principles from their ethical dialogue one cannot deny the synergies between Midgley’s </w:t>
      </w:r>
      <w:r w:rsidR="00E85F98">
        <w:t xml:space="preserve">and </w:t>
      </w:r>
      <w:proofErr w:type="spellStart"/>
      <w:r w:rsidR="00E85F98">
        <w:t>particularist</w:t>
      </w:r>
      <w:proofErr w:type="spellEnd"/>
      <w:r w:rsidR="00E85F98">
        <w:t xml:space="preserve"> theories and the utility such a synthesis could offer to resolve conflicting values between animal and environmental interests. </w:t>
      </w:r>
    </w:p>
    <w:p w:rsidR="00B578E5" w:rsidRDefault="00B578E5" w:rsidP="0019674D">
      <w:pPr>
        <w:spacing w:line="360" w:lineRule="auto"/>
        <w:ind w:firstLine="720"/>
      </w:pPr>
    </w:p>
    <w:p w:rsidR="00BF2D61" w:rsidRDefault="00BF2D61" w:rsidP="0019674D">
      <w:pPr>
        <w:spacing w:line="360" w:lineRule="auto"/>
        <w:ind w:firstLine="720"/>
      </w:pPr>
      <w:r>
        <w:t>In his article titled “Animal Rights and Environmental Ethics: Back Together Again” Callicott argues for a merge</w:t>
      </w:r>
      <w:r w:rsidR="00DB43C3">
        <w:t>r</w:t>
      </w:r>
      <w:r>
        <w:t xml:space="preserve"> </w:t>
      </w:r>
      <w:r w:rsidR="00DB43C3">
        <w:t>of</w:t>
      </w:r>
      <w:r>
        <w:t xml:space="preserve"> Midgley’s ‘mixed communities’ thesis and Leopold’s ‘Land Ethic’. Leopold’s land ethic can be summarised as so: </w:t>
      </w:r>
    </w:p>
    <w:p w:rsidR="00BF2D61" w:rsidRDefault="00BF2D61" w:rsidP="0019674D">
      <w:pPr>
        <w:spacing w:line="360" w:lineRule="auto"/>
        <w:ind w:firstLine="720"/>
      </w:pPr>
      <w:r>
        <w:t>“All ethics so far evolved rest upon a single premise: that the individual is a member of a community of interdependent parts. His instincts prompt him to compete for his place in that community, but his ethics prompt him to also co-</w:t>
      </w:r>
      <w:r w:rsidR="0001070B">
        <w:t>operate.”</w:t>
      </w:r>
      <w:r w:rsidR="0001070B">
        <w:rPr>
          <w:rStyle w:val="FootnoteReference"/>
        </w:rPr>
        <w:footnoteReference w:id="7"/>
      </w:r>
      <w:r w:rsidR="0001070B">
        <w:t xml:space="preserve"> </w:t>
      </w:r>
      <w:r>
        <w:t>Furthermore: “The land ethic simply enlarges the boundaries of the community to include soils, waters, plants, and animals, or collectively: the land.”</w:t>
      </w:r>
      <w:r w:rsidR="0001070B">
        <w:rPr>
          <w:rStyle w:val="FootnoteReference"/>
        </w:rPr>
        <w:footnoteReference w:id="8"/>
      </w:r>
    </w:p>
    <w:p w:rsidR="00BF2D61" w:rsidRDefault="00BF2D61" w:rsidP="0019674D">
      <w:pPr>
        <w:spacing w:line="360" w:lineRule="auto"/>
        <w:ind w:firstLine="720"/>
      </w:pPr>
      <w:r>
        <w:lastRenderedPageBreak/>
        <w:t xml:space="preserve">Similar to Midgley, Callicott posits that animal and environmental welfare ethicists have overlapping concerns. Humans have strong rights as we are autonomous; animals have weaker rights as they are sentient; the environment should be used with respect, even if it does not have rights, because it is a unified system of which we value </w:t>
      </w:r>
      <w:r w:rsidR="00A075B0">
        <w:t>in a multitude of ways [</w:t>
      </w:r>
      <w:r>
        <w:t xml:space="preserve">for resources, shelter, </w:t>
      </w:r>
      <w:r w:rsidR="00A075B0">
        <w:t>beauty]</w:t>
      </w:r>
      <w:r>
        <w:t xml:space="preserve">. Any account which attempts to merge animal and ecological values must therefore provide an account of how we can discern between </w:t>
      </w:r>
      <w:r w:rsidR="00A075B0">
        <w:t>potentially</w:t>
      </w:r>
      <w:r>
        <w:t xml:space="preserve"> conflicting values</w:t>
      </w:r>
      <w:r w:rsidR="00A075B0">
        <w:t xml:space="preserve"> between animal and environmental interests</w:t>
      </w:r>
      <w:r>
        <w:t>.</w:t>
      </w:r>
      <w:r w:rsidR="00A075B0">
        <w:rPr>
          <w:rStyle w:val="FootnoteReference"/>
        </w:rPr>
        <w:footnoteReference w:id="9"/>
      </w:r>
      <w:r>
        <w:t xml:space="preserve"> </w:t>
      </w:r>
      <w:r w:rsidR="00430B6F">
        <w:t>131-132</w:t>
      </w:r>
    </w:p>
    <w:p w:rsidR="00430B6F" w:rsidRDefault="00430B6F" w:rsidP="0019674D">
      <w:pPr>
        <w:spacing w:line="360" w:lineRule="auto"/>
        <w:ind w:firstLine="720"/>
      </w:pPr>
      <w:r>
        <w:t>Callicott attempts to provide an answer to this challenge through merging Midgley’s mixed community</w:t>
      </w:r>
      <w:r>
        <w:rPr>
          <w:rStyle w:val="FootnoteReference"/>
        </w:rPr>
        <w:footnoteReference w:id="10"/>
      </w:r>
      <w:r>
        <w:t xml:space="preserve"> with Leopold’s biotic community</w:t>
      </w:r>
      <w:r>
        <w:rPr>
          <w:rStyle w:val="FootnoteReference"/>
        </w:rPr>
        <w:footnoteReference w:id="11"/>
      </w:r>
      <w:r>
        <w:t xml:space="preserve">. </w:t>
      </w:r>
      <w:r w:rsidR="006B2544">
        <w:t xml:space="preserve">Callicott contends that a common </w:t>
      </w:r>
      <w:proofErr w:type="spellStart"/>
      <w:r w:rsidR="006B2544">
        <w:t>Humean</w:t>
      </w:r>
      <w:proofErr w:type="spellEnd"/>
      <w:r w:rsidR="006B2544">
        <w:t xml:space="preserve"> theme can be found within both Midgley’s and Leopold’s theories: moral altruism. It is through this link that we now have the basis for an animal-environmental theory, posits Callicott. Although it is never explicitly detailed as a principle, or segment of his argument, Callicott goes on to argue for a consideration of ‘moral range</w:t>
      </w:r>
      <w:r w:rsidR="00DB43C3">
        <w:t>’</w:t>
      </w:r>
      <w:r w:rsidR="00DB43C3">
        <w:rPr>
          <w:rStyle w:val="FootnoteReference"/>
        </w:rPr>
        <w:footnoteReference w:id="12"/>
      </w:r>
      <w:r w:rsidR="006B2544">
        <w:t xml:space="preserve">. He posits that considerations towards my family will obviously trump those towards strangers or perhaps even friends. Furthermore, considerations towards my </w:t>
      </w:r>
      <w:r w:rsidR="00E85F98">
        <w:t xml:space="preserve">own </w:t>
      </w:r>
      <w:r w:rsidR="006B2544">
        <w:t>community will mostly trump considerations towards other communities. Considerations towards humans will trump animals. And considerations towards domestic animals will trump wild animals.</w:t>
      </w:r>
      <w:r w:rsidR="00A075B0">
        <w:rPr>
          <w:rStyle w:val="FootnoteReference"/>
        </w:rPr>
        <w:footnoteReference w:id="13"/>
      </w:r>
      <w:r w:rsidR="006B2544">
        <w:t xml:space="preserve"> </w:t>
      </w:r>
    </w:p>
    <w:p w:rsidR="006B2544" w:rsidRDefault="006B2544" w:rsidP="0019674D">
      <w:pPr>
        <w:spacing w:line="360" w:lineRule="auto"/>
        <w:ind w:firstLine="720"/>
      </w:pPr>
      <w:r>
        <w:t xml:space="preserve">Callicott claims his goal is to provide an account for how we might discern between conflicting values between animals and ecology. However, it cannot be said that he has done this successfully. Callicott’s theory </w:t>
      </w:r>
      <w:r w:rsidR="00E85F98">
        <w:t>details the pillars of his argument</w:t>
      </w:r>
      <w:r>
        <w:t xml:space="preserve"> as vaguely as Midgley does. Through pure reflection the core of both Midgley and Callicott resonates with some truth found within our moral framework: that we need to widen our scope of moral </w:t>
      </w:r>
      <w:r w:rsidR="00E85F98">
        <w:t>consideration</w:t>
      </w:r>
      <w:r>
        <w:t xml:space="preserve">. </w:t>
      </w:r>
      <w:r w:rsidR="00E85F98">
        <w:t>Both argue for an account of how to resolve conflicting moral values,</w:t>
      </w:r>
      <w:r>
        <w:t xml:space="preserve"> however, neither do much </w:t>
      </w:r>
      <w:proofErr w:type="gramStart"/>
      <w:r>
        <w:t>to</w:t>
      </w:r>
      <w:proofErr w:type="gramEnd"/>
      <w:r>
        <w:t xml:space="preserve"> a</w:t>
      </w:r>
      <w:r w:rsidR="00E85F98">
        <w:t xml:space="preserve">ctually provide </w:t>
      </w:r>
      <w:r>
        <w:t>a detailed</w:t>
      </w:r>
      <w:r w:rsidR="00E85F98">
        <w:t xml:space="preserve"> explicit</w:t>
      </w:r>
      <w:r>
        <w:t xml:space="preserve"> account</w:t>
      </w:r>
      <w:r w:rsidR="00E85F98">
        <w:t xml:space="preserve"> in regards to how we might actually resolve these conflicts, such as the over-grazing specie example</w:t>
      </w:r>
      <w:r>
        <w:t xml:space="preserve">. Admittedly, Midgley could resolve this issue by attempting to seek help from the </w:t>
      </w:r>
      <w:proofErr w:type="spellStart"/>
      <w:r>
        <w:t>particularists</w:t>
      </w:r>
      <w:proofErr w:type="spellEnd"/>
      <w:r>
        <w:t>. However, Callicott cannot be said to have access to the same solution.</w:t>
      </w:r>
    </w:p>
    <w:p w:rsidR="00405899" w:rsidRDefault="00405899" w:rsidP="0019674D">
      <w:pPr>
        <w:spacing w:line="360" w:lineRule="auto"/>
        <w:ind w:firstLine="720"/>
      </w:pPr>
      <w:r>
        <w:t xml:space="preserve">Midgley almost implicitly implies particularism through her emphasis that each moral situation is distinct and unique, and will thusly require distinct and unique replies to each case. </w:t>
      </w:r>
      <w:r>
        <w:lastRenderedPageBreak/>
        <w:t xml:space="preserve">However, Callicott does not implicitly imply such a contention, conversely he might </w:t>
      </w:r>
      <w:r w:rsidR="00DB43C3">
        <w:t>explicitly</w:t>
      </w:r>
      <w:r>
        <w:t xml:space="preserve"> argue against it. This can be demonstrated through his quote: “Any account which attempts to merge animal and ecological values must therefore provide an account of how we can discern between these conflicting values.”</w:t>
      </w:r>
      <w:r w:rsidR="00A075B0">
        <w:rPr>
          <w:rStyle w:val="FootnoteReference"/>
        </w:rPr>
        <w:footnoteReference w:id="14"/>
      </w:r>
      <w:r>
        <w:t xml:space="preserve"> Whilst Midgley implicitly implies particularism, through this quote, Callicott could be said to arguing for </w:t>
      </w:r>
      <w:proofErr w:type="spellStart"/>
      <w:r>
        <w:t>principlism</w:t>
      </w:r>
      <w:proofErr w:type="spellEnd"/>
      <w:r>
        <w:t xml:space="preserve"> [particularism’s opposing theory, which claims that action-guiding principles </w:t>
      </w:r>
      <w:r w:rsidRPr="00E85F98">
        <w:t>are</w:t>
      </w:r>
      <w:r>
        <w:t xml:space="preserve"> </w:t>
      </w:r>
      <w:r w:rsidRPr="00405899">
        <w:rPr>
          <w:i/>
        </w:rPr>
        <w:t>necessary</w:t>
      </w:r>
      <w:r>
        <w:t xml:space="preserve"> for moral conduct]. Midgley’s argument can be criticised for not providing a detailed account on how a moral agent discerns between conflicting values, however, her p</w:t>
      </w:r>
      <w:r>
        <w:t>osition could be saved through s</w:t>
      </w:r>
      <w:r>
        <w:t xml:space="preserve">ome synergy with particularism. </w:t>
      </w:r>
      <w:r>
        <w:t xml:space="preserve">Callicott </w:t>
      </w:r>
      <w:r>
        <w:t xml:space="preserve">is open to the same criticism, however, it </w:t>
      </w:r>
      <w:r>
        <w:t>cannot be said</w:t>
      </w:r>
      <w:r>
        <w:t xml:space="preserve"> that he has access to the</w:t>
      </w:r>
      <w:r>
        <w:t xml:space="preserve"> same </w:t>
      </w:r>
      <w:r>
        <w:t>solution Midgley does.</w:t>
      </w:r>
    </w:p>
    <w:p w:rsidR="00B578E5" w:rsidRDefault="00B578E5" w:rsidP="0019674D">
      <w:pPr>
        <w:spacing w:line="360" w:lineRule="auto"/>
        <w:ind w:firstLine="720"/>
      </w:pPr>
    </w:p>
    <w:p w:rsidR="00405899" w:rsidRPr="00405899" w:rsidRDefault="00405899" w:rsidP="0019674D">
      <w:pPr>
        <w:spacing w:line="360" w:lineRule="auto"/>
        <w:ind w:firstLine="720"/>
      </w:pPr>
      <w:r>
        <w:t>Conclusively, both Midgley and Callicott suffer from a lack of moral framework within their respective theories. They both contend for intuitive ideas such as ecological holism but offer not fundamental philosophical structure as to how these ideas would</w:t>
      </w:r>
      <w:r w:rsidR="008E5CC6">
        <w:t xml:space="preserve"> be incorporated with examples such as the over-grazing specie; how would either Midgley or Callicott argue to resolve such a dilemma? Based off of their respective articles, one is left short of an answer. </w:t>
      </w:r>
      <w:r w:rsidR="00DB43C3">
        <w:t>Therefore, it remains unclear whether convergence of animal and environmental welfare is tenable or not. Admittedly, unification of theory has an almost intuitive attraction. However, the value of a philosophical theory should be not adjudicated on intuitive grounds. Until a more cohesive account that is able to provide an answer to the ‘over-grazing species’ example appears, one is left to comment that convergence of animal and environmental concerns, as Midgley and Callicott presents it, is untenable.</w:t>
      </w:r>
    </w:p>
    <w:p w:rsidR="0087648F" w:rsidRDefault="0087648F" w:rsidP="0019674D">
      <w:pPr>
        <w:spacing w:line="360" w:lineRule="auto"/>
        <w:ind w:firstLine="720"/>
      </w:pPr>
    </w:p>
    <w:p w:rsidR="00B91093" w:rsidRDefault="00B91093" w:rsidP="0019674D">
      <w:pPr>
        <w:spacing w:line="360" w:lineRule="auto"/>
        <w:ind w:firstLine="720"/>
      </w:pPr>
      <w:r>
        <w:br w:type="page"/>
      </w:r>
    </w:p>
    <w:p w:rsidR="00B91093" w:rsidRDefault="00B91093" w:rsidP="00B578E5">
      <w:pPr>
        <w:pStyle w:val="Heading1"/>
        <w:spacing w:line="360" w:lineRule="auto"/>
        <w:ind w:firstLine="720"/>
      </w:pPr>
      <w:r>
        <w:lastRenderedPageBreak/>
        <w:t>“What are the requirements for ‘having moral standing’ and which beings qualify?”</w:t>
      </w:r>
    </w:p>
    <w:p w:rsidR="001C5F9B" w:rsidRDefault="000A5673" w:rsidP="0019674D">
      <w:pPr>
        <w:spacing w:line="360" w:lineRule="auto"/>
        <w:ind w:firstLine="720"/>
      </w:pPr>
      <w:r>
        <w:t xml:space="preserve">There are mainly four theories that tackle the question of </w:t>
      </w:r>
      <w:r w:rsidR="00E7131E">
        <w:t xml:space="preserve">what </w:t>
      </w:r>
      <w:r w:rsidR="00C9246A">
        <w:t>possesses moral standing</w:t>
      </w:r>
      <w:r>
        <w:t xml:space="preserve">. These being: </w:t>
      </w:r>
      <w:r w:rsidR="003406FD">
        <w:t>anthropocentrism</w:t>
      </w:r>
      <w:r>
        <w:t xml:space="preserve">, sentientism, biocentrism, and ecocentrism. Each theory differs on their placing of moral standing. </w:t>
      </w:r>
      <w:r w:rsidR="003406FD">
        <w:t>Anthropocentrism</w:t>
      </w:r>
      <w:r>
        <w:t xml:space="preserve"> allocates moral standing</w:t>
      </w:r>
      <w:r w:rsidR="00E7131E">
        <w:t xml:space="preserve"> only</w:t>
      </w:r>
      <w:r>
        <w:t xml:space="preserve"> to humans. Sentientism </w:t>
      </w:r>
      <w:r w:rsidR="00E7131E">
        <w:t>widens the scope by allocating</w:t>
      </w:r>
      <w:r>
        <w:t xml:space="preserve"> it to all sentient life. Biocentrism</w:t>
      </w:r>
      <w:r w:rsidR="00E7131E">
        <w:t xml:space="preserve"> further widens the scope by</w:t>
      </w:r>
      <w:r>
        <w:t xml:space="preserve"> </w:t>
      </w:r>
      <w:r w:rsidR="00E7131E">
        <w:t>allocating</w:t>
      </w:r>
      <w:r>
        <w:t xml:space="preserve"> it to all living biological forms of life. Finally, ecocentrism allocates moral standing to entire ecosystems. </w:t>
      </w:r>
    </w:p>
    <w:p w:rsidR="009A478B" w:rsidRPr="009A478B" w:rsidRDefault="009A478B" w:rsidP="009A478B">
      <w:pPr>
        <w:spacing w:line="360" w:lineRule="auto"/>
        <w:ind w:firstLine="720"/>
      </w:pPr>
      <w:proofErr w:type="spellStart"/>
      <w:r w:rsidRPr="009A478B">
        <w:t>Anthroprocentrism</w:t>
      </w:r>
      <w:proofErr w:type="spellEnd"/>
      <w:r w:rsidRPr="009A478B">
        <w:t xml:space="preserve"> is the view that only humans possess inherent value and, therefore, moral standing. This view potentially manifested from Western culture’s general religious stance on animals, primarily derived from Christianity: </w:t>
      </w:r>
    </w:p>
    <w:p w:rsidR="00D9169F" w:rsidRPr="00D9169F" w:rsidRDefault="00B578E5" w:rsidP="00D9169F">
      <w:pPr>
        <w:spacing w:line="360" w:lineRule="auto"/>
        <w:ind w:firstLine="720"/>
      </w:pPr>
      <w:r>
        <w:t xml:space="preserve">“God created man in his own image… And God said unto them, </w:t>
      </w:r>
      <w:proofErr w:type="gramStart"/>
      <w:r>
        <w:t>Be</w:t>
      </w:r>
      <w:proofErr w:type="gramEnd"/>
      <w:r>
        <w:t xml:space="preserve"> fruitful, and multiply, and replenish the earth, and subdue it: and have dominion over fish of the sea, and over fowl of the air, and over every living thing that </w:t>
      </w:r>
      <w:proofErr w:type="spellStart"/>
      <w:r>
        <w:t>moveth</w:t>
      </w:r>
      <w:proofErr w:type="spellEnd"/>
      <w:r>
        <w:t xml:space="preserve"> upon the earth.”</w:t>
      </w:r>
      <w:r w:rsidR="00B3617F">
        <w:rPr>
          <w:rStyle w:val="FootnoteReference"/>
        </w:rPr>
        <w:footnoteReference w:id="15"/>
      </w:r>
    </w:p>
    <w:p w:rsidR="009A478B" w:rsidRPr="009A478B" w:rsidRDefault="009A478B" w:rsidP="009A478B">
      <w:pPr>
        <w:spacing w:line="360" w:lineRule="auto"/>
        <w:ind w:firstLine="720"/>
      </w:pPr>
      <w:r w:rsidRPr="009A478B">
        <w:t xml:space="preserve">For most of Western Christian history acting in a manner that spreads fear and dread to all animals on earth was </w:t>
      </w:r>
      <w:r>
        <w:t>morally condemnable</w:t>
      </w:r>
      <w:r w:rsidRPr="009A478B">
        <w:t>, but instead acting in accordance with the voice of God. So for most of Western culture animals only e</w:t>
      </w:r>
      <w:r w:rsidR="008E5CC6">
        <w:t>xisted to benefit human beings as we were the only ones who met the appropriate requirements for moral consideration; the requirement: being made in God’s image.</w:t>
      </w:r>
    </w:p>
    <w:p w:rsidR="00D73DB2" w:rsidRDefault="00D73DB2" w:rsidP="00D73DB2">
      <w:pPr>
        <w:spacing w:line="360" w:lineRule="auto"/>
        <w:ind w:firstLine="720"/>
      </w:pPr>
      <w:r>
        <w:t xml:space="preserve">Singer critiques </w:t>
      </w:r>
      <w:r w:rsidR="003406FD">
        <w:t>anthrop</w:t>
      </w:r>
      <w:r>
        <w:t xml:space="preserve">ocentrism by claiming that </w:t>
      </w:r>
      <w:r w:rsidR="00DF6120">
        <w:t>excluding animals from our</w:t>
      </w:r>
      <w:r>
        <w:t xml:space="preserve"> ethical dialogue is as arbitrary and archaic as excluding women or other races from our ethical dialogue. Singer posits </w:t>
      </w:r>
      <w:r w:rsidR="00DF6120">
        <w:t>that</w:t>
      </w:r>
      <w:r>
        <w:t xml:space="preserve"> all sentient beings</w:t>
      </w:r>
      <w:r w:rsidR="00DF6120">
        <w:t xml:space="preserve"> should be included</w:t>
      </w:r>
      <w:r>
        <w:t xml:space="preserve"> within our ethical dialogue as they all possess intrinsic value of their own. This is demonstrated through their capacity to suffer. For something to be able to suffer means it </w:t>
      </w:r>
      <w:r w:rsidR="00E7131E">
        <w:t>must have</w:t>
      </w:r>
      <w:r>
        <w:t xml:space="preserve"> the</w:t>
      </w:r>
      <w:r w:rsidR="008E5CC6">
        <w:t xml:space="preserve"> opposing</w:t>
      </w:r>
      <w:r>
        <w:t xml:space="preserve"> capacity to flourish. Therefore, because sheep can suffer means they </w:t>
      </w:r>
      <w:r w:rsidR="001C5F9B">
        <w:t xml:space="preserve">also </w:t>
      </w:r>
      <w:r>
        <w:t>have a capacity to flourish</w:t>
      </w:r>
      <w:r w:rsidR="00DF6120">
        <w:t xml:space="preserve"> and</w:t>
      </w:r>
      <w:r w:rsidR="008E5CC6">
        <w:t>,</w:t>
      </w:r>
      <w:r w:rsidR="00DF6120">
        <w:t xml:space="preserve"> therefore</w:t>
      </w:r>
      <w:r w:rsidR="008E5CC6">
        <w:t>, have</w:t>
      </w:r>
      <w:r w:rsidR="00DF6120">
        <w:t xml:space="preserve"> a good of their own</w:t>
      </w:r>
      <w:r w:rsidR="001C5F9B">
        <w:t xml:space="preserve"> independent from humans</w:t>
      </w:r>
      <w:r>
        <w:rPr>
          <w:rStyle w:val="FootnoteReference"/>
        </w:rPr>
        <w:footnoteReference w:id="16"/>
      </w:r>
      <w:r w:rsidR="00DF6120">
        <w:t>.</w:t>
      </w:r>
      <w:r w:rsidR="001C5F9B">
        <w:t xml:space="preserve"> Therefore, sentientism rejects anthropocentrism.</w:t>
      </w:r>
    </w:p>
    <w:p w:rsidR="00D73DB2" w:rsidRDefault="00D73DB2" w:rsidP="008929DF">
      <w:pPr>
        <w:spacing w:line="360" w:lineRule="auto"/>
        <w:ind w:firstLine="720"/>
      </w:pPr>
      <w:r>
        <w:t xml:space="preserve">Furthermore, Singer claims that non-sentient forms of life, such as rocks, rivers, and mountains, do not possess intrinsic value but instead instrumental value. To have intrinsic value </w:t>
      </w:r>
      <w:r>
        <w:lastRenderedPageBreak/>
        <w:t xml:space="preserve">means to be good or desirable </w:t>
      </w:r>
      <w:r w:rsidR="0023128E">
        <w:t>in itself. C</w:t>
      </w:r>
      <w:r>
        <w:t xml:space="preserve">onversely, something </w:t>
      </w:r>
      <w:r w:rsidR="0023128E">
        <w:t>has</w:t>
      </w:r>
      <w:r>
        <w:t xml:space="preserve"> instrumental value </w:t>
      </w:r>
      <w:r w:rsidR="0023128E">
        <w:t>if it is</w:t>
      </w:r>
      <w:r>
        <w:t xml:space="preserve"> valued as </w:t>
      </w:r>
      <w:r w:rsidR="00FA3127">
        <w:t>some</w:t>
      </w:r>
      <w:r>
        <w:t xml:space="preserve"> means to </w:t>
      </w:r>
      <w:r w:rsidR="00FA3127">
        <w:t>an</w:t>
      </w:r>
      <w:r>
        <w:t xml:space="preserve"> end. </w:t>
      </w:r>
      <w:r w:rsidR="003406FD">
        <w:t>Plants and mountains have instrumental value in so much as they are beautiful, provide resources, shelter, etc. However, Singer maintains th</w:t>
      </w:r>
      <w:r w:rsidR="0023128E">
        <w:t>at they have no intrinsic value because they have no good of their own. What sense does it make to talk of a mountain as having a good of its own?</w:t>
      </w:r>
      <w:r w:rsidR="003406FD">
        <w:t xml:space="preserve"> </w:t>
      </w:r>
      <w:r w:rsidR="00100BED">
        <w:t xml:space="preserve">At </w:t>
      </w:r>
      <w:r w:rsidR="003406FD">
        <w:t>the very least we can understand that a possum</w:t>
      </w:r>
      <w:r w:rsidR="00100BED">
        <w:t xml:space="preserve"> drowning would have a horrible experience.</w:t>
      </w:r>
      <w:r w:rsidR="003406FD">
        <w:t xml:space="preserve"> However, the same cannot be said for the experience a tree feels when its roots are drowning</w:t>
      </w:r>
      <w:r w:rsidR="00FA3127">
        <w:t>;</w:t>
      </w:r>
      <w:r w:rsidR="003406FD">
        <w:t xml:space="preserve"> </w:t>
      </w:r>
      <w:r w:rsidR="008E5CC6">
        <w:t>‘</w:t>
      </w:r>
      <w:r w:rsidR="003406FD">
        <w:t xml:space="preserve">what is it like </w:t>
      </w:r>
      <w:r w:rsidR="00100BED">
        <w:t>for a tree to suffer?</w:t>
      </w:r>
      <w:r w:rsidR="008E5CC6">
        <w:t>’ Singer asks.</w:t>
      </w:r>
      <w:r w:rsidR="003406FD">
        <w:t xml:space="preserve"> </w:t>
      </w:r>
      <w:r w:rsidR="00100BED">
        <w:t>Because we do not know the answer we cannot reasonably include non-sentient life into our ethical dialogue.</w:t>
      </w:r>
      <w:r w:rsidR="008929DF">
        <w:rPr>
          <w:rStyle w:val="FootnoteReference"/>
        </w:rPr>
        <w:footnoteReference w:id="17"/>
      </w:r>
      <w:r w:rsidR="003406FD">
        <w:t xml:space="preserve"> </w:t>
      </w:r>
    </w:p>
    <w:p w:rsidR="001C5F9B" w:rsidRDefault="001C5F9B" w:rsidP="008929DF">
      <w:pPr>
        <w:spacing w:line="360" w:lineRule="auto"/>
        <w:ind w:firstLine="720"/>
      </w:pPr>
      <w:r>
        <w:t>Biocentrism criticises sentientism for</w:t>
      </w:r>
      <w:r w:rsidR="008E5CC6">
        <w:t xml:space="preserve"> this latter point. Biocentrism</w:t>
      </w:r>
      <w:r>
        <w:t xml:space="preserve"> claim</w:t>
      </w:r>
      <w:r w:rsidR="008E5CC6">
        <w:t>s</w:t>
      </w:r>
      <w:r>
        <w:t xml:space="preserve"> that just because a plant or tree is insentient </w:t>
      </w:r>
      <w:r w:rsidR="00C9246A">
        <w:t>does not mean said entity does not have a good of its own</w:t>
      </w:r>
      <w:r w:rsidR="00C9246A">
        <w:rPr>
          <w:rStyle w:val="FootnoteReference"/>
        </w:rPr>
        <w:footnoteReference w:id="18"/>
      </w:r>
      <w:r w:rsidR="00C9246A">
        <w:t xml:space="preserve">. </w:t>
      </w:r>
      <w:r>
        <w:t xml:space="preserve">For example, humans in a coma are still regarded as having interests whilst not displaying any signs of responsiveness. Furthermore, entities that lack feelings such as a pleasure or pain still have capacities to grow through photosynthesis, respiration, reproduction, etc. </w:t>
      </w:r>
      <w:r w:rsidR="008E5CC6">
        <w:t xml:space="preserve">The </w:t>
      </w:r>
      <w:proofErr w:type="spellStart"/>
      <w:r w:rsidR="008E5CC6">
        <w:t>biocentrist</w:t>
      </w:r>
      <w:proofErr w:type="spellEnd"/>
      <w:r>
        <w:t xml:space="preserve"> claims that since the health of non-sentient humans is regarded as a good in its </w:t>
      </w:r>
      <w:r w:rsidR="00FA3127">
        <w:t xml:space="preserve">own, therefore, </w:t>
      </w:r>
      <w:r>
        <w:t>the health of non-sentient entities such as plants and trees should</w:t>
      </w:r>
      <w:r w:rsidR="00FA3127">
        <w:t xml:space="preserve"> also</w:t>
      </w:r>
      <w:r>
        <w:t xml:space="preserve"> be regarded as a good in its own.</w:t>
      </w:r>
      <w:r w:rsidR="00FA3127">
        <w:t xml:space="preserve"> </w:t>
      </w:r>
      <w:r w:rsidR="002A6679">
        <w:t>This point is highlighted through Taylor’s example of a flower that, whilst not being conscious of</w:t>
      </w:r>
      <w:r w:rsidR="00C9246A">
        <w:t xml:space="preserve"> its surroundings</w:t>
      </w:r>
      <w:r w:rsidR="002A6679">
        <w:t xml:space="preserve">, react to </w:t>
      </w:r>
      <w:r w:rsidR="00C9246A">
        <w:t xml:space="preserve">the </w:t>
      </w:r>
      <w:r w:rsidR="002A6679">
        <w:t xml:space="preserve">toxic fumes around it. </w:t>
      </w:r>
      <w:r w:rsidR="00FA3127">
        <w:t>Whilst arguing that all biological forms of life have intrinsic value, biocentrism maintains that entire ecological systems only have instrumental value in so much as they make it possible for biological, intrinsically good, forms of life to exist.</w:t>
      </w:r>
      <w:r w:rsidR="008929DF">
        <w:rPr>
          <w:rStyle w:val="FootnoteReference"/>
        </w:rPr>
        <w:footnoteReference w:id="19"/>
      </w:r>
    </w:p>
    <w:p w:rsidR="00FA3127" w:rsidRDefault="00FA3127" w:rsidP="00D73DB2">
      <w:pPr>
        <w:spacing w:line="360" w:lineRule="auto"/>
        <w:ind w:firstLine="720"/>
      </w:pPr>
      <w:r>
        <w:t xml:space="preserve">Ecocentrism is the view that, as opposed to biocentrism, entire ecological system possess intrinsic value. Instead, it is the biological forms of life that possess instrumental value as our value is only measured by </w:t>
      </w:r>
      <w:r w:rsidR="008E5CC6">
        <w:t>how</w:t>
      </w:r>
      <w:r>
        <w:t xml:space="preserve"> much we contribute to the overall system. Ecocentrism does not have to deny that individuals have value</w:t>
      </w:r>
      <w:r w:rsidR="008E5CC6">
        <w:t>. Instead, they must only</w:t>
      </w:r>
      <w:r>
        <w:t xml:space="preserve"> </w:t>
      </w:r>
      <w:r w:rsidR="008E5CC6">
        <w:t xml:space="preserve">claim </w:t>
      </w:r>
      <w:r>
        <w:t xml:space="preserve">that the ecological system </w:t>
      </w:r>
      <w:r w:rsidR="008E5CC6">
        <w:t xml:space="preserve">itself </w:t>
      </w:r>
      <w:r>
        <w:t xml:space="preserve">possesses </w:t>
      </w:r>
      <w:r w:rsidR="008E5CC6">
        <w:t>intrinsic value</w:t>
      </w:r>
      <w:r>
        <w:t xml:space="preserve">. Ecocentrism can also maintain that </w:t>
      </w:r>
      <w:r w:rsidR="008E5CC6">
        <w:t>intrinsic v</w:t>
      </w:r>
      <w:r>
        <w:t xml:space="preserve">alue of both individual and systems can coexist. However, it must be </w:t>
      </w:r>
      <w:r w:rsidR="008E5CC6">
        <w:t>contended</w:t>
      </w:r>
      <w:r>
        <w:t xml:space="preserve"> that the value of the system is independent from the value of the individual.</w:t>
      </w:r>
      <w:r w:rsidR="004F6AC8">
        <w:t xml:space="preserve"> Philosophers such as Stone even go so far as to contend that ecosystems have legal standing rights.</w:t>
      </w:r>
      <w:r w:rsidR="008929DF">
        <w:rPr>
          <w:rStyle w:val="FootnoteReference"/>
        </w:rPr>
        <w:footnoteReference w:id="20"/>
      </w:r>
    </w:p>
    <w:p w:rsidR="004F6AC8" w:rsidRDefault="004F6AC8" w:rsidP="00D73DB2">
      <w:pPr>
        <w:spacing w:line="360" w:lineRule="auto"/>
        <w:ind w:firstLine="720"/>
      </w:pPr>
      <w:r>
        <w:lastRenderedPageBreak/>
        <w:t>Whilst it is safe to reject anthropocentrism and sentientism on the grounds that their moral scope is too narrow, it remains to be seen which of biocentrism and ecocentrism is closer to the truth. In one sense it sounds like nonsense to refer to entire ecosystems as possessing inherent, as opposed to instrumental, value. In another sense, however, ecosystems</w:t>
      </w:r>
      <w:r w:rsidR="00B578E5">
        <w:t xml:space="preserve"> and individuals share a symbiotic relationship with one another as you cannot have one without the other. Therefore,</w:t>
      </w:r>
      <w:r>
        <w:t xml:space="preserve"> surely the system shares some form of value </w:t>
      </w:r>
      <w:r w:rsidR="008E5CC6">
        <w:t>with</w:t>
      </w:r>
      <w:r>
        <w:t xml:space="preserve"> the individuals that constitute it? </w:t>
      </w:r>
    </w:p>
    <w:p w:rsidR="004F6AC8" w:rsidRDefault="004F6AC8" w:rsidP="00D73DB2">
      <w:pPr>
        <w:spacing w:line="360" w:lineRule="auto"/>
        <w:ind w:firstLine="720"/>
      </w:pPr>
      <w:r>
        <w:t xml:space="preserve">This comment is highlighted through the example of a human body and its cells. Whilst a system emerges from individuals, a human emerges from a system of cells. We argue that whilst individuals have value, such as humans and animals, that the emerging </w:t>
      </w:r>
      <w:r w:rsidR="008E5CC6">
        <w:t xml:space="preserve">ecological </w:t>
      </w:r>
      <w:r>
        <w:t xml:space="preserve">systems do not. However, we </w:t>
      </w:r>
      <w:r w:rsidR="008E5CC6">
        <w:t>simultaneously</w:t>
      </w:r>
      <w:r>
        <w:t xml:space="preserve"> argue that the </w:t>
      </w:r>
      <w:r w:rsidR="00C9246A">
        <w:t>individual cells</w:t>
      </w:r>
      <w:r>
        <w:t xml:space="preserve"> that constitute our body do not have intrinsic value, but the emerging property that is my consciousness does. Here we can see the argument is inverted. In regards to the ecosystem, we do not ascribe value to the emerging property (the system), only its constituent parts. Conversely, in regards to humans, we ascribe value only to the emerging property that is our consciousness, not to the individual cells that constitute said consciousness. This example is attempting merely to point out the vagaries of our ‘intrinsic value’ ascriptions. One answer remains clear in regards to what is worthy of possessing intrinsic moral value: we are unsure.  </w:t>
      </w:r>
    </w:p>
    <w:p w:rsidR="00D9169F" w:rsidRDefault="00D9169F" w:rsidP="00D73DB2">
      <w:pPr>
        <w:spacing w:line="360" w:lineRule="auto"/>
        <w:ind w:firstLine="720"/>
      </w:pPr>
    </w:p>
    <w:p w:rsidR="0023736F" w:rsidRDefault="0023736F">
      <w:r>
        <w:br w:type="page"/>
      </w:r>
    </w:p>
    <w:p w:rsidR="00D9169F" w:rsidRDefault="0023736F" w:rsidP="0023736F">
      <w:pPr>
        <w:spacing w:line="360" w:lineRule="auto"/>
        <w:rPr>
          <w:sz w:val="28"/>
          <w:u w:val="single"/>
        </w:rPr>
      </w:pPr>
      <w:r w:rsidRPr="0023736F">
        <w:rPr>
          <w:sz w:val="28"/>
          <w:u w:val="single"/>
        </w:rPr>
        <w:lastRenderedPageBreak/>
        <w:t>Bibliography:</w:t>
      </w:r>
    </w:p>
    <w:p w:rsidR="0023736F" w:rsidRDefault="0023736F" w:rsidP="0023736F">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Brennan, Andrew, and </w:t>
      </w:r>
      <w:proofErr w:type="spellStart"/>
      <w:r>
        <w:rPr>
          <w:rFonts w:ascii="Arial" w:hAnsi="Arial" w:cs="Arial"/>
          <w:color w:val="000000"/>
          <w:sz w:val="20"/>
          <w:szCs w:val="20"/>
          <w:shd w:val="clear" w:color="auto" w:fill="FFFFFF"/>
        </w:rPr>
        <w:t>Yeuk</w:t>
      </w:r>
      <w:proofErr w:type="spellEnd"/>
      <w:r>
        <w:rPr>
          <w:rFonts w:ascii="Arial" w:hAnsi="Arial" w:cs="Arial"/>
          <w:color w:val="000000"/>
          <w:sz w:val="20"/>
          <w:szCs w:val="20"/>
          <w:shd w:val="clear" w:color="auto" w:fill="FFFFFF"/>
        </w:rPr>
        <w:t xml:space="preserve">-Sze Lo, "Environmental Ethics (Stanford </w:t>
      </w:r>
      <w:proofErr w:type="spellStart"/>
      <w:r>
        <w:rPr>
          <w:rFonts w:ascii="Arial" w:hAnsi="Arial" w:cs="Arial"/>
          <w:color w:val="000000"/>
          <w:sz w:val="20"/>
          <w:szCs w:val="20"/>
          <w:shd w:val="clear" w:color="auto" w:fill="FFFFFF"/>
        </w:rPr>
        <w:t>Encyclopedia</w:t>
      </w:r>
      <w:proofErr w:type="spellEnd"/>
      <w:r>
        <w:rPr>
          <w:rFonts w:ascii="Arial" w:hAnsi="Arial" w:cs="Arial"/>
          <w:color w:val="000000"/>
          <w:sz w:val="20"/>
          <w:szCs w:val="20"/>
          <w:shd w:val="clear" w:color="auto" w:fill="FFFFFF"/>
        </w:rPr>
        <w:t xml:space="preserve"> </w:t>
      </w:r>
      <w:proofErr w:type="gramStart"/>
      <w:r>
        <w:rPr>
          <w:rFonts w:ascii="Arial" w:hAnsi="Arial" w:cs="Arial"/>
          <w:color w:val="000000"/>
          <w:sz w:val="20"/>
          <w:szCs w:val="20"/>
          <w:shd w:val="clear" w:color="auto" w:fill="FFFFFF"/>
        </w:rPr>
        <w:t>Of</w:t>
      </w:r>
      <w:proofErr w:type="gramEnd"/>
      <w:r>
        <w:rPr>
          <w:rFonts w:ascii="Arial" w:hAnsi="Arial" w:cs="Arial"/>
          <w:color w:val="000000"/>
          <w:sz w:val="20"/>
          <w:szCs w:val="20"/>
          <w:shd w:val="clear" w:color="auto" w:fill="FFFFFF"/>
        </w:rPr>
        <w:t xml:space="preserve"> Philosophy)", </w:t>
      </w:r>
      <w:r>
        <w:rPr>
          <w:rFonts w:ascii="Arial" w:hAnsi="Arial" w:cs="Arial"/>
          <w:i/>
          <w:iCs/>
          <w:color w:val="000000"/>
          <w:sz w:val="20"/>
          <w:szCs w:val="20"/>
          <w:shd w:val="clear" w:color="auto" w:fill="FFFFFF"/>
        </w:rPr>
        <w:t>Plato.Stanford.Edu</w:t>
      </w:r>
      <w:r>
        <w:rPr>
          <w:rFonts w:ascii="Arial" w:hAnsi="Arial" w:cs="Arial"/>
          <w:color w:val="000000"/>
          <w:sz w:val="20"/>
          <w:szCs w:val="20"/>
          <w:shd w:val="clear" w:color="auto" w:fill="FFFFFF"/>
        </w:rPr>
        <w:t>, 2019 &lt;https://plato.stanford.edu/entries/ethics-environmental/&gt; [Accessed 3 June 2019]</w:t>
      </w:r>
    </w:p>
    <w:p w:rsidR="0023736F" w:rsidRDefault="0023736F" w:rsidP="0023736F">
      <w:r>
        <w:t>Callicott,</w:t>
      </w:r>
      <w:r w:rsidRPr="00DC6D9B">
        <w:t xml:space="preserve"> </w:t>
      </w:r>
      <w:r>
        <w:t>J. Baird</w:t>
      </w:r>
      <w:r w:rsidRPr="00B47F58">
        <w:t>, ‘</w:t>
      </w:r>
      <w:r>
        <w:t>Animal Rights and Environment Ethics: Back Together Again</w:t>
      </w:r>
      <w:r w:rsidRPr="00B47F58">
        <w:t>’,</w:t>
      </w:r>
      <w:r>
        <w:t xml:space="preserve"> in</w:t>
      </w:r>
      <w:r w:rsidRPr="00B47F58">
        <w:t> </w:t>
      </w:r>
      <w:r w:rsidRPr="00B47F58">
        <w:rPr>
          <w:i/>
          <w:iCs/>
        </w:rPr>
        <w:t>Environmental Philosophy</w:t>
      </w:r>
      <w:r w:rsidRPr="00B47F58">
        <w:t xml:space="preserve">, (Upper Saddle River, New Jersey, Pearson Prentice Hall, 2005), p. </w:t>
      </w:r>
      <w:r>
        <w:t>130-139.</w:t>
      </w:r>
    </w:p>
    <w:p w:rsidR="00B3617F" w:rsidRDefault="00B3617F" w:rsidP="0023736F">
      <w:pPr>
        <w:spacing w:line="360" w:lineRule="auto"/>
        <w:rPr>
          <w:rFonts w:eastAsia="Times New Roman" w:cs="Times New Roman"/>
        </w:rPr>
      </w:pPr>
      <w:r w:rsidRPr="00B3617F">
        <w:rPr>
          <w:rFonts w:eastAsia="Times New Roman" w:cs="Times New Roman"/>
        </w:rPr>
        <w:t>"Genesis 1:28 God Blessed Them And Said To Them, "Be Fruitful And Multiply, And Fill The Earth And Subdue It; Rule Over The Fish Of The Sea And The Birds Of The Air And Every Creature That Crawls Upon The Earth."", </w:t>
      </w:r>
      <w:r w:rsidRPr="00B3617F">
        <w:rPr>
          <w:rFonts w:eastAsia="Times New Roman" w:cs="Times New Roman"/>
          <w:i/>
          <w:iCs/>
        </w:rPr>
        <w:t>Biblehub.Com</w:t>
      </w:r>
      <w:r w:rsidRPr="00B3617F">
        <w:rPr>
          <w:rFonts w:eastAsia="Times New Roman" w:cs="Times New Roman"/>
        </w:rPr>
        <w:t>, 2019 &lt;https://biblehub.com/genesis/1-28.htm&gt; [Accessed 2 June 2019]</w:t>
      </w:r>
      <w:bookmarkStart w:id="0" w:name="_GoBack"/>
      <w:bookmarkEnd w:id="0"/>
    </w:p>
    <w:p w:rsidR="0023736F" w:rsidRDefault="0023736F" w:rsidP="0023736F">
      <w:pPr>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Midgley, Mary, "Beasts Versus The Biosphere?</w:t>
      </w:r>
      <w:proofErr w:type="gramStart"/>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w:t>
      </w:r>
      <w:r>
        <w:rPr>
          <w:rFonts w:ascii="Arial" w:hAnsi="Arial" w:cs="Arial"/>
          <w:i/>
          <w:iCs/>
          <w:color w:val="000000"/>
          <w:sz w:val="20"/>
          <w:szCs w:val="20"/>
          <w:shd w:val="clear" w:color="auto" w:fill="FFFFFF"/>
        </w:rPr>
        <w:t>Environmental Values</w:t>
      </w:r>
      <w:r>
        <w:rPr>
          <w:rFonts w:ascii="Arial" w:hAnsi="Arial" w:cs="Arial"/>
          <w:color w:val="000000"/>
          <w:sz w:val="20"/>
          <w:szCs w:val="20"/>
          <w:shd w:val="clear" w:color="auto" w:fill="FFFFFF"/>
        </w:rPr>
        <w:t>, 1 (1992), 113-121</w:t>
      </w:r>
    </w:p>
    <w:p w:rsidR="0023736F" w:rsidRDefault="0023736F" w:rsidP="0023736F">
      <w:pPr>
        <w:rPr>
          <w:rFonts w:ascii="Arial" w:hAnsi="Arial" w:cs="Arial"/>
          <w:color w:val="000000"/>
          <w:sz w:val="20"/>
          <w:szCs w:val="20"/>
          <w:shd w:val="clear" w:color="auto" w:fill="FFFFFF"/>
        </w:rPr>
      </w:pPr>
      <w:r>
        <w:rPr>
          <w:rFonts w:ascii="Arial" w:hAnsi="Arial" w:cs="Arial"/>
          <w:color w:val="000000"/>
          <w:sz w:val="20"/>
          <w:szCs w:val="20"/>
          <w:shd w:val="clear" w:color="auto" w:fill="FFFFFF"/>
        </w:rPr>
        <w:t>Singer, Peter, </w:t>
      </w:r>
      <w:proofErr w:type="gramStart"/>
      <w:r>
        <w:rPr>
          <w:rFonts w:ascii="Arial" w:hAnsi="Arial" w:cs="Arial"/>
          <w:i/>
          <w:iCs/>
          <w:color w:val="000000"/>
          <w:sz w:val="20"/>
          <w:szCs w:val="20"/>
          <w:shd w:val="clear" w:color="auto" w:fill="FFFFFF"/>
        </w:rPr>
        <w:t>Practical</w:t>
      </w:r>
      <w:proofErr w:type="gramEnd"/>
      <w:r>
        <w:rPr>
          <w:rFonts w:ascii="Arial" w:hAnsi="Arial" w:cs="Arial"/>
          <w:i/>
          <w:iCs/>
          <w:color w:val="000000"/>
          <w:sz w:val="20"/>
          <w:szCs w:val="20"/>
          <w:shd w:val="clear" w:color="auto" w:fill="FFFFFF"/>
        </w:rPr>
        <w:t xml:space="preserve"> Ethics</w:t>
      </w:r>
      <w:r>
        <w:rPr>
          <w:rFonts w:ascii="Arial" w:hAnsi="Arial" w:cs="Arial"/>
          <w:color w:val="000000"/>
          <w:sz w:val="20"/>
          <w:szCs w:val="20"/>
          <w:shd w:val="clear" w:color="auto" w:fill="FFFFFF"/>
        </w:rPr>
        <w:t> (Cambridge: Cambridge University Press, 2017)</w:t>
      </w:r>
    </w:p>
    <w:p w:rsidR="0023736F" w:rsidRPr="00D1064F" w:rsidRDefault="0023736F" w:rsidP="0023736F">
      <w:pPr>
        <w:rPr>
          <w:rFonts w:cstheme="minorHAnsi"/>
          <w:sz w:val="24"/>
          <w:szCs w:val="24"/>
          <w:u w:val="single"/>
        </w:rPr>
      </w:pPr>
      <w:r w:rsidRPr="00DC6D9B">
        <w:rPr>
          <w:rFonts w:eastAsia="Times New Roman" w:cs="Times New Roman"/>
        </w:rPr>
        <w:t>Taylor,</w:t>
      </w:r>
      <w:r>
        <w:rPr>
          <w:rFonts w:eastAsia="Times New Roman" w:cs="Times New Roman"/>
        </w:rPr>
        <w:t xml:space="preserve"> </w:t>
      </w:r>
      <w:r w:rsidRPr="00DC6D9B">
        <w:rPr>
          <w:rFonts w:eastAsia="Times New Roman" w:cs="Times New Roman"/>
        </w:rPr>
        <w:t>Paul W.</w:t>
      </w:r>
      <w:r>
        <w:rPr>
          <w:rFonts w:eastAsia="Times New Roman" w:cs="Times New Roman"/>
        </w:rPr>
        <w:t>,</w:t>
      </w:r>
      <w:r w:rsidRPr="00DC6D9B">
        <w:rPr>
          <w:rFonts w:eastAsia="Times New Roman" w:cs="Times New Roman"/>
        </w:rPr>
        <w:t xml:space="preserve"> ‘The Ethics </w:t>
      </w:r>
      <w:proofErr w:type="gramStart"/>
      <w:r w:rsidRPr="00DC6D9B">
        <w:rPr>
          <w:rFonts w:eastAsia="Times New Roman" w:cs="Times New Roman"/>
        </w:rPr>
        <w:t>Of</w:t>
      </w:r>
      <w:proofErr w:type="gramEnd"/>
      <w:r w:rsidRPr="00DC6D9B">
        <w:rPr>
          <w:rFonts w:eastAsia="Times New Roman" w:cs="Times New Roman"/>
        </w:rPr>
        <w:t xml:space="preserve"> Respect For Nature’, in </w:t>
      </w:r>
      <w:r w:rsidRPr="00DC6D9B">
        <w:rPr>
          <w:rFonts w:eastAsia="Times New Roman" w:cs="Times New Roman"/>
          <w:i/>
          <w:iCs/>
        </w:rPr>
        <w:t>Environmental Philosophy</w:t>
      </w:r>
      <w:r w:rsidRPr="00DC6D9B">
        <w:rPr>
          <w:rFonts w:eastAsia="Times New Roman" w:cs="Times New Roman"/>
        </w:rPr>
        <w:t xml:space="preserve">, (Upper Saddle River, New Jersey, Pearson Prentice Hall, 2005), p. </w:t>
      </w:r>
      <w:r>
        <w:rPr>
          <w:rFonts w:eastAsia="Times New Roman" w:cs="Times New Roman"/>
        </w:rPr>
        <w:t>67-82.</w:t>
      </w:r>
    </w:p>
    <w:p w:rsidR="0023736F" w:rsidRPr="0023736F" w:rsidRDefault="0023736F" w:rsidP="0023736F">
      <w:pPr>
        <w:spacing w:line="360" w:lineRule="auto"/>
        <w:rPr>
          <w:sz w:val="28"/>
          <w:u w:val="single"/>
        </w:rPr>
      </w:pPr>
    </w:p>
    <w:sectPr w:rsidR="0023736F" w:rsidRPr="002373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0B6F" w:rsidRDefault="00430B6F" w:rsidP="00430B6F">
      <w:pPr>
        <w:spacing w:after="0" w:line="240" w:lineRule="auto"/>
      </w:pPr>
      <w:r>
        <w:separator/>
      </w:r>
    </w:p>
  </w:endnote>
  <w:endnote w:type="continuationSeparator" w:id="0">
    <w:p w:rsidR="00430B6F" w:rsidRDefault="00430B6F" w:rsidP="00430B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0B6F" w:rsidRDefault="00430B6F" w:rsidP="00430B6F">
      <w:pPr>
        <w:spacing w:after="0" w:line="240" w:lineRule="auto"/>
      </w:pPr>
      <w:r>
        <w:separator/>
      </w:r>
    </w:p>
  </w:footnote>
  <w:footnote w:type="continuationSeparator" w:id="0">
    <w:p w:rsidR="00430B6F" w:rsidRDefault="00430B6F" w:rsidP="00430B6F">
      <w:pPr>
        <w:spacing w:after="0" w:line="240" w:lineRule="auto"/>
      </w:pPr>
      <w:r>
        <w:continuationSeparator/>
      </w:r>
    </w:p>
  </w:footnote>
  <w:footnote w:id="1">
    <w:p w:rsidR="0001070B" w:rsidRDefault="0001070B">
      <w:pPr>
        <w:pStyle w:val="FootnoteText"/>
      </w:pPr>
      <w:r>
        <w:rPr>
          <w:rStyle w:val="FootnoteReference"/>
        </w:rPr>
        <w:footnoteRef/>
      </w:r>
      <w:r>
        <w:t xml:space="preserve"> </w:t>
      </w:r>
      <w:r w:rsidRPr="0001070B">
        <w:t>J. Baird Callicott, ‘Animal Rights and Environment Ethics: Back Together Again’, in </w:t>
      </w:r>
      <w:r w:rsidRPr="0001070B">
        <w:rPr>
          <w:i/>
          <w:iCs/>
        </w:rPr>
        <w:t>Environmental Philosophy</w:t>
      </w:r>
      <w:r w:rsidRPr="0001070B">
        <w:t xml:space="preserve">, (Upper Saddle River, New Jersey, Pearson Prentice Hall, 2005), p. </w:t>
      </w:r>
      <w:r>
        <w:t>132.</w:t>
      </w:r>
    </w:p>
  </w:footnote>
  <w:footnote w:id="2">
    <w:p w:rsidR="0001070B" w:rsidRDefault="0001070B">
      <w:pPr>
        <w:pStyle w:val="FootnoteText"/>
      </w:pPr>
      <w:r>
        <w:rPr>
          <w:rStyle w:val="FootnoteReference"/>
        </w:rPr>
        <w:footnoteRef/>
      </w:r>
      <w:r>
        <w:t xml:space="preserve"> </w:t>
      </w:r>
      <w:r w:rsidRPr="0001070B">
        <w:t>Mary Midgley, "Beasts Versus The Biosphere?</w:t>
      </w:r>
      <w:proofErr w:type="gramStart"/>
      <w:r w:rsidRPr="0001070B">
        <w:t>",</w:t>
      </w:r>
      <w:proofErr w:type="gramEnd"/>
      <w:r w:rsidRPr="0001070B">
        <w:t> </w:t>
      </w:r>
      <w:r w:rsidRPr="0001070B">
        <w:rPr>
          <w:i/>
          <w:iCs/>
        </w:rPr>
        <w:t>Environmental Values</w:t>
      </w:r>
      <w:r>
        <w:t>, 1.2 (1992), p.</w:t>
      </w:r>
      <w:r w:rsidRPr="0001070B">
        <w:t xml:space="preserve"> </w:t>
      </w:r>
      <w:r>
        <w:t>114.</w:t>
      </w:r>
    </w:p>
  </w:footnote>
  <w:footnote w:id="3">
    <w:p w:rsidR="0001070B" w:rsidRDefault="0001070B">
      <w:pPr>
        <w:pStyle w:val="FootnoteText"/>
      </w:pPr>
      <w:r>
        <w:rPr>
          <w:rStyle w:val="FootnoteReference"/>
        </w:rPr>
        <w:footnoteRef/>
      </w:r>
      <w:r>
        <w:t xml:space="preserve"> Ibid, p. 114.</w:t>
      </w:r>
    </w:p>
  </w:footnote>
  <w:footnote w:id="4">
    <w:p w:rsidR="0001070B" w:rsidRDefault="0001070B">
      <w:pPr>
        <w:pStyle w:val="FootnoteText"/>
      </w:pPr>
      <w:r>
        <w:rPr>
          <w:rStyle w:val="FootnoteReference"/>
        </w:rPr>
        <w:footnoteRef/>
      </w:r>
      <w:r>
        <w:t xml:space="preserve"> Ibid, p. 116.</w:t>
      </w:r>
    </w:p>
  </w:footnote>
  <w:footnote w:id="5">
    <w:p w:rsidR="0001070B" w:rsidRDefault="0001070B">
      <w:pPr>
        <w:pStyle w:val="FootnoteText"/>
      </w:pPr>
      <w:r>
        <w:rPr>
          <w:rStyle w:val="FootnoteReference"/>
        </w:rPr>
        <w:footnoteRef/>
      </w:r>
      <w:r>
        <w:t xml:space="preserve"> Ibid, p. 117.</w:t>
      </w:r>
    </w:p>
  </w:footnote>
  <w:footnote w:id="6">
    <w:p w:rsidR="0001070B" w:rsidRDefault="0001070B">
      <w:pPr>
        <w:pStyle w:val="FootnoteText"/>
      </w:pPr>
      <w:r>
        <w:rPr>
          <w:rStyle w:val="FootnoteReference"/>
        </w:rPr>
        <w:footnoteRef/>
      </w:r>
      <w:r>
        <w:t xml:space="preserve"> </w:t>
      </w:r>
      <w:r w:rsidRPr="0001070B">
        <w:t>Mary Midgley, "Beasts Versus The Biosphere?</w:t>
      </w:r>
      <w:proofErr w:type="gramStart"/>
      <w:r w:rsidRPr="0001070B">
        <w:t>",</w:t>
      </w:r>
      <w:proofErr w:type="gramEnd"/>
      <w:r w:rsidRPr="0001070B">
        <w:t> </w:t>
      </w:r>
      <w:r w:rsidRPr="0001070B">
        <w:rPr>
          <w:i/>
          <w:iCs/>
        </w:rPr>
        <w:t>Environmental Values</w:t>
      </w:r>
      <w:r>
        <w:t>, 1.2 (1992), p. 117.</w:t>
      </w:r>
    </w:p>
  </w:footnote>
  <w:footnote w:id="7">
    <w:p w:rsidR="0001070B" w:rsidRDefault="0001070B">
      <w:pPr>
        <w:pStyle w:val="FootnoteText"/>
      </w:pPr>
      <w:r>
        <w:rPr>
          <w:rStyle w:val="FootnoteReference"/>
        </w:rPr>
        <w:footnoteRef/>
      </w:r>
      <w:r>
        <w:t xml:space="preserve"> </w:t>
      </w:r>
      <w:r>
        <w:t>Aldo Leopold</w:t>
      </w:r>
      <w:r w:rsidRPr="0001070B">
        <w:t>, ‘</w:t>
      </w:r>
      <w:r>
        <w:t>The Land Ethic’</w:t>
      </w:r>
      <w:r w:rsidRPr="0001070B">
        <w:t>, in </w:t>
      </w:r>
      <w:r w:rsidRPr="0001070B">
        <w:rPr>
          <w:i/>
          <w:iCs/>
        </w:rPr>
        <w:t>Environmental Philosophy</w:t>
      </w:r>
      <w:r w:rsidRPr="0001070B">
        <w:t xml:space="preserve">, (Upper Saddle River, New Jersey, Pearson Prentice Hall, 2005), p. </w:t>
      </w:r>
      <w:r>
        <w:t>103.</w:t>
      </w:r>
    </w:p>
  </w:footnote>
  <w:footnote w:id="8">
    <w:p w:rsidR="0001070B" w:rsidRDefault="0001070B">
      <w:pPr>
        <w:pStyle w:val="FootnoteText"/>
      </w:pPr>
      <w:r>
        <w:rPr>
          <w:rStyle w:val="FootnoteReference"/>
        </w:rPr>
        <w:footnoteRef/>
      </w:r>
      <w:r>
        <w:t xml:space="preserve"> Ibid, p. 103.</w:t>
      </w:r>
    </w:p>
  </w:footnote>
  <w:footnote w:id="9">
    <w:p w:rsidR="00A075B0" w:rsidRDefault="00A075B0">
      <w:pPr>
        <w:pStyle w:val="FootnoteText"/>
      </w:pPr>
      <w:r>
        <w:rPr>
          <w:rStyle w:val="FootnoteReference"/>
        </w:rPr>
        <w:footnoteRef/>
      </w:r>
      <w:r>
        <w:t xml:space="preserve"> </w:t>
      </w:r>
      <w:r w:rsidRPr="00A075B0">
        <w:t>J. Baird Callicott, ‘Animal Rights and Environment Ethics: Back Together Again’, in </w:t>
      </w:r>
      <w:r w:rsidRPr="00A075B0">
        <w:rPr>
          <w:i/>
          <w:iCs/>
        </w:rPr>
        <w:t>Environmental Philosophy</w:t>
      </w:r>
      <w:r w:rsidRPr="00A075B0">
        <w:t xml:space="preserve">, (Upper Saddle River, New Jersey, Pearson Prentice Hall, 2005), p. </w:t>
      </w:r>
      <w:r>
        <w:t>137-138.</w:t>
      </w:r>
    </w:p>
  </w:footnote>
  <w:footnote w:id="10">
    <w:p w:rsidR="00430B6F" w:rsidRDefault="00430B6F">
      <w:pPr>
        <w:pStyle w:val="FootnoteText"/>
      </w:pPr>
      <w:r>
        <w:rPr>
          <w:rStyle w:val="FootnoteReference"/>
        </w:rPr>
        <w:footnoteRef/>
      </w:r>
      <w:r>
        <w:t xml:space="preserve"> We all share a community of psychology with animals, etc.</w:t>
      </w:r>
    </w:p>
  </w:footnote>
  <w:footnote w:id="11">
    <w:p w:rsidR="00430B6F" w:rsidRDefault="00430B6F">
      <w:pPr>
        <w:pStyle w:val="FootnoteText"/>
      </w:pPr>
      <w:r>
        <w:rPr>
          <w:rStyle w:val="FootnoteReference"/>
        </w:rPr>
        <w:footnoteRef/>
      </w:r>
      <w:r>
        <w:t xml:space="preserve"> We all share a community as part of a larger world and interrelated system.</w:t>
      </w:r>
    </w:p>
  </w:footnote>
  <w:footnote w:id="12">
    <w:p w:rsidR="00DB43C3" w:rsidRDefault="00DB43C3">
      <w:pPr>
        <w:pStyle w:val="FootnoteText"/>
      </w:pPr>
      <w:r>
        <w:rPr>
          <w:rStyle w:val="FootnoteReference"/>
        </w:rPr>
        <w:footnoteRef/>
      </w:r>
      <w:r>
        <w:t xml:space="preserve"> I use my own term as Callicott fails to provide one.</w:t>
      </w:r>
    </w:p>
  </w:footnote>
  <w:footnote w:id="13">
    <w:p w:rsidR="00A075B0" w:rsidRDefault="00A075B0">
      <w:pPr>
        <w:pStyle w:val="FootnoteText"/>
      </w:pPr>
      <w:r>
        <w:rPr>
          <w:rStyle w:val="FootnoteReference"/>
        </w:rPr>
        <w:footnoteRef/>
      </w:r>
      <w:r>
        <w:t xml:space="preserve"> </w:t>
      </w:r>
      <w:r>
        <w:t>J. Baird Callicott</w:t>
      </w:r>
      <w:r w:rsidRPr="00B47F58">
        <w:t>, ‘</w:t>
      </w:r>
      <w:r>
        <w:t>Animal Rights and Environment Ethics: Back Together Again</w:t>
      </w:r>
      <w:r w:rsidRPr="00B47F58">
        <w:t>’,</w:t>
      </w:r>
      <w:r>
        <w:t xml:space="preserve"> in</w:t>
      </w:r>
      <w:r w:rsidRPr="00B47F58">
        <w:t> </w:t>
      </w:r>
      <w:r w:rsidRPr="00B47F58">
        <w:rPr>
          <w:i/>
          <w:iCs/>
        </w:rPr>
        <w:t>Environmental Philosophy</w:t>
      </w:r>
      <w:r w:rsidRPr="00B47F58">
        <w:t xml:space="preserve">, (Upper Saddle River, New Jersey, Pearson Prentice Hall, 2005), p. </w:t>
      </w:r>
      <w:r>
        <w:t>137-138.</w:t>
      </w:r>
    </w:p>
  </w:footnote>
  <w:footnote w:id="14">
    <w:p w:rsidR="00A075B0" w:rsidRDefault="00A075B0">
      <w:pPr>
        <w:pStyle w:val="FootnoteText"/>
      </w:pPr>
      <w:r>
        <w:rPr>
          <w:rStyle w:val="FootnoteReference"/>
        </w:rPr>
        <w:footnoteRef/>
      </w:r>
      <w:r>
        <w:t xml:space="preserve"> </w:t>
      </w:r>
      <w:r w:rsidR="00DB43C3" w:rsidRPr="00DB43C3">
        <w:t>J. Baird Callicott, ‘Animal Rights and Environment Ethics: Back Together Again’, in </w:t>
      </w:r>
      <w:r w:rsidR="00DB43C3" w:rsidRPr="00DB43C3">
        <w:rPr>
          <w:i/>
          <w:iCs/>
        </w:rPr>
        <w:t>Environmental Philosophy</w:t>
      </w:r>
      <w:r w:rsidR="00DB43C3" w:rsidRPr="00DB43C3">
        <w:t xml:space="preserve">, (Upper Saddle River, New Jersey, Pearson Prentice Hall, 2005), </w:t>
      </w:r>
      <w:r>
        <w:t>p. 131-132.</w:t>
      </w:r>
    </w:p>
  </w:footnote>
  <w:footnote w:id="15">
    <w:p w:rsidR="00B3617F" w:rsidRDefault="00B3617F">
      <w:pPr>
        <w:pStyle w:val="FootnoteText"/>
      </w:pPr>
      <w:r>
        <w:rPr>
          <w:rStyle w:val="FootnoteReference"/>
        </w:rPr>
        <w:footnoteRef/>
      </w:r>
      <w:r>
        <w:t xml:space="preserve"> </w:t>
      </w:r>
      <w:r w:rsidRPr="00B3617F">
        <w:t>"Genesis 1:28 God Blessed Them And Said To Them, "Be Fruitful And Multiply, And Fill The Earth And Subdue It; Rule Over The Fish Of The Sea And The Birds Of The Air And Every Creature That Crawls Upon The Earth."", </w:t>
      </w:r>
      <w:r w:rsidRPr="00B3617F">
        <w:rPr>
          <w:i/>
          <w:iCs/>
        </w:rPr>
        <w:t>Biblehub.Com</w:t>
      </w:r>
      <w:r w:rsidRPr="00B3617F">
        <w:t>, 2019 &lt;https://biblehub.com/genesis/1-28.htm&gt; [Accessed 2 June 2019].</w:t>
      </w:r>
    </w:p>
  </w:footnote>
  <w:footnote w:id="16">
    <w:p w:rsidR="00D73DB2" w:rsidRDefault="00D73DB2">
      <w:pPr>
        <w:pStyle w:val="FootnoteText"/>
      </w:pPr>
      <w:r>
        <w:rPr>
          <w:rStyle w:val="FootnoteReference"/>
        </w:rPr>
        <w:footnoteRef/>
      </w:r>
      <w:r>
        <w:t xml:space="preserve"> Perhaps </w:t>
      </w:r>
      <w:r w:rsidR="00DF6120">
        <w:t xml:space="preserve">this is </w:t>
      </w:r>
      <w:r>
        <w:t>to eat the greenest field of grass, or to grow the fluffiest w</w:t>
      </w:r>
      <w:r w:rsidR="00DF6120">
        <w:t>ool to snuggle their young with, or perhaps simply to live on a sunny hill.</w:t>
      </w:r>
    </w:p>
  </w:footnote>
  <w:footnote w:id="17">
    <w:p w:rsidR="008929DF" w:rsidRDefault="008929DF">
      <w:pPr>
        <w:pStyle w:val="FootnoteText"/>
      </w:pPr>
      <w:r>
        <w:rPr>
          <w:rStyle w:val="FootnoteReference"/>
        </w:rPr>
        <w:footnoteRef/>
      </w:r>
      <w:r>
        <w:t xml:space="preserve"> </w:t>
      </w:r>
      <w:r w:rsidRPr="008929DF">
        <w:t>Peter Singer, </w:t>
      </w:r>
      <w:r w:rsidRPr="008929DF">
        <w:rPr>
          <w:i/>
          <w:iCs/>
        </w:rPr>
        <w:t>Practical Ethics</w:t>
      </w:r>
      <w:r w:rsidRPr="008929DF">
        <w:t> (Cambridge: Cambridge University Press, 2017)</w:t>
      </w:r>
      <w:r>
        <w:t>, p. 267-274.</w:t>
      </w:r>
    </w:p>
  </w:footnote>
  <w:footnote w:id="18">
    <w:p w:rsidR="00C9246A" w:rsidRPr="00C9246A" w:rsidRDefault="00C9246A" w:rsidP="00C9246A">
      <w:pPr>
        <w:pStyle w:val="FootnoteText"/>
      </w:pPr>
      <w:r>
        <w:rPr>
          <w:rStyle w:val="FootnoteReference"/>
        </w:rPr>
        <w:footnoteRef/>
      </w:r>
      <w:r>
        <w:t xml:space="preserve"> </w:t>
      </w:r>
      <w:r w:rsidRPr="00C9246A">
        <w:t>In the case of a tree</w:t>
      </w:r>
      <w:r>
        <w:t>,</w:t>
      </w:r>
      <w:r w:rsidRPr="00C9246A">
        <w:t xml:space="preserve"> its ‘good’ would be to grow tall and strong for many years</w:t>
      </w:r>
      <w:r>
        <w:t xml:space="preserve"> for example.</w:t>
      </w:r>
    </w:p>
  </w:footnote>
  <w:footnote w:id="19">
    <w:p w:rsidR="008929DF" w:rsidRDefault="008929DF">
      <w:pPr>
        <w:pStyle w:val="FootnoteText"/>
      </w:pPr>
      <w:r>
        <w:rPr>
          <w:rStyle w:val="FootnoteReference"/>
        </w:rPr>
        <w:footnoteRef/>
      </w:r>
      <w:r>
        <w:t xml:space="preserve"> </w:t>
      </w:r>
      <w:r w:rsidRPr="008929DF">
        <w:t xml:space="preserve">Paul W. Taylor, ‘The Ethics </w:t>
      </w:r>
      <w:proofErr w:type="gramStart"/>
      <w:r w:rsidRPr="008929DF">
        <w:t>Of</w:t>
      </w:r>
      <w:proofErr w:type="gramEnd"/>
      <w:r w:rsidRPr="008929DF">
        <w:t xml:space="preserve"> Respect For Nature’, in </w:t>
      </w:r>
      <w:r w:rsidRPr="008929DF">
        <w:rPr>
          <w:i/>
          <w:iCs/>
        </w:rPr>
        <w:t>Environmental Philosophy</w:t>
      </w:r>
      <w:r w:rsidRPr="008929DF">
        <w:t xml:space="preserve">, (Upper Saddle River, New Jersey, Pearson Prentice Hall, 2005), </w:t>
      </w:r>
      <w:r>
        <w:t>p. 70-74.</w:t>
      </w:r>
    </w:p>
  </w:footnote>
  <w:footnote w:id="20">
    <w:p w:rsidR="008929DF" w:rsidRDefault="008929DF">
      <w:pPr>
        <w:pStyle w:val="FootnoteText"/>
      </w:pPr>
      <w:r>
        <w:rPr>
          <w:rStyle w:val="FootnoteReference"/>
        </w:rPr>
        <w:footnoteRef/>
      </w:r>
      <w:r>
        <w:t xml:space="preserve"> </w:t>
      </w:r>
      <w:r w:rsidRPr="008929DF">
        <w:t xml:space="preserve">Andrew Brennan and </w:t>
      </w:r>
      <w:proofErr w:type="spellStart"/>
      <w:r w:rsidRPr="008929DF">
        <w:t>Yeuk</w:t>
      </w:r>
      <w:proofErr w:type="spellEnd"/>
      <w:r w:rsidRPr="008929DF">
        <w:t xml:space="preserve">-Sze Lo, "Environmental Ethics (Stanford </w:t>
      </w:r>
      <w:proofErr w:type="spellStart"/>
      <w:r w:rsidRPr="008929DF">
        <w:t>Encyclopedia</w:t>
      </w:r>
      <w:proofErr w:type="spellEnd"/>
      <w:r w:rsidRPr="008929DF">
        <w:t xml:space="preserve"> </w:t>
      </w:r>
      <w:proofErr w:type="gramStart"/>
      <w:r w:rsidRPr="008929DF">
        <w:t>Of</w:t>
      </w:r>
      <w:proofErr w:type="gramEnd"/>
      <w:r w:rsidRPr="008929DF">
        <w:t xml:space="preserve"> Philosophy)", </w:t>
      </w:r>
      <w:r w:rsidRPr="008929DF">
        <w:rPr>
          <w:i/>
          <w:iCs/>
        </w:rPr>
        <w:t>Plato.Stanford.Edu</w:t>
      </w:r>
      <w:r w:rsidRPr="008929DF">
        <w:t>, 2019 &lt;https://plato.stanford.edu/entries/ethics-environmental/&gt; [Accessed 3 June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1093"/>
    <w:rsid w:val="0001070B"/>
    <w:rsid w:val="000A5673"/>
    <w:rsid w:val="00100BED"/>
    <w:rsid w:val="0019674D"/>
    <w:rsid w:val="001C5F9B"/>
    <w:rsid w:val="0023128E"/>
    <w:rsid w:val="0023736F"/>
    <w:rsid w:val="002A6679"/>
    <w:rsid w:val="003406FD"/>
    <w:rsid w:val="00405899"/>
    <w:rsid w:val="00430B6F"/>
    <w:rsid w:val="004C6ED7"/>
    <w:rsid w:val="004F6AC8"/>
    <w:rsid w:val="006B2544"/>
    <w:rsid w:val="007F31AF"/>
    <w:rsid w:val="0087648F"/>
    <w:rsid w:val="008929DF"/>
    <w:rsid w:val="008E5CC6"/>
    <w:rsid w:val="009A478B"/>
    <w:rsid w:val="00A075B0"/>
    <w:rsid w:val="00B21C43"/>
    <w:rsid w:val="00B3617F"/>
    <w:rsid w:val="00B578E5"/>
    <w:rsid w:val="00B801D6"/>
    <w:rsid w:val="00B91093"/>
    <w:rsid w:val="00BF2D61"/>
    <w:rsid w:val="00C33A6B"/>
    <w:rsid w:val="00C9246A"/>
    <w:rsid w:val="00D4035A"/>
    <w:rsid w:val="00D73DB2"/>
    <w:rsid w:val="00D9169F"/>
    <w:rsid w:val="00DB43C3"/>
    <w:rsid w:val="00DF6120"/>
    <w:rsid w:val="00E7131E"/>
    <w:rsid w:val="00E85F98"/>
    <w:rsid w:val="00FA3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BFE0B"/>
  <w15:chartTrackingRefBased/>
  <w15:docId w15:val="{FF8EE293-FB66-46FB-A793-8CF268338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4035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F2D6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35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F2D61"/>
    <w:rPr>
      <w:rFonts w:asciiTheme="majorHAnsi" w:eastAsiaTheme="majorEastAsia" w:hAnsiTheme="majorHAnsi" w:cstheme="majorBidi"/>
      <w:color w:val="2E74B5" w:themeColor="accent1" w:themeShade="BF"/>
      <w:sz w:val="26"/>
      <w:szCs w:val="26"/>
    </w:rPr>
  </w:style>
  <w:style w:type="paragraph" w:styleId="FootnoteText">
    <w:name w:val="footnote text"/>
    <w:basedOn w:val="Normal"/>
    <w:link w:val="FootnoteTextChar"/>
    <w:uiPriority w:val="99"/>
    <w:semiHidden/>
    <w:unhideWhenUsed/>
    <w:rsid w:val="00430B6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0B6F"/>
    <w:rPr>
      <w:sz w:val="20"/>
      <w:szCs w:val="20"/>
    </w:rPr>
  </w:style>
  <w:style w:type="character" w:styleId="FootnoteReference">
    <w:name w:val="footnote reference"/>
    <w:basedOn w:val="DefaultParagraphFont"/>
    <w:uiPriority w:val="99"/>
    <w:semiHidden/>
    <w:unhideWhenUsed/>
    <w:rsid w:val="00430B6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F48958-2327-45A9-8676-0B5CD2572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TotalTime>
  <Pages>8</Pages>
  <Words>2463</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Neyland-evans (1601937)</dc:creator>
  <cp:keywords/>
  <dc:description/>
  <cp:lastModifiedBy>Samuel Neyland-evans (1601937)</cp:lastModifiedBy>
  <cp:revision>20</cp:revision>
  <dcterms:created xsi:type="dcterms:W3CDTF">2019-06-06T12:21:00Z</dcterms:created>
  <dcterms:modified xsi:type="dcterms:W3CDTF">2019-06-06T19:52:00Z</dcterms:modified>
</cp:coreProperties>
</file>