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4C118539" w:rsidR="00D2187B" w:rsidRDefault="00D2187B" w:rsidP="00D2187B">
      <w:pPr>
        <w:spacing w:after="160" w:line="259" w:lineRule="auto"/>
        <w:jc w:val="center"/>
        <w:rPr>
          <w:rFonts w:ascii="Verdana" w:hAnsi="Verdana"/>
          <w:b/>
          <w:i/>
          <w:sz w:val="44"/>
        </w:rPr>
      </w:pPr>
    </w:p>
    <w:p w14:paraId="5A3D1CEF" w14:textId="2EBD3A1A" w:rsidR="00D2187B" w:rsidRDefault="00D2187B" w:rsidP="00D2187B">
      <w:pPr>
        <w:spacing w:after="160" w:line="259" w:lineRule="auto"/>
        <w:jc w:val="center"/>
        <w:rPr>
          <w:rFonts w:ascii="Verdana" w:hAnsi="Verdana"/>
          <w:b/>
          <w:i/>
          <w:sz w:val="44"/>
        </w:rPr>
      </w:pPr>
    </w:p>
    <w:p w14:paraId="1171E107" w14:textId="5EB8E9A7" w:rsidR="00F73B35" w:rsidRDefault="000655BC" w:rsidP="000A10AA">
      <w:pPr>
        <w:spacing w:after="160" w:line="259" w:lineRule="auto"/>
        <w:jc w:val="center"/>
        <w:rPr>
          <w:rFonts w:ascii="Verdana" w:hAnsi="Verdana"/>
          <w:b/>
          <w:caps/>
          <w:sz w:val="18"/>
          <w:szCs w:val="18"/>
        </w:rPr>
      </w:pPr>
      <w:r>
        <w:rPr>
          <w:rFonts w:ascii="Verdana" w:hAnsi="Verdana"/>
          <w:b/>
          <w:i/>
          <w:sz w:val="44"/>
        </w:rPr>
        <w:t>Global Reporting Standards</w:t>
      </w:r>
      <w:r w:rsidR="000A10AA">
        <w:rPr>
          <w:rFonts w:ascii="Verdana" w:hAnsi="Verdana"/>
          <w:b/>
          <w:i/>
          <w:sz w:val="44"/>
        </w:rPr>
        <w:t xml:space="preserve"> </w:t>
      </w:r>
    </w:p>
    <w:p w14:paraId="58D27D51" w14:textId="727AA2CB" w:rsidR="00D2187B" w:rsidRDefault="00D2187B">
      <w:pPr>
        <w:spacing w:after="160" w:line="259" w:lineRule="auto"/>
        <w:rPr>
          <w:rFonts w:ascii="Verdana" w:hAnsi="Verdana"/>
          <w:b/>
          <w:caps/>
          <w:sz w:val="18"/>
          <w:szCs w:val="18"/>
        </w:rPr>
      </w:pPr>
    </w:p>
    <w:p w14:paraId="1E1E79F9" w14:textId="4E0EBAD6"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1549A28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26B66B0A" w:rsidR="00D2187B" w:rsidRPr="002A1AD3" w:rsidRDefault="000655BC" w:rsidP="002A1AD3">
      <w:pPr>
        <w:spacing w:after="160" w:line="259" w:lineRule="auto"/>
        <w:jc w:val="center"/>
        <w:rPr>
          <w:rFonts w:ascii="Verdana" w:hAnsi="Verdana"/>
          <w:b/>
          <w:sz w:val="44"/>
        </w:rPr>
      </w:pPr>
      <w:r>
        <w:rPr>
          <w:rFonts w:ascii="Verdana" w:hAnsi="Verdana"/>
          <w:b/>
          <w:sz w:val="44"/>
        </w:rPr>
        <w:t>DECEMBER</w:t>
      </w:r>
      <w:r w:rsidR="000A10AA">
        <w:rPr>
          <w:rFonts w:ascii="Verdana" w:hAnsi="Verdana"/>
          <w:b/>
          <w:sz w:val="44"/>
        </w:rPr>
        <w:t xml:space="preserve"> 201</w:t>
      </w:r>
      <w:r>
        <w:rPr>
          <w:rFonts w:ascii="Verdana" w:hAnsi="Verdana"/>
          <w:b/>
          <w:sz w:val="44"/>
        </w:rPr>
        <w:t>9</w:t>
      </w:r>
    </w:p>
    <w:p w14:paraId="0A1CC042" w14:textId="77777777" w:rsidR="00D2187B" w:rsidRDefault="00D2187B">
      <w:pPr>
        <w:spacing w:after="160" w:line="259" w:lineRule="auto"/>
        <w:rPr>
          <w:rFonts w:ascii="Verdana" w:hAnsi="Verdana"/>
          <w:b/>
          <w:caps/>
          <w:sz w:val="18"/>
          <w:szCs w:val="18"/>
        </w:rPr>
      </w:pPr>
    </w:p>
    <w:p w14:paraId="0C086A43" w14:textId="6785F2A0"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0655BC" w:rsidRPr="000655BC">
        <w:rPr>
          <w:rFonts w:eastAsia="Times New Roman"/>
          <w:sz w:val="24"/>
          <w:szCs w:val="24"/>
          <w:lang w:val="en" w:eastAsia="en-GB"/>
        </w:rPr>
        <w:t>Financial Reporting (BMBM5011)</w:t>
      </w:r>
    </w:p>
    <w:p w14:paraId="39E14E5A" w14:textId="1B241136" w:rsidR="00D2187B" w:rsidRDefault="000A10AA">
      <w:pPr>
        <w:spacing w:after="160" w:line="259"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000655BC" w:rsidRPr="000655BC">
        <w:rPr>
          <w:rFonts w:eastAsia="Times New Roman"/>
          <w:sz w:val="24"/>
          <w:szCs w:val="24"/>
          <w:lang w:val="en" w:eastAsia="en-GB"/>
        </w:rPr>
        <w:t>Global Reporting Standards</w:t>
      </w:r>
    </w:p>
    <w:p w14:paraId="1387AD83" w14:textId="3B7D8D35" w:rsidR="00D2187B"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0655BC" w:rsidRPr="000655BC">
        <w:rPr>
          <w:rFonts w:eastAsia="Times New Roman"/>
          <w:sz w:val="24"/>
          <w:szCs w:val="24"/>
          <w:lang w:val="en" w:eastAsia="en-GB"/>
        </w:rPr>
        <w:t>Antoine Desbrugeres</w:t>
      </w:r>
    </w:p>
    <w:p w14:paraId="571833C2" w14:textId="5EEB0DE8"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0655BC" w:rsidRPr="000655BC">
        <w:rPr>
          <w:rFonts w:eastAsia="Times New Roman"/>
          <w:sz w:val="24"/>
          <w:szCs w:val="24"/>
          <w:lang w:val="en" w:eastAsia="en-GB"/>
        </w:rPr>
        <w:t>1904997</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0655BC">
      <w:pPr>
        <w:tabs>
          <w:tab w:val="left" w:pos="4007"/>
        </w:tabs>
        <w:rPr>
          <w:rFonts w:ascii="Verdana" w:hAnsi="Verdana"/>
          <w:b/>
          <w:caps/>
          <w:sz w:val="18"/>
          <w:szCs w:val="18"/>
        </w:rPr>
        <w:sectPr w:rsidR="00E05928" w:rsidSect="00E05928">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pPr>
    </w:p>
    <w:p w14:paraId="4561612A" w14:textId="77777777" w:rsidR="008A24C8" w:rsidRPr="008A24C8" w:rsidRDefault="008A24C8">
      <w:pPr>
        <w:autoSpaceDE/>
        <w:autoSpaceDN/>
        <w:adjustRightInd/>
        <w:spacing w:after="160" w:line="259" w:lineRule="auto"/>
        <w:rPr>
          <w:rFonts w:ascii="Calibri Light" w:hAnsi="Calibri Light" w:cs="Calibri Light"/>
          <w:sz w:val="48"/>
          <w:szCs w:val="48"/>
          <w:shd w:val="clear" w:color="auto" w:fill="F5F5F5"/>
          <w:lang w:val="en"/>
        </w:rPr>
      </w:pPr>
      <w:r w:rsidRPr="008A24C8">
        <w:rPr>
          <w:rFonts w:ascii="Calibri Light" w:hAnsi="Calibri Light" w:cs="Calibri Light"/>
          <w:sz w:val="48"/>
          <w:szCs w:val="48"/>
          <w:shd w:val="clear" w:color="auto" w:fill="F5F5F5"/>
          <w:lang w:val="en"/>
        </w:rPr>
        <w:lastRenderedPageBreak/>
        <w:t>Table of contents</w:t>
      </w:r>
    </w:p>
    <w:p w14:paraId="03422587" w14:textId="77777777" w:rsidR="008A24C8" w:rsidRDefault="008A24C8">
      <w:pPr>
        <w:autoSpaceDE/>
        <w:autoSpaceDN/>
        <w:adjustRightInd/>
        <w:spacing w:after="160" w:line="259" w:lineRule="auto"/>
        <w:rPr>
          <w:rFonts w:ascii="Calibri Light" w:hAnsi="Calibri Light" w:cs="Calibri Light"/>
          <w:sz w:val="36"/>
          <w:szCs w:val="36"/>
          <w:shd w:val="clear" w:color="auto" w:fill="F5F5F5"/>
          <w:lang w:val="en"/>
        </w:rPr>
      </w:pPr>
    </w:p>
    <w:p w14:paraId="49DBE2E1" w14:textId="77777777" w:rsidR="008A24C8" w:rsidRDefault="008A24C8">
      <w:pPr>
        <w:autoSpaceDE/>
        <w:autoSpaceDN/>
        <w:adjustRightInd/>
        <w:spacing w:after="160" w:line="259" w:lineRule="auto"/>
        <w:rPr>
          <w:rFonts w:ascii="Calibri Light" w:hAnsi="Calibri Light" w:cs="Calibri Light"/>
          <w:sz w:val="36"/>
          <w:szCs w:val="36"/>
          <w:shd w:val="clear" w:color="auto" w:fill="F5F5F5"/>
          <w:lang w:val="en"/>
        </w:rPr>
      </w:pPr>
    </w:p>
    <w:p w14:paraId="5B3FE0E8" w14:textId="61CC0B05" w:rsidR="008A24C8" w:rsidRDefault="008A24C8">
      <w:pPr>
        <w:autoSpaceDE/>
        <w:autoSpaceDN/>
        <w:adjustRightInd/>
        <w:spacing w:after="160" w:line="259" w:lineRule="auto"/>
        <w:rPr>
          <w:rFonts w:ascii="Calibri Light" w:hAnsi="Calibri Light" w:cs="Calibri Light"/>
          <w:sz w:val="36"/>
          <w:szCs w:val="36"/>
          <w:shd w:val="clear" w:color="auto" w:fill="F5F5F5"/>
          <w:lang w:val="en"/>
        </w:rPr>
      </w:pPr>
      <w:r>
        <w:rPr>
          <w:rFonts w:ascii="Calibri Light" w:hAnsi="Calibri Light" w:cs="Calibri Light"/>
          <w:sz w:val="36"/>
          <w:szCs w:val="36"/>
          <w:shd w:val="clear" w:color="auto" w:fill="F5F5F5"/>
          <w:lang w:val="en"/>
        </w:rPr>
        <w:t>Introduction</w:t>
      </w:r>
      <w:r w:rsidR="00E75203" w:rsidRPr="00E75203">
        <w:rPr>
          <w:rFonts w:ascii="Calibri Light" w:hAnsi="Calibri Light" w:cs="Calibri Light"/>
          <w:sz w:val="32"/>
          <w:szCs w:val="32"/>
          <w:shd w:val="clear" w:color="auto" w:fill="F5F5F5"/>
          <w:lang w:val="en"/>
        </w:rPr>
        <w:ptab w:relativeTo="margin" w:alignment="right" w:leader="dot"/>
      </w:r>
      <w:r w:rsidR="00E75203" w:rsidRPr="00E75203">
        <w:rPr>
          <w:rFonts w:ascii="Calibri Light" w:hAnsi="Calibri Light" w:cs="Calibri Light"/>
          <w:sz w:val="32"/>
          <w:szCs w:val="32"/>
          <w:shd w:val="clear" w:color="auto" w:fill="F5F5F5"/>
          <w:lang w:val="en"/>
        </w:rPr>
        <w:t>1</w:t>
      </w:r>
    </w:p>
    <w:p w14:paraId="3CC3F7CB" w14:textId="77777777" w:rsidR="008A24C8" w:rsidRDefault="008A24C8" w:rsidP="008A24C8">
      <w:pPr>
        <w:pStyle w:val="NormalWeb"/>
        <w:shd w:val="clear" w:color="auto" w:fill="FFFFFF"/>
        <w:spacing w:before="0" w:beforeAutospacing="0" w:after="360" w:afterAutospacing="0"/>
        <w:rPr>
          <w:rFonts w:ascii="Calibri Light" w:hAnsi="Calibri Light" w:cs="Calibri Light"/>
          <w:sz w:val="36"/>
          <w:szCs w:val="36"/>
          <w:shd w:val="clear" w:color="auto" w:fill="F5F5F5"/>
          <w:lang w:val="en"/>
        </w:rPr>
      </w:pPr>
    </w:p>
    <w:p w14:paraId="7D0A9DE4" w14:textId="3EC46D3B" w:rsidR="008A24C8" w:rsidRDefault="008A24C8" w:rsidP="008A24C8">
      <w:pPr>
        <w:pStyle w:val="NormalWeb"/>
        <w:shd w:val="clear" w:color="auto" w:fill="FFFFFF"/>
        <w:spacing w:before="0" w:beforeAutospacing="0" w:after="360" w:afterAutospacing="0"/>
        <w:rPr>
          <w:lang w:val="en"/>
        </w:rPr>
      </w:pPr>
      <w:r>
        <w:rPr>
          <w:rFonts w:ascii="Calibri Light" w:hAnsi="Calibri Light" w:cs="Calibri Light"/>
          <w:sz w:val="36"/>
          <w:szCs w:val="36"/>
          <w:shd w:val="clear" w:color="auto" w:fill="F5F5F5"/>
          <w:lang w:val="en"/>
        </w:rPr>
        <w:t>I / differentiation and compatibilization of lease</w:t>
      </w:r>
      <w:r w:rsidR="00E75203" w:rsidRPr="00E75203">
        <w:rPr>
          <w:rFonts w:ascii="Calibri Light" w:eastAsiaTheme="minorHAnsi" w:hAnsi="Calibri Light" w:cs="Calibri Light"/>
          <w:sz w:val="32"/>
          <w:szCs w:val="32"/>
          <w:shd w:val="clear" w:color="auto" w:fill="F5F5F5"/>
          <w:lang w:val="en"/>
        </w:rPr>
        <w:ptab w:relativeTo="margin" w:alignment="right" w:leader="dot"/>
      </w:r>
      <w:r w:rsidR="00E75203" w:rsidRPr="00E75203">
        <w:rPr>
          <w:rFonts w:ascii="Calibri Light" w:eastAsiaTheme="minorHAnsi" w:hAnsi="Calibri Light" w:cs="Calibri Light"/>
          <w:sz w:val="32"/>
          <w:szCs w:val="32"/>
          <w:shd w:val="clear" w:color="auto" w:fill="F5F5F5"/>
          <w:lang w:val="en"/>
        </w:rPr>
        <w:t>2</w:t>
      </w:r>
    </w:p>
    <w:p w14:paraId="0FDEA85C" w14:textId="77777777" w:rsidR="008A24C8" w:rsidRDefault="008A24C8" w:rsidP="008A24C8">
      <w:pPr>
        <w:pStyle w:val="NormalWeb"/>
        <w:shd w:val="clear" w:color="auto" w:fill="FFFFFF"/>
        <w:spacing w:before="0" w:beforeAutospacing="0" w:after="360" w:afterAutospacing="0"/>
        <w:rPr>
          <w:rFonts w:ascii="Calibri Light" w:hAnsi="Calibri Light" w:cs="Calibri Light"/>
          <w:sz w:val="36"/>
          <w:szCs w:val="36"/>
          <w:shd w:val="clear" w:color="auto" w:fill="F5F5F5"/>
          <w:lang w:val="en"/>
        </w:rPr>
      </w:pPr>
    </w:p>
    <w:p w14:paraId="23019AF2" w14:textId="46A6F6FE" w:rsidR="008A24C8" w:rsidRDefault="008A24C8" w:rsidP="008A24C8">
      <w:pPr>
        <w:pStyle w:val="NormalWeb"/>
        <w:shd w:val="clear" w:color="auto" w:fill="FFFFFF"/>
        <w:spacing w:before="0" w:beforeAutospacing="0" w:after="360" w:afterAutospacing="0"/>
        <w:rPr>
          <w:lang w:val="en"/>
        </w:rPr>
      </w:pPr>
      <w:r>
        <w:rPr>
          <w:rFonts w:ascii="Calibri Light" w:hAnsi="Calibri Light" w:cs="Calibri Light"/>
          <w:sz w:val="36"/>
          <w:szCs w:val="36"/>
          <w:shd w:val="clear" w:color="auto" w:fill="F5F5F5"/>
          <w:lang w:val="en"/>
        </w:rPr>
        <w:t>II / accounting standard and conceptual framework</w:t>
      </w:r>
      <w:r w:rsidR="00E75203" w:rsidRPr="00E75203">
        <w:rPr>
          <w:rFonts w:ascii="Calibri Light" w:eastAsiaTheme="minorHAnsi" w:hAnsi="Calibri Light" w:cs="Calibri Light"/>
          <w:sz w:val="32"/>
          <w:szCs w:val="32"/>
          <w:shd w:val="clear" w:color="auto" w:fill="F5F5F5"/>
          <w:lang w:val="en"/>
        </w:rPr>
        <w:ptab w:relativeTo="margin" w:alignment="right" w:leader="dot"/>
      </w:r>
      <w:r w:rsidR="00E75203" w:rsidRPr="00E75203">
        <w:rPr>
          <w:rFonts w:ascii="Calibri Light" w:eastAsiaTheme="minorHAnsi" w:hAnsi="Calibri Light" w:cs="Calibri Light"/>
          <w:sz w:val="32"/>
          <w:szCs w:val="32"/>
          <w:shd w:val="clear" w:color="auto" w:fill="F5F5F5"/>
          <w:lang w:val="en"/>
        </w:rPr>
        <w:t>4</w:t>
      </w:r>
    </w:p>
    <w:p w14:paraId="14662254" w14:textId="6C43268B" w:rsidR="008A24C8" w:rsidRDefault="008A24C8" w:rsidP="008A24C8">
      <w:pPr>
        <w:pStyle w:val="NormalWeb"/>
        <w:shd w:val="clear" w:color="auto" w:fill="FFFFFF"/>
        <w:spacing w:before="0" w:beforeAutospacing="0" w:after="360" w:afterAutospacing="0"/>
        <w:rPr>
          <w:rFonts w:ascii="Calibri Light" w:hAnsi="Calibri Light" w:cs="Calibri Light"/>
          <w:sz w:val="36"/>
          <w:szCs w:val="36"/>
          <w:shd w:val="clear" w:color="auto" w:fill="F5F5F5"/>
          <w:lang w:val="en"/>
        </w:rPr>
      </w:pPr>
    </w:p>
    <w:p w14:paraId="2BD023F0" w14:textId="50F0218F" w:rsidR="008A24C8" w:rsidRDefault="008A24C8" w:rsidP="008A24C8">
      <w:pPr>
        <w:pStyle w:val="NormalWeb"/>
        <w:shd w:val="clear" w:color="auto" w:fill="FFFFFF"/>
        <w:spacing w:before="0" w:beforeAutospacing="0" w:after="360" w:afterAutospacing="0"/>
        <w:rPr>
          <w:lang w:val="en"/>
        </w:rPr>
      </w:pPr>
      <w:r>
        <w:rPr>
          <w:rFonts w:ascii="Calibri Light" w:hAnsi="Calibri Light" w:cs="Calibri Light"/>
          <w:sz w:val="36"/>
          <w:szCs w:val="36"/>
          <w:shd w:val="clear" w:color="auto" w:fill="F5F5F5"/>
          <w:lang w:val="en"/>
        </w:rPr>
        <w:t>III / new accounting treatment</w:t>
      </w:r>
      <w:r w:rsidR="00E75203" w:rsidRPr="00E75203">
        <w:rPr>
          <w:rFonts w:ascii="Calibri Light" w:eastAsiaTheme="minorHAnsi" w:hAnsi="Calibri Light" w:cs="Calibri Light"/>
          <w:sz w:val="32"/>
          <w:szCs w:val="32"/>
          <w:shd w:val="clear" w:color="auto" w:fill="F5F5F5"/>
          <w:lang w:val="en"/>
        </w:rPr>
        <w:ptab w:relativeTo="margin" w:alignment="right" w:leader="dot"/>
      </w:r>
      <w:r w:rsidR="00E75203" w:rsidRPr="00E75203">
        <w:rPr>
          <w:rFonts w:ascii="Calibri Light" w:eastAsiaTheme="minorHAnsi" w:hAnsi="Calibri Light" w:cs="Calibri Light"/>
          <w:sz w:val="32"/>
          <w:szCs w:val="32"/>
          <w:shd w:val="clear" w:color="auto" w:fill="F5F5F5"/>
          <w:lang w:val="en"/>
        </w:rPr>
        <w:t>5</w:t>
      </w:r>
    </w:p>
    <w:p w14:paraId="013D6E03" w14:textId="2090AC4A" w:rsidR="008A24C8" w:rsidRDefault="008A24C8" w:rsidP="008A24C8">
      <w:pPr>
        <w:pStyle w:val="NormalWeb"/>
        <w:spacing w:before="0" w:beforeAutospacing="0" w:after="150" w:afterAutospacing="0"/>
        <w:rPr>
          <w:rFonts w:ascii="Calibri Light" w:hAnsi="Calibri Light" w:cs="Calibri Light"/>
          <w:sz w:val="36"/>
          <w:szCs w:val="36"/>
          <w:shd w:val="clear" w:color="auto" w:fill="F5F5F5"/>
          <w:lang w:val="en"/>
        </w:rPr>
      </w:pPr>
    </w:p>
    <w:p w14:paraId="66185CF9" w14:textId="1FE88C39" w:rsidR="008A24C8" w:rsidRDefault="008A24C8" w:rsidP="008A24C8">
      <w:pPr>
        <w:pStyle w:val="NormalWeb"/>
        <w:spacing w:before="0" w:beforeAutospacing="0" w:after="150" w:afterAutospacing="0"/>
        <w:rPr>
          <w:rFonts w:ascii="Calibri Light" w:hAnsi="Calibri Light" w:cs="Calibri Light"/>
          <w:sz w:val="36"/>
          <w:szCs w:val="36"/>
          <w:shd w:val="clear" w:color="auto" w:fill="F5F5F5"/>
          <w:lang w:val="en"/>
        </w:rPr>
      </w:pPr>
      <w:r>
        <w:rPr>
          <w:rFonts w:ascii="Calibri Light" w:hAnsi="Calibri Light" w:cs="Calibri Light"/>
          <w:sz w:val="36"/>
          <w:szCs w:val="36"/>
          <w:shd w:val="clear" w:color="auto" w:fill="F5F5F5"/>
          <w:lang w:val="en"/>
        </w:rPr>
        <w:t>Conclusion</w:t>
      </w:r>
      <w:r w:rsidR="00E75203" w:rsidRPr="00E75203">
        <w:rPr>
          <w:rFonts w:ascii="Calibri Light" w:eastAsiaTheme="minorHAnsi" w:hAnsi="Calibri Light" w:cs="Calibri Light"/>
          <w:sz w:val="32"/>
          <w:szCs w:val="32"/>
          <w:shd w:val="clear" w:color="auto" w:fill="F5F5F5"/>
          <w:lang w:val="en"/>
        </w:rPr>
        <w:ptab w:relativeTo="margin" w:alignment="right" w:leader="dot"/>
      </w:r>
      <w:r w:rsidR="00E75203" w:rsidRPr="00E75203">
        <w:rPr>
          <w:rFonts w:ascii="Calibri Light" w:eastAsiaTheme="minorHAnsi" w:hAnsi="Calibri Light" w:cs="Calibri Light"/>
          <w:sz w:val="32"/>
          <w:szCs w:val="32"/>
          <w:shd w:val="clear" w:color="auto" w:fill="F5F5F5"/>
          <w:lang w:val="en"/>
        </w:rPr>
        <w:t>7</w:t>
      </w:r>
    </w:p>
    <w:p w14:paraId="58B15047" w14:textId="3AF14A01" w:rsidR="008A24C8" w:rsidRPr="008A24C8" w:rsidRDefault="008A24C8" w:rsidP="008A24C8">
      <w:pPr>
        <w:pStyle w:val="NormalWeb"/>
        <w:spacing w:before="0" w:beforeAutospacing="0" w:after="150" w:afterAutospacing="0"/>
        <w:rPr>
          <w:rFonts w:ascii="Calibri Light" w:hAnsi="Calibri Light" w:cs="Calibri Light"/>
          <w:sz w:val="36"/>
          <w:szCs w:val="36"/>
          <w:shd w:val="clear" w:color="auto" w:fill="F5F5F5"/>
          <w:lang w:val="en"/>
        </w:rPr>
      </w:pPr>
    </w:p>
    <w:p w14:paraId="2A7D91C9" w14:textId="4EFBF4AE" w:rsidR="008A24C8" w:rsidRPr="008A24C8" w:rsidRDefault="008A24C8" w:rsidP="008A24C8">
      <w:pPr>
        <w:pStyle w:val="NormalWeb"/>
        <w:spacing w:before="0" w:beforeAutospacing="0" w:after="150" w:afterAutospacing="0"/>
        <w:rPr>
          <w:rFonts w:ascii="Calibri Light" w:hAnsi="Calibri Light" w:cs="Calibri Light"/>
          <w:sz w:val="36"/>
          <w:szCs w:val="36"/>
          <w:shd w:val="clear" w:color="auto" w:fill="F5F5F5"/>
          <w:lang w:val="en"/>
        </w:rPr>
      </w:pPr>
      <w:r w:rsidRPr="008A24C8">
        <w:rPr>
          <w:rFonts w:ascii="Calibri Light" w:hAnsi="Calibri Light" w:cs="Calibri Light"/>
          <w:sz w:val="36"/>
          <w:szCs w:val="36"/>
          <w:shd w:val="clear" w:color="auto" w:fill="F5F5F5"/>
          <w:lang w:val="en"/>
        </w:rPr>
        <w:t>References</w:t>
      </w:r>
      <w:r w:rsidR="00E75203" w:rsidRPr="00E75203">
        <w:rPr>
          <w:rFonts w:ascii="Calibri Light" w:eastAsiaTheme="minorHAnsi" w:hAnsi="Calibri Light" w:cs="Calibri Light"/>
          <w:sz w:val="32"/>
          <w:szCs w:val="32"/>
          <w:shd w:val="clear" w:color="auto" w:fill="F5F5F5"/>
          <w:lang w:val="en"/>
        </w:rPr>
        <w:ptab w:relativeTo="margin" w:alignment="right" w:leader="dot"/>
      </w:r>
      <w:r w:rsidR="00E75203" w:rsidRPr="00E75203">
        <w:rPr>
          <w:rFonts w:ascii="Calibri Light" w:eastAsiaTheme="minorHAnsi" w:hAnsi="Calibri Light" w:cs="Calibri Light"/>
          <w:sz w:val="32"/>
          <w:szCs w:val="32"/>
          <w:shd w:val="clear" w:color="auto" w:fill="F5F5F5"/>
          <w:lang w:val="en"/>
        </w:rPr>
        <w:t>8</w:t>
      </w:r>
    </w:p>
    <w:p w14:paraId="4F9E9FBD" w14:textId="4E5DB33C" w:rsidR="000655BC" w:rsidRDefault="000655BC">
      <w:pPr>
        <w:autoSpaceDE/>
        <w:autoSpaceDN/>
        <w:adjustRightInd/>
        <w:spacing w:after="160" w:line="259" w:lineRule="auto"/>
        <w:rPr>
          <w:rFonts w:ascii="Calibri Light" w:eastAsia="Times New Roman" w:hAnsi="Calibri Light" w:cs="Calibri Light"/>
          <w:sz w:val="36"/>
          <w:szCs w:val="36"/>
          <w:shd w:val="clear" w:color="auto" w:fill="F5F5F5"/>
          <w:lang w:val="en"/>
        </w:rPr>
      </w:pPr>
      <w:r>
        <w:rPr>
          <w:rFonts w:ascii="Calibri Light" w:hAnsi="Calibri Light" w:cs="Calibri Light"/>
          <w:sz w:val="36"/>
          <w:szCs w:val="36"/>
          <w:shd w:val="clear" w:color="auto" w:fill="F5F5F5"/>
          <w:lang w:val="en"/>
        </w:rPr>
        <w:br w:type="page"/>
      </w:r>
      <w:bookmarkStart w:id="0" w:name="_GoBack"/>
      <w:bookmarkEnd w:id="0"/>
    </w:p>
    <w:p w14:paraId="4E3CCED7" w14:textId="18DC1F04" w:rsidR="000655BC" w:rsidRDefault="000655BC" w:rsidP="000655BC">
      <w:pPr>
        <w:pStyle w:val="NormalWeb"/>
        <w:spacing w:before="0" w:beforeAutospacing="0" w:after="160" w:afterAutospacing="0" w:line="259" w:lineRule="auto"/>
        <w:rPr>
          <w:sz w:val="36"/>
          <w:szCs w:val="36"/>
          <w:lang w:val="en"/>
        </w:rPr>
      </w:pPr>
      <w:r w:rsidRPr="009D45BB">
        <w:rPr>
          <w:rFonts w:ascii="Calibri Light" w:hAnsi="Calibri Light" w:cs="Calibri Light"/>
          <w:sz w:val="36"/>
          <w:szCs w:val="36"/>
          <w:shd w:val="clear" w:color="auto" w:fill="F5F5F5"/>
          <w:lang w:val="en"/>
        </w:rPr>
        <w:lastRenderedPageBreak/>
        <w:t>Introduction</w:t>
      </w:r>
    </w:p>
    <w:p w14:paraId="0DD7F296" w14:textId="77777777" w:rsidR="000655BC" w:rsidRDefault="000655BC" w:rsidP="000655BC">
      <w:pPr>
        <w:pStyle w:val="NormalWeb"/>
        <w:spacing w:before="0" w:beforeAutospacing="0" w:after="160" w:afterAutospacing="0" w:line="259" w:lineRule="auto"/>
        <w:rPr>
          <w:lang w:val="en"/>
        </w:rPr>
      </w:pPr>
      <w:r>
        <w:rPr>
          <w:rFonts w:ascii="Calibri" w:hAnsi="Calibri" w:cs="Calibri"/>
          <w:lang w:val="en"/>
        </w:rPr>
        <w:t>National accounting standards and corporate governance procedures of a country are the result of economic and political processes, not just the result of market forces. We can invoke culture, tradition and history. However, economists favor explanations based on factors such as the legal system and property rights legislation, even if, ultimately, these factors themselves are intrinsically part of each culture.</w:t>
      </w:r>
    </w:p>
    <w:p w14:paraId="30822E39" w14:textId="77777777" w:rsidR="000655BC" w:rsidRDefault="000655BC" w:rsidP="000655BC">
      <w:pPr>
        <w:pStyle w:val="NormalWeb"/>
        <w:spacing w:before="0" w:beforeAutospacing="0" w:after="160" w:afterAutospacing="0" w:line="259" w:lineRule="auto"/>
        <w:rPr>
          <w:lang w:val="en"/>
        </w:rPr>
      </w:pPr>
      <w:r>
        <w:rPr>
          <w:rFonts w:ascii="Calibri" w:hAnsi="Calibri" w:cs="Calibri"/>
          <w:lang w:val="en"/>
        </w:rPr>
        <w:t>We are therefore interested in these changes and how they affect the accounting.</w:t>
      </w:r>
    </w:p>
    <w:p w14:paraId="0D34105C" w14:textId="09C33A9A" w:rsidR="000655BC" w:rsidRDefault="000655BC" w:rsidP="000655BC">
      <w:pPr>
        <w:pStyle w:val="NormalWeb"/>
        <w:spacing w:before="0" w:beforeAutospacing="0" w:after="160" w:afterAutospacing="0" w:line="259" w:lineRule="auto"/>
        <w:rPr>
          <w:rFonts w:ascii="Calibri" w:hAnsi="Calibri" w:cs="Calibri"/>
          <w:lang w:val="en"/>
        </w:rPr>
      </w:pPr>
      <w:r>
        <w:rPr>
          <w:rFonts w:ascii="Calibri" w:hAnsi="Calibri" w:cs="Calibri"/>
          <w:lang w:val="en"/>
        </w:rPr>
        <w:t>To do this, our reflection will be divided into three parts. The first will be the differentiation and accounting of leases. The second is the principles set out in the Conceptual Framework. And last, IFRS 16 and its impact on companies.</w:t>
      </w:r>
    </w:p>
    <w:p w14:paraId="21ABE410" w14:textId="5730AF1A" w:rsidR="000655BC" w:rsidRDefault="00531F63">
      <w:pPr>
        <w:autoSpaceDE/>
        <w:autoSpaceDN/>
        <w:adjustRightInd/>
        <w:spacing w:after="160" w:line="259" w:lineRule="auto"/>
        <w:rPr>
          <w:rFonts w:eastAsia="Times New Roman"/>
          <w:sz w:val="24"/>
          <w:szCs w:val="24"/>
          <w:lang w:val="en"/>
        </w:rPr>
      </w:pPr>
      <w:r w:rsidRPr="00531F63">
        <w:rPr>
          <w:rFonts w:ascii="Verdana" w:hAnsi="Verdana"/>
          <w:b/>
          <w:i/>
          <w:noProof/>
          <w:sz w:val="44"/>
        </w:rPr>
        <mc:AlternateContent>
          <mc:Choice Requires="wps">
            <w:drawing>
              <wp:anchor distT="45720" distB="45720" distL="114300" distR="114300" simplePos="0" relativeHeight="251659264" behindDoc="0" locked="0" layoutInCell="1" allowOverlap="1" wp14:anchorId="54E55B8B" wp14:editId="1B9ABF0A">
                <wp:simplePos x="0" y="0"/>
                <wp:positionH relativeFrom="column">
                  <wp:align>right</wp:align>
                </wp:positionH>
                <wp:positionV relativeFrom="page">
                  <wp:posOffset>10081260</wp:posOffset>
                </wp:positionV>
                <wp:extent cx="255600" cy="266400"/>
                <wp:effectExtent l="0" t="0" r="11430"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600" cy="266400"/>
                        </a:xfrm>
                        <a:prstGeom prst="rect">
                          <a:avLst/>
                        </a:prstGeom>
                        <a:solidFill>
                          <a:srgbClr val="FFFFFF"/>
                        </a:solidFill>
                        <a:ln w="9525">
                          <a:solidFill>
                            <a:srgbClr val="000000"/>
                          </a:solidFill>
                          <a:miter lim="800000"/>
                          <a:headEnd/>
                          <a:tailEnd/>
                        </a:ln>
                      </wps:spPr>
                      <wps:txbx>
                        <w:txbxContent>
                          <w:p w14:paraId="1D717C3B" w14:textId="15F037AD" w:rsidR="00531F63" w:rsidRDefault="00531F63">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E55B8B" id="_x0000_t202" coordsize="21600,21600" o:spt="202" path="m,l,21600r21600,l21600,xe">
                <v:stroke joinstyle="miter"/>
                <v:path gradientshapeok="t" o:connecttype="rect"/>
              </v:shapetype>
              <v:shape id="Text Box 2" o:spid="_x0000_s1026" type="#_x0000_t202" style="position:absolute;margin-left:-31.05pt;margin-top:793.8pt;width:20.15pt;height:21pt;z-index:251659264;visibility:visible;mso-wrap-style:square;mso-width-percent:0;mso-height-percent:0;mso-wrap-distance-left:9pt;mso-wrap-distance-top:3.6pt;mso-wrap-distance-right:9pt;mso-wrap-distance-bottom:3.6pt;mso-position-horizontal:right;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">
                <v:textbox>
                  <w:txbxContent>
                    <w:p w14:paraId="1D717C3B" w14:textId="15F037AD" w:rsidR="00531F63" w:rsidRDefault="00531F63">
                      <w:r>
                        <w:t>1</w:t>
                      </w:r>
                    </w:p>
                  </w:txbxContent>
                </v:textbox>
                <w10:wrap type="square" anchory="page"/>
              </v:shape>
            </w:pict>
          </mc:Fallback>
        </mc:AlternateContent>
      </w:r>
      <w:r w:rsidR="000655BC">
        <w:rPr>
          <w:lang w:val="en"/>
        </w:rPr>
        <w:br w:type="page"/>
      </w:r>
    </w:p>
    <w:p w14:paraId="50B34DF9" w14:textId="387651EF" w:rsidR="000655BC" w:rsidRDefault="000655BC" w:rsidP="000655BC">
      <w:pPr>
        <w:pStyle w:val="NormalWeb"/>
        <w:spacing w:before="0" w:beforeAutospacing="0" w:after="160" w:afterAutospacing="0" w:line="259" w:lineRule="auto"/>
        <w:rPr>
          <w:lang w:val="en"/>
        </w:rPr>
      </w:pPr>
    </w:p>
    <w:p w14:paraId="2164501F" w14:textId="141A5B95" w:rsidR="000655BC" w:rsidRDefault="000655BC" w:rsidP="000655BC">
      <w:pPr>
        <w:pStyle w:val="NormalWeb"/>
        <w:shd w:val="clear" w:color="auto" w:fill="FFFFFF"/>
        <w:spacing w:before="0" w:beforeAutospacing="0" w:after="360" w:afterAutospacing="0"/>
        <w:rPr>
          <w:lang w:val="en"/>
        </w:rPr>
      </w:pPr>
      <w:r>
        <w:rPr>
          <w:rFonts w:ascii="Calibri Light" w:hAnsi="Calibri Light" w:cs="Calibri Light"/>
          <w:sz w:val="36"/>
          <w:szCs w:val="36"/>
          <w:shd w:val="clear" w:color="auto" w:fill="F5F5F5"/>
          <w:lang w:val="en"/>
        </w:rPr>
        <w:t xml:space="preserve">I / differentiation and compatibilization of lease </w:t>
      </w:r>
    </w:p>
    <w:p w14:paraId="20627FAB" w14:textId="043D5E83" w:rsidR="000655BC" w:rsidRDefault="000655BC" w:rsidP="000655BC">
      <w:pPr>
        <w:pStyle w:val="NormalWeb"/>
        <w:shd w:val="clear" w:color="auto" w:fill="FFFFFF"/>
        <w:spacing w:before="0" w:beforeAutospacing="0" w:after="360" w:afterAutospacing="0"/>
        <w:rPr>
          <w:lang w:val="en"/>
        </w:rPr>
      </w:pPr>
      <w:r>
        <w:rPr>
          <w:rFonts w:ascii="Calibri" w:hAnsi="Calibri" w:cs="Calibri"/>
          <w:lang w:val="en"/>
        </w:rPr>
        <w:t>Under IFRS, leases can be classified into two broad categories: operating leases and finance leases. It is the criterion of transferring substantially all the risks and rewards of the asset, from the lessor to the lessee, that will determine the classification of the lease.</w:t>
      </w:r>
    </w:p>
    <w:p w14:paraId="7DC884C1" w14:textId="57D4B584" w:rsidR="000655BC" w:rsidRDefault="000655BC" w:rsidP="000655BC">
      <w:pPr>
        <w:pStyle w:val="NormalWeb"/>
        <w:shd w:val="clear" w:color="auto" w:fill="FFFFFF"/>
        <w:spacing w:before="0" w:beforeAutospacing="0" w:after="360" w:afterAutospacing="0"/>
        <w:rPr>
          <w:lang w:val="en"/>
        </w:rPr>
      </w:pPr>
      <w:r>
        <w:rPr>
          <w:rFonts w:ascii="Calibri" w:hAnsi="Calibri" w:cs="Calibri"/>
          <w:lang w:val="en"/>
        </w:rPr>
        <w:t>There are five major criteria for determining whether there is a transfer of risks and benefits. Either the presence of transfer of ownership at the end of the lease, the presence of a bargain purchase option, the duration of the contract represents the majority of the economic life of the leased asset, the discounted value Lease payments represent the majority of the fair value of the leased asset and the asset specialization that results in a potential use only by the lessee. For the criterion containing the present value of lease payments (PVMLP), it is the implicit rate of the lease that will have to be used to calculate the PVMLP.</w:t>
      </w:r>
    </w:p>
    <w:p w14:paraId="1099E4D1" w14:textId="6933FD77" w:rsidR="000655BC" w:rsidRDefault="000655BC" w:rsidP="000655BC">
      <w:pPr>
        <w:pStyle w:val="NormalWeb"/>
        <w:shd w:val="clear" w:color="auto" w:fill="FFFFFF"/>
        <w:spacing w:before="0" w:beforeAutospacing="0" w:after="360" w:afterAutospacing="0"/>
        <w:rPr>
          <w:lang w:val="en"/>
        </w:rPr>
      </w:pPr>
      <w:r>
        <w:rPr>
          <w:rFonts w:ascii="Calibri Light" w:hAnsi="Calibri Light" w:cs="Calibri Light"/>
          <w:sz w:val="32"/>
          <w:szCs w:val="32"/>
          <w:lang w:val="en"/>
        </w:rPr>
        <w:t>The operating lease</w:t>
      </w:r>
    </w:p>
    <w:p w14:paraId="7AEBCD69" w14:textId="6D137C86" w:rsidR="000655BC" w:rsidRDefault="000655BC" w:rsidP="000655BC">
      <w:pPr>
        <w:pStyle w:val="NormalWeb"/>
        <w:shd w:val="clear" w:color="auto" w:fill="FFFFFF"/>
        <w:spacing w:before="0" w:beforeAutospacing="0" w:after="360" w:afterAutospacing="0"/>
        <w:rPr>
          <w:lang w:val="en"/>
        </w:rPr>
      </w:pPr>
      <w:r>
        <w:rPr>
          <w:rFonts w:ascii="Calibri" w:hAnsi="Calibri" w:cs="Calibri"/>
          <w:lang w:val="en"/>
        </w:rPr>
        <w:t xml:space="preserve">The accounting of this contract, whether for the lessee or the lessor, is relatively straightforward. In fact, for the lessee, lease payments made to the lessor are expensed on a straight-line basis over the term of the lease and the direct costs are either expensed at the beginning of the lease or amortized in a manner similar to lease payments. </w:t>
      </w:r>
    </w:p>
    <w:p w14:paraId="43342AC8" w14:textId="77777777" w:rsidR="000655BC" w:rsidRDefault="000655BC" w:rsidP="000655BC">
      <w:pPr>
        <w:pStyle w:val="NormalWeb"/>
        <w:shd w:val="clear" w:color="auto" w:fill="FFFFFF"/>
        <w:spacing w:before="0" w:beforeAutospacing="0" w:after="360" w:afterAutospacing="0"/>
        <w:rPr>
          <w:lang w:val="en"/>
        </w:rPr>
      </w:pPr>
      <w:r>
        <w:rPr>
          <w:rFonts w:ascii="Calibri" w:hAnsi="Calibri" w:cs="Calibri"/>
          <w:lang w:val="en"/>
        </w:rPr>
        <w:t>The lessor must recognize the lease payments received from the lessee on a straight-line basis over the term of the lease. Direct costs must be capitalized to the leased assets and expensed over the term of the lease.</w:t>
      </w:r>
    </w:p>
    <w:p w14:paraId="435A1B64" w14:textId="77777777" w:rsidR="000655BC" w:rsidRDefault="000655BC" w:rsidP="000655BC">
      <w:pPr>
        <w:pStyle w:val="NormalWeb"/>
        <w:shd w:val="clear" w:color="auto" w:fill="FFFFFF"/>
        <w:spacing w:before="0" w:beforeAutospacing="0" w:after="360" w:afterAutospacing="0"/>
        <w:rPr>
          <w:lang w:val="en"/>
        </w:rPr>
      </w:pPr>
      <w:r>
        <w:rPr>
          <w:rFonts w:ascii="Calibri Light" w:hAnsi="Calibri Light" w:cs="Calibri Light"/>
          <w:sz w:val="32"/>
          <w:szCs w:val="32"/>
          <w:lang w:val="en"/>
        </w:rPr>
        <w:t>The finance leases</w:t>
      </w:r>
    </w:p>
    <w:p w14:paraId="72D991E8" w14:textId="77777777" w:rsidR="000655BC" w:rsidRDefault="000655BC" w:rsidP="000655BC">
      <w:pPr>
        <w:pStyle w:val="NormalWeb"/>
        <w:shd w:val="clear" w:color="auto" w:fill="FFFFFF"/>
        <w:spacing w:before="0" w:beforeAutospacing="0" w:after="360" w:afterAutospacing="0"/>
        <w:rPr>
          <w:lang w:val="en"/>
        </w:rPr>
      </w:pPr>
      <w:r>
        <w:rPr>
          <w:rFonts w:ascii="Calibri" w:hAnsi="Calibri" w:cs="Calibri"/>
          <w:lang w:val="en"/>
        </w:rPr>
        <w:t>Accounting for a contract classified as a finance lease is significantly more complex than the operating lease. First, in the first year, the lessee must recognize the leased asset at the lower of the fair value and the present value of the lease payments. Initial costs must be capitalized to the amount of the assets. Secondly, the lessee must recognize a lease obligation of an amount equivalent to the leased asset, which is the asset previously recognized. Finally, in subsequent years, one should not forget to account for bond interest and depreciation on the leased asset that will be included in the statement of operations.</w:t>
      </w:r>
    </w:p>
    <w:p w14:paraId="1FBF7588" w14:textId="59A8C653" w:rsidR="000655BC" w:rsidRDefault="00531F63" w:rsidP="000655BC">
      <w:pPr>
        <w:pStyle w:val="NormalWeb"/>
        <w:shd w:val="clear" w:color="auto" w:fill="FFFFFF"/>
        <w:spacing w:before="0" w:beforeAutospacing="0" w:after="360" w:afterAutospacing="0"/>
        <w:rPr>
          <w:lang w:val="en"/>
        </w:rPr>
      </w:pPr>
      <w:r w:rsidRPr="00531F63">
        <w:rPr>
          <w:rFonts w:ascii="Verdana" w:hAnsi="Verdana"/>
          <w:b/>
          <w:i/>
          <w:noProof/>
          <w:sz w:val="44"/>
        </w:rPr>
        <mc:AlternateContent>
          <mc:Choice Requires="wps">
            <w:drawing>
              <wp:anchor distT="45720" distB="45720" distL="114300" distR="114300" simplePos="0" relativeHeight="251661312" behindDoc="0" locked="0" layoutInCell="1" allowOverlap="1" wp14:anchorId="3ACD4D46" wp14:editId="7C1AF97C">
                <wp:simplePos x="0" y="0"/>
                <wp:positionH relativeFrom="column">
                  <wp:align>right</wp:align>
                </wp:positionH>
                <wp:positionV relativeFrom="page">
                  <wp:posOffset>10081260</wp:posOffset>
                </wp:positionV>
                <wp:extent cx="255600" cy="266400"/>
                <wp:effectExtent l="0" t="0" r="11430" b="1968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600" cy="266400"/>
                        </a:xfrm>
                        <a:prstGeom prst="rect">
                          <a:avLst/>
                        </a:prstGeom>
                        <a:solidFill>
                          <a:srgbClr val="FFFFFF"/>
                        </a:solidFill>
                        <a:ln w="9525">
                          <a:solidFill>
                            <a:srgbClr val="000000"/>
                          </a:solidFill>
                          <a:miter lim="800000"/>
                          <a:headEnd/>
                          <a:tailEnd/>
                        </a:ln>
                      </wps:spPr>
                      <wps:txbx>
                        <w:txbxContent>
                          <w:p w14:paraId="694733A6" w14:textId="7817B8CA" w:rsidR="00531F63" w:rsidRDefault="00531F63" w:rsidP="00531F63">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CD4D46" id="_x0000_s1027" type="#_x0000_t202" style="position:absolute;margin-left:-31.05pt;margin-top:793.8pt;width:20.15pt;height:21pt;z-index:251661312;visibility:visible;mso-wrap-style:square;mso-width-percent:0;mso-height-percent:0;mso-wrap-distance-left:9pt;mso-wrap-distance-top:3.6pt;mso-wrap-distance-right:9pt;mso-wrap-distance-bottom:3.6pt;mso-position-horizontal:right;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">
                <v:textbox>
                  <w:txbxContent>
                    <w:p w14:paraId="694733A6" w14:textId="7817B8CA" w:rsidR="00531F63" w:rsidRDefault="00531F63" w:rsidP="00531F63">
                      <w:r>
                        <w:t>2</w:t>
                      </w:r>
                    </w:p>
                  </w:txbxContent>
                </v:textbox>
                <w10:wrap type="square" anchory="page"/>
              </v:shape>
            </w:pict>
          </mc:Fallback>
        </mc:AlternateContent>
      </w:r>
      <w:r w:rsidR="000655BC">
        <w:rPr>
          <w:rFonts w:ascii="Calibri" w:hAnsi="Calibri" w:cs="Calibri"/>
          <w:lang w:val="en"/>
        </w:rPr>
        <w:t>The accounting for the financial intermediary landlord: He will first, in the year of acquisition, count the total rent and the financial products it expects to receive over the term of the lease and the sale of active to the lessee. In subsequent years, he will have to recognize the rental income and financial income received. The direct costs associated with the contract will have to be deducted from the PVMLP.  </w:t>
      </w:r>
    </w:p>
    <w:p w14:paraId="0F0CACD0" w14:textId="407DF8E6" w:rsidR="000655BC" w:rsidRDefault="000655BC" w:rsidP="000655BC">
      <w:pPr>
        <w:pStyle w:val="NormalWeb"/>
        <w:shd w:val="clear" w:color="auto" w:fill="FFFFFF"/>
        <w:spacing w:before="0" w:beforeAutospacing="0" w:after="360" w:afterAutospacing="0"/>
        <w:rPr>
          <w:lang w:val="en"/>
        </w:rPr>
      </w:pPr>
      <w:r>
        <w:rPr>
          <w:rFonts w:ascii="Calibri Light" w:hAnsi="Calibri Light" w:cs="Calibri Light"/>
          <w:sz w:val="32"/>
          <w:szCs w:val="32"/>
          <w:lang w:val="en"/>
        </w:rPr>
        <w:lastRenderedPageBreak/>
        <w:t>Main changes to the standard</w:t>
      </w:r>
    </w:p>
    <w:p w14:paraId="744E6932" w14:textId="77777777" w:rsidR="000655BC" w:rsidRDefault="000655BC" w:rsidP="000655BC">
      <w:pPr>
        <w:pStyle w:val="NormalWeb"/>
        <w:shd w:val="clear" w:color="auto" w:fill="FFFFFF"/>
        <w:spacing w:before="0" w:beforeAutospacing="0" w:after="360" w:afterAutospacing="0"/>
        <w:rPr>
          <w:lang w:val="en"/>
        </w:rPr>
      </w:pPr>
      <w:r>
        <w:rPr>
          <w:rFonts w:ascii="Calibri" w:hAnsi="Calibri" w:cs="Calibri"/>
          <w:lang w:val="en"/>
        </w:rPr>
        <w:t>As the standard update is relatively important, there are many changes to key aspects of the current standard. Some changes are general while others specifically affect the lessee or lessor.</w:t>
      </w:r>
    </w:p>
    <w:p w14:paraId="7F26A7DC" w14:textId="77777777" w:rsidR="000655BC" w:rsidRDefault="000655BC" w:rsidP="000655BC">
      <w:pPr>
        <w:pStyle w:val="NormalWeb"/>
        <w:shd w:val="clear" w:color="auto" w:fill="FFFFFF"/>
        <w:spacing w:before="0" w:beforeAutospacing="0" w:after="360" w:afterAutospacing="0"/>
        <w:rPr>
          <w:lang w:val="en"/>
        </w:rPr>
      </w:pPr>
      <w:r>
        <w:rPr>
          <w:rFonts w:ascii="Calibri" w:hAnsi="Calibri" w:cs="Calibri"/>
          <w:lang w:val="en"/>
        </w:rPr>
        <w:t>T out first, names lease and finance lease no longer exist. In effect, the contracts will now be classified as Type A Lease, Type B Lease and Short-Term Leases. Following the initial ranking of the contracts, the company cannot change the categorization of the contract. The entity will now have to determine whether the execution of the lease depends on the use of a particular asset and whether the contract gives control over an asset over a period of time in exchange for consideration.</w:t>
      </w:r>
    </w:p>
    <w:p w14:paraId="09029724" w14:textId="77777777" w:rsidR="000655BC" w:rsidRDefault="000655BC" w:rsidP="000655BC">
      <w:pPr>
        <w:pStyle w:val="NormalWeb"/>
        <w:shd w:val="clear" w:color="auto" w:fill="FFFFFF"/>
        <w:spacing w:before="0" w:beforeAutospacing="0" w:after="360" w:afterAutospacing="0"/>
        <w:rPr>
          <w:lang w:val="en"/>
        </w:rPr>
      </w:pPr>
      <w:r>
        <w:rPr>
          <w:rFonts w:ascii="Calibri" w:hAnsi="Calibri" w:cs="Calibri"/>
          <w:lang w:val="en"/>
        </w:rPr>
        <w:t>In terms of changes specifically affecting the lessee, he will have to recognize the leased asset for all types of contracts, with the exception of short-term leases.</w:t>
      </w:r>
    </w:p>
    <w:p w14:paraId="436CE910" w14:textId="49D34258" w:rsidR="000655BC" w:rsidRDefault="000655BC" w:rsidP="000655BC">
      <w:pPr>
        <w:pStyle w:val="NormalWeb"/>
        <w:shd w:val="clear" w:color="auto" w:fill="FFFFFF"/>
        <w:spacing w:before="0" w:beforeAutospacing="0" w:after="360" w:afterAutospacing="0"/>
        <w:rPr>
          <w:rFonts w:ascii="Calibri" w:hAnsi="Calibri" w:cs="Calibri"/>
          <w:lang w:val="en"/>
        </w:rPr>
      </w:pPr>
      <w:r>
        <w:rPr>
          <w:rFonts w:ascii="Calibri" w:hAnsi="Calibri" w:cs="Calibri"/>
          <w:lang w:val="en"/>
        </w:rPr>
        <w:t>On the side of the lessor, it must obligatorily derecognize the asset for type A contracts only. Revenue recognition will vary by rank. Revenue from both types of contracts will have to be accounted for using the amortized cost method.</w:t>
      </w:r>
    </w:p>
    <w:p w14:paraId="48A518A3" w14:textId="4ED3F679" w:rsidR="000655BC" w:rsidRDefault="00531F63">
      <w:pPr>
        <w:autoSpaceDE/>
        <w:autoSpaceDN/>
        <w:adjustRightInd/>
        <w:spacing w:after="160" w:line="259" w:lineRule="auto"/>
        <w:rPr>
          <w:rFonts w:eastAsia="Times New Roman"/>
          <w:sz w:val="24"/>
          <w:szCs w:val="24"/>
          <w:lang w:val="en"/>
        </w:rPr>
      </w:pPr>
      <w:r w:rsidRPr="00531F63">
        <w:rPr>
          <w:rFonts w:ascii="Verdana" w:hAnsi="Verdana"/>
          <w:b/>
          <w:i/>
          <w:noProof/>
          <w:sz w:val="44"/>
        </w:rPr>
        <mc:AlternateContent>
          <mc:Choice Requires="wps">
            <w:drawing>
              <wp:anchor distT="45720" distB="45720" distL="114300" distR="114300" simplePos="0" relativeHeight="251663360" behindDoc="0" locked="0" layoutInCell="1" allowOverlap="1" wp14:anchorId="34A35C1F" wp14:editId="2706985F">
                <wp:simplePos x="0" y="0"/>
                <wp:positionH relativeFrom="column">
                  <wp:align>right</wp:align>
                </wp:positionH>
                <wp:positionV relativeFrom="page">
                  <wp:posOffset>10081260</wp:posOffset>
                </wp:positionV>
                <wp:extent cx="255600" cy="266400"/>
                <wp:effectExtent l="0" t="0" r="11430" b="1968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600" cy="266400"/>
                        </a:xfrm>
                        <a:prstGeom prst="rect">
                          <a:avLst/>
                        </a:prstGeom>
                        <a:solidFill>
                          <a:srgbClr val="FFFFFF"/>
                        </a:solidFill>
                        <a:ln w="9525">
                          <a:solidFill>
                            <a:srgbClr val="000000"/>
                          </a:solidFill>
                          <a:miter lim="800000"/>
                          <a:headEnd/>
                          <a:tailEnd/>
                        </a:ln>
                      </wps:spPr>
                      <wps:txbx>
                        <w:txbxContent>
                          <w:p w14:paraId="06F0BD3A" w14:textId="45826416" w:rsidR="00531F63" w:rsidRDefault="00531F63" w:rsidP="00531F63">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A35C1F" id="_x0000_s1028" type="#_x0000_t202" style="position:absolute;margin-left:-31.05pt;margin-top:793.8pt;width:20.15pt;height:21pt;z-index:251663360;visibility:visible;mso-wrap-style:square;mso-width-percent:0;mso-height-percent:0;mso-wrap-distance-left:9pt;mso-wrap-distance-top:3.6pt;mso-wrap-distance-right:9pt;mso-wrap-distance-bottom:3.6pt;mso-position-horizontal:right;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">
                <v:textbox>
                  <w:txbxContent>
                    <w:p w14:paraId="06F0BD3A" w14:textId="45826416" w:rsidR="00531F63" w:rsidRDefault="00531F63" w:rsidP="00531F63">
                      <w:r>
                        <w:t>3</w:t>
                      </w:r>
                    </w:p>
                  </w:txbxContent>
                </v:textbox>
                <w10:wrap type="square" anchory="page"/>
              </v:shape>
            </w:pict>
          </mc:Fallback>
        </mc:AlternateContent>
      </w:r>
      <w:r w:rsidR="000655BC">
        <w:rPr>
          <w:lang w:val="en"/>
        </w:rPr>
        <w:br w:type="page"/>
      </w:r>
    </w:p>
    <w:p w14:paraId="4435F25D" w14:textId="77777777" w:rsidR="000655BC" w:rsidRDefault="000655BC" w:rsidP="000655BC">
      <w:pPr>
        <w:pStyle w:val="NormalWeb"/>
        <w:shd w:val="clear" w:color="auto" w:fill="FFFFFF"/>
        <w:spacing w:before="0" w:beforeAutospacing="0" w:after="360" w:afterAutospacing="0"/>
        <w:rPr>
          <w:lang w:val="en"/>
        </w:rPr>
      </w:pPr>
      <w:r>
        <w:rPr>
          <w:rFonts w:ascii="Calibri Light" w:hAnsi="Calibri Light" w:cs="Calibri Light"/>
          <w:sz w:val="36"/>
          <w:szCs w:val="36"/>
          <w:shd w:val="clear" w:color="auto" w:fill="F5F5F5"/>
          <w:lang w:val="en"/>
        </w:rPr>
        <w:lastRenderedPageBreak/>
        <w:t xml:space="preserve">II / accounting standard and conceptual framework </w:t>
      </w:r>
    </w:p>
    <w:p w14:paraId="649FB4AC" w14:textId="77777777" w:rsidR="000655BC" w:rsidRDefault="000655BC" w:rsidP="000655BC">
      <w:pPr>
        <w:pStyle w:val="NormalWeb"/>
        <w:spacing w:before="0" w:beforeAutospacing="0" w:after="225" w:afterAutospacing="0"/>
        <w:rPr>
          <w:lang w:val="en"/>
        </w:rPr>
      </w:pPr>
      <w:r>
        <w:rPr>
          <w:rFonts w:ascii="Calibri" w:hAnsi="Calibri" w:cs="Calibri"/>
          <w:lang w:val="en"/>
        </w:rPr>
        <w:t xml:space="preserve">The conceptual framework is a set of objectives, fundamental concepts and elements that maintain links of coherence and complementarity between them. This is an environment organized, relevant, coherent and stable which are set out the objectives of state financiers, principles accounting, the definitions and measures necessary to their preparation and their presentation in order to achieve the objectives set. </w:t>
      </w:r>
    </w:p>
    <w:p w14:paraId="5DE310FC" w14:textId="77777777" w:rsidR="000655BC" w:rsidRDefault="000655BC" w:rsidP="000655BC">
      <w:pPr>
        <w:pStyle w:val="NormalWeb"/>
        <w:spacing w:before="0" w:beforeAutospacing="0" w:after="225" w:afterAutospacing="0"/>
        <w:rPr>
          <w:lang w:val="en"/>
        </w:rPr>
      </w:pPr>
      <w:r>
        <w:rPr>
          <w:rFonts w:ascii="Calibri" w:hAnsi="Calibri" w:cs="Calibri"/>
          <w:lang w:val="en"/>
        </w:rPr>
        <w:t xml:space="preserve">In clear, the framework concept is the structure reference theory which serves to support and guide the development of standards accounting. </w:t>
      </w:r>
    </w:p>
    <w:p w14:paraId="6B0F7FF7" w14:textId="77777777" w:rsidR="000655BC" w:rsidRDefault="000655BC" w:rsidP="000655BC">
      <w:pPr>
        <w:pStyle w:val="NormalWeb"/>
        <w:spacing w:before="0" w:beforeAutospacing="0" w:after="225" w:afterAutospacing="0"/>
        <w:rPr>
          <w:lang w:val="en"/>
        </w:rPr>
      </w:pPr>
      <w:r>
        <w:rPr>
          <w:rFonts w:ascii="Calibri" w:hAnsi="Calibri" w:cs="Calibri"/>
          <w:lang w:val="en"/>
        </w:rPr>
        <w:t xml:space="preserve">While a standard book is a text which seeks to define the meaning of the concepts fundamental to the accounts and indicate the manner in which it is appropriate for them to take to treat properly a transaction on the plane book. </w:t>
      </w:r>
    </w:p>
    <w:p w14:paraId="4CAD2090" w14:textId="77777777" w:rsidR="000655BC" w:rsidRDefault="000655BC" w:rsidP="000655BC">
      <w:pPr>
        <w:pStyle w:val="NormalWeb"/>
        <w:spacing w:before="0" w:beforeAutospacing="0" w:after="225" w:afterAutospacing="0"/>
        <w:rPr>
          <w:lang w:val="en"/>
        </w:rPr>
      </w:pPr>
      <w:r>
        <w:rPr>
          <w:rFonts w:ascii="Calibri" w:hAnsi="Calibri" w:cs="Calibri"/>
          <w:lang w:val="en"/>
        </w:rPr>
        <w:t xml:space="preserve">All accounting standards have three components: </w:t>
      </w:r>
    </w:p>
    <w:p w14:paraId="28C71BA4" w14:textId="77777777" w:rsidR="000655BC" w:rsidRDefault="000655BC" w:rsidP="000655BC">
      <w:pPr>
        <w:pStyle w:val="NormalWeb"/>
        <w:spacing w:before="0" w:beforeAutospacing="0" w:after="225" w:afterAutospacing="0"/>
        <w:rPr>
          <w:lang w:val="en"/>
        </w:rPr>
      </w:pPr>
      <w:r>
        <w:rPr>
          <w:rFonts w:ascii="Calibri" w:hAnsi="Calibri" w:cs="Calibri"/>
          <w:lang w:val="en"/>
        </w:rPr>
        <w:t xml:space="preserve">· The operations that it recognizes and is recognized in the balance sheet and account for results; </w:t>
      </w:r>
    </w:p>
    <w:p w14:paraId="797C288F" w14:textId="77777777" w:rsidR="000655BC" w:rsidRDefault="000655BC" w:rsidP="000655BC">
      <w:pPr>
        <w:pStyle w:val="NormalWeb"/>
        <w:spacing w:before="0" w:beforeAutospacing="0" w:after="225" w:afterAutospacing="0"/>
        <w:rPr>
          <w:lang w:val="en"/>
        </w:rPr>
      </w:pPr>
      <w:r>
        <w:rPr>
          <w:rFonts w:ascii="Calibri" w:hAnsi="Calibri" w:cs="Calibri"/>
          <w:lang w:val="en"/>
        </w:rPr>
        <w:t xml:space="preserve">· The way in which -on assess or measure the assets and liabilities; </w:t>
      </w:r>
    </w:p>
    <w:p w14:paraId="2B2CE8D1" w14:textId="77777777" w:rsidR="000655BC" w:rsidRDefault="000655BC" w:rsidP="000655BC">
      <w:pPr>
        <w:pStyle w:val="NormalWeb"/>
        <w:spacing w:before="0" w:beforeAutospacing="0" w:after="225" w:afterAutospacing="0"/>
        <w:rPr>
          <w:lang w:val="en"/>
        </w:rPr>
      </w:pPr>
      <w:r>
        <w:rPr>
          <w:rFonts w:ascii="Calibri" w:hAnsi="Calibri" w:cs="Calibri"/>
          <w:lang w:val="en"/>
        </w:rPr>
        <w:t xml:space="preserve">· The information complementary who are given to explain the accounts. </w:t>
      </w:r>
    </w:p>
    <w:p w14:paraId="74EC5EEF" w14:textId="77777777" w:rsidR="000655BC" w:rsidRDefault="000655BC" w:rsidP="000655BC">
      <w:pPr>
        <w:pStyle w:val="NormalWeb"/>
        <w:spacing w:before="0" w:beforeAutospacing="0" w:after="225" w:afterAutospacing="0"/>
        <w:rPr>
          <w:lang w:val="en"/>
        </w:rPr>
      </w:pPr>
      <w:r>
        <w:rPr>
          <w:rFonts w:ascii="Calibri" w:hAnsi="Calibri" w:cs="Calibri"/>
          <w:lang w:val="en"/>
        </w:rPr>
        <w:t xml:space="preserve">Normalization accountant is to edit the methods, conventions, rules, principles common likely to prevail in any organization and necessary for the presentation of information financial. It must be: </w:t>
      </w:r>
    </w:p>
    <w:p w14:paraId="2B02DBD4" w14:textId="77777777" w:rsidR="000655BC" w:rsidRDefault="000655BC" w:rsidP="000655BC">
      <w:pPr>
        <w:pStyle w:val="NormalWeb"/>
        <w:spacing w:before="0" w:beforeAutospacing="0" w:after="225" w:afterAutospacing="0"/>
        <w:rPr>
          <w:lang w:val="en"/>
        </w:rPr>
      </w:pPr>
      <w:r>
        <w:rPr>
          <w:rFonts w:ascii="Calibri" w:hAnsi="Calibri" w:cs="Calibri"/>
          <w:lang w:val="en"/>
        </w:rPr>
        <w:t xml:space="preserve">· Be known to all the parties involved </w:t>
      </w:r>
    </w:p>
    <w:p w14:paraId="27B82829" w14:textId="77777777" w:rsidR="000655BC" w:rsidRDefault="000655BC" w:rsidP="000655BC">
      <w:pPr>
        <w:pStyle w:val="NormalWeb"/>
        <w:spacing w:before="0" w:beforeAutospacing="0" w:after="225" w:afterAutospacing="0"/>
        <w:rPr>
          <w:lang w:val="en"/>
        </w:rPr>
      </w:pPr>
      <w:r>
        <w:rPr>
          <w:rFonts w:ascii="Calibri" w:hAnsi="Calibri" w:cs="Calibri"/>
          <w:lang w:val="en"/>
        </w:rPr>
        <w:t xml:space="preserve">· Enable the establishment of common rules to standardize and streamline the Presentation of Accounting Information </w:t>
      </w:r>
    </w:p>
    <w:p w14:paraId="5EE9860F" w14:textId="77777777" w:rsidR="000655BC" w:rsidRDefault="000655BC" w:rsidP="000655BC">
      <w:pPr>
        <w:pStyle w:val="NormalWeb"/>
        <w:spacing w:before="0" w:beforeAutospacing="0" w:after="225" w:afterAutospacing="0"/>
        <w:rPr>
          <w:lang w:val="en"/>
        </w:rPr>
      </w:pPr>
      <w:r>
        <w:rPr>
          <w:rFonts w:ascii="Calibri" w:hAnsi="Calibri" w:cs="Calibri"/>
          <w:lang w:val="en"/>
        </w:rPr>
        <w:t xml:space="preserve">· Contribute to the harmonization of accounting practices </w:t>
      </w:r>
    </w:p>
    <w:p w14:paraId="3FC8CD22" w14:textId="77777777" w:rsidR="000655BC" w:rsidRDefault="000655BC" w:rsidP="000655BC">
      <w:pPr>
        <w:pStyle w:val="NormalWeb"/>
        <w:spacing w:before="0" w:beforeAutospacing="0" w:after="225" w:afterAutospacing="0"/>
        <w:rPr>
          <w:lang w:val="en"/>
        </w:rPr>
      </w:pPr>
      <w:r>
        <w:rPr>
          <w:rFonts w:ascii="Calibri" w:hAnsi="Calibri" w:cs="Calibri"/>
          <w:lang w:val="en"/>
        </w:rPr>
        <w:t xml:space="preserve">· Promote the comparisons in time and space of data economic </w:t>
      </w:r>
    </w:p>
    <w:p w14:paraId="15726978" w14:textId="77777777" w:rsidR="000655BC" w:rsidRDefault="000655BC" w:rsidP="000655BC">
      <w:pPr>
        <w:pStyle w:val="NormalWeb"/>
        <w:spacing w:before="0" w:beforeAutospacing="0" w:after="225" w:afterAutospacing="0"/>
        <w:rPr>
          <w:lang w:val="en"/>
        </w:rPr>
      </w:pPr>
      <w:r>
        <w:rPr>
          <w:rFonts w:ascii="Calibri" w:hAnsi="Calibri" w:cs="Calibri"/>
          <w:lang w:val="en"/>
        </w:rPr>
        <w:t xml:space="preserve">· Allow a rational and serious assessment of the economic operations of the entity </w:t>
      </w:r>
    </w:p>
    <w:p w14:paraId="6144EB72" w14:textId="77777777" w:rsidR="000655BC" w:rsidRDefault="000655BC" w:rsidP="000655BC">
      <w:pPr>
        <w:pStyle w:val="NormalWeb"/>
        <w:spacing w:before="0" w:beforeAutospacing="0" w:after="160" w:afterAutospacing="0" w:line="259" w:lineRule="auto"/>
        <w:rPr>
          <w:lang w:val="en"/>
        </w:rPr>
      </w:pPr>
      <w:r>
        <w:rPr>
          <w:rFonts w:ascii="Calibri" w:hAnsi="Calibri" w:cs="Calibri"/>
          <w:lang w:val="en"/>
        </w:rPr>
        <w:t> </w:t>
      </w:r>
    </w:p>
    <w:bookmarkStart w:id="1" w:name="s1"/>
    <w:bookmarkEnd w:id="1"/>
    <w:p w14:paraId="561C5B01" w14:textId="5FCBC6AF" w:rsidR="000655BC" w:rsidRDefault="00531F63">
      <w:pPr>
        <w:autoSpaceDE/>
        <w:autoSpaceDN/>
        <w:adjustRightInd/>
        <w:spacing w:after="160" w:line="259" w:lineRule="auto"/>
        <w:rPr>
          <w:rFonts w:ascii="Calibri Light" w:eastAsia="Times New Roman" w:hAnsi="Calibri Light" w:cs="Calibri Light"/>
          <w:sz w:val="36"/>
          <w:szCs w:val="36"/>
          <w:shd w:val="clear" w:color="auto" w:fill="F5F5F5"/>
          <w:lang w:val="en"/>
        </w:rPr>
      </w:pPr>
      <w:r w:rsidRPr="00531F63">
        <w:rPr>
          <w:rFonts w:ascii="Verdana" w:hAnsi="Verdana"/>
          <w:b/>
          <w:i/>
          <w:noProof/>
          <w:sz w:val="44"/>
        </w:rPr>
        <mc:AlternateContent>
          <mc:Choice Requires="wps">
            <w:drawing>
              <wp:anchor distT="45720" distB="45720" distL="114300" distR="114300" simplePos="0" relativeHeight="251665408" behindDoc="0" locked="0" layoutInCell="1" allowOverlap="1" wp14:anchorId="2792011E" wp14:editId="5ABC1F88">
                <wp:simplePos x="0" y="0"/>
                <wp:positionH relativeFrom="column">
                  <wp:align>right</wp:align>
                </wp:positionH>
                <wp:positionV relativeFrom="page">
                  <wp:posOffset>10081260</wp:posOffset>
                </wp:positionV>
                <wp:extent cx="255600" cy="266400"/>
                <wp:effectExtent l="0" t="0" r="11430" b="1968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600" cy="266400"/>
                        </a:xfrm>
                        <a:prstGeom prst="rect">
                          <a:avLst/>
                        </a:prstGeom>
                        <a:solidFill>
                          <a:srgbClr val="FFFFFF"/>
                        </a:solidFill>
                        <a:ln w="9525">
                          <a:solidFill>
                            <a:srgbClr val="000000"/>
                          </a:solidFill>
                          <a:miter lim="800000"/>
                          <a:headEnd/>
                          <a:tailEnd/>
                        </a:ln>
                      </wps:spPr>
                      <wps:txbx>
                        <w:txbxContent>
                          <w:p w14:paraId="191C7CA9" w14:textId="62A92F3B" w:rsidR="00531F63" w:rsidRDefault="00531F63" w:rsidP="00531F63">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92011E" id="_x0000_s1029" type="#_x0000_t202" style="position:absolute;margin-left:-31.05pt;margin-top:793.8pt;width:20.15pt;height:21pt;z-index:251665408;visibility:visible;mso-wrap-style:square;mso-width-percent:0;mso-height-percent:0;mso-wrap-distance-left:9pt;mso-wrap-distance-top:3.6pt;mso-wrap-distance-right:9pt;mso-wrap-distance-bottom:3.6pt;mso-position-horizontal:right;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">
                <v:textbox>
                  <w:txbxContent>
                    <w:p w14:paraId="191C7CA9" w14:textId="62A92F3B" w:rsidR="00531F63" w:rsidRDefault="00531F63" w:rsidP="00531F63">
                      <w:r>
                        <w:t>4</w:t>
                      </w:r>
                    </w:p>
                  </w:txbxContent>
                </v:textbox>
                <w10:wrap type="square" anchory="page"/>
              </v:shape>
            </w:pict>
          </mc:Fallback>
        </mc:AlternateContent>
      </w:r>
      <w:r w:rsidR="000655BC">
        <w:rPr>
          <w:rFonts w:ascii="Calibri Light" w:hAnsi="Calibri Light" w:cs="Calibri Light"/>
          <w:sz w:val="36"/>
          <w:szCs w:val="36"/>
          <w:shd w:val="clear" w:color="auto" w:fill="F5F5F5"/>
          <w:lang w:val="en"/>
        </w:rPr>
        <w:br w:type="page"/>
      </w:r>
    </w:p>
    <w:p w14:paraId="2C095FDD" w14:textId="00AF09EC" w:rsidR="000655BC" w:rsidRDefault="000655BC" w:rsidP="000655BC">
      <w:pPr>
        <w:pStyle w:val="NormalWeb"/>
        <w:shd w:val="clear" w:color="auto" w:fill="FFFFFF"/>
        <w:spacing w:before="0" w:beforeAutospacing="0" w:after="360" w:afterAutospacing="0"/>
        <w:rPr>
          <w:lang w:val="en"/>
        </w:rPr>
      </w:pPr>
      <w:r>
        <w:rPr>
          <w:rFonts w:ascii="Calibri Light" w:hAnsi="Calibri Light" w:cs="Calibri Light"/>
          <w:sz w:val="36"/>
          <w:szCs w:val="36"/>
          <w:shd w:val="clear" w:color="auto" w:fill="F5F5F5"/>
          <w:lang w:val="en"/>
        </w:rPr>
        <w:lastRenderedPageBreak/>
        <w:t>III / new accounting treatment</w:t>
      </w:r>
    </w:p>
    <w:p w14:paraId="7EAF66E4" w14:textId="77777777" w:rsidR="000655BC" w:rsidRDefault="000655BC" w:rsidP="000655BC">
      <w:pPr>
        <w:pStyle w:val="NormalWeb"/>
        <w:shd w:val="clear" w:color="auto" w:fill="FFFFFF"/>
        <w:spacing w:before="0" w:beforeAutospacing="0" w:after="360" w:afterAutospacing="0"/>
        <w:rPr>
          <w:lang w:val="en"/>
        </w:rPr>
      </w:pPr>
      <w:r>
        <w:rPr>
          <w:rFonts w:ascii="Calibri Light" w:hAnsi="Calibri Light" w:cs="Calibri Light"/>
          <w:sz w:val="32"/>
          <w:szCs w:val="32"/>
          <w:lang w:val="en"/>
        </w:rPr>
        <w:t>A revolution for takers</w:t>
      </w:r>
    </w:p>
    <w:p w14:paraId="2A0B2F37" w14:textId="77777777" w:rsidR="000655BC" w:rsidRDefault="000655BC" w:rsidP="000655BC">
      <w:pPr>
        <w:pStyle w:val="NormalWeb"/>
        <w:spacing w:before="0" w:beforeAutospacing="0" w:after="150" w:afterAutospacing="0"/>
        <w:rPr>
          <w:lang w:val="en"/>
        </w:rPr>
      </w:pPr>
      <w:r>
        <w:rPr>
          <w:rFonts w:ascii="Calibri" w:hAnsi="Calibri" w:cs="Calibri"/>
          <w:lang w:val="en"/>
        </w:rPr>
        <w:t>IFRS 16 requires the lessee to recognize in the balance sheet all leases, the latter being at the origin: </w:t>
      </w:r>
    </w:p>
    <w:p w14:paraId="0A1F2A86" w14:textId="77777777" w:rsidR="000655BC" w:rsidRDefault="000655BC" w:rsidP="000655BC">
      <w:pPr>
        <w:pStyle w:val="NormalWeb"/>
        <w:spacing w:before="30" w:beforeAutospacing="0" w:after="0" w:afterAutospacing="0"/>
        <w:rPr>
          <w:lang w:val="en"/>
        </w:rPr>
      </w:pPr>
      <w:r>
        <w:rPr>
          <w:rFonts w:ascii="Calibri" w:hAnsi="Calibri" w:cs="Calibri"/>
          <w:lang w:val="en"/>
        </w:rPr>
        <w:t>- a right of use on the leased asset, recognized as an asset in fixed assets;</w:t>
      </w:r>
    </w:p>
    <w:p w14:paraId="68AF0C7A" w14:textId="77777777" w:rsidR="000655BC" w:rsidRDefault="000655BC" w:rsidP="000655BC">
      <w:pPr>
        <w:pStyle w:val="NormalWeb"/>
        <w:spacing w:before="30" w:beforeAutospacing="0" w:after="0" w:afterAutospacing="0"/>
        <w:rPr>
          <w:lang w:val="en"/>
        </w:rPr>
      </w:pPr>
      <w:r>
        <w:rPr>
          <w:rFonts w:ascii="Calibri" w:hAnsi="Calibri" w:cs="Calibri"/>
          <w:lang w:val="en"/>
        </w:rPr>
        <w:t>- a liability for rent and other payments to be made during the term of the lease.</w:t>
      </w:r>
    </w:p>
    <w:p w14:paraId="1E7E8E32" w14:textId="77777777" w:rsidR="000655BC" w:rsidRDefault="000655BC" w:rsidP="000655BC">
      <w:pPr>
        <w:pStyle w:val="NormalWeb"/>
        <w:spacing w:before="0" w:beforeAutospacing="0" w:after="150" w:afterAutospacing="0"/>
        <w:rPr>
          <w:lang w:val="en"/>
        </w:rPr>
      </w:pPr>
      <w:r>
        <w:rPr>
          <w:rFonts w:ascii="Calibri" w:hAnsi="Calibri" w:cs="Calibri"/>
          <w:lang w:val="en"/>
        </w:rPr>
        <w:t>As a result, for lessees, the distinction between simple rentals and finance leases disappears. Regardless of the characteristics of the contract for the lessee, it will be reflected on its balance sheet in any case.</w:t>
      </w:r>
    </w:p>
    <w:p w14:paraId="7821E0E3" w14:textId="77777777" w:rsidR="000655BC" w:rsidRDefault="000655BC" w:rsidP="000655BC">
      <w:pPr>
        <w:pStyle w:val="NormalWeb"/>
        <w:shd w:val="clear" w:color="auto" w:fill="FFFFFF"/>
        <w:spacing w:before="0" w:beforeAutospacing="0" w:after="360" w:afterAutospacing="0"/>
        <w:rPr>
          <w:lang w:val="en"/>
        </w:rPr>
      </w:pPr>
      <w:bookmarkStart w:id="2" w:name="s2"/>
      <w:bookmarkEnd w:id="2"/>
      <w:r>
        <w:rPr>
          <w:rFonts w:ascii="Calibri Light" w:hAnsi="Calibri Light" w:cs="Calibri Light"/>
          <w:sz w:val="32"/>
          <w:szCs w:val="32"/>
          <w:lang w:val="en"/>
        </w:rPr>
        <w:t>The definition of the lease</w:t>
      </w:r>
    </w:p>
    <w:p w14:paraId="46BD64AB" w14:textId="77777777" w:rsidR="000655BC" w:rsidRDefault="000655BC" w:rsidP="000655BC">
      <w:pPr>
        <w:pStyle w:val="NormalWeb"/>
        <w:spacing w:before="0" w:beforeAutospacing="0" w:after="150" w:afterAutospacing="0"/>
        <w:rPr>
          <w:lang w:val="en"/>
        </w:rPr>
      </w:pPr>
      <w:r>
        <w:rPr>
          <w:rFonts w:ascii="Calibri" w:hAnsi="Calibri" w:cs="Calibri"/>
          <w:lang w:val="en"/>
        </w:rPr>
        <w:t>The new definition of rentals involves: </w:t>
      </w:r>
    </w:p>
    <w:p w14:paraId="6ACBC5DE" w14:textId="77777777" w:rsidR="000655BC" w:rsidRDefault="000655BC" w:rsidP="000655BC">
      <w:pPr>
        <w:pStyle w:val="NormalWeb"/>
        <w:spacing w:before="30" w:beforeAutospacing="0" w:after="0" w:afterAutospacing="0"/>
        <w:rPr>
          <w:lang w:val="en"/>
        </w:rPr>
      </w:pPr>
      <w:r>
        <w:rPr>
          <w:rFonts w:ascii="Calibri" w:hAnsi="Calibri" w:cs="Calibri"/>
          <w:lang w:val="en"/>
        </w:rPr>
        <w:t>- on the one hand, the presence of an identified asset;</w:t>
      </w:r>
    </w:p>
    <w:p w14:paraId="2672B602" w14:textId="77777777" w:rsidR="000655BC" w:rsidRDefault="000655BC" w:rsidP="000655BC">
      <w:pPr>
        <w:pStyle w:val="NormalWeb"/>
        <w:spacing w:before="30" w:beforeAutospacing="0" w:after="0" w:afterAutospacing="0"/>
        <w:rPr>
          <w:lang w:val="en"/>
        </w:rPr>
      </w:pPr>
      <w:r>
        <w:rPr>
          <w:rFonts w:ascii="Calibri" w:hAnsi="Calibri" w:cs="Calibri"/>
          <w:lang w:val="en"/>
        </w:rPr>
        <w:t>- on the other hand, the lessee's control of the right of use on this asset.</w:t>
      </w:r>
    </w:p>
    <w:p w14:paraId="19BD34FC" w14:textId="77777777" w:rsidR="000655BC" w:rsidRDefault="000655BC" w:rsidP="000655BC">
      <w:pPr>
        <w:pStyle w:val="NormalWeb"/>
        <w:spacing w:before="0" w:beforeAutospacing="0" w:after="150" w:afterAutospacing="0"/>
        <w:rPr>
          <w:lang w:val="en"/>
        </w:rPr>
      </w:pPr>
      <w:r>
        <w:rPr>
          <w:rFonts w:ascii="Calibri" w:hAnsi="Calibri" w:cs="Calibri"/>
          <w:lang w:val="en"/>
        </w:rPr>
        <w:t>For the asset to be identified, it must be explicitly or implicitly designated by the contract. It is also appropriate that the supplier does not have a real right of substitution on this asset, this right not having to be only formal.</w:t>
      </w:r>
    </w:p>
    <w:p w14:paraId="0AA65B40" w14:textId="77777777" w:rsidR="000655BC" w:rsidRDefault="000655BC" w:rsidP="000655BC">
      <w:pPr>
        <w:pStyle w:val="NormalWeb"/>
        <w:shd w:val="clear" w:color="auto" w:fill="FFFFFF"/>
        <w:spacing w:before="0" w:beforeAutospacing="0" w:after="360" w:afterAutospacing="0"/>
        <w:rPr>
          <w:lang w:val="en"/>
        </w:rPr>
      </w:pPr>
      <w:bookmarkStart w:id="3" w:name="s3"/>
      <w:bookmarkEnd w:id="3"/>
      <w:r>
        <w:rPr>
          <w:rFonts w:ascii="Calibri Light" w:hAnsi="Calibri Light" w:cs="Calibri Light"/>
          <w:sz w:val="32"/>
          <w:szCs w:val="32"/>
          <w:lang w:val="en"/>
        </w:rPr>
        <w:t>The assessment of the rent debt by the lessee</w:t>
      </w:r>
    </w:p>
    <w:p w14:paraId="2B076677" w14:textId="77777777" w:rsidR="000655BC" w:rsidRDefault="000655BC" w:rsidP="000655BC">
      <w:pPr>
        <w:pStyle w:val="NormalWeb"/>
        <w:spacing w:before="0" w:beforeAutospacing="0" w:after="150" w:afterAutospacing="0"/>
        <w:rPr>
          <w:lang w:val="en"/>
        </w:rPr>
      </w:pPr>
      <w:bookmarkStart w:id="4" w:name="s4"/>
      <w:bookmarkEnd w:id="4"/>
      <w:r>
        <w:rPr>
          <w:rFonts w:ascii="Calibri" w:hAnsi="Calibri" w:cs="Calibri"/>
          <w:lang w:val="en"/>
        </w:rPr>
        <w:t>Principle - The debt related to a lease, initially recognized as a liability, is equal to the discounted amount of payments remaining from the beginning of the contract to its end, these payments including fixed rents and, where applicable, the amounts due to the exercise of options, residual value guarantees, etc. </w:t>
      </w:r>
    </w:p>
    <w:p w14:paraId="55F2B041" w14:textId="77777777" w:rsidR="000655BC" w:rsidRDefault="000655BC" w:rsidP="000655BC">
      <w:pPr>
        <w:pStyle w:val="NormalWeb"/>
        <w:spacing w:before="0" w:beforeAutospacing="0" w:after="150" w:afterAutospacing="0"/>
        <w:rPr>
          <w:lang w:val="en"/>
        </w:rPr>
      </w:pPr>
      <w:r>
        <w:rPr>
          <w:rFonts w:ascii="Calibri" w:hAnsi="Calibri" w:cs="Calibri"/>
          <w:lang w:val="en"/>
        </w:rPr>
        <w:t>Discount rate - The discount rate to be used is the implicit rate of the lease when the lessee becomes aware of it. </w:t>
      </w:r>
    </w:p>
    <w:p w14:paraId="5A60A353" w14:textId="77777777" w:rsidR="000655BC" w:rsidRDefault="000655BC" w:rsidP="000655BC">
      <w:pPr>
        <w:pStyle w:val="NormalWeb"/>
        <w:spacing w:before="0" w:beforeAutospacing="0" w:after="150" w:afterAutospacing="0"/>
        <w:rPr>
          <w:lang w:val="en"/>
        </w:rPr>
      </w:pPr>
      <w:r>
        <w:rPr>
          <w:rFonts w:ascii="Calibri" w:hAnsi="Calibri" w:cs="Calibri"/>
          <w:lang w:val="en"/>
        </w:rPr>
        <w:t>Otherwise, the lessee uses its marginal debt ratio.</w:t>
      </w:r>
    </w:p>
    <w:p w14:paraId="48668EB4" w14:textId="77777777" w:rsidR="000655BC" w:rsidRDefault="000655BC" w:rsidP="000655BC">
      <w:pPr>
        <w:pStyle w:val="NormalWeb"/>
        <w:spacing w:before="0" w:beforeAutospacing="0" w:after="150" w:afterAutospacing="0"/>
        <w:rPr>
          <w:lang w:val="en"/>
        </w:rPr>
      </w:pPr>
      <w:r>
        <w:rPr>
          <w:rFonts w:ascii="Calibri" w:hAnsi="Calibri" w:cs="Calibri"/>
          <w:lang w:val="en"/>
        </w:rPr>
        <w:t>Determination of the duration of the contract - One of the difficulties in implementing the standard is the determination of the duration of the lease. </w:t>
      </w:r>
    </w:p>
    <w:p w14:paraId="217D6A48" w14:textId="77777777" w:rsidR="000655BC" w:rsidRDefault="000655BC" w:rsidP="000655BC">
      <w:pPr>
        <w:pStyle w:val="NormalWeb"/>
        <w:spacing w:before="0" w:beforeAutospacing="0" w:after="150" w:afterAutospacing="0"/>
        <w:rPr>
          <w:lang w:val="en"/>
        </w:rPr>
      </w:pPr>
      <w:r>
        <w:rPr>
          <w:rFonts w:ascii="Calibri" w:hAnsi="Calibri" w:cs="Calibri"/>
          <w:lang w:val="en"/>
        </w:rPr>
        <w:t>The factors to consider in determining whether renewal or termination options will or will not be exercised are:</w:t>
      </w:r>
    </w:p>
    <w:p w14:paraId="63630C4B" w14:textId="77777777" w:rsidR="000655BC" w:rsidRDefault="000655BC" w:rsidP="000655BC">
      <w:pPr>
        <w:pStyle w:val="NormalWeb"/>
        <w:spacing w:before="30" w:beforeAutospacing="0" w:after="0" w:afterAutospacing="0"/>
        <w:rPr>
          <w:lang w:val="en"/>
        </w:rPr>
      </w:pPr>
      <w:r>
        <w:rPr>
          <w:rFonts w:ascii="Calibri" w:hAnsi="Calibri" w:cs="Calibri"/>
          <w:lang w:val="en"/>
        </w:rPr>
        <w:t>- the financial terms of the lease during the optional periods;</w:t>
      </w:r>
    </w:p>
    <w:p w14:paraId="69DB85AA" w14:textId="77777777" w:rsidR="000655BC" w:rsidRDefault="000655BC" w:rsidP="000655BC">
      <w:pPr>
        <w:pStyle w:val="NormalWeb"/>
        <w:spacing w:before="30" w:beforeAutospacing="0" w:after="0" w:afterAutospacing="0"/>
        <w:rPr>
          <w:lang w:val="en"/>
        </w:rPr>
      </w:pPr>
      <w:r>
        <w:rPr>
          <w:rFonts w:ascii="Calibri" w:hAnsi="Calibri" w:cs="Calibri"/>
          <w:lang w:val="en"/>
        </w:rPr>
        <w:t>- the installations performed on the leased asset during the lease;</w:t>
      </w:r>
    </w:p>
    <w:p w14:paraId="25A3C498" w14:textId="77777777" w:rsidR="000655BC" w:rsidRDefault="000655BC" w:rsidP="000655BC">
      <w:pPr>
        <w:pStyle w:val="NormalWeb"/>
        <w:spacing w:before="30" w:beforeAutospacing="0" w:after="0" w:afterAutospacing="0"/>
        <w:rPr>
          <w:lang w:val="en"/>
        </w:rPr>
      </w:pPr>
      <w:r>
        <w:rPr>
          <w:rFonts w:ascii="Calibri" w:hAnsi="Calibri" w:cs="Calibri"/>
          <w:lang w:val="en"/>
        </w:rPr>
        <w:t>- costs related to the end of a lease;</w:t>
      </w:r>
    </w:p>
    <w:p w14:paraId="16B9BC09" w14:textId="64D5BEC2" w:rsidR="000655BC" w:rsidRDefault="00531F63" w:rsidP="000655BC">
      <w:pPr>
        <w:pStyle w:val="NormalWeb"/>
        <w:spacing w:before="30" w:beforeAutospacing="0" w:after="0" w:afterAutospacing="0"/>
        <w:rPr>
          <w:lang w:val="en"/>
        </w:rPr>
      </w:pPr>
      <w:r w:rsidRPr="00531F63">
        <w:rPr>
          <w:rFonts w:ascii="Verdana" w:hAnsi="Verdana"/>
          <w:b/>
          <w:i/>
          <w:noProof/>
          <w:sz w:val="44"/>
        </w:rPr>
        <mc:AlternateContent>
          <mc:Choice Requires="wps">
            <w:drawing>
              <wp:anchor distT="45720" distB="45720" distL="114300" distR="114300" simplePos="0" relativeHeight="251667456" behindDoc="0" locked="0" layoutInCell="1" allowOverlap="1" wp14:anchorId="77041082" wp14:editId="2A802BEF">
                <wp:simplePos x="0" y="0"/>
                <wp:positionH relativeFrom="column">
                  <wp:align>right</wp:align>
                </wp:positionH>
                <wp:positionV relativeFrom="page">
                  <wp:posOffset>10081260</wp:posOffset>
                </wp:positionV>
                <wp:extent cx="255600" cy="266400"/>
                <wp:effectExtent l="0" t="0" r="11430" b="1968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600" cy="266400"/>
                        </a:xfrm>
                        <a:prstGeom prst="rect">
                          <a:avLst/>
                        </a:prstGeom>
                        <a:solidFill>
                          <a:srgbClr val="FFFFFF"/>
                        </a:solidFill>
                        <a:ln w="9525">
                          <a:solidFill>
                            <a:srgbClr val="000000"/>
                          </a:solidFill>
                          <a:miter lim="800000"/>
                          <a:headEnd/>
                          <a:tailEnd/>
                        </a:ln>
                      </wps:spPr>
                      <wps:txbx>
                        <w:txbxContent>
                          <w:p w14:paraId="197F438A" w14:textId="440CD15A" w:rsidR="00531F63" w:rsidRDefault="00531F63" w:rsidP="00531F63">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041082" id="_x0000_s1030" type="#_x0000_t202" style="position:absolute;margin-left:-31.05pt;margin-top:793.8pt;width:20.15pt;height:21pt;z-index:251667456;visibility:visible;mso-wrap-style:square;mso-width-percent:0;mso-height-percent:0;mso-wrap-distance-left:9pt;mso-wrap-distance-top:3.6pt;mso-wrap-distance-right:9pt;mso-wrap-distance-bottom:3.6pt;mso-position-horizontal:right;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">
                <v:textbox>
                  <w:txbxContent>
                    <w:p w14:paraId="197F438A" w14:textId="440CD15A" w:rsidR="00531F63" w:rsidRDefault="00531F63" w:rsidP="00531F63">
                      <w:r>
                        <w:t>5</w:t>
                      </w:r>
                    </w:p>
                  </w:txbxContent>
                </v:textbox>
                <w10:wrap type="square" anchory="page"/>
              </v:shape>
            </w:pict>
          </mc:Fallback>
        </mc:AlternateContent>
      </w:r>
      <w:r w:rsidR="000655BC">
        <w:rPr>
          <w:rFonts w:ascii="Calibri" w:hAnsi="Calibri" w:cs="Calibri"/>
          <w:lang w:val="en"/>
        </w:rPr>
        <w:t>- the specificity of the leased asset for the lessee ...</w:t>
      </w:r>
    </w:p>
    <w:p w14:paraId="6E6F5D50" w14:textId="77777777" w:rsidR="000655BC" w:rsidRDefault="000655BC" w:rsidP="000655BC">
      <w:pPr>
        <w:pStyle w:val="NormalWeb"/>
        <w:spacing w:before="0" w:beforeAutospacing="0" w:after="150" w:afterAutospacing="0"/>
        <w:rPr>
          <w:lang w:val="en"/>
        </w:rPr>
      </w:pPr>
      <w:bookmarkStart w:id="5" w:name="s5"/>
      <w:bookmarkEnd w:id="5"/>
      <w:r>
        <w:rPr>
          <w:rFonts w:ascii="Calibri" w:hAnsi="Calibri" w:cs="Calibri"/>
          <w:lang w:val="en"/>
        </w:rPr>
        <w:t> </w:t>
      </w:r>
    </w:p>
    <w:p w14:paraId="415BC12C" w14:textId="77777777" w:rsidR="000655BC" w:rsidRDefault="000655BC" w:rsidP="000655BC">
      <w:pPr>
        <w:pStyle w:val="NormalWeb"/>
        <w:spacing w:before="0" w:beforeAutospacing="0" w:after="150" w:afterAutospacing="0"/>
        <w:rPr>
          <w:lang w:val="en"/>
        </w:rPr>
      </w:pPr>
      <w:r>
        <w:rPr>
          <w:rFonts w:ascii="Calibri" w:hAnsi="Calibri" w:cs="Calibri"/>
          <w:lang w:val="en"/>
        </w:rPr>
        <w:t xml:space="preserve">Interest expense - Rent debt, once measured initially, is accounted for using a technique close to amortized cost at the effective interest rate. This results in an interest charge </w:t>
      </w:r>
      <w:r>
        <w:rPr>
          <w:rFonts w:ascii="Calibri" w:hAnsi="Calibri" w:cs="Calibri"/>
          <w:lang w:val="en"/>
        </w:rPr>
        <w:lastRenderedPageBreak/>
        <w:t>corresponding to the application of the initial discount rate to the amount of the debt at the beginning of the financial year. The payments made by the lessee are deducted from the amount of the debt. </w:t>
      </w:r>
    </w:p>
    <w:p w14:paraId="780E793E" w14:textId="77777777" w:rsidR="000655BC" w:rsidRDefault="000655BC" w:rsidP="000655BC">
      <w:pPr>
        <w:pStyle w:val="NormalWeb"/>
        <w:spacing w:before="0" w:beforeAutospacing="0" w:after="150" w:afterAutospacing="0"/>
        <w:rPr>
          <w:lang w:val="en"/>
        </w:rPr>
      </w:pPr>
      <w:r>
        <w:rPr>
          <w:rFonts w:ascii="Calibri" w:hAnsi="Calibri" w:cs="Calibri"/>
          <w:lang w:val="en"/>
        </w:rPr>
        <w:t>Debt Adjustments - Since the term of a lease is dependent on estimates, these may change over the course of the lease: the resulting changes in rent debt are then matched by the right of use, and not the income statement. </w:t>
      </w:r>
    </w:p>
    <w:p w14:paraId="5E4E2B92" w14:textId="77777777" w:rsidR="000655BC" w:rsidRDefault="000655BC" w:rsidP="000655BC">
      <w:pPr>
        <w:pStyle w:val="NormalWeb"/>
        <w:shd w:val="clear" w:color="auto" w:fill="FFFFFF"/>
        <w:spacing w:before="0" w:beforeAutospacing="0" w:after="360" w:afterAutospacing="0"/>
        <w:rPr>
          <w:lang w:val="en"/>
        </w:rPr>
      </w:pPr>
      <w:bookmarkStart w:id="6" w:name="s6"/>
      <w:bookmarkEnd w:id="6"/>
      <w:r>
        <w:rPr>
          <w:rFonts w:ascii="Calibri Light" w:hAnsi="Calibri Light" w:cs="Calibri Light"/>
          <w:sz w:val="32"/>
          <w:szCs w:val="32"/>
          <w:lang w:val="en"/>
        </w:rPr>
        <w:t>The evaluation of the right of use by the lessee</w:t>
      </w:r>
    </w:p>
    <w:p w14:paraId="77EA572D" w14:textId="77777777" w:rsidR="000655BC" w:rsidRDefault="000655BC" w:rsidP="000655BC">
      <w:pPr>
        <w:pStyle w:val="NormalWeb"/>
        <w:pBdr>
          <w:bottom w:val="single" w:sz="6" w:space="8" w:color="E5E5E5"/>
        </w:pBdr>
        <w:spacing w:beforeAutospacing="0" w:afterAutospacing="0"/>
        <w:rPr>
          <w:lang w:val="en"/>
        </w:rPr>
      </w:pPr>
      <w:bookmarkStart w:id="7" w:name="s7"/>
      <w:bookmarkEnd w:id="7"/>
      <w:r>
        <w:rPr>
          <w:rFonts w:ascii="Calibri" w:hAnsi="Calibri" w:cs="Calibri"/>
          <w:lang w:val="en"/>
        </w:rPr>
        <w:t>Initial valuation of the asset</w:t>
      </w:r>
    </w:p>
    <w:p w14:paraId="741F6310" w14:textId="77777777" w:rsidR="000655BC" w:rsidRDefault="000655BC" w:rsidP="000655BC">
      <w:pPr>
        <w:pStyle w:val="NormalWeb"/>
        <w:spacing w:before="0" w:beforeAutospacing="0" w:after="150" w:afterAutospacing="0"/>
        <w:rPr>
          <w:lang w:val="en"/>
        </w:rPr>
      </w:pPr>
      <w:r>
        <w:rPr>
          <w:rFonts w:ascii="Calibri" w:hAnsi="Calibri" w:cs="Calibri"/>
          <w:lang w:val="en"/>
        </w:rPr>
        <w:t>The right of use recognized in the assets of the lessee is initially measured for the amount of debt recognized as a liability.</w:t>
      </w:r>
    </w:p>
    <w:p w14:paraId="7328579E" w14:textId="77777777" w:rsidR="000655BC" w:rsidRDefault="000655BC" w:rsidP="000655BC">
      <w:pPr>
        <w:pStyle w:val="NormalWeb"/>
        <w:spacing w:before="0" w:beforeAutospacing="0" w:after="150" w:afterAutospacing="0"/>
        <w:rPr>
          <w:lang w:val="en"/>
        </w:rPr>
      </w:pPr>
      <w:r>
        <w:rPr>
          <w:rFonts w:ascii="Calibri" w:hAnsi="Calibri" w:cs="Calibri"/>
          <w:lang w:val="en"/>
        </w:rPr>
        <w:t>Added to this amount are the payments already made by the lessee, the costs of setting up the lease and the future restoration costs.</w:t>
      </w:r>
    </w:p>
    <w:p w14:paraId="6DB63D82" w14:textId="77777777" w:rsidR="000655BC" w:rsidRDefault="000655BC" w:rsidP="000655BC">
      <w:pPr>
        <w:pStyle w:val="NormalWeb"/>
        <w:pBdr>
          <w:bottom w:val="single" w:sz="6" w:space="8" w:color="E5E5E5"/>
        </w:pBdr>
        <w:spacing w:beforeAutospacing="0" w:afterAutospacing="0"/>
        <w:rPr>
          <w:lang w:val="en"/>
        </w:rPr>
      </w:pPr>
      <w:bookmarkStart w:id="8" w:name="s8"/>
      <w:bookmarkEnd w:id="8"/>
      <w:r>
        <w:rPr>
          <w:rFonts w:ascii="Calibri" w:hAnsi="Calibri" w:cs="Calibri"/>
          <w:lang w:val="en"/>
        </w:rPr>
        <w:t>Subsequent evaluation</w:t>
      </w:r>
    </w:p>
    <w:p w14:paraId="0362A0D6" w14:textId="77777777" w:rsidR="000655BC" w:rsidRDefault="000655BC" w:rsidP="000655BC">
      <w:pPr>
        <w:pStyle w:val="NormalWeb"/>
        <w:spacing w:before="0" w:beforeAutospacing="0" w:after="150" w:afterAutospacing="0"/>
        <w:rPr>
          <w:lang w:val="en"/>
        </w:rPr>
      </w:pPr>
      <w:r>
        <w:rPr>
          <w:rFonts w:ascii="Calibri" w:hAnsi="Calibri" w:cs="Calibri"/>
          <w:lang w:val="en"/>
        </w:rPr>
        <w:t>The right of use is amortized and depreciated according to the respective provisions of IAS 16 " Property, Plant and Equipment " and IAS 36 " Impairment of Assets ".      </w:t>
      </w:r>
    </w:p>
    <w:p w14:paraId="79C0E7EA" w14:textId="77777777" w:rsidR="000655BC" w:rsidRDefault="000655BC" w:rsidP="000655BC">
      <w:pPr>
        <w:pStyle w:val="NormalWeb"/>
        <w:spacing w:before="0" w:beforeAutospacing="0" w:after="160" w:afterAutospacing="0"/>
        <w:rPr>
          <w:lang w:val="en"/>
        </w:rPr>
      </w:pPr>
      <w:r>
        <w:rPr>
          <w:rFonts w:ascii="Calibri" w:hAnsi="Calibri" w:cs="Calibri"/>
          <w:lang w:val="en"/>
        </w:rPr>
        <w:t>As regards depreciation, their duration cannot exceed that of the lease if the lessee is not called to become the owner of the underlying asset.</w:t>
      </w:r>
    </w:p>
    <w:p w14:paraId="788DE25B" w14:textId="77777777" w:rsidR="000655BC" w:rsidRDefault="000655BC" w:rsidP="000655BC">
      <w:pPr>
        <w:pStyle w:val="NormalWeb"/>
        <w:shd w:val="clear" w:color="auto" w:fill="FFFFFF"/>
        <w:spacing w:before="0" w:beforeAutospacing="0" w:after="360" w:afterAutospacing="0"/>
        <w:rPr>
          <w:lang w:val="en"/>
        </w:rPr>
      </w:pPr>
      <w:bookmarkStart w:id="9" w:name="s9"/>
      <w:bookmarkEnd w:id="9"/>
      <w:r>
        <w:rPr>
          <w:rFonts w:ascii="Calibri Light" w:hAnsi="Calibri Light" w:cs="Calibri Light"/>
          <w:sz w:val="32"/>
          <w:szCs w:val="32"/>
          <w:lang w:val="en"/>
        </w:rPr>
        <w:t xml:space="preserve">The balance sheet of the lessee </w:t>
      </w:r>
    </w:p>
    <w:p w14:paraId="7631C20E" w14:textId="77777777" w:rsidR="000655BC" w:rsidRDefault="000655BC" w:rsidP="000655BC">
      <w:pPr>
        <w:pStyle w:val="NormalWeb"/>
        <w:spacing w:before="0" w:beforeAutospacing="0" w:after="150" w:afterAutospacing="0"/>
        <w:rPr>
          <w:lang w:val="en"/>
        </w:rPr>
      </w:pPr>
      <w:r>
        <w:rPr>
          <w:rFonts w:ascii="Calibri" w:hAnsi="Calibri" w:cs="Calibri"/>
          <w:lang w:val="en"/>
        </w:rPr>
        <w:t>The right of use and the lease debt may be presented on specific items in the balance sheet, respectively on the assets and liabilities side. If this option is not used, the annex should indicate in which lines of the balance sheet the rights of use and the lease debt were included.</w:t>
      </w:r>
    </w:p>
    <w:p w14:paraId="6DEE7CCF" w14:textId="77777777" w:rsidR="000655BC" w:rsidRDefault="000655BC" w:rsidP="000655BC">
      <w:pPr>
        <w:pStyle w:val="NormalWeb"/>
        <w:shd w:val="clear" w:color="auto" w:fill="FFFFFF"/>
        <w:spacing w:before="0" w:beforeAutospacing="0" w:after="360" w:afterAutospacing="0"/>
        <w:rPr>
          <w:lang w:val="en"/>
        </w:rPr>
      </w:pPr>
      <w:bookmarkStart w:id="10" w:name="s10"/>
      <w:bookmarkEnd w:id="10"/>
      <w:r>
        <w:rPr>
          <w:rFonts w:ascii="Calibri Light" w:hAnsi="Calibri Light" w:cs="Calibri Light"/>
          <w:sz w:val="32"/>
          <w:szCs w:val="32"/>
          <w:lang w:val="en"/>
        </w:rPr>
        <w:t>Accounting by the lessor</w:t>
      </w:r>
    </w:p>
    <w:p w14:paraId="7136F66D" w14:textId="77777777" w:rsidR="000655BC" w:rsidRDefault="000655BC" w:rsidP="000655BC">
      <w:pPr>
        <w:pStyle w:val="NormalWeb"/>
        <w:spacing w:before="0" w:beforeAutospacing="0" w:after="150" w:afterAutospacing="0"/>
        <w:rPr>
          <w:lang w:val="en"/>
        </w:rPr>
      </w:pPr>
      <w:r>
        <w:rPr>
          <w:rFonts w:ascii="Calibri" w:hAnsi="Calibri" w:cs="Calibri"/>
          <w:lang w:val="en"/>
        </w:rPr>
        <w:t>On the lessor side, IFRS 16 breaks new ground - the definition of the lease and the concept of lease term are identical for the lessee and the lessor. However, the lease accounting method for the lessor is the same as that in the current IAS 17 standard.   </w:t>
      </w:r>
      <w:bookmarkStart w:id="11" w:name="s11"/>
      <w:bookmarkEnd w:id="11"/>
    </w:p>
    <w:p w14:paraId="64989CB8" w14:textId="58BD5780" w:rsidR="000655BC" w:rsidRDefault="000655BC" w:rsidP="000655BC">
      <w:pPr>
        <w:pStyle w:val="NormalWeb"/>
        <w:spacing w:before="0" w:beforeAutospacing="0" w:after="150" w:afterAutospacing="0"/>
        <w:rPr>
          <w:rFonts w:ascii="Calibri" w:hAnsi="Calibri" w:cs="Calibri"/>
          <w:lang w:val="en"/>
        </w:rPr>
      </w:pPr>
      <w:r>
        <w:rPr>
          <w:rFonts w:ascii="Calibri" w:hAnsi="Calibri" w:cs="Calibri"/>
          <w:lang w:val="en"/>
        </w:rPr>
        <w:t> </w:t>
      </w:r>
    </w:p>
    <w:p w14:paraId="72D2BA44" w14:textId="49280D4B" w:rsidR="000655BC" w:rsidRDefault="00531F63">
      <w:pPr>
        <w:autoSpaceDE/>
        <w:autoSpaceDN/>
        <w:adjustRightInd/>
        <w:spacing w:after="160" w:line="259" w:lineRule="auto"/>
        <w:rPr>
          <w:rFonts w:eastAsia="Times New Roman"/>
          <w:sz w:val="24"/>
          <w:szCs w:val="24"/>
          <w:lang w:val="en"/>
        </w:rPr>
      </w:pPr>
      <w:r w:rsidRPr="00531F63">
        <w:rPr>
          <w:rFonts w:ascii="Verdana" w:hAnsi="Verdana"/>
          <w:b/>
          <w:i/>
          <w:noProof/>
          <w:sz w:val="44"/>
        </w:rPr>
        <mc:AlternateContent>
          <mc:Choice Requires="wps">
            <w:drawing>
              <wp:anchor distT="45720" distB="45720" distL="114300" distR="114300" simplePos="0" relativeHeight="251669504" behindDoc="0" locked="0" layoutInCell="1" allowOverlap="1" wp14:anchorId="2092D362" wp14:editId="74DA94D5">
                <wp:simplePos x="0" y="0"/>
                <wp:positionH relativeFrom="column">
                  <wp:align>right</wp:align>
                </wp:positionH>
                <wp:positionV relativeFrom="page">
                  <wp:posOffset>10081260</wp:posOffset>
                </wp:positionV>
                <wp:extent cx="255600" cy="266400"/>
                <wp:effectExtent l="0" t="0" r="11430" b="1968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600" cy="266400"/>
                        </a:xfrm>
                        <a:prstGeom prst="rect">
                          <a:avLst/>
                        </a:prstGeom>
                        <a:solidFill>
                          <a:srgbClr val="FFFFFF"/>
                        </a:solidFill>
                        <a:ln w="9525">
                          <a:solidFill>
                            <a:srgbClr val="000000"/>
                          </a:solidFill>
                          <a:miter lim="800000"/>
                          <a:headEnd/>
                          <a:tailEnd/>
                        </a:ln>
                      </wps:spPr>
                      <wps:txbx>
                        <w:txbxContent>
                          <w:p w14:paraId="2A1B4D7C" w14:textId="2EAC0AB9" w:rsidR="00531F63" w:rsidRDefault="00531F63" w:rsidP="00531F63">
                            <w: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92D362" id="_x0000_s1031" type="#_x0000_t202" style="position:absolute;margin-left:-31.05pt;margin-top:793.8pt;width:20.15pt;height:21pt;z-index:251669504;visibility:visible;mso-wrap-style:square;mso-width-percent:0;mso-height-percent:0;mso-wrap-distance-left:9pt;mso-wrap-distance-top:3.6pt;mso-wrap-distance-right:9pt;mso-wrap-distance-bottom:3.6pt;mso-position-horizontal:right;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">
                <v:textbox>
                  <w:txbxContent>
                    <w:p w14:paraId="2A1B4D7C" w14:textId="2EAC0AB9" w:rsidR="00531F63" w:rsidRDefault="00531F63" w:rsidP="00531F63">
                      <w:r>
                        <w:t>6</w:t>
                      </w:r>
                    </w:p>
                  </w:txbxContent>
                </v:textbox>
                <w10:wrap type="square" anchory="page"/>
              </v:shape>
            </w:pict>
          </mc:Fallback>
        </mc:AlternateContent>
      </w:r>
      <w:r w:rsidR="000655BC">
        <w:rPr>
          <w:lang w:val="en"/>
        </w:rPr>
        <w:br w:type="page"/>
      </w:r>
    </w:p>
    <w:p w14:paraId="4DC1390D" w14:textId="77777777" w:rsidR="000655BC" w:rsidRDefault="000655BC" w:rsidP="000655BC">
      <w:pPr>
        <w:pStyle w:val="NormalWeb"/>
        <w:spacing w:before="0" w:beforeAutospacing="0" w:after="150" w:afterAutospacing="0"/>
        <w:rPr>
          <w:lang w:val="en"/>
        </w:rPr>
      </w:pPr>
      <w:r>
        <w:rPr>
          <w:rFonts w:ascii="Calibri Light" w:hAnsi="Calibri Light" w:cs="Calibri Light"/>
          <w:sz w:val="36"/>
          <w:szCs w:val="36"/>
          <w:shd w:val="clear" w:color="auto" w:fill="F5F5F5"/>
          <w:lang w:val="en"/>
        </w:rPr>
        <w:lastRenderedPageBreak/>
        <w:t>Conclusion</w:t>
      </w:r>
    </w:p>
    <w:p w14:paraId="08B68B62" w14:textId="77777777" w:rsidR="000655BC" w:rsidRDefault="000655BC" w:rsidP="000655BC">
      <w:pPr>
        <w:pStyle w:val="NormalWeb"/>
        <w:spacing w:before="0" w:beforeAutospacing="0" w:after="150" w:afterAutospacing="0"/>
        <w:rPr>
          <w:lang w:val="en"/>
        </w:rPr>
      </w:pPr>
      <w:r>
        <w:rPr>
          <w:rFonts w:ascii="Calibri" w:hAnsi="Calibri" w:cs="Calibri"/>
          <w:lang w:val="en"/>
        </w:rPr>
        <w:t>In conclusion, following its enlargement and the prospect of greater economic integration of the acceding countries, the European Union adopts the international accounting standards IAS / IFRS. These standards force European companies to rethink their entire strategy, especially in terms of financial communication and external growth. Indeed, with the harmonization of accounting practices, notably the recognition of business combinations by the sole method of acquiring or eliminating goodwill amortization, which has a very significant impact on the face of the accounts, the European Union is wants closer to the US GAAP repository.</w:t>
      </w:r>
    </w:p>
    <w:p w14:paraId="5E0DD20B" w14:textId="77777777" w:rsidR="000655BC" w:rsidRDefault="000655BC" w:rsidP="000655BC"/>
    <w:p w14:paraId="55748FB0" w14:textId="0B4E0EE6" w:rsidR="008A24C8" w:rsidRDefault="00531F63">
      <w:pPr>
        <w:autoSpaceDE/>
        <w:autoSpaceDN/>
        <w:adjustRightInd/>
        <w:spacing w:after="160" w:line="259" w:lineRule="auto"/>
        <w:rPr>
          <w:rFonts w:ascii="Verdana" w:hAnsi="Verdana"/>
          <w:b/>
          <w:caps/>
          <w:sz w:val="18"/>
          <w:szCs w:val="18"/>
        </w:rPr>
      </w:pPr>
      <w:r w:rsidRPr="00531F63">
        <w:rPr>
          <w:rFonts w:ascii="Verdana" w:hAnsi="Verdana"/>
          <w:b/>
          <w:i/>
          <w:noProof/>
          <w:sz w:val="44"/>
        </w:rPr>
        <mc:AlternateContent>
          <mc:Choice Requires="wps">
            <w:drawing>
              <wp:anchor distT="45720" distB="45720" distL="114300" distR="114300" simplePos="0" relativeHeight="251671552" behindDoc="0" locked="0" layoutInCell="1" allowOverlap="1" wp14:anchorId="4C9E4141" wp14:editId="23D60760">
                <wp:simplePos x="0" y="0"/>
                <wp:positionH relativeFrom="column">
                  <wp:align>right</wp:align>
                </wp:positionH>
                <wp:positionV relativeFrom="page">
                  <wp:posOffset>10081260</wp:posOffset>
                </wp:positionV>
                <wp:extent cx="255600" cy="266400"/>
                <wp:effectExtent l="0" t="0" r="11430" b="1968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600" cy="266400"/>
                        </a:xfrm>
                        <a:prstGeom prst="rect">
                          <a:avLst/>
                        </a:prstGeom>
                        <a:solidFill>
                          <a:srgbClr val="FFFFFF"/>
                        </a:solidFill>
                        <a:ln w="9525">
                          <a:solidFill>
                            <a:srgbClr val="000000"/>
                          </a:solidFill>
                          <a:miter lim="800000"/>
                          <a:headEnd/>
                          <a:tailEnd/>
                        </a:ln>
                      </wps:spPr>
                      <wps:txbx>
                        <w:txbxContent>
                          <w:p w14:paraId="6F3E5F55" w14:textId="48941F01" w:rsidR="00531F63" w:rsidRDefault="00531F63" w:rsidP="00531F63">
                            <w: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9E4141" id="_x0000_s1032" type="#_x0000_t202" style="position:absolute;margin-left:-31.05pt;margin-top:793.8pt;width:20.15pt;height:21pt;z-index:251671552;visibility:visible;mso-wrap-style:square;mso-width-percent:0;mso-height-percent:0;mso-wrap-distance-left:9pt;mso-wrap-distance-top:3.6pt;mso-wrap-distance-right:9pt;mso-wrap-distance-bottom:3.6pt;mso-position-horizontal:right;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">
                <v:textbox>
                  <w:txbxContent>
                    <w:p w14:paraId="6F3E5F55" w14:textId="48941F01" w:rsidR="00531F63" w:rsidRDefault="00531F63" w:rsidP="00531F63">
                      <w:r>
                        <w:t>7</w:t>
                      </w:r>
                    </w:p>
                  </w:txbxContent>
                </v:textbox>
                <w10:wrap type="square" anchory="page"/>
              </v:shape>
            </w:pict>
          </mc:Fallback>
        </mc:AlternateContent>
      </w:r>
      <w:r w:rsidR="008A24C8">
        <w:rPr>
          <w:rFonts w:ascii="Verdana" w:hAnsi="Verdana"/>
          <w:b/>
          <w:caps/>
          <w:sz w:val="18"/>
          <w:szCs w:val="18"/>
        </w:rPr>
        <w:br w:type="page"/>
      </w:r>
    </w:p>
    <w:p w14:paraId="2A5F4E7D" w14:textId="77777777" w:rsidR="008A24C8" w:rsidRPr="008A24C8" w:rsidRDefault="008A24C8" w:rsidP="008A24C8">
      <w:pPr>
        <w:pStyle w:val="NormalWeb"/>
        <w:spacing w:before="0" w:beforeAutospacing="0" w:after="150" w:afterAutospacing="0"/>
        <w:rPr>
          <w:rFonts w:ascii="Calibri Light" w:hAnsi="Calibri Light" w:cs="Calibri Light"/>
          <w:sz w:val="36"/>
          <w:szCs w:val="36"/>
          <w:shd w:val="clear" w:color="auto" w:fill="F5F5F5"/>
          <w:lang w:val="en"/>
        </w:rPr>
      </w:pPr>
      <w:r w:rsidRPr="008A24C8">
        <w:rPr>
          <w:rFonts w:ascii="Calibri Light" w:hAnsi="Calibri Light" w:cs="Calibri Light"/>
          <w:sz w:val="36"/>
          <w:szCs w:val="36"/>
          <w:shd w:val="clear" w:color="auto" w:fill="F5F5F5"/>
          <w:lang w:val="en"/>
        </w:rPr>
        <w:lastRenderedPageBreak/>
        <w:t>References</w:t>
      </w:r>
    </w:p>
    <w:p w14:paraId="2DB5969A" w14:textId="624B099D" w:rsidR="008B0864" w:rsidRDefault="008B0864" w:rsidP="000655BC">
      <w:pPr>
        <w:tabs>
          <w:tab w:val="left" w:pos="4007"/>
        </w:tabs>
        <w:rPr>
          <w:rFonts w:ascii="Verdana" w:hAnsi="Verdana"/>
          <w:b/>
          <w:caps/>
          <w:sz w:val="18"/>
          <w:szCs w:val="18"/>
        </w:rPr>
      </w:pPr>
    </w:p>
    <w:p w14:paraId="73BCAC3E" w14:textId="15C8AF60" w:rsidR="008A24C8" w:rsidRDefault="00E75203" w:rsidP="000655BC">
      <w:pPr>
        <w:tabs>
          <w:tab w:val="left" w:pos="4007"/>
        </w:tabs>
        <w:rPr>
          <w:rFonts w:ascii="Verdana" w:hAnsi="Verdana"/>
          <w:b/>
          <w:caps/>
          <w:sz w:val="18"/>
          <w:szCs w:val="18"/>
        </w:rPr>
      </w:pPr>
      <w:hyperlink r:id="rId15" w:history="1">
        <w:r w:rsidR="008A24C8" w:rsidRPr="00344070">
          <w:rPr>
            <w:rStyle w:val="Lienhypertexte"/>
            <w:rFonts w:ascii="Verdana" w:hAnsi="Verdana"/>
            <w:b/>
            <w:caps/>
            <w:sz w:val="18"/>
            <w:szCs w:val="18"/>
          </w:rPr>
          <w:t>https://www.frc.org.uk/</w:t>
        </w:r>
      </w:hyperlink>
    </w:p>
    <w:p w14:paraId="51E9DF9E" w14:textId="4EFCC4C6" w:rsidR="008A24C8" w:rsidRDefault="008A24C8" w:rsidP="000655BC">
      <w:pPr>
        <w:tabs>
          <w:tab w:val="left" w:pos="4007"/>
        </w:tabs>
        <w:rPr>
          <w:rFonts w:ascii="Verdana" w:hAnsi="Verdana"/>
          <w:b/>
          <w:caps/>
          <w:sz w:val="18"/>
          <w:szCs w:val="18"/>
        </w:rPr>
      </w:pPr>
    </w:p>
    <w:p w14:paraId="280E5A86" w14:textId="77777777" w:rsidR="008A24C8" w:rsidRPr="008A24C8" w:rsidRDefault="00E75203" w:rsidP="008A24C8">
      <w:pPr>
        <w:rPr>
          <w:rStyle w:val="Lienhypertexte"/>
          <w:rFonts w:ascii="Verdana" w:hAnsi="Verdana"/>
          <w:b/>
          <w:caps/>
          <w:sz w:val="18"/>
          <w:szCs w:val="18"/>
        </w:rPr>
      </w:pPr>
      <w:hyperlink r:id="rId16" w:history="1">
        <w:r w:rsidR="008A24C8" w:rsidRPr="008A24C8">
          <w:rPr>
            <w:rStyle w:val="Lienhypertexte"/>
            <w:rFonts w:ascii="Verdana" w:hAnsi="Verdana"/>
            <w:b/>
            <w:caps/>
            <w:sz w:val="18"/>
            <w:szCs w:val="18"/>
          </w:rPr>
          <w:t>https://www2.deloitte.com/global/en.html</w:t>
        </w:r>
      </w:hyperlink>
    </w:p>
    <w:p w14:paraId="5215C408" w14:textId="49B38492" w:rsidR="008A24C8" w:rsidRPr="008A24C8" w:rsidRDefault="008A24C8" w:rsidP="000655BC">
      <w:pPr>
        <w:tabs>
          <w:tab w:val="left" w:pos="4007"/>
        </w:tabs>
        <w:rPr>
          <w:rStyle w:val="Lienhypertexte"/>
        </w:rPr>
      </w:pPr>
    </w:p>
    <w:p w14:paraId="57856A91" w14:textId="77777777" w:rsidR="008A24C8" w:rsidRPr="008A24C8" w:rsidRDefault="00E75203" w:rsidP="008A24C8">
      <w:pPr>
        <w:rPr>
          <w:rStyle w:val="Lienhypertexte"/>
          <w:rFonts w:ascii="Verdana" w:hAnsi="Verdana"/>
          <w:b/>
          <w:caps/>
          <w:sz w:val="18"/>
          <w:szCs w:val="18"/>
        </w:rPr>
      </w:pPr>
      <w:hyperlink r:id="rId17" w:history="1">
        <w:r w:rsidR="008A24C8" w:rsidRPr="008A24C8">
          <w:rPr>
            <w:rStyle w:val="Lienhypertexte"/>
            <w:rFonts w:ascii="Verdana" w:hAnsi="Verdana"/>
            <w:b/>
            <w:caps/>
            <w:sz w:val="18"/>
            <w:szCs w:val="18"/>
          </w:rPr>
          <w:t>https://www.pwc.co.uk/</w:t>
        </w:r>
      </w:hyperlink>
    </w:p>
    <w:p w14:paraId="06F1B03B" w14:textId="6DF3B844" w:rsidR="008A24C8" w:rsidRDefault="008A24C8" w:rsidP="000655BC">
      <w:pPr>
        <w:tabs>
          <w:tab w:val="left" w:pos="4007"/>
        </w:tabs>
        <w:rPr>
          <w:rFonts w:ascii="Verdana" w:hAnsi="Verdana"/>
          <w:b/>
          <w:caps/>
          <w:sz w:val="18"/>
          <w:szCs w:val="18"/>
        </w:rPr>
      </w:pPr>
    </w:p>
    <w:p w14:paraId="2B3D282F" w14:textId="7D6E4351" w:rsidR="008A24C8" w:rsidRDefault="00E75203" w:rsidP="008A24C8">
      <w:pPr>
        <w:pStyle w:val="Titre1"/>
        <w:numPr>
          <w:ilvl w:val="0"/>
          <w:numId w:val="0"/>
        </w:numPr>
        <w:spacing w:after="0"/>
        <w:ind w:left="851" w:hanging="851"/>
        <w:rPr>
          <w:rFonts w:ascii="Calibri" w:eastAsia="Times New Roman" w:hAnsi="Calibri"/>
          <w:b w:val="0"/>
          <w:caps w:val="0"/>
          <w:sz w:val="24"/>
          <w:szCs w:val="24"/>
          <w:lang w:val="fr-FR"/>
        </w:rPr>
      </w:pPr>
      <w:hyperlink r:id="rId18" w:history="1">
        <w:r w:rsidR="008A24C8" w:rsidRPr="00531F63">
          <w:rPr>
            <w:rFonts w:ascii="Calibri" w:eastAsia="Times New Roman" w:hAnsi="Calibri"/>
            <w:b w:val="0"/>
            <w:caps w:val="0"/>
            <w:sz w:val="24"/>
            <w:szCs w:val="24"/>
            <w:lang w:val="fr-FR"/>
          </w:rPr>
          <w:t>Lionel Touchais</w:t>
        </w:r>
      </w:hyperlink>
      <w:r w:rsidR="008A24C8" w:rsidRPr="00531F63">
        <w:rPr>
          <w:rFonts w:ascii="Calibri" w:eastAsia="Times New Roman" w:hAnsi="Calibri"/>
          <w:b w:val="0"/>
          <w:caps w:val="0"/>
          <w:sz w:val="24"/>
          <w:szCs w:val="24"/>
          <w:lang w:val="fr-FR"/>
        </w:rPr>
        <w:t xml:space="preserve"> </w:t>
      </w:r>
      <w:r w:rsidR="00531F63">
        <w:rPr>
          <w:rFonts w:ascii="Calibri" w:eastAsia="Times New Roman" w:hAnsi="Calibri"/>
          <w:b w:val="0"/>
          <w:caps w:val="0"/>
          <w:sz w:val="24"/>
          <w:szCs w:val="24"/>
          <w:lang w:val="fr-FR"/>
        </w:rPr>
        <w:t>(</w:t>
      </w:r>
      <w:r w:rsidR="008A24C8" w:rsidRPr="00531F63">
        <w:rPr>
          <w:rFonts w:ascii="Calibri" w:eastAsia="Times New Roman" w:hAnsi="Calibri"/>
          <w:b w:val="0"/>
          <w:caps w:val="0"/>
          <w:sz w:val="24"/>
          <w:szCs w:val="24"/>
          <w:lang w:val="fr-FR"/>
        </w:rPr>
        <w:t>2019</w:t>
      </w:r>
      <w:r w:rsidR="00531F63">
        <w:rPr>
          <w:rFonts w:ascii="Calibri" w:eastAsia="Times New Roman" w:hAnsi="Calibri"/>
          <w:b w:val="0"/>
          <w:caps w:val="0"/>
          <w:sz w:val="24"/>
          <w:szCs w:val="24"/>
          <w:lang w:val="fr-FR"/>
        </w:rPr>
        <w:t>).</w:t>
      </w:r>
      <w:r w:rsidR="00531F63" w:rsidRPr="00531F63">
        <w:rPr>
          <w:rFonts w:ascii="Calibri" w:eastAsia="Times New Roman" w:hAnsi="Calibri"/>
          <w:b w:val="0"/>
          <w:caps w:val="0"/>
          <w:sz w:val="24"/>
          <w:szCs w:val="24"/>
          <w:lang w:val="fr-FR"/>
        </w:rPr>
        <w:t xml:space="preserve"> </w:t>
      </w:r>
      <w:r w:rsidR="00531F63" w:rsidRPr="008A24C8">
        <w:rPr>
          <w:rFonts w:ascii="Calibri" w:eastAsia="Times New Roman" w:hAnsi="Calibri"/>
          <w:b w:val="0"/>
          <w:caps w:val="0"/>
          <w:sz w:val="24"/>
          <w:szCs w:val="24"/>
          <w:lang w:val="fr-FR"/>
        </w:rPr>
        <w:t>Comptabilité internationale les IFRS</w:t>
      </w:r>
    </w:p>
    <w:p w14:paraId="0A19844C" w14:textId="0FF5137B" w:rsidR="00531F63" w:rsidRDefault="00531F63" w:rsidP="00531F63">
      <w:pPr>
        <w:rPr>
          <w:lang w:val="fr-FR"/>
        </w:rPr>
      </w:pPr>
    </w:p>
    <w:p w14:paraId="7731A98B" w14:textId="735F1FDD" w:rsidR="00531F63" w:rsidRPr="00531F63" w:rsidRDefault="00E75203" w:rsidP="00531F63">
      <w:pPr>
        <w:pStyle w:val="Titre1"/>
        <w:numPr>
          <w:ilvl w:val="0"/>
          <w:numId w:val="0"/>
        </w:numPr>
        <w:spacing w:after="150"/>
        <w:rPr>
          <w:rFonts w:ascii="Calibri" w:eastAsia="Times New Roman" w:hAnsi="Calibri"/>
          <w:b w:val="0"/>
          <w:caps w:val="0"/>
          <w:sz w:val="24"/>
          <w:szCs w:val="24"/>
          <w:lang w:val="fr-FR"/>
        </w:rPr>
      </w:pPr>
      <w:hyperlink r:id="rId19" w:history="1">
        <w:r w:rsidR="00531F63" w:rsidRPr="00531F63">
          <w:rPr>
            <w:rFonts w:ascii="Calibri" w:eastAsia="Times New Roman" w:hAnsi="Calibri"/>
            <w:b w:val="0"/>
            <w:caps w:val="0"/>
            <w:sz w:val="24"/>
            <w:szCs w:val="24"/>
            <w:lang w:val="fr-FR"/>
          </w:rPr>
          <w:t>Denis Cormier</w:t>
        </w:r>
      </w:hyperlink>
      <w:r w:rsidR="00531F63">
        <w:rPr>
          <w:rFonts w:ascii="Calibri" w:eastAsia="Times New Roman" w:hAnsi="Calibri"/>
          <w:b w:val="0"/>
          <w:caps w:val="0"/>
          <w:sz w:val="24"/>
          <w:szCs w:val="24"/>
          <w:lang w:val="fr-FR"/>
        </w:rPr>
        <w:t xml:space="preserve"> (2007).</w:t>
      </w:r>
      <w:r w:rsidR="00531F63" w:rsidRPr="00531F63">
        <w:rPr>
          <w:rFonts w:ascii="Calibri" w:eastAsia="Times New Roman" w:hAnsi="Calibri"/>
          <w:b w:val="0"/>
          <w:caps w:val="0"/>
          <w:sz w:val="24"/>
          <w:szCs w:val="24"/>
          <w:lang w:val="fr-FR"/>
        </w:rPr>
        <w:t xml:space="preserve"> Comptabilité anglo-saxonne et internationale</w:t>
      </w:r>
    </w:p>
    <w:p w14:paraId="47F90E2E" w14:textId="77777777" w:rsidR="00531F63" w:rsidRPr="00531F63" w:rsidRDefault="00531F63" w:rsidP="00531F63">
      <w:pPr>
        <w:rPr>
          <w:lang w:val="fr-FR"/>
        </w:rPr>
      </w:pPr>
    </w:p>
    <w:p w14:paraId="39F10C81" w14:textId="52942456" w:rsidR="008A24C8" w:rsidRPr="008A24C8" w:rsidRDefault="00531F63" w:rsidP="000655BC">
      <w:pPr>
        <w:tabs>
          <w:tab w:val="left" w:pos="4007"/>
        </w:tabs>
        <w:rPr>
          <w:rFonts w:ascii="Verdana" w:hAnsi="Verdana"/>
          <w:b/>
          <w:caps/>
          <w:sz w:val="18"/>
          <w:szCs w:val="18"/>
          <w:lang w:val="fr-FR"/>
        </w:rPr>
      </w:pPr>
      <w:r w:rsidRPr="00531F63">
        <w:rPr>
          <w:rFonts w:ascii="Verdana" w:hAnsi="Verdana"/>
          <w:b/>
          <w:i/>
          <w:noProof/>
          <w:sz w:val="44"/>
        </w:rPr>
        <mc:AlternateContent>
          <mc:Choice Requires="wps">
            <w:drawing>
              <wp:anchor distT="45720" distB="45720" distL="114300" distR="114300" simplePos="0" relativeHeight="251673600" behindDoc="0" locked="0" layoutInCell="1" allowOverlap="1" wp14:anchorId="1842D248" wp14:editId="2A0044D5">
                <wp:simplePos x="0" y="0"/>
                <wp:positionH relativeFrom="column">
                  <wp:align>right</wp:align>
                </wp:positionH>
                <wp:positionV relativeFrom="page">
                  <wp:posOffset>10081260</wp:posOffset>
                </wp:positionV>
                <wp:extent cx="255600" cy="266400"/>
                <wp:effectExtent l="0" t="0" r="11430" b="1968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600" cy="266400"/>
                        </a:xfrm>
                        <a:prstGeom prst="rect">
                          <a:avLst/>
                        </a:prstGeom>
                        <a:solidFill>
                          <a:srgbClr val="FFFFFF"/>
                        </a:solidFill>
                        <a:ln w="9525">
                          <a:solidFill>
                            <a:srgbClr val="000000"/>
                          </a:solidFill>
                          <a:miter lim="800000"/>
                          <a:headEnd/>
                          <a:tailEnd/>
                        </a:ln>
                      </wps:spPr>
                      <wps:txbx>
                        <w:txbxContent>
                          <w:p w14:paraId="4BE3C1D4" w14:textId="549B37F5" w:rsidR="00531F63" w:rsidRDefault="00531F63" w:rsidP="00531F63">
                            <w: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42D248" id="_x0000_s1033" type="#_x0000_t202" style="position:absolute;margin-left:-31.05pt;margin-top:793.8pt;width:20.15pt;height:21pt;z-index:251673600;visibility:visible;mso-wrap-style:square;mso-width-percent:0;mso-height-percent:0;mso-wrap-distance-left:9pt;mso-wrap-distance-top:3.6pt;mso-wrap-distance-right:9pt;mso-wrap-distance-bottom:3.6pt;mso-position-horizontal:right;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">
                <v:textbox>
                  <w:txbxContent>
                    <w:p w14:paraId="4BE3C1D4" w14:textId="549B37F5" w:rsidR="00531F63" w:rsidRDefault="00531F63" w:rsidP="00531F63">
                      <w:r>
                        <w:t>8</w:t>
                      </w:r>
                    </w:p>
                  </w:txbxContent>
                </v:textbox>
                <w10:wrap type="square" anchory="page"/>
              </v:shape>
            </w:pict>
          </mc:Fallback>
        </mc:AlternateContent>
      </w:r>
    </w:p>
    <w:sectPr w:rsidR="008A24C8" w:rsidRPr="008A24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75D1C7" w14:textId="77777777" w:rsidR="0095196D" w:rsidRDefault="0095196D" w:rsidP="009B20F4">
      <w:pPr>
        <w:spacing w:after="0" w:line="240" w:lineRule="auto"/>
      </w:pPr>
      <w:r>
        <w:separator/>
      </w:r>
    </w:p>
  </w:endnote>
  <w:endnote w:type="continuationSeparator" w:id="0">
    <w:p w14:paraId="7AED90B9" w14:textId="77777777" w:rsidR="0095196D" w:rsidRDefault="0095196D"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4691E5" w14:textId="77777777" w:rsidR="000655BC" w:rsidRDefault="000655BC">
    <w:pPr>
      <w:pStyle w:val="Pieddepag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E75203">
        <w:pPr>
          <w:pStyle w:val="Pieddepage"/>
          <w:jc w:val="center"/>
        </w:pPr>
      </w:p>
    </w:sdtContent>
  </w:sdt>
  <w:p w14:paraId="0829C6EF" w14:textId="77777777" w:rsidR="00846CC3" w:rsidRDefault="00846CC3">
    <w:pPr>
      <w:pStyle w:val="Pieddepage"/>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Pieddepage"/>
      <w:jc w:val="center"/>
    </w:pPr>
  </w:p>
  <w:p w14:paraId="2EB1AFE0" w14:textId="77777777" w:rsidR="00846CC3" w:rsidRDefault="00846CC3">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4EE1F9" w14:textId="77777777" w:rsidR="0095196D" w:rsidRDefault="0095196D" w:rsidP="009B20F4">
      <w:pPr>
        <w:spacing w:after="0" w:line="240" w:lineRule="auto"/>
      </w:pPr>
      <w:r>
        <w:separator/>
      </w:r>
    </w:p>
  </w:footnote>
  <w:footnote w:type="continuationSeparator" w:id="0">
    <w:p w14:paraId="52B2FF1E" w14:textId="77777777" w:rsidR="0095196D" w:rsidRDefault="0095196D"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A5318E" w14:textId="77777777" w:rsidR="000655BC" w:rsidRDefault="000655BC">
    <w:pPr>
      <w:pStyle w:val="En-tt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93F63C" w14:textId="77777777" w:rsidR="00846CC3" w:rsidRPr="0007275A" w:rsidRDefault="00846CC3" w:rsidP="0007275A">
    <w:pPr>
      <w:pStyle w:val="En-tte"/>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9B9D93" w14:textId="77777777" w:rsidR="000655BC" w:rsidRDefault="000655BC">
    <w:pPr>
      <w:pStyle w:val="En-tt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Titre1"/>
      <w:lvlText w:val="%1"/>
      <w:lvlJc w:val="left"/>
      <w:pPr>
        <w:tabs>
          <w:tab w:val="num" w:pos="851"/>
        </w:tabs>
        <w:ind w:left="851" w:hanging="851"/>
      </w:pPr>
      <w:rPr>
        <w:rFonts w:hint="default"/>
        <w:b/>
        <w:i w:val="0"/>
        <w:caps/>
        <w:sz w:val="18"/>
      </w:rPr>
    </w:lvl>
    <w:lvl w:ilvl="1">
      <w:start w:val="1"/>
      <w:numFmt w:val="decimal"/>
      <w:pStyle w:val="Titre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Titre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5"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6"/>
  </w:num>
  <w:num w:numId="3">
    <w:abstractNumId w:val="5"/>
  </w:num>
  <w:num w:numId="4">
    <w:abstractNumId w:val="4"/>
  </w:num>
  <w:num w:numId="5">
    <w:abstractNumId w:val="1"/>
  </w:num>
  <w:num w:numId="6">
    <w:abstractNumId w:val="18"/>
  </w:num>
  <w:num w:numId="7">
    <w:abstractNumId w:val="23"/>
  </w:num>
  <w:num w:numId="8">
    <w:abstractNumId w:val="29"/>
  </w:num>
  <w:num w:numId="9">
    <w:abstractNumId w:val="10"/>
  </w:num>
  <w:num w:numId="10">
    <w:abstractNumId w:val="11"/>
  </w:num>
  <w:num w:numId="11">
    <w:abstractNumId w:val="7"/>
  </w:num>
  <w:num w:numId="12">
    <w:abstractNumId w:val="28"/>
  </w:num>
  <w:num w:numId="13">
    <w:abstractNumId w:val="26"/>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2"/>
  </w:num>
  <w:num w:numId="24">
    <w:abstractNumId w:val="27"/>
  </w:num>
  <w:num w:numId="25">
    <w:abstractNumId w:val="25"/>
  </w:num>
  <w:num w:numId="26">
    <w:abstractNumId w:val="15"/>
  </w:num>
  <w:num w:numId="27">
    <w:abstractNumId w:val="24"/>
  </w:num>
  <w:num w:numId="28">
    <w:abstractNumId w:val="3"/>
  </w:num>
  <w:num w:numId="29">
    <w:abstractNumId w:val="20"/>
  </w:num>
  <w:num w:numId="30">
    <w:abstractNumId w:val="14"/>
  </w:num>
  <w:num w:numId="31">
    <w:abstractNumId w:val="1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55BC"/>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019"/>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232E"/>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55C"/>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1F63"/>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24C8"/>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0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Titre1">
    <w:name w:val="heading 1"/>
    <w:aliases w:val="Custom Heading 1"/>
    <w:basedOn w:val="Paragraphedeliste"/>
    <w:next w:val="Normal"/>
    <w:link w:val="Titre1Car"/>
    <w:qFormat/>
    <w:rsid w:val="009B20F4"/>
    <w:pPr>
      <w:numPr>
        <w:numId w:val="2"/>
      </w:numPr>
      <w:outlineLvl w:val="0"/>
    </w:pPr>
    <w:rPr>
      <w:rFonts w:ascii="Verdana" w:hAnsi="Verdana"/>
      <w:b/>
      <w:caps/>
      <w:sz w:val="18"/>
      <w:szCs w:val="18"/>
    </w:rPr>
  </w:style>
  <w:style w:type="paragraph" w:styleId="Titre2">
    <w:name w:val="heading 2"/>
    <w:aliases w:val="Custom Heading 2"/>
    <w:basedOn w:val="Paragraphedeliste"/>
    <w:next w:val="Normal"/>
    <w:link w:val="Titre2Car"/>
    <w:uiPriority w:val="9"/>
    <w:unhideWhenUsed/>
    <w:qFormat/>
    <w:rsid w:val="009B20F4"/>
    <w:pPr>
      <w:numPr>
        <w:ilvl w:val="1"/>
        <w:numId w:val="2"/>
      </w:numPr>
      <w:outlineLvl w:val="1"/>
    </w:pPr>
    <w:rPr>
      <w:rFonts w:ascii="Verdana" w:hAnsi="Verdana"/>
      <w:b/>
      <w:caps/>
      <w:sz w:val="18"/>
      <w:szCs w:val="18"/>
    </w:rPr>
  </w:style>
  <w:style w:type="paragraph" w:styleId="Titre3">
    <w:name w:val="heading 3"/>
    <w:aliases w:val="Appendix"/>
    <w:basedOn w:val="TM2"/>
    <w:next w:val="Normal"/>
    <w:link w:val="Titre3Car"/>
    <w:uiPriority w:val="9"/>
    <w:unhideWhenUsed/>
    <w:qFormat/>
    <w:rsid w:val="009B20F4"/>
    <w:pPr>
      <w:numPr>
        <w:ilvl w:val="2"/>
        <w:numId w:val="2"/>
      </w:numPr>
      <w:outlineLvl w:val="2"/>
    </w:pPr>
  </w:style>
  <w:style w:type="paragraph" w:styleId="Titre4">
    <w:name w:val="heading 4"/>
    <w:basedOn w:val="Normal"/>
    <w:next w:val="Normal"/>
    <w:link w:val="Titre4C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9B20F4"/>
    <w:pPr>
      <w:ind w:left="720"/>
      <w:contextualSpacing/>
    </w:pPr>
  </w:style>
  <w:style w:type="character" w:customStyle="1" w:styleId="Titre1Car">
    <w:name w:val="Titre 1 Car"/>
    <w:aliases w:val="Custom Heading 1 Car"/>
    <w:basedOn w:val="Policepardfaut"/>
    <w:link w:val="Titre1"/>
    <w:rsid w:val="009B20F4"/>
    <w:rPr>
      <w:rFonts w:ascii="Verdana" w:hAnsi="Verdana" w:cs="Calibri"/>
      <w:b/>
      <w:caps/>
      <w:sz w:val="18"/>
      <w:szCs w:val="18"/>
    </w:rPr>
  </w:style>
  <w:style w:type="character" w:customStyle="1" w:styleId="Titre2Car">
    <w:name w:val="Titre 2 Car"/>
    <w:aliases w:val="Custom Heading 2 Car"/>
    <w:basedOn w:val="Policepardfaut"/>
    <w:link w:val="Titre2"/>
    <w:uiPriority w:val="9"/>
    <w:rsid w:val="009B20F4"/>
    <w:rPr>
      <w:rFonts w:ascii="Verdana" w:hAnsi="Verdana" w:cs="Calibri"/>
      <w:b/>
      <w:caps/>
      <w:sz w:val="18"/>
      <w:szCs w:val="18"/>
    </w:rPr>
  </w:style>
  <w:style w:type="paragraph" w:styleId="TM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Titre3Car">
    <w:name w:val="Titre 3 Car"/>
    <w:aliases w:val="Appendix Car"/>
    <w:basedOn w:val="Policepardfaut"/>
    <w:link w:val="Titre3"/>
    <w:uiPriority w:val="9"/>
    <w:rsid w:val="009B20F4"/>
    <w:rPr>
      <w:rFonts w:cs="Calibri"/>
      <w:smallCaps/>
      <w:sz w:val="20"/>
      <w:szCs w:val="20"/>
    </w:rPr>
  </w:style>
  <w:style w:type="character" w:customStyle="1" w:styleId="Titre4Car">
    <w:name w:val="Titre 4 Car"/>
    <w:basedOn w:val="Policepardfaut"/>
    <w:link w:val="Titre4"/>
    <w:uiPriority w:val="9"/>
    <w:semiHidden/>
    <w:rsid w:val="00B645D4"/>
    <w:rPr>
      <w:rFonts w:asciiTheme="majorHAnsi" w:eastAsiaTheme="majorEastAsia" w:hAnsiTheme="majorHAnsi" w:cstheme="majorBidi"/>
      <w:i/>
      <w:iCs/>
      <w:color w:val="2E74B5" w:themeColor="accent1" w:themeShade="BF"/>
    </w:rPr>
  </w:style>
  <w:style w:type="paragraph" w:styleId="Textedebulles">
    <w:name w:val="Balloon Text"/>
    <w:basedOn w:val="Normal"/>
    <w:link w:val="TextedebullesCar"/>
    <w:uiPriority w:val="99"/>
    <w:semiHidden/>
    <w:unhideWhenUsed/>
    <w:rsid w:val="009B20F4"/>
    <w:pPr>
      <w:spacing w:after="0" w:line="240" w:lineRule="auto"/>
    </w:pPr>
    <w:rPr>
      <w:rFonts w:ascii="Tahoma" w:hAnsi="Tahoma" w:cs="Tahoma"/>
      <w:sz w:val="16"/>
      <w:szCs w:val="16"/>
    </w:rPr>
  </w:style>
  <w:style w:type="character" w:customStyle="1" w:styleId="TextedebullesCar">
    <w:name w:val="Texte de bulles Car"/>
    <w:basedOn w:val="Policepardfaut"/>
    <w:link w:val="Textedebulles"/>
    <w:uiPriority w:val="99"/>
    <w:semiHidden/>
    <w:rsid w:val="009B20F4"/>
    <w:rPr>
      <w:rFonts w:ascii="Tahoma" w:eastAsiaTheme="minorEastAsia" w:hAnsi="Tahoma" w:cs="Tahoma"/>
      <w:sz w:val="16"/>
      <w:szCs w:val="16"/>
      <w:lang w:eastAsia="en-GB"/>
    </w:rPr>
  </w:style>
  <w:style w:type="paragraph" w:styleId="Sansinterligne">
    <w:name w:val="No Spacing"/>
    <w:link w:val="SansinterligneCar"/>
    <w:uiPriority w:val="1"/>
    <w:qFormat/>
    <w:rsid w:val="009B20F4"/>
    <w:pPr>
      <w:spacing w:after="0" w:line="240" w:lineRule="auto"/>
    </w:pPr>
    <w:rPr>
      <w:rFonts w:eastAsiaTheme="minorEastAsia"/>
      <w:lang w:val="en-US" w:eastAsia="en-GB"/>
    </w:rPr>
  </w:style>
  <w:style w:type="character" w:customStyle="1" w:styleId="SansinterligneCar">
    <w:name w:val="Sans interligne Car"/>
    <w:basedOn w:val="Policepardfaut"/>
    <w:link w:val="Sansinterligne"/>
    <w:uiPriority w:val="1"/>
    <w:rsid w:val="009B20F4"/>
    <w:rPr>
      <w:rFonts w:eastAsiaTheme="minorEastAsia"/>
      <w:lang w:val="en-US" w:eastAsia="en-GB"/>
    </w:rPr>
  </w:style>
  <w:style w:type="paragraph" w:styleId="En-tte">
    <w:name w:val="header"/>
    <w:basedOn w:val="Normal"/>
    <w:link w:val="En-tteCar"/>
    <w:unhideWhenUsed/>
    <w:rsid w:val="009B20F4"/>
    <w:pPr>
      <w:tabs>
        <w:tab w:val="center" w:pos="4513"/>
        <w:tab w:val="right" w:pos="9026"/>
      </w:tabs>
      <w:spacing w:after="0" w:line="240" w:lineRule="auto"/>
    </w:pPr>
  </w:style>
  <w:style w:type="character" w:customStyle="1" w:styleId="En-tteCar">
    <w:name w:val="En-tête Car"/>
    <w:basedOn w:val="Policepardfaut"/>
    <w:link w:val="En-tte"/>
    <w:uiPriority w:val="99"/>
    <w:rsid w:val="009B20F4"/>
    <w:rPr>
      <w:rFonts w:eastAsiaTheme="minorEastAsia"/>
      <w:lang w:eastAsia="en-GB"/>
    </w:rPr>
  </w:style>
  <w:style w:type="paragraph" w:styleId="Pieddepage">
    <w:name w:val="footer"/>
    <w:basedOn w:val="Normal"/>
    <w:link w:val="PieddepageCar"/>
    <w:uiPriority w:val="99"/>
    <w:unhideWhenUsed/>
    <w:rsid w:val="009B20F4"/>
    <w:pPr>
      <w:tabs>
        <w:tab w:val="center" w:pos="4513"/>
        <w:tab w:val="right" w:pos="9026"/>
      </w:tabs>
      <w:spacing w:after="0" w:line="240" w:lineRule="auto"/>
    </w:pPr>
  </w:style>
  <w:style w:type="character" w:customStyle="1" w:styleId="PieddepageCar">
    <w:name w:val="Pied de page Car"/>
    <w:basedOn w:val="Policepardfaut"/>
    <w:link w:val="Pieddepage"/>
    <w:uiPriority w:val="99"/>
    <w:rsid w:val="009B20F4"/>
    <w:rPr>
      <w:rFonts w:eastAsiaTheme="minorEastAsia"/>
      <w:lang w:eastAsia="en-GB"/>
    </w:rPr>
  </w:style>
  <w:style w:type="paragraph" w:styleId="TM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Lienhypertexte">
    <w:name w:val="Hyperlink"/>
    <w:basedOn w:val="Policepardfaut"/>
    <w:uiPriority w:val="99"/>
    <w:unhideWhenUsed/>
    <w:rsid w:val="009B20F4"/>
    <w:rPr>
      <w:color w:val="0563C1" w:themeColor="hyperlink"/>
      <w:u w:val="single"/>
    </w:rPr>
  </w:style>
  <w:style w:type="paragraph" w:styleId="TM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M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M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M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M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M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M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Accentuation">
    <w:name w:val="Emphasis"/>
    <w:aliases w:val="Custom Indent"/>
    <w:uiPriority w:val="20"/>
    <w:qFormat/>
    <w:rsid w:val="009B20F4"/>
    <w:rPr>
      <w:rFonts w:ascii="Verdana" w:hAnsi="Verdana" w:cs="Arial"/>
      <w:sz w:val="18"/>
      <w:szCs w:val="18"/>
    </w:rPr>
  </w:style>
  <w:style w:type="paragraph" w:styleId="Retraitnormal">
    <w:name w:val="Normal Indent"/>
    <w:aliases w:val="Normal Indent Char2,Normal Indent Char1 Char,Normal Indent Char Char Char,Normal Indent Char Char1,scarnormalindent,Normal Indent Char1 Char Char Char,Normal Indent Char Char Char Char Char,Normal Indent Char1 Char1"/>
    <w:basedOn w:val="Normal"/>
    <w:link w:val="RetraitnormalCar"/>
    <w:rsid w:val="009B20F4"/>
    <w:pPr>
      <w:spacing w:after="0" w:line="360" w:lineRule="auto"/>
      <w:ind w:left="851"/>
      <w:jc w:val="both"/>
    </w:pPr>
    <w:rPr>
      <w:rFonts w:ascii="Verdana" w:eastAsia="Times New Roman" w:hAnsi="Verdana" w:cs="Times New Roman"/>
      <w:sz w:val="18"/>
      <w:szCs w:val="24"/>
    </w:rPr>
  </w:style>
  <w:style w:type="character" w:customStyle="1" w:styleId="RetraitnormalCar">
    <w:name w:val="Retrait normal Car"/>
    <w:aliases w:val="Normal Indent Char2 Car,Normal Indent Char1 Char Car,Normal Indent Char Char Char Car,Normal Indent Char Char1 Car,scarnormalindent Car,Normal Indent Char1 Char Char Char Car,Normal Indent Char Char Char Char Char Car"/>
    <w:basedOn w:val="Policepardfaut"/>
    <w:link w:val="Retraitnormal"/>
    <w:rsid w:val="009B20F4"/>
    <w:rPr>
      <w:rFonts w:ascii="Verdana" w:eastAsia="Times New Roman" w:hAnsi="Verdana" w:cs="Times New Roman"/>
      <w:sz w:val="18"/>
      <w:szCs w:val="24"/>
      <w:lang w:eastAsia="en-GB"/>
    </w:rPr>
  </w:style>
  <w:style w:type="character" w:styleId="Numrodepage">
    <w:name w:val="page number"/>
    <w:basedOn w:val="Policepardfaut"/>
    <w:rsid w:val="009B20F4"/>
    <w:rPr>
      <w:rFonts w:ascii="Verdana" w:hAnsi="Verdana"/>
      <w:sz w:val="18"/>
    </w:rPr>
  </w:style>
  <w:style w:type="paragraph" w:styleId="Bibliographie">
    <w:name w:val="Bibliography"/>
    <w:basedOn w:val="Normal"/>
    <w:next w:val="Normal"/>
    <w:uiPriority w:val="37"/>
    <w:unhideWhenUsed/>
    <w:rsid w:val="009B20F4"/>
  </w:style>
  <w:style w:type="character" w:styleId="Marquedecommentaire">
    <w:name w:val="annotation reference"/>
    <w:basedOn w:val="Policepardfaut"/>
    <w:uiPriority w:val="99"/>
    <w:semiHidden/>
    <w:unhideWhenUsed/>
    <w:rsid w:val="009B20F4"/>
    <w:rPr>
      <w:sz w:val="16"/>
      <w:szCs w:val="16"/>
    </w:rPr>
  </w:style>
  <w:style w:type="paragraph" w:styleId="Commentaire">
    <w:name w:val="annotation text"/>
    <w:basedOn w:val="Normal"/>
    <w:link w:val="CommentaireCar"/>
    <w:uiPriority w:val="99"/>
    <w:semiHidden/>
    <w:unhideWhenUsed/>
    <w:rsid w:val="009B20F4"/>
    <w:pPr>
      <w:spacing w:line="240" w:lineRule="auto"/>
    </w:pPr>
    <w:rPr>
      <w:sz w:val="20"/>
      <w:szCs w:val="20"/>
    </w:rPr>
  </w:style>
  <w:style w:type="character" w:customStyle="1" w:styleId="CommentaireCar">
    <w:name w:val="Commentaire Car"/>
    <w:basedOn w:val="Policepardfaut"/>
    <w:link w:val="Commentaire"/>
    <w:uiPriority w:val="99"/>
    <w:semiHidden/>
    <w:rsid w:val="009B20F4"/>
    <w:rPr>
      <w:rFonts w:eastAsiaTheme="minorEastAsia"/>
      <w:sz w:val="20"/>
      <w:szCs w:val="20"/>
      <w:lang w:eastAsia="en-GB"/>
    </w:rPr>
  </w:style>
  <w:style w:type="paragraph" w:styleId="Objetducommentaire">
    <w:name w:val="annotation subject"/>
    <w:basedOn w:val="Commentaire"/>
    <w:next w:val="Commentaire"/>
    <w:link w:val="ObjetducommentaireCar"/>
    <w:uiPriority w:val="99"/>
    <w:semiHidden/>
    <w:unhideWhenUsed/>
    <w:rsid w:val="009B20F4"/>
    <w:rPr>
      <w:b/>
      <w:bCs/>
    </w:rPr>
  </w:style>
  <w:style w:type="character" w:customStyle="1" w:styleId="ObjetducommentaireCar">
    <w:name w:val="Objet du commentaire Car"/>
    <w:basedOn w:val="CommentaireCar"/>
    <w:link w:val="Objetducommentaire"/>
    <w:uiPriority w:val="99"/>
    <w:semiHidden/>
    <w:rsid w:val="009B20F4"/>
    <w:rPr>
      <w:rFonts w:eastAsiaTheme="minorEastAsia"/>
      <w:b/>
      <w:bCs/>
      <w:sz w:val="20"/>
      <w:szCs w:val="20"/>
      <w:lang w:eastAsia="en-GB"/>
    </w:rPr>
  </w:style>
  <w:style w:type="paragraph" w:styleId="Lgende">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Policepardfaut"/>
    <w:rsid w:val="009B20F4"/>
  </w:style>
  <w:style w:type="table" w:styleId="Grilledutableau">
    <w:name w:val="Table Grid"/>
    <w:basedOn w:val="Tableau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Policepardfaut"/>
    <w:rsid w:val="009B20F4"/>
  </w:style>
  <w:style w:type="character" w:customStyle="1" w:styleId="Subtitle1">
    <w:name w:val="Subtitle1"/>
    <w:basedOn w:val="Policepardfaut"/>
    <w:rsid w:val="009B20F4"/>
  </w:style>
  <w:style w:type="paragraph" w:customStyle="1" w:styleId="Style1">
    <w:name w:val="Style1"/>
    <w:basedOn w:val="Retraitnormal"/>
    <w:link w:val="Style1Char"/>
    <w:qFormat/>
    <w:rsid w:val="009B20F4"/>
  </w:style>
  <w:style w:type="character" w:customStyle="1" w:styleId="Style1Char">
    <w:name w:val="Style1 Char"/>
    <w:basedOn w:val="RetraitnormalC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Titre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Titre2Car"/>
    <w:link w:val="Head3"/>
    <w:rsid w:val="009B20F4"/>
    <w:rPr>
      <w:rFonts w:ascii="Verdana" w:eastAsiaTheme="majorEastAsia" w:hAnsi="Verdana" w:cstheme="majorBidi"/>
      <w:b/>
      <w:bCs/>
      <w:caps w:val="0"/>
      <w:sz w:val="18"/>
      <w:szCs w:val="26"/>
      <w:lang w:eastAsia="en-GB"/>
    </w:rPr>
  </w:style>
  <w:style w:type="paragraph" w:styleId="Tabledesillustration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Policepardfau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lev">
    <w:name w:val="Strong"/>
    <w:basedOn w:val="Policepardfaut"/>
    <w:uiPriority w:val="99"/>
    <w:qFormat/>
    <w:rsid w:val="00F34E6D"/>
    <w:rPr>
      <w:b/>
      <w:bCs/>
    </w:rPr>
  </w:style>
  <w:style w:type="character" w:customStyle="1" w:styleId="sc">
    <w:name w:val="sc"/>
    <w:basedOn w:val="Policepardfaut"/>
    <w:rsid w:val="004B04FC"/>
  </w:style>
  <w:style w:type="character" w:customStyle="1" w:styleId="selectable">
    <w:name w:val="selectable"/>
    <w:basedOn w:val="Policepardfaut"/>
    <w:rsid w:val="00B91395"/>
  </w:style>
  <w:style w:type="character" w:customStyle="1" w:styleId="passage-display-bcv">
    <w:name w:val="passage-display-bcv"/>
    <w:basedOn w:val="Policepardfaut"/>
    <w:rsid w:val="00BA79D9"/>
  </w:style>
  <w:style w:type="character" w:styleId="CitationHTML">
    <w:name w:val="HTML Cite"/>
    <w:basedOn w:val="Policepardfaut"/>
    <w:uiPriority w:val="99"/>
    <w:semiHidden/>
    <w:unhideWhenUsed/>
    <w:rsid w:val="001A1112"/>
    <w:rPr>
      <w:i/>
      <w:iCs/>
    </w:rPr>
  </w:style>
  <w:style w:type="character" w:styleId="Mentionnonrsolue">
    <w:name w:val="Unresolved Mention"/>
    <w:basedOn w:val="Policepardfaut"/>
    <w:uiPriority w:val="99"/>
    <w:semiHidden/>
    <w:unhideWhenUsed/>
    <w:rsid w:val="008A24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86572556">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80362757">
      <w:bodyDiv w:val="1"/>
      <w:marLeft w:val="0"/>
      <w:marRight w:val="0"/>
      <w:marTop w:val="0"/>
      <w:marBottom w:val="0"/>
      <w:divBdr>
        <w:top w:val="none" w:sz="0" w:space="0" w:color="auto"/>
        <w:left w:val="none" w:sz="0" w:space="0" w:color="auto"/>
        <w:bottom w:val="none" w:sz="0" w:space="0" w:color="auto"/>
        <w:right w:val="none" w:sz="0" w:space="0" w:color="auto"/>
      </w:divBdr>
      <w:divsChild>
        <w:div w:id="178617132">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www.lalibrairie.com/livres/auteurs/lionel-touchais,0-11423714.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pwc.co.uk/" TargetMode="External"/><Relationship Id="rId2" Type="http://schemas.openxmlformats.org/officeDocument/2006/relationships/numbering" Target="numbering.xml"/><Relationship Id="rId16" Type="http://schemas.openxmlformats.org/officeDocument/2006/relationships/hyperlink" Target="https://www2.deloitte.com/global/en.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frc.org.uk/" TargetMode="External"/><Relationship Id="rId10" Type="http://schemas.openxmlformats.org/officeDocument/2006/relationships/header" Target="header2.xml"/><Relationship Id="rId19" Type="http://schemas.openxmlformats.org/officeDocument/2006/relationships/hyperlink" Target="https://www.lalibrairie.com/livres/auteurs/denis-cormier,0-1206264.html"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2CB755D5-E6A9-43C5-9EA8-2BE7BBC5B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10</Pages>
  <Words>1746</Words>
  <Characters>9954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antoine desbrugeres</cp:lastModifiedBy>
  <cp:revision>5</cp:revision>
  <cp:lastPrinted>2018-02-08T12:45:00Z</cp:lastPrinted>
  <dcterms:created xsi:type="dcterms:W3CDTF">2019-12-10T16:13:00Z</dcterms:created>
  <dcterms:modified xsi:type="dcterms:W3CDTF">2019-12-12T00:18:00Z</dcterms:modified>
</cp:coreProperties>
</file>