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Default Extension="png" ContentType="image/png"/>
  <Default Extension="jp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word/diagrams/drawing1.xml" ContentType="application/vnd.ms-office.drawingml.diagramDrawing+xml"/>
  <Override PartName="/docProps/custom.xml" ContentType="application/vnd.openxmlformats-officedocument.custom-properties+xml"/>
  <Override PartName="/customXml/itemProps1.xml" ContentType="application/vnd.openxmlformats-officedocument.customXmlProperties+xml"/>
  <Override PartName="/word/diagrams/colors1.xml" ContentType="application/vnd.openxmlformats-officedocument.drawingml.diagramColor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c="http://schemas.openxmlformats.org/drawingml/2006/chart" xmlns:cx="http://schemas.microsoft.com/office/drawing/20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body>
    <w:p w:rsidR="0078061D" w:rsidRDefault="0078061D" w14:paraId="767EDD77" w14:textId="77777777" w:rsidP="0078061D">
      <w:pPr>
        <w:jc w:val="center"/>
      </w:pPr>
      <w:r>
        <w:rPr>
          <w:noProof/>
        </w:rPr>
        <w:drawing>
          <wp:inline distB="0" distL="0" distR="0" distT="0" wp14:anchorId="7319DD05" wp14:editId="4240EBDF">
            <wp:extent cx="1881505" cy="685165"/>
            <wp:effectExtent l="0" t="0" r="4445" b="635"/>
            <wp:docPr id="248833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833043" name=""/>
                    <pic:cNvPicPr/>
                  </pic:nvPicPr>
                  <pic:blipFill>
                    <a:blip r:embed="rId19"/>
                    <a:stretch>
                      <a:fillRect/>
                    </a:stretch>
                  </pic:blipFill>
                  <pic:spPr>
                    <a:xfrm>
                      <a:off x="0" y="0"/>
                      <a:ext cx="1889834" cy="688544"/>
                    </a:xfrm>
                    <a:prstGeom prst="rect">
                      <a:avLst/>
                    </a:prstGeom>
                  </pic:spPr>
                </pic:pic>
              </a:graphicData>
            </a:graphic>
          </wp:inline>
        </w:drawing>
      </w:r>
    </w:p>
    <w:p w:rsidR="0078061D" w:rsidRDefault="0078061D" w14:paraId="7C032459" w14:textId="77777777" w:rsidP="0078061D">
      <w:pPr>
        <w:jc w:val="center"/>
      </w:pPr>
    </w:p>
    <w:p w:rsidR="0078061D" w:rsidRDefault="0078061D" w14:paraId="1F966FEE" w14:textId="77777777" w:rsidP="0078061D">
      <w:pPr>
        <w:jc w:val="center"/>
      </w:pPr>
    </w:p>
    <w:p w:rsidR="0078061D" w:rsidRDefault="0078061D" w14:paraId="6950D234" w14:textId="77777777" w:rsidP="0078061D">
      <w:pPr>
        <w:jc w:val="center"/>
        <w:rPr>
          <w:bCs/>
          <w:b/>
          <w:sz w:val="56"/>
          <w:szCs w:val="52"/>
        </w:rPr>
      </w:pPr>
    </w:p>
    <w:p w:rsidR="0078061D" w:rsidRDefault="0078061D" w14:paraId="5C9CFF70" w14:textId="77777777" w:rsidP="0078061D" w:rsidRPr="005525C3">
      <w:pPr>
        <w:jc w:val="center"/>
        <w:rPr>
          <w:bCs/>
          <w:b/>
          <w:sz w:val="48"/>
          <w:szCs w:val="44"/>
        </w:rPr>
      </w:pPr>
      <w:r w:rsidRPr="005525C3">
        <w:rPr>
          <w:bCs/>
          <w:b/>
          <w:sz w:val="48"/>
          <w:szCs w:val="44"/>
        </w:rPr>
        <w:t>BMIH5004</w:t>
      </w:r>
    </w:p>
    <w:p w:rsidR="0078061D" w:rsidRDefault="0078061D" w14:paraId="0E0050C5" w14:textId="77777777" w:rsidP="0078061D" w:rsidRPr="005525C3">
      <w:pPr>
        <w:jc w:val="center"/>
        <w:rPr>
          <w:bCs/>
          <w:b/>
          <w:sz w:val="16"/>
          <w:szCs w:val="14"/>
        </w:rPr>
      </w:pPr>
    </w:p>
    <w:p w:rsidR="0078061D" w:rsidRDefault="0078061D" w14:paraId="3D274A51" w14:textId="77777777" w:rsidP="0078061D" w:rsidRPr="005525C3">
      <w:pPr>
        <w:jc w:val="center"/>
        <w:rPr>
          <w:bCs/>
          <w:b/>
          <w:sz w:val="48"/>
          <w:szCs w:val="44"/>
        </w:rPr>
      </w:pPr>
      <w:r w:rsidRPr="005525C3">
        <w:rPr>
          <w:bCs/>
          <w:b/>
          <w:sz w:val="48"/>
          <w:szCs w:val="44"/>
        </w:rPr>
        <w:t xml:space="preserve">BA International Hotel Management </w:t>
      </w:r>
    </w:p>
    <w:p w:rsidR="0078061D" w:rsidRDefault="0078061D" w14:paraId="275ADA79" w14:textId="77777777" w:rsidP="0078061D">
      <w:pPr>
        <w:jc w:val="center"/>
        <w:rPr>
          <w:bCs/>
          <w:b/>
          <w:sz w:val="48"/>
          <w:szCs w:val="44"/>
        </w:rPr>
      </w:pPr>
      <w:r w:rsidRPr="005525C3">
        <w:rPr>
          <w:bCs/>
          <w:b/>
          <w:sz w:val="48"/>
          <w:szCs w:val="44"/>
        </w:rPr>
        <w:t>Management &amp; Organisational Behaviour</w:t>
      </w:r>
    </w:p>
    <w:p w:rsidR="0078061D" w:rsidRDefault="0078061D" w14:paraId="637C0DA6" w14:textId="5BD627C8" w:rsidP="0078061D" w:rsidRPr="005525C3">
      <w:pPr>
        <w:jc w:val="center"/>
        <w:rPr>
          <w:bCs/>
          <w:b/>
          <w:sz w:val="48"/>
          <w:szCs w:val="44"/>
        </w:rPr>
      </w:pPr>
      <w:r w:rsidRPr="0078061D">
        <w:rPr>
          <w:bCs/>
          <w:b/>
          <w:sz w:val="48"/>
          <w:szCs w:val="44"/>
        </w:rPr>
        <w:t>Report Case Study: The City Hotel</w:t>
      </w:r>
    </w:p>
    <w:p w:rsidR="0078061D" w:rsidRDefault="0078061D" w14:paraId="29249444" w14:textId="77777777" w:rsidP="0078061D">
      <w:pPr>
        <w:jc w:val="center"/>
        <w:rPr>
          <w:bCs/>
          <w:b/>
          <w:sz w:val="56"/>
          <w:szCs w:val="52"/>
        </w:rPr>
      </w:pPr>
    </w:p>
    <w:p w:rsidR="0078061D" w:rsidRDefault="0078061D" w14:paraId="7B58AAF3" w14:textId="77777777" w:rsidP="0078061D" w:rsidRPr="005525C3">
      <w:pPr>
        <w:jc w:val="center"/>
        <w:rPr>
          <w:bCs/>
          <w:b/>
          <w:sz w:val="40"/>
          <w:szCs w:val="36"/>
        </w:rPr>
      </w:pPr>
      <w:r w:rsidRPr="005525C3">
        <w:rPr>
          <w:bCs/>
          <w:b/>
          <w:sz w:val="40"/>
          <w:szCs w:val="36"/>
        </w:rPr>
        <w:t>Student Name:Sabine Studane</w:t>
      </w:r>
    </w:p>
    <w:p w:rsidR="0078061D" w:rsidRDefault="0078061D" w14:paraId="3B3BACFD" w14:textId="77777777" w:rsidP="0078061D">
      <w:pPr>
        <w:jc w:val="center"/>
        <w:spacing w:line="276" w:lineRule="auto"/>
        <w:rPr>
          <w:bCs/>
          <w:b/>
          <w:sz w:val="40"/>
          <w:szCs w:val="36"/>
        </w:rPr>
      </w:pPr>
      <w:r w:rsidRPr="005525C3">
        <w:rPr>
          <w:bCs/>
          <w:b/>
          <w:sz w:val="40"/>
          <w:szCs w:val="36"/>
        </w:rPr>
        <w:t>Student ID:2246648</w:t>
      </w:r>
    </w:p>
    <w:p w:rsidR="0078061D" w:rsidRDefault="0078061D" w14:paraId="6911FE0A" w14:textId="77777777">
      <w:pPr>
        <w:jc w:val="left"/>
        <w:spacing w:line="276" w:lineRule="auto"/>
        <w:rPr>
          <w:bCs/>
          <w:b/>
          <w:sz w:val="40"/>
          <w:szCs w:val="36"/>
        </w:rPr>
      </w:pPr>
      <w:bookmarkStart w:id="0" w:name="_GoBack"/>
      <w:bookmarkEnd w:id="0"/>
      <w:r>
        <w:rPr>
          <w:b/>
          <w:sz w:val="40"/>
          <w:szCs w:val="36"/>
        </w:rPr>
        <w:br w:type="page"/>
      </w:r>
    </w:p>
    <w:p w:rsidR="0078061D" w:rsidRDefault="0078061D" w14:paraId="6875FEC1" w14:textId="77777777" w:rsidP="0078061D">
      <w:pPr>
        <w:pStyle w:val="Heading1"/>
      </w:pPr>
      <w:bookmarkStart w:id="1" w:name="_Toc188441972"/>
      <w:r>
        <w:t>Executive Summary</w:t>
        <w:lastRenderedPageBreak/>
      </w:r>
      <w:bookmarkEnd w:id="1"/>
    </w:p>
    <w:p w:rsidR="00BC755E" w:rsidRDefault="0078061D" w14:paraId="7E058BAC" w14:textId="5C167F52" w:rsidP="0078061D">
      <w:r w:rsidRPr="0078061D">
        <w:t xml:space="preserve">This research analyses Marriott International's leadership and teamwork efforts by studying its business framework and examining how the company works today. Using established management </w:t>
      </w:r>
      <w:r w:rsidR="00B1736A" w:rsidRPr="0078061D">
        <w:t>models,</w:t>
      </w:r>
      <w:r w:rsidRPr="0078061D">
        <w:t xml:space="preserve"> the research finds how the different parts help Marriott achieve success both as a company and at its hotels. </w:t>
      </w:r>
      <w:r w:rsidR="00B1736A">
        <w:t>This</w:t>
      </w:r>
      <w:r w:rsidRPr="0078061D">
        <w:t xml:space="preserve"> report provides targeted recommendations that help Marriott stay competitive while reaching its long-term goals through enhanced innovation and market flexibility.</w:t>
      </w:r>
      <w:r>
        <w:br w:type="page"/>
      </w:r>
    </w:p>
    <w:sdt>
      <w:sdtPr>
        <w:rPr>
          <w:b/>
          <w:bCs/>
          <w:sz w:val="32"/>
          <w:szCs w:val="28"/>
        </w:rPr>
        <w:id w:val="1010415567"/>
        <w:docPartObj>
          <w:docPartGallery w:val="Table of Contents"/>
          <w:docPartUnique/>
        </w:docPartObj>
      </w:sdtPr>
      <w:sdtEndPr>
        <w:rPr>
          <w:noProof/>
          <w:sz w:val="24"/>
          <w:szCs w:val="22"/>
        </w:rPr>
      </w:sdtEndPr>
      <w:sdtContent>
        <w:p w:rsidR="0078061D" w:rsidRDefault="0078061D" w14:paraId="1D8A063A" w14:textId="7CF74663" w:rsidP="0078061D" w:rsidRPr="0078061D">
          <w:pPr>
            <w:rPr>
              <w:bCs/>
              <w:b/>
              <w:sz w:val="32"/>
              <w:szCs w:val="28"/>
            </w:rPr>
          </w:pPr>
          <w:r w:rsidRPr="0078061D">
            <w:rPr>
              <w:bCs/>
              <w:b/>
              <w:sz w:val="32"/>
              <w:szCs w:val="28"/>
            </w:rPr>
            <w:t>Table of Contents</w:t>
          </w:r>
        </w:p>
        <w:p w:rsidR="00B1736A" w:rsidRDefault="0078061D" w14:paraId="5A825073" w14:textId="15422368">
          <w:pPr>
            <w:pStyle w:val="TOC1"/>
            <w:tabs>
              <w:tab w:val="right" w:leader="dot" w:pos="9016"/>
            </w:tabs>
            <w:rPr>
              <w:noProof/>
              <w:kern w:val="2"/>
              <w:lang w:val="en-IN" w:eastAsia="en-IN"/>
              <w14:ligatures w14:val="standardContextual"/>
              <w:rFonts w:ascii="Calibri" w:eastAsiaTheme="minorEastAsia" w:hAnsiTheme="minorHAnsi" w:cstheme="minorBidi"/>
              <w:szCs w:val="21"/>
            </w:rPr>
          </w:pPr>
          <w:r>
            <w:fldChar w:fldCharType="begin"/>
          </w:r>
          <w:r>
            <w:instrText xml:space="preserve"> TOC \o "1-3" \h \z \u </w:instrText>
          </w:r>
          <w:r>
            <w:fldChar w:fldCharType="separate"/>
          </w:r>
          <w:hyperlink w:anchor="_Toc188441972" w:history="1">
            <w:r w:rsidR="00B1736A" w:rsidRPr="00DD729A">
              <w:rPr>
                <w:noProof/>
                <w:rStyle w:val="Hyperlink"/>
              </w:rPr>
              <w:t>Executive Summary</w:t>
            </w:r>
            <w:r w:rsidR="00B1736A">
              <w:rPr>
                <w:noProof/>
                <w:webHidden/>
              </w:rPr>
              <w:tab/>
            </w:r>
            <w:r w:rsidR="00B1736A">
              <w:rPr>
                <w:noProof/>
                <w:webHidden/>
              </w:rPr>
              <w:fldChar w:fldCharType="begin"/>
            </w:r>
            <w:r w:rsidR="00B1736A">
              <w:rPr>
                <w:noProof/>
                <w:webHidden/>
              </w:rPr>
              <w:instrText xml:space="preserve"> PAGEREF _Toc188441972 \h </w:instrText>
            </w:r>
            <w:r w:rsidR="00B1736A">
              <w:rPr>
                <w:noProof/>
                <w:webHidden/>
              </w:rPr>
            </w:r>
            <w:r w:rsidR="00B1736A">
              <w:rPr>
                <w:noProof/>
                <w:webHidden/>
              </w:rPr>
              <w:fldChar w:fldCharType="separate"/>
            </w:r>
            <w:r w:rsidR="00B1736A">
              <w:rPr>
                <w:noProof/>
                <w:webHidden/>
              </w:rPr>
              <w:t>2</w:t>
            </w:r>
            <w:r w:rsidR="00B1736A">
              <w:rPr>
                <w:noProof/>
                <w:webHidden/>
              </w:rPr>
              <w:fldChar w:fldCharType="end"/>
            </w:r>
          </w:hyperlink>
        </w:p>
        <w:p w:rsidR="00B1736A" w:rsidRDefault="007F2025" w14:paraId="545522B1" w14:textId="32E5BBE1">
          <w:pPr>
            <w:pStyle w:val="TOC1"/>
            <w:tabs>
              <w:tab w:val="right" w:leader="dot" w:pos="9016"/>
            </w:tabs>
            <w:rPr>
              <w:noProof/>
              <w:kern w:val="2"/>
              <w:lang w:val="en-IN" w:eastAsia="en-IN"/>
              <w14:ligatures w14:val="standardContextual"/>
              <w:rFonts w:ascii="Calibri" w:eastAsiaTheme="minorEastAsia" w:hAnsiTheme="minorHAnsi" w:cstheme="minorBidi"/>
              <w:szCs w:val="21"/>
            </w:rPr>
          </w:pPr>
          <w:hyperlink w:anchor="_Toc188441973" w:history="1">
            <w:r w:rsidR="00B1736A" w:rsidRPr="00DD729A">
              <w:rPr>
                <w:noProof/>
                <w:rStyle w:val="Hyperlink"/>
              </w:rPr>
              <w:t>1. Introduction</w:t>
            </w:r>
            <w:r w:rsidR="00B1736A">
              <w:rPr>
                <w:noProof/>
                <w:webHidden/>
              </w:rPr>
              <w:tab/>
            </w:r>
            <w:r w:rsidR="00B1736A">
              <w:rPr>
                <w:noProof/>
                <w:webHidden/>
              </w:rPr>
              <w:fldChar w:fldCharType="begin"/>
            </w:r>
            <w:r w:rsidR="00B1736A">
              <w:rPr>
                <w:noProof/>
                <w:webHidden/>
              </w:rPr>
              <w:instrText xml:space="preserve"> PAGEREF _Toc188441973 \h </w:instrText>
            </w:r>
            <w:r w:rsidR="00B1736A">
              <w:rPr>
                <w:noProof/>
                <w:webHidden/>
              </w:rPr>
            </w:r>
            <w:r w:rsidR="00B1736A">
              <w:rPr>
                <w:noProof/>
                <w:webHidden/>
              </w:rPr>
              <w:fldChar w:fldCharType="separate"/>
            </w:r>
            <w:r w:rsidR="00B1736A">
              <w:rPr>
                <w:noProof/>
                <w:webHidden/>
              </w:rPr>
              <w:t>4</w:t>
            </w:r>
            <w:r w:rsidR="00B1736A">
              <w:rPr>
                <w:noProof/>
                <w:webHidden/>
              </w:rPr>
              <w:fldChar w:fldCharType="end"/>
            </w:r>
          </w:hyperlink>
        </w:p>
        <w:p w:rsidR="00B1736A" w:rsidRDefault="007F2025" w14:paraId="6120D51D" w14:textId="068BB5F8">
          <w:pPr>
            <w:pStyle w:val="TOC1"/>
            <w:tabs>
              <w:tab w:val="right" w:leader="dot" w:pos="9016"/>
            </w:tabs>
            <w:rPr>
              <w:noProof/>
              <w:kern w:val="2"/>
              <w:lang w:val="en-IN" w:eastAsia="en-IN"/>
              <w14:ligatures w14:val="standardContextual"/>
              <w:rFonts w:ascii="Calibri" w:eastAsiaTheme="minorEastAsia" w:hAnsiTheme="minorHAnsi" w:cstheme="minorBidi"/>
              <w:szCs w:val="21"/>
            </w:rPr>
          </w:pPr>
          <w:hyperlink w:anchor="_Toc188441974" w:history="1">
            <w:r w:rsidR="00B1736A" w:rsidRPr="00DD729A">
              <w:rPr>
                <w:noProof/>
                <w:rStyle w:val="Hyperlink"/>
              </w:rPr>
              <w:t>2. Organisation Structure, Culture, and Goals</w:t>
            </w:r>
            <w:r w:rsidR="00B1736A">
              <w:rPr>
                <w:noProof/>
                <w:webHidden/>
              </w:rPr>
              <w:tab/>
            </w:r>
            <w:r w:rsidR="00B1736A">
              <w:rPr>
                <w:noProof/>
                <w:webHidden/>
              </w:rPr>
              <w:fldChar w:fldCharType="begin"/>
            </w:r>
            <w:r w:rsidR="00B1736A">
              <w:rPr>
                <w:noProof/>
                <w:webHidden/>
              </w:rPr>
              <w:instrText xml:space="preserve"> PAGEREF _Toc188441974 \h </w:instrText>
            </w:r>
            <w:r w:rsidR="00B1736A">
              <w:rPr>
                <w:noProof/>
                <w:webHidden/>
              </w:rPr>
            </w:r>
            <w:r w:rsidR="00B1736A">
              <w:rPr>
                <w:noProof/>
                <w:webHidden/>
              </w:rPr>
              <w:fldChar w:fldCharType="separate"/>
            </w:r>
            <w:r w:rsidR="00B1736A">
              <w:rPr>
                <w:noProof/>
                <w:webHidden/>
              </w:rPr>
              <w:t>5</w:t>
            </w:r>
            <w:r w:rsidR="00B1736A">
              <w:rPr>
                <w:noProof/>
                <w:webHidden/>
              </w:rPr>
              <w:fldChar w:fldCharType="end"/>
            </w:r>
          </w:hyperlink>
        </w:p>
        <w:p w:rsidR="00B1736A" w:rsidRDefault="007F2025" w14:paraId="439C9A31" w14:textId="13BB0AB3">
          <w:pPr>
            <w:pStyle w:val="TOC1"/>
            <w:tabs>
              <w:tab w:val="right" w:leader="dot" w:pos="9016"/>
            </w:tabs>
            <w:rPr>
              <w:noProof/>
              <w:kern w:val="2"/>
              <w:lang w:val="en-IN" w:eastAsia="en-IN"/>
              <w14:ligatures w14:val="standardContextual"/>
              <w:rFonts w:ascii="Calibri" w:eastAsiaTheme="minorEastAsia" w:hAnsiTheme="minorHAnsi" w:cstheme="minorBidi"/>
              <w:szCs w:val="21"/>
            </w:rPr>
          </w:pPr>
          <w:hyperlink w:anchor="_Toc188441975" w:history="1">
            <w:r w:rsidR="00B1736A" w:rsidRPr="00DD729A">
              <w:rPr>
                <w:noProof/>
                <w:rStyle w:val="Hyperlink"/>
              </w:rPr>
              <w:t>3. Recent Change Initiatives</w:t>
            </w:r>
            <w:r w:rsidR="00B1736A">
              <w:rPr>
                <w:noProof/>
                <w:webHidden/>
              </w:rPr>
              <w:tab/>
            </w:r>
            <w:r w:rsidR="00B1736A">
              <w:rPr>
                <w:noProof/>
                <w:webHidden/>
              </w:rPr>
              <w:fldChar w:fldCharType="begin"/>
            </w:r>
            <w:r w:rsidR="00B1736A">
              <w:rPr>
                <w:noProof/>
                <w:webHidden/>
              </w:rPr>
              <w:instrText xml:space="preserve"> PAGEREF _Toc188441975 \h </w:instrText>
            </w:r>
            <w:r w:rsidR="00B1736A">
              <w:rPr>
                <w:noProof/>
                <w:webHidden/>
              </w:rPr>
            </w:r>
            <w:r w:rsidR="00B1736A">
              <w:rPr>
                <w:noProof/>
                <w:webHidden/>
              </w:rPr>
              <w:fldChar w:fldCharType="separate"/>
            </w:r>
            <w:r w:rsidR="00B1736A">
              <w:rPr>
                <w:noProof/>
                <w:webHidden/>
              </w:rPr>
              <w:t>7</w:t>
            </w:r>
            <w:r w:rsidR="00B1736A">
              <w:rPr>
                <w:noProof/>
                <w:webHidden/>
              </w:rPr>
              <w:fldChar w:fldCharType="end"/>
            </w:r>
          </w:hyperlink>
        </w:p>
        <w:p w:rsidR="00B1736A" w:rsidRDefault="007F2025" w14:paraId="69D42FC7" w14:textId="75C17A0D">
          <w:pPr>
            <w:pStyle w:val="TOC1"/>
            <w:tabs>
              <w:tab w:val="right" w:leader="dot" w:pos="9016"/>
            </w:tabs>
            <w:rPr>
              <w:noProof/>
              <w:kern w:val="2"/>
              <w:lang w:val="en-IN" w:eastAsia="en-IN"/>
              <w14:ligatures w14:val="standardContextual"/>
              <w:rFonts w:ascii="Calibri" w:eastAsiaTheme="minorEastAsia" w:hAnsiTheme="minorHAnsi" w:cstheme="minorBidi"/>
              <w:szCs w:val="21"/>
            </w:rPr>
          </w:pPr>
          <w:hyperlink w:anchor="_Toc188441976" w:history="1">
            <w:r w:rsidR="00B1736A" w:rsidRPr="00DD729A">
              <w:rPr>
                <w:noProof/>
                <w:rStyle w:val="Hyperlink"/>
              </w:rPr>
              <w:t>4. Strategic Direction</w:t>
            </w:r>
            <w:r w:rsidR="00B1736A">
              <w:rPr>
                <w:noProof/>
                <w:webHidden/>
              </w:rPr>
              <w:tab/>
            </w:r>
            <w:r w:rsidR="00B1736A">
              <w:rPr>
                <w:noProof/>
                <w:webHidden/>
              </w:rPr>
              <w:fldChar w:fldCharType="begin"/>
            </w:r>
            <w:r w:rsidR="00B1736A">
              <w:rPr>
                <w:noProof/>
                <w:webHidden/>
              </w:rPr>
              <w:instrText xml:space="preserve"> PAGEREF _Toc188441976 \h </w:instrText>
            </w:r>
            <w:r w:rsidR="00B1736A">
              <w:rPr>
                <w:noProof/>
                <w:webHidden/>
              </w:rPr>
            </w:r>
            <w:r w:rsidR="00B1736A">
              <w:rPr>
                <w:noProof/>
                <w:webHidden/>
              </w:rPr>
              <w:fldChar w:fldCharType="separate"/>
            </w:r>
            <w:r w:rsidR="00B1736A">
              <w:rPr>
                <w:noProof/>
                <w:webHidden/>
              </w:rPr>
              <w:t>9</w:t>
            </w:r>
            <w:r w:rsidR="00B1736A">
              <w:rPr>
                <w:noProof/>
                <w:webHidden/>
              </w:rPr>
              <w:fldChar w:fldCharType="end"/>
            </w:r>
          </w:hyperlink>
        </w:p>
        <w:p w:rsidR="00B1736A" w:rsidRDefault="007F2025" w14:paraId="0C39C74D" w14:textId="2DC60D39">
          <w:pPr>
            <w:pStyle w:val="TOC1"/>
            <w:tabs>
              <w:tab w:val="right" w:leader="dot" w:pos="9016"/>
            </w:tabs>
            <w:rPr>
              <w:noProof/>
              <w:kern w:val="2"/>
              <w:lang w:val="en-IN" w:eastAsia="en-IN"/>
              <w14:ligatures w14:val="standardContextual"/>
              <w:rFonts w:ascii="Calibri" w:eastAsiaTheme="minorEastAsia" w:hAnsiTheme="minorHAnsi" w:cstheme="minorBidi"/>
              <w:szCs w:val="21"/>
            </w:rPr>
          </w:pPr>
          <w:hyperlink w:anchor="_Toc188441977" w:history="1">
            <w:r w:rsidR="00B1736A" w:rsidRPr="00DD729A">
              <w:rPr>
                <w:noProof/>
                <w:rStyle w:val="Hyperlink"/>
              </w:rPr>
              <w:t>5. Recommendations</w:t>
            </w:r>
            <w:r w:rsidR="00B1736A">
              <w:rPr>
                <w:noProof/>
                <w:webHidden/>
              </w:rPr>
              <w:tab/>
            </w:r>
            <w:r w:rsidR="00B1736A">
              <w:rPr>
                <w:noProof/>
                <w:webHidden/>
              </w:rPr>
              <w:fldChar w:fldCharType="begin"/>
            </w:r>
            <w:r w:rsidR="00B1736A">
              <w:rPr>
                <w:noProof/>
                <w:webHidden/>
              </w:rPr>
              <w:instrText xml:space="preserve"> PAGEREF _Toc188441977 \h </w:instrText>
            </w:r>
            <w:r w:rsidR="00B1736A">
              <w:rPr>
                <w:noProof/>
                <w:webHidden/>
              </w:rPr>
            </w:r>
            <w:r w:rsidR="00B1736A">
              <w:rPr>
                <w:noProof/>
                <w:webHidden/>
              </w:rPr>
              <w:fldChar w:fldCharType="separate"/>
            </w:r>
            <w:r w:rsidR="00B1736A">
              <w:rPr>
                <w:noProof/>
                <w:webHidden/>
              </w:rPr>
              <w:t>10</w:t>
            </w:r>
            <w:r w:rsidR="00B1736A">
              <w:rPr>
                <w:noProof/>
                <w:webHidden/>
              </w:rPr>
              <w:fldChar w:fldCharType="end"/>
            </w:r>
          </w:hyperlink>
        </w:p>
        <w:p w:rsidR="00B1736A" w:rsidRDefault="007F2025" w14:paraId="1F9F9EEE" w14:textId="11B745C9">
          <w:pPr>
            <w:pStyle w:val="TOC1"/>
            <w:tabs>
              <w:tab w:val="right" w:leader="dot" w:pos="9016"/>
            </w:tabs>
            <w:rPr>
              <w:noProof/>
              <w:kern w:val="2"/>
              <w:lang w:val="en-IN" w:eastAsia="en-IN"/>
              <w14:ligatures w14:val="standardContextual"/>
              <w:rFonts w:ascii="Calibri" w:eastAsiaTheme="minorEastAsia" w:hAnsiTheme="minorHAnsi" w:cstheme="minorBidi"/>
              <w:szCs w:val="21"/>
            </w:rPr>
          </w:pPr>
          <w:hyperlink w:anchor="_Toc188441978" w:history="1">
            <w:r w:rsidR="00B1736A" w:rsidRPr="00DD729A">
              <w:rPr>
                <w:noProof/>
                <w:rStyle w:val="Hyperlink"/>
              </w:rPr>
              <w:t>6. Conclusion</w:t>
            </w:r>
            <w:r w:rsidR="00B1736A">
              <w:rPr>
                <w:noProof/>
                <w:webHidden/>
              </w:rPr>
              <w:tab/>
            </w:r>
            <w:r w:rsidR="00B1736A">
              <w:rPr>
                <w:noProof/>
                <w:webHidden/>
              </w:rPr>
              <w:fldChar w:fldCharType="begin"/>
            </w:r>
            <w:r w:rsidR="00B1736A">
              <w:rPr>
                <w:noProof/>
                <w:webHidden/>
              </w:rPr>
              <w:instrText xml:space="preserve"> PAGEREF _Toc188441978 \h </w:instrText>
            </w:r>
            <w:r w:rsidR="00B1736A">
              <w:rPr>
                <w:noProof/>
                <w:webHidden/>
              </w:rPr>
            </w:r>
            <w:r w:rsidR="00B1736A">
              <w:rPr>
                <w:noProof/>
                <w:webHidden/>
              </w:rPr>
              <w:fldChar w:fldCharType="separate"/>
            </w:r>
            <w:r w:rsidR="00B1736A">
              <w:rPr>
                <w:noProof/>
                <w:webHidden/>
              </w:rPr>
              <w:t>11</w:t>
            </w:r>
            <w:r w:rsidR="00B1736A">
              <w:rPr>
                <w:noProof/>
                <w:webHidden/>
              </w:rPr>
              <w:fldChar w:fldCharType="end"/>
            </w:r>
          </w:hyperlink>
        </w:p>
        <w:p w:rsidR="00B1736A" w:rsidRDefault="007F2025" w14:paraId="49A0CEA7" w14:textId="01F22D6F">
          <w:pPr>
            <w:pStyle w:val="TOC1"/>
            <w:tabs>
              <w:tab w:val="right" w:leader="dot" w:pos="9016"/>
            </w:tabs>
            <w:rPr>
              <w:noProof/>
              <w:kern w:val="2"/>
              <w:lang w:val="en-IN" w:eastAsia="en-IN"/>
              <w14:ligatures w14:val="standardContextual"/>
              <w:rFonts w:ascii="Calibri" w:eastAsiaTheme="minorEastAsia" w:hAnsiTheme="minorHAnsi" w:cstheme="minorBidi"/>
              <w:szCs w:val="21"/>
            </w:rPr>
          </w:pPr>
          <w:hyperlink w:anchor="_Toc188441979" w:history="1">
            <w:r w:rsidR="00B1736A" w:rsidRPr="00DD729A">
              <w:rPr>
                <w:noProof/>
                <w:rStyle w:val="Hyperlink"/>
              </w:rPr>
              <w:t>References</w:t>
            </w:r>
            <w:r w:rsidR="00B1736A">
              <w:rPr>
                <w:noProof/>
                <w:webHidden/>
              </w:rPr>
              <w:tab/>
            </w:r>
            <w:r w:rsidR="00B1736A">
              <w:rPr>
                <w:noProof/>
                <w:webHidden/>
              </w:rPr>
              <w:fldChar w:fldCharType="begin"/>
            </w:r>
            <w:r w:rsidR="00B1736A">
              <w:rPr>
                <w:noProof/>
                <w:webHidden/>
              </w:rPr>
              <w:instrText xml:space="preserve"> PAGEREF _Toc188441979 \h </w:instrText>
            </w:r>
            <w:r w:rsidR="00B1736A">
              <w:rPr>
                <w:noProof/>
                <w:webHidden/>
              </w:rPr>
            </w:r>
            <w:r w:rsidR="00B1736A">
              <w:rPr>
                <w:noProof/>
                <w:webHidden/>
              </w:rPr>
              <w:fldChar w:fldCharType="separate"/>
            </w:r>
            <w:r w:rsidR="00B1736A">
              <w:rPr>
                <w:noProof/>
                <w:webHidden/>
              </w:rPr>
              <w:t>12</w:t>
            </w:r>
            <w:r w:rsidR="00B1736A">
              <w:rPr>
                <w:noProof/>
                <w:webHidden/>
              </w:rPr>
              <w:fldChar w:fldCharType="end"/>
            </w:r>
          </w:hyperlink>
        </w:p>
        <w:p w:rsidR="0078061D" w:rsidRDefault="0078061D" w14:paraId="531DA5A7" w14:textId="3924AD5E">
          <w:r>
            <w:rPr>
              <w:bCs/>
              <w:noProof/>
              <w:b/>
            </w:rPr>
            <w:fldChar w:fldCharType="end"/>
          </w:r>
        </w:p>
      </w:sdtContent>
    </w:sdt>
    <w:p w:rsidR="00B5118D" w:rsidRDefault="00B5118D" w14:paraId="53E202C1" w14:textId="77777777" w:rsidP="0078061D">
      <w:pPr>
        <w:rPr>
          <w:bCs/>
          <w:b/>
        </w:rPr>
      </w:pPr>
      <w:r w:rsidRPr="00B5118D">
        <w:rPr>
          <w:bCs/>
          <w:b/>
          <w:sz w:val="32"/>
          <w:szCs w:val="28"/>
        </w:rPr>
        <w:t>Table of Figures</w:t>
      </w:r>
    </w:p>
    <w:p w:rsidR="00ED2BEF" w:rsidRDefault="00ED2BEF" w14:paraId="13805F3E" w14:textId="5E6039BD">
      <w:pPr>
        <w:pStyle w:val="TableofFigures"/>
        <w:tabs>
          <w:tab w:val="right" w:leader="dot" w:pos="9016"/>
        </w:tabs>
        <w:rPr>
          <w:noProof/>
        </w:rPr>
      </w:pPr>
      <w:r>
        <w:fldChar w:fldCharType="begin"/>
      </w:r>
      <w:r>
        <w:instrText xml:space="preserve"> TOC \h \z \c "Figure" </w:instrText>
      </w:r>
      <w:r>
        <w:fldChar w:fldCharType="separate"/>
      </w:r>
      <w:hyperlink w:anchor="_Toc188456497" w:history="1">
        <w:r w:rsidRPr="00B20979">
          <w:rPr>
            <w:noProof/>
            <w:rStyle w:val="Hyperlink"/>
          </w:rPr>
          <w:t>Figure 1</w:t>
        </w:r>
        <w:r w:rsidRPr="00B20979">
          <w:rPr>
            <w:noProof/>
            <w:lang w:val="en-IN"/>
            <w:rStyle w:val="Hyperlink"/>
          </w:rPr>
          <w:t>: Marriott</w:t>
        </w:r>
        <w:r>
          <w:rPr>
            <w:noProof/>
            <w:webHidden/>
          </w:rPr>
          <w:tab/>
        </w:r>
        <w:r>
          <w:rPr>
            <w:noProof/>
            <w:webHidden/>
          </w:rPr>
          <w:fldChar w:fldCharType="begin"/>
        </w:r>
        <w:r>
          <w:rPr>
            <w:noProof/>
            <w:webHidden/>
          </w:rPr>
          <w:instrText xml:space="preserve"> PAGEREF _Toc188456497 \h </w:instrText>
        </w:r>
        <w:r>
          <w:rPr>
            <w:noProof/>
            <w:webHidden/>
          </w:rPr>
        </w:r>
        <w:r>
          <w:rPr>
            <w:noProof/>
            <w:webHidden/>
          </w:rPr>
          <w:fldChar w:fldCharType="separate"/>
        </w:r>
        <w:r>
          <w:rPr>
            <w:noProof/>
            <w:webHidden/>
          </w:rPr>
          <w:t>4</w:t>
        </w:r>
        <w:r>
          <w:rPr>
            <w:noProof/>
            <w:webHidden/>
          </w:rPr>
          <w:fldChar w:fldCharType="end"/>
        </w:r>
      </w:hyperlink>
    </w:p>
    <w:p w:rsidR="00ED2BEF" w:rsidRDefault="007F2025" w14:paraId="3ED27AB5" w14:textId="3364BADC">
      <w:pPr>
        <w:pStyle w:val="TableofFigures"/>
        <w:tabs>
          <w:tab w:val="right" w:leader="dot" w:pos="9016"/>
        </w:tabs>
        <w:rPr>
          <w:noProof/>
        </w:rPr>
      </w:pPr>
      <w:hyperlink w:anchor="_Toc188456498" w:history="1">
        <w:r w:rsidR="00ED2BEF" w:rsidRPr="00B20979">
          <w:rPr>
            <w:noProof/>
            <w:rStyle w:val="Hyperlink"/>
          </w:rPr>
          <w:t>Figure 2</w:t>
        </w:r>
        <w:r w:rsidR="00ED2BEF" w:rsidRPr="00B20979">
          <w:rPr>
            <w:noProof/>
            <w:lang w:val="en-IN"/>
            <w:rStyle w:val="Hyperlink"/>
          </w:rPr>
          <w:t>: Mintzberg's 1979</w:t>
        </w:r>
        <w:r w:rsidR="00ED2BEF">
          <w:rPr>
            <w:noProof/>
            <w:webHidden/>
          </w:rPr>
          <w:tab/>
        </w:r>
        <w:r w:rsidR="00ED2BEF">
          <w:rPr>
            <w:noProof/>
            <w:webHidden/>
          </w:rPr>
          <w:fldChar w:fldCharType="begin"/>
        </w:r>
        <w:r w:rsidR="00ED2BEF">
          <w:rPr>
            <w:noProof/>
            <w:webHidden/>
          </w:rPr>
          <w:instrText xml:space="preserve"> PAGEREF _Toc188456498 \h </w:instrText>
        </w:r>
        <w:r w:rsidR="00ED2BEF">
          <w:rPr>
            <w:noProof/>
            <w:webHidden/>
          </w:rPr>
        </w:r>
        <w:r w:rsidR="00ED2BEF">
          <w:rPr>
            <w:noProof/>
            <w:webHidden/>
          </w:rPr>
          <w:fldChar w:fldCharType="separate"/>
        </w:r>
        <w:r w:rsidR="00ED2BEF">
          <w:rPr>
            <w:noProof/>
            <w:webHidden/>
          </w:rPr>
          <w:t>5</w:t>
        </w:r>
        <w:r w:rsidR="00ED2BEF">
          <w:rPr>
            <w:noProof/>
            <w:webHidden/>
          </w:rPr>
          <w:fldChar w:fldCharType="end"/>
        </w:r>
      </w:hyperlink>
    </w:p>
    <w:p w:rsidR="00ED2BEF" w:rsidRDefault="007F2025" w14:paraId="2BBA3989" w14:textId="0FD9BD45">
      <w:pPr>
        <w:pStyle w:val="TableofFigures"/>
        <w:tabs>
          <w:tab w:val="right" w:leader="dot" w:pos="9016"/>
        </w:tabs>
        <w:rPr>
          <w:noProof/>
        </w:rPr>
      </w:pPr>
      <w:hyperlink w:anchor="_Toc188456499" w:history="1">
        <w:r w:rsidR="00ED2BEF" w:rsidRPr="00B20979">
          <w:rPr>
            <w:noProof/>
            <w:rStyle w:val="Hyperlink"/>
          </w:rPr>
          <w:t>Figure 3</w:t>
        </w:r>
        <w:r w:rsidR="00ED2BEF" w:rsidRPr="00B20979">
          <w:rPr>
            <w:noProof/>
            <w:lang w:val="en-IN"/>
            <w:rStyle w:val="Hyperlink"/>
          </w:rPr>
          <w:t>: Recommendations</w:t>
        </w:r>
        <w:r w:rsidR="00ED2BEF">
          <w:rPr>
            <w:noProof/>
            <w:webHidden/>
          </w:rPr>
          <w:tab/>
        </w:r>
        <w:r w:rsidR="00ED2BEF">
          <w:rPr>
            <w:noProof/>
            <w:webHidden/>
          </w:rPr>
          <w:fldChar w:fldCharType="begin"/>
        </w:r>
        <w:r w:rsidR="00ED2BEF">
          <w:rPr>
            <w:noProof/>
            <w:webHidden/>
          </w:rPr>
          <w:instrText xml:space="preserve"> PAGEREF _Toc188456499 \h </w:instrText>
        </w:r>
        <w:r w:rsidR="00ED2BEF">
          <w:rPr>
            <w:noProof/>
            <w:webHidden/>
          </w:rPr>
        </w:r>
        <w:r w:rsidR="00ED2BEF">
          <w:rPr>
            <w:noProof/>
            <w:webHidden/>
          </w:rPr>
          <w:fldChar w:fldCharType="separate"/>
        </w:r>
        <w:r w:rsidR="00ED2BEF">
          <w:rPr>
            <w:noProof/>
            <w:webHidden/>
          </w:rPr>
          <w:t>10</w:t>
        </w:r>
        <w:r w:rsidR="00ED2BEF">
          <w:rPr>
            <w:noProof/>
            <w:webHidden/>
          </w:rPr>
          <w:fldChar w:fldCharType="end"/>
        </w:r>
      </w:hyperlink>
    </w:p>
    <w:p w:rsidR="0078061D" w:rsidRDefault="00ED2BEF" w14:paraId="203A1AFC" w14:textId="223E170F" w:rsidP="00B5118D" w:rsidRPr="00B5118D">
      <w:pPr>
        <w:rPr>
          <w:rFonts w:eastAsiaTheme="majorEastAsia" w:cstheme="majorBidi"/>
          <w:sz w:val="36"/>
          <w:szCs w:val="32"/>
        </w:rPr>
      </w:pPr>
      <w:r>
        <w:fldChar w:fldCharType="end"/>
      </w:r>
      <w:r>
        <w:br w:type="page"/>
      </w:r>
    </w:p>
    <w:p w:rsidR="00BC755E" w:rsidRDefault="00BC755E" w14:paraId="63C57110" w14:textId="35873CF4" w:rsidP="00BC755E">
      <w:pPr>
        <w:pStyle w:val="Heading1"/>
      </w:pPr>
      <w:bookmarkStart w:id="2" w:name="_Toc188441973"/>
      <w:r>
        <w:t>1. Introduction</w:t>
        <w:lastRenderedPageBreak/>
      </w:r>
      <w:bookmarkEnd w:id="2"/>
    </w:p>
    <w:p w:rsidR="00B5118D" w:rsidRDefault="0078061D" w14:paraId="4C277FCB" w14:textId="77777777" w:rsidP="0078061D">
      <w:r w:rsidRPr="0078061D">
        <w:t>Marriott International operates 8,000 hotels worldwide and ranks as a top hotel chain in 139 nations by 2023. Marriott sets market leadership through its multiple luxury and excellent service brands including Ritz-Carlton and Westin. The hospitality company runs these brands under Sheraton alongside others to serve different types of guests. Marriott runs the most hotels worldwide and earns its position as the market leader in the hotel business. Our report examines Marriott's corporate identity by evaluating its business structure, working environment, and operational achievements while analysing the effectiveness of its leadership methods. The study examines how structure and culture affect performance plus analyses the latest company changes and future business targets. The report offers practical suggestions to help Marriott strengthen its industry standing based on the latest research findings.</w:t>
      </w:r>
    </w:p>
    <w:p w:rsidR="00B5118D" w:rsidRDefault="00B5118D" w14:paraId="3CFE0111" w14:textId="77777777" w:rsidP="00B5118D">
      <w:pPr>
        <w:keepNext/>
        <w:jc w:val="center"/>
      </w:pPr>
      <w:r>
        <w:rPr>
          <w:noProof/>
        </w:rPr>
        <w:drawing>
          <wp:inline distB="0" distL="0" distR="0" distT="0" wp14:anchorId="0BBAF371" wp14:editId="7D40B501">
            <wp:extent cx="5053330" cy="2023110"/>
            <wp:effectExtent l="0" t="0" r="0" b="0"/>
            <wp:docPr id="1423962697" name="Picture 1" descr="Marriott JFK Airport Hotel | Luxury Hotel &amp; Event Venue l in Jamaica,  Queens 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riott JFK Airport Hotel | Luxury Hotel &amp; Event Venue l in Jamaica,  Queens NY"/>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069985" cy="2030015"/>
                    </a:xfrm>
                    <a:prstGeom prst="rect">
                      <a:avLst/>
                    </a:prstGeom>
                    <a:noFill/>
                    <a:ln>
                      <a:noFill/>
                    </a:ln>
                  </pic:spPr>
                </pic:pic>
              </a:graphicData>
            </a:graphic>
          </wp:inline>
        </w:drawing>
      </w:r>
    </w:p>
    <w:p w:rsidR="00B5118D" w:rsidRDefault="00B5118D" w14:paraId="12331953" w14:textId="3CB3900C" w:rsidP="00B5118D">
      <w:pPr>
        <w:pStyle w:val="Caption"/>
        <w:jc w:val="center"/>
        <w:rPr>
          <w:iCs w:val="0"/>
          <w:lang w:val="en-IN"/>
          <w:i w:val="0"/>
          <w:color w:val="auto"/>
        </w:rPr>
      </w:pPr>
      <w:bookmarkStart w:id="3" w:name="_Toc188456497"/>
      <w:r w:rsidRPr="00B5118D">
        <w:rPr>
          <w:iCs w:val="0"/>
          <w:i w:val="0"/>
          <w:color w:val="auto"/>
        </w:rPr>
        <w:t xml:space="preserve">Figure </w:t>
      </w:r>
      <w:r w:rsidRPr="00B5118D">
        <w:rPr>
          <w:iCs w:val="0"/>
          <w:i w:val="0"/>
          <w:color w:val="auto"/>
        </w:rPr>
        <w:fldChar w:fldCharType="begin"/>
      </w:r>
      <w:r w:rsidRPr="00B5118D">
        <w:rPr>
          <w:iCs w:val="0"/>
          <w:i w:val="0"/>
          <w:color w:val="auto"/>
        </w:rPr>
        <w:instrText xml:space="preserve"> SEQ Figure \* ARABIC </w:instrText>
      </w:r>
      <w:r w:rsidRPr="00B5118D">
        <w:rPr>
          <w:iCs w:val="0"/>
          <w:i w:val="0"/>
          <w:color w:val="auto"/>
        </w:rPr>
        <w:fldChar w:fldCharType="separate"/>
      </w:r>
      <w:r>
        <w:rPr>
          <w:iCs w:val="0"/>
          <w:noProof/>
          <w:i w:val="0"/>
          <w:color w:val="auto"/>
        </w:rPr>
        <w:t>1</w:t>
      </w:r>
      <w:r w:rsidRPr="00B5118D">
        <w:rPr>
          <w:iCs w:val="0"/>
          <w:i w:val="0"/>
          <w:color w:val="auto"/>
        </w:rPr>
        <w:fldChar w:fldCharType="end"/>
      </w:r>
      <w:r w:rsidRPr="00B5118D">
        <w:rPr>
          <w:iCs w:val="0"/>
          <w:lang w:val="en-IN"/>
          <w:i w:val="0"/>
          <w:color w:val="auto"/>
        </w:rPr>
        <w:t>: Marriott</w:t>
      </w:r>
      <w:bookmarkEnd w:id="3"/>
      <w:r w:rsidRPr="00B5118D">
        <w:rPr>
          <w:iCs w:val="0"/>
          <w:lang w:val="en-IN"/>
          <w:i w:val="0"/>
          <w:color w:val="auto"/>
        </w:rPr>
        <w:t xml:space="preserve"> </w:t>
      </w:r>
    </w:p>
    <w:p w:rsidR="00B5118D" w:rsidRDefault="00B5118D" w14:paraId="777BAB56" w14:textId="3540CE32" w:rsidP="00B5118D" w:rsidRPr="00B5118D">
      <w:pPr>
        <w:pStyle w:val="Caption"/>
        <w:jc w:val="center"/>
        <w:rPr>
          <w:iCs w:val="0"/>
          <w:i w:val="0"/>
          <w:color w:val="auto"/>
        </w:rPr>
      </w:pPr>
      <w:r w:rsidRPr="00B5118D">
        <w:rPr>
          <w:iCs w:val="0"/>
          <w:lang w:val="en-IN"/>
          <w:i w:val="0"/>
          <w:color w:val="auto"/>
        </w:rPr>
        <w:t>Source: (www.marriott.com, 2024)</w:t>
      </w:r>
    </w:p>
    <w:p w:rsidR="00BC755E" w:rsidRDefault="00BC755E" w14:paraId="1389830E" w14:textId="03B7CB46" w:rsidP="00B5118D" w:rsidRPr="0078061D">
      <w:pPr>
        <w:jc w:val="center"/>
      </w:pPr>
      <w:r>
        <w:br w:type="page"/>
      </w:r>
    </w:p>
    <w:p w:rsidR="00BC755E" w:rsidRDefault="00BC755E" w14:paraId="2BBAC937" w14:textId="1C5C1475" w:rsidP="00BC755E">
      <w:pPr>
        <w:pStyle w:val="Heading1"/>
      </w:pPr>
      <w:bookmarkStart w:id="4" w:name="_Toc188441974"/>
      <w:r>
        <w:t>2. Organisation Structure, Culture, and Goals</w:t>
        <w:lastRenderedPageBreak/>
      </w:r>
      <w:bookmarkEnd w:id="4"/>
    </w:p>
    <w:p w:rsidR="00BC755E" w:rsidRDefault="00BC755E" w14:paraId="37C61B79" w14:textId="77777777" w:rsidP="00BC755E" w:rsidRPr="00BC755E">
      <w:pPr>
        <w:rPr>
          <w:bCs/>
          <w:b/>
        </w:rPr>
      </w:pPr>
      <w:r w:rsidRPr="00BC755E">
        <w:rPr>
          <w:bCs/>
          <w:b/>
        </w:rPr>
        <w:t>Organisational Structure</w:t>
      </w:r>
    </w:p>
    <w:p w:rsidR="00BC755E" w:rsidRDefault="00BC755E" w14:paraId="4618B84A" w14:textId="77777777" w:rsidP="00BC755E">
      <w:r>
        <w:t>The organisation of Marriott International is a blend of functional and divisional structures running from a large enterprise which operates in a highly competitive industry. The corporate level of the organisation performs functions such as marketing, finance and personnel. This concentration provides uniformity in the delivery of service, and cost savings and weaves well with the strategic plans of the organisation. Powerful decisions like brand strategies, financial policies and so forth are decided at the corporate level to remain consistent in the wide spanner of the organisation. At the same time, Marriott right-brains it enough to allow for each brand and hotel to have their level of autonomy which encourages tailored feelings- individual decision-making, and local location. Its brands, such as Ritz-Carlton, Westin and Sheraton (among others) within the Marriott empire operate relatively independently from one another in most respects—serving up amenities and services that are weighted to local tastes &amp; conditions and regional competition.</w:t>
      </w:r>
    </w:p>
    <w:p w:rsidR="00B5118D" w:rsidRDefault="00B5118D" w14:paraId="41A752DB" w14:textId="77777777" w:rsidP="00B5118D">
      <w:pPr>
        <w:keepNext/>
        <w:jc w:val="center"/>
      </w:pPr>
      <w:r>
        <w:rPr>
          <w:noProof/>
        </w:rPr>
        <w:drawing>
          <wp:inline distB="0" distL="0" distR="0" distT="0" wp14:anchorId="35FE42F7" wp14:editId="173B9CEF">
            <wp:extent cx="3039110" cy="3059430"/>
            <wp:effectExtent l="0" t="0" r="8890" b="7620"/>
            <wp:docPr id="1130840699" name="Picture 2" descr="Mintzberg's organizational component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intzberg's organizational components. | Download Scientific Diagram"/>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43665" cy="3064137"/>
                    </a:xfrm>
                    <a:prstGeom prst="rect">
                      <a:avLst/>
                    </a:prstGeom>
                    <a:noFill/>
                    <a:ln>
                      <a:noFill/>
                    </a:ln>
                  </pic:spPr>
                </pic:pic>
              </a:graphicData>
            </a:graphic>
          </wp:inline>
        </w:drawing>
      </w:r>
    </w:p>
    <w:p w:rsidR="00B5118D" w:rsidRDefault="00B5118D" w14:paraId="68701895" w14:textId="60C7F1E9" w:rsidP="00B5118D">
      <w:pPr>
        <w:pStyle w:val="Caption"/>
        <w:jc w:val="center"/>
        <w:rPr>
          <w:iCs w:val="0"/>
          <w:lang w:val="en-IN"/>
          <w:i w:val="0"/>
          <w:color w:val="auto"/>
        </w:rPr>
      </w:pPr>
      <w:bookmarkStart w:id="5" w:name="_Toc188456498"/>
      <w:r w:rsidRPr="00B5118D">
        <w:rPr>
          <w:iCs w:val="0"/>
          <w:i w:val="0"/>
          <w:color w:val="auto"/>
        </w:rPr>
        <w:t xml:space="preserve">Figure </w:t>
      </w:r>
      <w:r w:rsidRPr="00B5118D">
        <w:rPr>
          <w:iCs w:val="0"/>
          <w:i w:val="0"/>
          <w:color w:val="auto"/>
        </w:rPr>
        <w:fldChar w:fldCharType="begin"/>
      </w:r>
      <w:r w:rsidRPr="00B5118D">
        <w:rPr>
          <w:iCs w:val="0"/>
          <w:i w:val="0"/>
          <w:color w:val="auto"/>
        </w:rPr>
        <w:instrText xml:space="preserve"> SEQ Figure \* ARABIC </w:instrText>
      </w:r>
      <w:r w:rsidRPr="00B5118D">
        <w:rPr>
          <w:iCs w:val="0"/>
          <w:i w:val="0"/>
          <w:color w:val="auto"/>
        </w:rPr>
        <w:fldChar w:fldCharType="separate"/>
      </w:r>
      <w:r>
        <w:rPr>
          <w:iCs w:val="0"/>
          <w:noProof/>
          <w:i w:val="0"/>
          <w:color w:val="auto"/>
        </w:rPr>
        <w:t>2</w:t>
      </w:r>
      <w:r w:rsidRPr="00B5118D">
        <w:rPr>
          <w:iCs w:val="0"/>
          <w:i w:val="0"/>
          <w:color w:val="auto"/>
        </w:rPr>
        <w:fldChar w:fldCharType="end"/>
      </w:r>
      <w:r w:rsidRPr="00B5118D">
        <w:rPr>
          <w:iCs w:val="0"/>
          <w:lang w:val="en-IN"/>
          <w:i w:val="0"/>
          <w:color w:val="auto"/>
        </w:rPr>
        <w:t>: Mintzberg's 1979</w:t>
      </w:r>
      <w:bookmarkEnd w:id="5"/>
      <w:r w:rsidRPr="00B5118D">
        <w:rPr>
          <w:iCs w:val="0"/>
          <w:lang w:val="en-IN"/>
          <w:i w:val="0"/>
          <w:color w:val="auto"/>
        </w:rPr>
        <w:t xml:space="preserve"> </w:t>
      </w:r>
    </w:p>
    <w:p w:rsidR="00B5118D" w:rsidRDefault="00B5118D" w14:paraId="3E2830FB" w14:textId="6AAF76DE" w:rsidP="00B5118D" w:rsidRPr="00B5118D">
      <w:pPr>
        <w:pStyle w:val="Caption"/>
        <w:jc w:val="center"/>
        <w:rPr>
          <w:iCs w:val="0"/>
          <w:i w:val="0"/>
          <w:color w:val="auto"/>
        </w:rPr>
      </w:pPr>
      <w:r w:rsidRPr="00B5118D">
        <w:rPr>
          <w:iCs w:val="0"/>
          <w:lang w:val="en-IN"/>
          <w:i w:val="0"/>
          <w:color w:val="auto"/>
        </w:rPr>
        <w:t>Source: (www.researchgate.net, 2020)</w:t>
      </w:r>
    </w:p>
    <w:p w:rsidR="00BC755E" w:rsidRDefault="00BC755E" w14:paraId="3D62C5BA" w14:textId="77777777" w:rsidP="00BC755E">
      <w:r>
        <w:t>Such dual-layering makes it possible for Marriott to maintain a good balance between central control and decentralised agility, something often seen in successful multinational organisations by Mintzberg's 1979 typologies.</w:t>
      </w:r>
    </w:p>
    <w:p w:rsidR="00BC755E" w:rsidRDefault="00BC755E" w14:paraId="1A9B2F81" w14:textId="55FEE58E" w:rsidP="00BC755E">
      <w:r>
        <w:t>It allows for operational efficiency in the global portfolio of Marriott, by matching always an alchemy of similarity and innovation. E.g. centralised marketing campaigns assure brand uniformity while local managers are empowered with an appropriate amount of credibility. However, this complexity creates side effects, particularly about communication and alignment. The coordination and execution of local-level, and corporate-level strategies will inevitably bring lag times or misunderstandings that, if not wisely managed, can undermine performance as a whole. To overcome this with Marriott, the company has sophisticated communication systems and where or if gaps are witnessed a more structured set of reporting lines between corporate and local.</w:t>
        <w:lastRenderedPageBreak/>
      </w:r>
    </w:p>
    <w:p w:rsidR="00BC755E" w:rsidRDefault="00BC755E" w14:paraId="4E7A271A" w14:textId="77777777" w:rsidP="00BC755E" w:rsidRPr="00BC755E">
      <w:pPr>
        <w:rPr>
          <w:bCs/>
          <w:b/>
        </w:rPr>
      </w:pPr>
      <w:r w:rsidRPr="00BC755E">
        <w:rPr>
          <w:bCs/>
          <w:b/>
        </w:rPr>
        <w:t>Corporate Culture</w:t>
      </w:r>
    </w:p>
    <w:p w:rsidR="00BC755E" w:rsidRDefault="00BC755E" w14:paraId="3F3AF5F9" w14:textId="77777777" w:rsidP="00BC755E">
      <w:r>
        <w:t>The organisational culture of Marriott is engrained in its values: “People come first,” “Integrity” and “Serving our world.” The policies and practises of the company reflect these values, which in turn creates a climate for everyone. Marriott is well along the lines of Hofstede’s (1980) Organisational Culture dimensions which is mainly about shared values and beliefs that influence employee behaviour and performance.</w:t>
      </w:r>
    </w:p>
    <w:p w:rsidR="00BC755E" w:rsidRDefault="00BC755E" w14:paraId="53FB3004" w14:textId="676FDBC6" w:rsidP="00BC755E">
      <w:r>
        <w:t>Marriott shows its people-first ethos concerning employee satisfaction and development, as one great example. Professional development, training initiatives and leadership opportunities that make the workforce feel valued and inspired ensure high customer service delivery and satisfaction on the part of the client. This employee-driven approach is the same way that Maslow's hierarchy of needs holds- that fulfilling one's individual growth and development needs improves the performance of the organisation</w:t>
      </w:r>
      <w:r w:rsidR="0067540E">
        <w:t xml:space="preserve"> (</w:t>
      </w:r>
      <w:r w:rsidR="0067540E" w:rsidRPr="0067540E">
        <w:t>Mullins, 2019)</w:t>
      </w:r>
    </w:p>
    <w:p w:rsidR="00BC755E" w:rsidRDefault="00BC755E" w14:paraId="666DEC22" w14:textId="68F025C2" w:rsidP="00BC755E">
      <w:r>
        <w:t>Diversity and sustainability are also integral to Marriott's corporate culture. “Serve 360 is a company-wide programme that tells us we must operate with a social responsibility, showing the commitment to make a positive difference in our environment and communities,” the company said</w:t>
      </w:r>
      <w:r w:rsidR="0067540E">
        <w:t xml:space="preserve"> (</w:t>
      </w:r>
      <w:r w:rsidR="0067540E" w:rsidRPr="0067540E">
        <w:t>Boddy, 2017)</w:t>
      </w:r>
      <w:r w:rsidR="0067540E">
        <w:t>.</w:t>
      </w:r>
      <w:r>
        <w:t xml:space="preserve"> Initiatives like reduction of single-use plastics, local suppliers support, and energy efficient properties across all sites</w:t>
      </w:r>
      <w:r w:rsidR="0067540E">
        <w:t>.</w:t>
      </w:r>
      <w:r>
        <w:t xml:space="preserve"> Examples include Marriott's commitment to catering a unique guest experience regardless of personal or cultural differences.</w:t>
      </w:r>
    </w:p>
    <w:p w:rsidR="00BC755E" w:rsidRDefault="00BC755E" w14:paraId="435430DC" w14:textId="3F821299" w:rsidP="00BC755E">
      <w:r>
        <w:t xml:space="preserve">Not only does this foster employee loyalty, it speaks to a culture that is both inclusive and in tune with the wants of today's customers. Consumers Value organisations that are all about doing good, not just as a paid service but as part of culture more and more these days. Marriott’s </w:t>
      </w:r>
      <w:r>
        <w:t>capacity to embed these values in its culture is what has kept them on top in hospitality</w:t>
        <w:lastRenderedPageBreak/>
      </w:r>
      <w:r w:rsidR="0067540E">
        <w:t xml:space="preserve"> (Mullins and Dosser, 2013).</w:t>
      </w:r>
    </w:p>
    <w:p w:rsidR="00BC755E" w:rsidRDefault="00BC755E" w14:paraId="0FE33BFF" w14:textId="77777777" w:rsidP="00BC755E" w:rsidRPr="00BC755E">
      <w:pPr>
        <w:rPr>
          <w:bCs/>
          <w:b/>
        </w:rPr>
      </w:pPr>
      <w:r w:rsidRPr="00BC755E">
        <w:rPr>
          <w:bCs/>
          <w:b/>
        </w:rPr>
        <w:t>Goals</w:t>
      </w:r>
    </w:p>
    <w:p w:rsidR="00BC755E" w:rsidRDefault="00BC755E" w14:paraId="1B815179" w14:textId="3050DE0F" w:rsidP="00BC755E">
      <w:r>
        <w:t xml:space="preserve">Strategic goals for Marriott are well-aimed with long-term growth, operational excellence and guest experience front of mind. In the corporate, the primary goal at the level of our company is market penetration globally with innovation and brand differentiation. These strategic goals are not unlike those of the Ansoff Matrix which dictates expansion into new markets and product diversification as fundamental aspects for organisations looking for growth under competition. </w:t>
      </w:r>
      <w:r w:rsidR="00B5118D">
        <w:t>Marriott's</w:t>
      </w:r>
      <w:r>
        <w:t xml:space="preserve"> </w:t>
      </w:r>
      <w:r w:rsidR="00B5118D">
        <w:t>acquisition</w:t>
      </w:r>
      <w:r>
        <w:t xml:space="preserve"> and </w:t>
      </w:r>
      <w:r w:rsidR="00B5118D">
        <w:t>integration</w:t>
      </w:r>
      <w:r>
        <w:t xml:space="preserve"> brands such as Starwood Hotels &amp; Resorts is a great example of their effort to increase market share and customer base</w:t>
      </w:r>
      <w:r w:rsidR="0067540E">
        <w:t xml:space="preserve"> (</w:t>
      </w:r>
      <w:r w:rsidR="0067540E" w:rsidRPr="0067540E">
        <w:t>Dogru, Erdogan, and Kizildag, 2018).</w:t>
      </w:r>
    </w:p>
    <w:p w:rsidR="00BC755E" w:rsidRDefault="00BC755E" w14:paraId="4B1F4C66" w14:textId="124E12DA" w:rsidP="00BC755E">
      <w:r>
        <w:t xml:space="preserve">They also emphasise Innovation as a line of sight into Marriott's strategic objectives. The organisation keeps looking for upcoming innovations and service delivery patterns to make sure that guests have an enhanced experience. </w:t>
      </w:r>
      <w:r w:rsidR="0078061D" w:rsidRPr="0078061D">
        <w:t>The mandatory example</w:t>
      </w:r>
      <w:r>
        <w:t>: The Marriott Bonvoy app is a great illustration of how the company continues to embrace digital to grow both its customer convenience and customer engagement muscles. Marriott does this by evolving to offer consumers -- not a luxury that can be always easily taken for granted and reestablishing brand loyalty</w:t>
      </w:r>
      <w:r w:rsidR="0067540E">
        <w:t xml:space="preserve"> (</w:t>
      </w:r>
      <w:r w:rsidR="0067540E" w:rsidRPr="0067540E">
        <w:t>Dev, 2024).</w:t>
      </w:r>
    </w:p>
    <w:p w:rsidR="00BC755E" w:rsidRDefault="00BC755E" w14:paraId="0AC2BCCD" w14:textId="6A26525D" w:rsidP="00BC755E">
      <w:r>
        <w:t>At the operational level, the emphasis is on operational excellence at each hotel. Each property has a different purpose to offer memorable guest experiences by balancing guest service excellence with the need for efficiency &amp; profitability. Performance management systems (with associated Key Performance Indicators, KPIs) such as customer satisfaction scores, RevPAR and levels of employee engagement are used to benchmark and measure performance</w:t>
      </w:r>
      <w:r w:rsidR="0067540E">
        <w:t xml:space="preserve"> (</w:t>
      </w:r>
      <w:r w:rsidR="0067540E" w:rsidRPr="0067540E">
        <w:t>Remy</w:t>
      </w:r>
      <w:r w:rsidR="0067540E">
        <w:t xml:space="preserve"> et al., 2023).</w:t>
      </w:r>
      <w:r>
        <w:t xml:space="preserve"> These metrics ensure that the unit-level operational objectives are in tune with the large corporate goals</w:t>
      </w:r>
      <w:r w:rsidR="0067540E">
        <w:t xml:space="preserve"> (</w:t>
      </w:r>
      <w:r w:rsidR="0067540E" w:rsidRPr="0067540E">
        <w:t>Mullins, 2023)</w:t>
      </w:r>
      <w:r w:rsidR="0067540E">
        <w:t>.</w:t>
      </w:r>
    </w:p>
    <w:p w:rsidR="00BC755E" w:rsidRDefault="00BC755E" w14:paraId="65D2EABC" w14:textId="0ABA847A" w:rsidP="00BC755E">
      <w:r>
        <w:t xml:space="preserve">Sustainability is central to Marriott’s goals also. Its vision for the </w:t>
      </w:r>
      <w:r w:rsidR="00671151">
        <w:t>long term</w:t>
      </w:r>
      <w:r>
        <w:t xml:space="preserve"> reflects similar environmental aspirations with goals to become carbon net zero by its operations in 2050</w:t>
      </w:r>
      <w:r w:rsidR="00082B0E">
        <w:t xml:space="preserve"> (</w:t>
      </w:r>
      <w:r w:rsidR="00082B0E" w:rsidRPr="00082B0E">
        <w:t>Legrand, Chen, and Laeis, 2022).</w:t>
      </w:r>
      <w:r>
        <w:t xml:space="preserve"> Marriott not only meets the world's growing eco-challenges by linking sustainability with its corporate strategy, but it also closes the gap between the company and consumers who prefer buying from brands that sound like they're driving the same social goals</w:t>
      </w:r>
    </w:p>
    <w:p w:rsidR="00BC755E" w:rsidRDefault="00BC755E" w14:paraId="67841878" w14:textId="77777777" w:rsidP="00BC755E" w:rsidRPr="00BC755E">
      <w:pPr>
        <w:rPr>
          <w:bCs/>
          <w:b/>
        </w:rPr>
      </w:pPr>
      <w:r w:rsidRPr="00BC755E">
        <w:rPr>
          <w:bCs/>
          <w:b/>
        </w:rPr>
        <w:t>Conclusion</w:t>
        <w:lastRenderedPageBreak/>
      </w:r>
    </w:p>
    <w:p w:rsidR="00BC755E" w:rsidRDefault="00BC755E" w14:paraId="3F93F385" w14:textId="7664CDD3" w:rsidP="00BC755E">
      <w:r>
        <w:t>The structure of Marriott International, culture and objectives stand behind its leadership status as one of the leading voices acting as a global hospitality industry. Hybrix's structure lets it run a variety of brands in various markets (mainly in hybrid space), combining centralised efficacy and decentralised adaptability. The culture of a people-first—inclusive, sustainable-led company drives employee experience and customer loyalty. Marriott expands globally, innovates and improves operations to fulfil its strategic goals of sustainable, long-term growth coupled with market adaptations. Through exploiting these strengths, Marriott can weather a storm of new challenges in the hospitality landscape and remain ahead of the competition.</w:t>
      </w:r>
    </w:p>
    <w:p w:rsidR="00BC755E" w:rsidRDefault="00BC755E" w14:paraId="29F2087D" w14:textId="77777777" w:rsidP="00BC755E">
      <w:pPr>
        <w:pStyle w:val="Heading1"/>
      </w:pPr>
      <w:bookmarkStart w:id="6" w:name="_Toc188441975"/>
      <w:r>
        <w:t>3. Recent Change Initiatives</w:t>
      </w:r>
      <w:bookmarkEnd w:id="6"/>
    </w:p>
    <w:p w:rsidR="00BC755E" w:rsidRDefault="00BC755E" w14:paraId="453C6EB7" w14:textId="77777777" w:rsidP="00BC755E" w:rsidRPr="00BC755E">
      <w:pPr>
        <w:rPr>
          <w:bCs/>
          <w:b/>
        </w:rPr>
      </w:pPr>
      <w:r w:rsidRPr="00BC755E">
        <w:rPr>
          <w:bCs/>
          <w:b/>
        </w:rPr>
        <w:t>Digital Transformation</w:t>
      </w:r>
    </w:p>
    <w:p w:rsidR="00BC755E" w:rsidRDefault="00BC755E" w14:paraId="3A702B03" w14:textId="2ADF9A3F" w:rsidP="00BC755E">
      <w:r>
        <w:t>Through digital transformation, Marriott International has improved both guest experiences and business procedures. Marriott Bonvoy introduced a digital app letting guests check, open their rooms securely and reach concierge services through their smartphones. This initiative aligns with Kotter’s (1996) change model, particularly the first steps: Businesses must make customers feel pressure to change their habits and establish a digital future that leads us to new technology solutions</w:t>
      </w:r>
      <w:r w:rsidR="008210C2">
        <w:t xml:space="preserve"> (</w:t>
      </w:r>
      <w:r w:rsidR="008210C2" w:rsidRPr="008210C2">
        <w:t>Kang</w:t>
      </w:r>
      <w:r w:rsidR="008210C2">
        <w:t xml:space="preserve"> et al., 2022).</w:t>
      </w:r>
      <w:r>
        <w:t xml:space="preserve"> Through recognising guest digital requirements, Marriott made changes that made services easier to use both for guests and their team members.</w:t>
      </w:r>
    </w:p>
    <w:p w:rsidR="00BC755E" w:rsidRDefault="00BC755E" w14:paraId="7C2EE555" w14:textId="77777777" w:rsidP="00BC755E">
      <w:r>
        <w:t>Our organisation has achieved success by embracing digital upgrades but meeting these advances requires employee training and preserving quality service throughout implementation. We need to solve these problems to successfully put digital solutions into practice across all systems.</w:t>
      </w:r>
    </w:p>
    <w:p w:rsidR="00BC755E" w:rsidRDefault="00BC755E" w14:paraId="2E20E684" w14:textId="77777777" w:rsidP="00BC755E" w:rsidRPr="00BC755E">
      <w:pPr>
        <w:rPr>
          <w:bCs/>
          <w:b/>
        </w:rPr>
      </w:pPr>
      <w:r w:rsidRPr="00BC755E">
        <w:rPr>
          <w:bCs/>
          <w:b/>
        </w:rPr>
        <w:t>Sustainability Practises</w:t>
      </w:r>
    </w:p>
    <w:p w:rsidR="00BC755E" w:rsidRDefault="00BC755E" w14:paraId="665DF525" w14:textId="36ED268F" w:rsidP="00BC755E">
      <w:r>
        <w:t>Through its "Serve 360" programme Marriott works to protect the environment by phasing out single-use plastics and planning to neutralise all emissions by 2050. This commitment aligns with Lewin’s (1947) change model, which emphasises three stages of change: Our change approach transforms existing routines into new actions that customers will maintain over time</w:t>
      </w:r>
      <w:r w:rsidR="00082B0E">
        <w:t xml:space="preserve"> (</w:t>
      </w:r>
      <w:r w:rsidR="00082B0E" w:rsidRPr="00082B0E">
        <w:t>Burnes, 2020).</w:t>
      </w:r>
      <w:r w:rsidR="00082B0E">
        <w:t xml:space="preserve"> </w:t>
      </w:r>
      <w:r>
        <w:t>When Marriott stops providing plastic straws and bottles they break old habits but their strong feedback system makes changes last for good.</w:t>
      </w:r>
      <w:r w:rsidR="008210C2">
        <w:t xml:space="preserve"> </w:t>
      </w:r>
      <w:r>
        <w:t xml:space="preserve">Despite its strong sustainability </w:t>
      </w:r>
      <w:r>
        <w:t>efforts, Marriott must track success while adjusting methods to address changing challenges</w:t>
        <w:lastRenderedPageBreak/>
      </w:r>
      <w:r w:rsidR="008210C2">
        <w:t xml:space="preserve"> (</w:t>
      </w:r>
      <w:r w:rsidR="008210C2" w:rsidRPr="008210C2">
        <w:t>Wesley</w:t>
      </w:r>
      <w:r w:rsidR="008210C2">
        <w:t xml:space="preserve"> et al., 2024).</w:t>
      </w:r>
    </w:p>
    <w:p w:rsidR="00BC755E" w:rsidRDefault="00BC755E" w14:paraId="3D927950" w14:textId="77777777" w:rsidP="00BC755E" w:rsidRPr="00BC755E">
      <w:pPr>
        <w:rPr>
          <w:bCs/>
          <w:b/>
        </w:rPr>
      </w:pPr>
      <w:r w:rsidRPr="00BC755E">
        <w:rPr>
          <w:bCs/>
          <w:b/>
        </w:rPr>
        <w:t>Post-COVID Adaptations</w:t>
      </w:r>
    </w:p>
    <w:p w:rsidR="00BC755E" w:rsidRDefault="00BC755E" w14:paraId="3744C8FB" w14:textId="480A8F3C" w:rsidP="00BC755E">
      <w:r>
        <w:t>The coronavirus pandemic demanded fast new safety and guest protection measures. Marriott implemented more robust cleaning methods plus social distance practises and digital contactless procedures. Marriott's response to the crisis aligns completely with Goleman's (2000) idea of adaptive leadership by showing their ability to change and stay strong no matter what happens</w:t>
      </w:r>
      <w:r w:rsidR="008210C2">
        <w:t xml:space="preserve"> (</w:t>
      </w:r>
      <w:r w:rsidR="008210C2" w:rsidRPr="008210C2">
        <w:t>Rizvi, 2023).</w:t>
      </w:r>
      <w:r>
        <w:t xml:space="preserve"> The new security processes helped rebuild trust but demanded operational teams find ways to deliver guest satisfaction without causing major spending increases.</w:t>
      </w:r>
    </w:p>
    <w:p w:rsidR="00BC755E" w:rsidRDefault="00BC755E" w14:paraId="64DF13A2" w14:textId="77777777" w:rsidP="00BC755E" w:rsidRPr="00BC755E">
      <w:pPr>
        <w:rPr>
          <w:bCs/>
          <w:b/>
        </w:rPr>
      </w:pPr>
      <w:r w:rsidRPr="00BC755E">
        <w:rPr>
          <w:bCs/>
          <w:b/>
        </w:rPr>
        <w:t>Impact and Evaluation</w:t>
      </w:r>
    </w:p>
    <w:p w:rsidR="00BC755E" w:rsidRDefault="00BC755E" w14:paraId="0C967735" w14:textId="6C0DD1E5" w:rsidP="00BC755E">
      <w:r>
        <w:t>Marriott achieves greater success as a leader in both innovation and responsible hospitality by creating new approaches. Digital upgrades made staying at Marriott hotels more convenient while sustainable initiatives showed leadership responsibility and emergency reaction changes helped Marriott remain agile during the pandemic</w:t>
      </w:r>
      <w:r w:rsidR="008210C2">
        <w:t xml:space="preserve"> (</w:t>
      </w:r>
      <w:r w:rsidR="008210C2" w:rsidRPr="008210C2">
        <w:t>Rakesh and Wind, 2020).</w:t>
      </w:r>
      <w:r>
        <w:t xml:space="preserve"> Tracking our sustainability progress and training workers on new technology remain substantial obstacles we must overcome to reach our initiatives' total potential.</w:t>
      </w:r>
    </w:p>
    <w:p w:rsidR="00BC755E" w:rsidRDefault="00BC755E" w14:paraId="0367E7E7" w14:textId="77777777" w:rsidP="00BC755E">
      <w:pPr>
        <w:pStyle w:val="Heading1"/>
      </w:pPr>
      <w:bookmarkStart w:id="7" w:name="_Toc188441976"/>
      <w:r>
        <w:t>4. Strategic Direction</w:t>
      </w:r>
      <w:bookmarkEnd w:id="7"/>
    </w:p>
    <w:p w:rsidR="00BC755E" w:rsidRDefault="00BC755E" w14:paraId="44382C82" w14:textId="77777777" w:rsidP="00BC755E" w:rsidRPr="00BC755E">
      <w:pPr>
        <w:rPr>
          <w:bCs/>
          <w:b/>
        </w:rPr>
      </w:pPr>
      <w:r w:rsidRPr="00BC755E">
        <w:rPr>
          <w:bCs/>
          <w:b/>
        </w:rPr>
        <w:t>Vision and Mission</w:t>
      </w:r>
    </w:p>
    <w:p w:rsidR="00BC755E" w:rsidRDefault="00BC755E" w14:paraId="1FC6C569" w14:textId="77777777" w:rsidP="00BC755E">
      <w:r>
        <w:t>The hotel company wants to become the most popular travel brand everywhere. From day one Marriott aims to create exceptional guest relationships and memorable moments through its core purpose. The company plans to open more locations across the world while making its brands distinctive and improving technology systems.</w:t>
      </w:r>
    </w:p>
    <w:p w:rsidR="00BC755E" w:rsidRDefault="00BC755E" w14:paraId="209DD85B" w14:textId="2034AC68" w:rsidP="00BC755E" w:rsidRPr="00BC755E">
      <w:pPr>
        <w:rPr>
          <w:bCs/>
          <w:b/>
        </w:rPr>
      </w:pPr>
      <w:r w:rsidRPr="00BC755E">
        <w:rPr>
          <w:bCs/>
          <w:b/>
        </w:rPr>
        <w:t>Global Expansion</w:t>
      </w:r>
    </w:p>
    <w:p w:rsidR="00BC755E" w:rsidRDefault="00BC755E" w14:paraId="6281E696" w14:textId="299E2CF8" w:rsidP="00BC755E">
      <w:r>
        <w:t>When Marriott bought Starwood Hotels &amp; Resorts in 2016 their growth strategy added more than 30 new hotels to their network. The organisation follows Ansoff's (1957) framework which places market entry and product variety as central growth methods</w:t>
      </w:r>
      <w:r w:rsidR="008210C2">
        <w:t xml:space="preserve"> (</w:t>
      </w:r>
      <w:r w:rsidR="008210C2" w:rsidRPr="008210C2">
        <w:t>Clarissia, 2020).</w:t>
      </w:r>
      <w:r>
        <w:t xml:space="preserve"> After bringing Starwood brands under its umbrella Marriott added new customers and improved its market position.</w:t>
      </w:r>
    </w:p>
    <w:p w:rsidR="00BC755E" w:rsidRDefault="00BC755E" w14:paraId="2C77E5EE" w14:textId="77777777" w:rsidP="00BC755E" w:rsidRPr="00BC755E">
      <w:pPr>
        <w:rPr>
          <w:bCs/>
          <w:b/>
        </w:rPr>
      </w:pPr>
      <w:r w:rsidRPr="00BC755E">
        <w:rPr>
          <w:bCs/>
          <w:b/>
        </w:rPr>
        <w:t>Brand Differentiation</w:t>
        <w:lastRenderedPageBreak/>
      </w:r>
    </w:p>
    <w:p w:rsidR="00BC755E" w:rsidRDefault="00BC755E" w14:paraId="0EBCA259" w14:textId="33BED9AE" w:rsidP="00BC755E">
      <w:r>
        <w:t>Marriott's lineup includes hotels to match every customer's taste both at the top end and in the middle price range. By using Porter’s 1985 techniques for competitive strategies the company separates its services for different markets to stand out from competitors and reach customer segments</w:t>
      </w:r>
      <w:r w:rsidR="008210C2">
        <w:t xml:space="preserve"> (</w:t>
      </w:r>
      <w:r w:rsidR="008210C2" w:rsidRPr="008210C2">
        <w:t>Gerard and Bruijl, 2019).</w:t>
      </w:r>
    </w:p>
    <w:p w:rsidR="00BC755E" w:rsidRDefault="00BC755E" w14:paraId="75ACDD5C" w14:textId="77777777" w:rsidP="00BC755E" w:rsidRPr="00BC755E">
      <w:pPr>
        <w:rPr>
          <w:bCs/>
          <w:b/>
        </w:rPr>
      </w:pPr>
      <w:r w:rsidRPr="00BC755E">
        <w:rPr>
          <w:bCs/>
          <w:b/>
        </w:rPr>
        <w:t>Sustainability Now Plays a Major Role in Our Business Plans</w:t>
      </w:r>
    </w:p>
    <w:p w:rsidR="00BC755E" w:rsidRDefault="00BC755E" w14:paraId="558CAACE" w14:textId="2CB87FE2" w:rsidP="00BC755E">
      <w:r>
        <w:t>Sustainability acts as Marriott's central element in its plans for the future. The brand's efforts to cut carbon emissions and assist local societies grow customer trust while following worldwide environmental protection standards</w:t>
      </w:r>
      <w:r w:rsidR="00F57F6D">
        <w:t xml:space="preserve"> (</w:t>
      </w:r>
      <w:r w:rsidR="00F57F6D" w:rsidRPr="00F57F6D">
        <w:t>Gardetti and Torres, 2017</w:t>
      </w:r>
      <w:r w:rsidR="00F57F6D">
        <w:t>)</w:t>
      </w:r>
      <w:r w:rsidR="00F57F6D" w:rsidRPr="00F57F6D">
        <w:t>.</w:t>
      </w:r>
    </w:p>
    <w:p w:rsidR="00BC755E" w:rsidRDefault="00BC755E" w14:paraId="10817535" w14:textId="77777777" w:rsidP="00BC755E">
      <w:pPr>
        <w:pStyle w:val="Heading1"/>
      </w:pPr>
      <w:bookmarkStart w:id="8" w:name="_Toc188441977"/>
      <w:r>
        <w:t>5. Recommendations</w:t>
      </w:r>
      <w:bookmarkEnd w:id="8"/>
    </w:p>
    <w:p w:rsidR="00B5118D" w:rsidRDefault="00B5118D" w14:paraId="7C0CC1C1" w14:textId="77777777" w:rsidP="00B5118D">
      <w:pPr>
        <w:keepNext/>
      </w:pPr>
      <w:r>
        <w:rPr>
          <w:noProof/>
        </w:rPr>
        <w:drawing>
          <wp:inline distT="0" distB="0" distL="0" distR="0" wp14:anchorId="372F0CDA" wp14:editId="14398EAB">
            <wp:extent cx="5486400" cy="3200400"/>
            <wp:effectExtent l="57150" t="0" r="19050" b="0"/>
            <wp:docPr id="461433798"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B5118D" w:rsidRDefault="00B5118D" w14:paraId="1F34F1AE" w14:textId="77777777" w:rsidP="00B5118D">
      <w:pPr>
        <w:pStyle w:val="Caption"/>
        <w:jc w:val="center"/>
        <w:rPr>
          <w:iCs w:val="0"/>
          <w:lang w:val="en-IN"/>
          <w:i w:val="0"/>
          <w:color w:val="auto"/>
        </w:rPr>
      </w:pPr>
      <w:bookmarkStart w:id="9" w:name="_Toc188456499"/>
      <w:r w:rsidRPr="00B5118D">
        <w:rPr>
          <w:iCs w:val="0"/>
          <w:i w:val="0"/>
          <w:color w:val="auto"/>
        </w:rPr>
        <w:t xml:space="preserve">Figure </w:t>
      </w:r>
      <w:r w:rsidRPr="00B5118D">
        <w:rPr>
          <w:iCs w:val="0"/>
          <w:i w:val="0"/>
          <w:color w:val="auto"/>
        </w:rPr>
        <w:fldChar w:fldCharType="begin"/>
      </w:r>
      <w:r w:rsidRPr="00B5118D">
        <w:rPr>
          <w:iCs w:val="0"/>
          <w:i w:val="0"/>
          <w:color w:val="auto"/>
        </w:rPr>
        <w:instrText xml:space="preserve"> SEQ Figure \* ARABIC </w:instrText>
      </w:r>
      <w:r w:rsidRPr="00B5118D">
        <w:rPr>
          <w:iCs w:val="0"/>
          <w:i w:val="0"/>
          <w:color w:val="auto"/>
        </w:rPr>
        <w:fldChar w:fldCharType="separate"/>
      </w:r>
      <w:r w:rsidRPr="00B5118D">
        <w:rPr>
          <w:iCs w:val="0"/>
          <w:noProof/>
          <w:i w:val="0"/>
          <w:color w:val="auto"/>
        </w:rPr>
        <w:t>3</w:t>
      </w:r>
      <w:r w:rsidRPr="00B5118D">
        <w:rPr>
          <w:iCs w:val="0"/>
          <w:i w:val="0"/>
          <w:color w:val="auto"/>
        </w:rPr>
        <w:fldChar w:fldCharType="end"/>
      </w:r>
      <w:r w:rsidRPr="00B5118D">
        <w:rPr>
          <w:iCs w:val="0"/>
          <w:lang w:val="en-IN"/>
          <w:i w:val="0"/>
          <w:color w:val="auto"/>
        </w:rPr>
        <w:t>: Recommendations</w:t>
      </w:r>
      <w:bookmarkEnd w:id="9"/>
      <w:r w:rsidRPr="00B5118D">
        <w:rPr>
          <w:iCs w:val="0"/>
          <w:lang w:val="en-IN"/>
          <w:i w:val="0"/>
          <w:color w:val="auto"/>
        </w:rPr>
        <w:t xml:space="preserve"> </w:t>
      </w:r>
    </w:p>
    <w:p w:rsidR="00B5118D" w:rsidRDefault="00B5118D" w14:paraId="63A44B14" w14:textId="3A671247" w:rsidP="00B5118D" w:rsidRPr="00B5118D">
      <w:pPr>
        <w:pStyle w:val="Caption"/>
        <w:jc w:val="center"/>
        <w:rPr>
          <w:iCs w:val="0"/>
          <w:i w:val="0"/>
        </w:rPr>
      </w:pPr>
      <w:r w:rsidRPr="00B5118D">
        <w:rPr>
          <w:iCs w:val="0"/>
          <w:lang w:val="en-IN"/>
          <w:i w:val="0"/>
          <w:color w:val="auto"/>
        </w:rPr>
        <w:t>Source: (Author, 2025)</w:t>
      </w:r>
    </w:p>
    <w:p w:rsidR="00BC755E" w:rsidRDefault="00BC755E" w14:paraId="517A39F6" w14:textId="77777777" w:rsidP="00BC755E" w:rsidRPr="00BC755E">
      <w:pPr>
        <w:rPr>
          <w:bCs/>
          <w:b/>
        </w:rPr>
      </w:pPr>
      <w:r w:rsidRPr="00BC755E">
        <w:rPr>
          <w:bCs/>
          <w:b/>
        </w:rPr>
        <w:t>Improving Our Digital Systems</w:t>
      </w:r>
    </w:p>
    <w:p w:rsidR="00BC755E" w:rsidRDefault="00BC755E" w14:paraId="590E65B0" w14:textId="045797D5" w:rsidP="00BC755E">
      <w:r>
        <w:t xml:space="preserve">To stay competitive Marriott must fund digital projects that use artificial intelligence to personalise guest experiences and forecast trends. Technological enhancements enable better-personalised guest support while making manual tasks run faster. To use new systems properly </w:t>
      </w:r>
      <w:r w:rsidR="00546DD2">
        <w:t>employees,</w:t>
      </w:r>
      <w:r>
        <w:t xml:space="preserve"> need special training that matches the company's technology investments</w:t>
      </w:r>
      <w:r w:rsidR="00546DD2">
        <w:t xml:space="preserve"> (</w:t>
      </w:r>
      <w:r w:rsidR="00546DD2" w:rsidRPr="00546DD2">
        <w:t>Sheth</w:t>
      </w:r>
      <w:r w:rsidR="00546DD2">
        <w:t xml:space="preserve"> et al., </w:t>
      </w:r>
      <w:r w:rsidR="00546DD2" w:rsidRPr="00546DD2">
        <w:t>2022</w:t>
      </w:r>
      <w:r w:rsidR="00546DD2">
        <w:t>)</w:t>
      </w:r>
      <w:r w:rsidR="00546DD2" w:rsidRPr="00546DD2">
        <w:t>.</w:t>
      </w:r>
    </w:p>
    <w:p w:rsidR="00BC755E" w:rsidRDefault="00BC755E" w14:paraId="185FEA2E" w14:textId="77777777" w:rsidP="00BC755E" w:rsidRPr="00BC755E">
      <w:pPr>
        <w:rPr>
          <w:bCs/>
          <w:b/>
        </w:rPr>
      </w:pPr>
      <w:r w:rsidRPr="00BC755E">
        <w:rPr>
          <w:bCs/>
          <w:b/>
        </w:rPr>
        <w:t>Expanding Sustainability Efforts</w:t>
        <w:lastRenderedPageBreak/>
      </w:r>
    </w:p>
    <w:p w:rsidR="00BC755E" w:rsidRDefault="00BC755E" w14:paraId="32A7A700" w14:textId="1846039E" w:rsidP="00BC755E">
      <w:r>
        <w:t>Marriott needs to partner with nearby suppliers across its locations to achieve greater carbon emissions reduction. Hotels that earn eco-friendly qualifications bring both transparency and responsibility to their operations</w:t>
      </w:r>
      <w:r w:rsidR="008210C2">
        <w:t xml:space="preserve"> (</w:t>
      </w:r>
      <w:r w:rsidR="008210C2" w:rsidRPr="008210C2">
        <w:t>Gardetti and Torres, 2017).</w:t>
      </w:r>
    </w:p>
    <w:p w:rsidR="00BC755E" w:rsidRDefault="00BC755E" w14:paraId="64BE7EFE" w14:textId="77777777" w:rsidP="00BC755E" w:rsidRPr="00BC755E">
      <w:pPr>
        <w:rPr>
          <w:bCs/>
          <w:b/>
        </w:rPr>
      </w:pPr>
      <w:r w:rsidRPr="00BC755E">
        <w:rPr>
          <w:bCs/>
          <w:b/>
        </w:rPr>
        <w:t>Enhancing Employee Connection</w:t>
      </w:r>
    </w:p>
    <w:p w:rsidR="00BC755E" w:rsidRDefault="00BC755E" w14:paraId="7B1AC7DD" w14:textId="7D50E3A3" w:rsidP="00BC755E">
      <w:r>
        <w:t>Marriott's people-first values help a lot but regular employee feedback tools such as surveys help build better connections with team members. The company needs to acknowledge top performers by giving them concrete awards to make them more dedicated team members</w:t>
      </w:r>
      <w:r w:rsidR="00F57F6D">
        <w:t xml:space="preserve"> (</w:t>
      </w:r>
      <w:r w:rsidR="00F57F6D" w:rsidRPr="00F57F6D">
        <w:t>Bush, 2018).</w:t>
      </w:r>
    </w:p>
    <w:p w:rsidR="00BC755E" w:rsidRDefault="00BC755E" w14:paraId="4D725136" w14:textId="77777777" w:rsidP="00BC755E" w:rsidRPr="00BC755E">
      <w:pPr>
        <w:rPr>
          <w:bCs/>
          <w:b/>
        </w:rPr>
      </w:pPr>
      <w:r w:rsidRPr="00BC755E">
        <w:rPr>
          <w:bCs/>
          <w:b/>
        </w:rPr>
        <w:t>Fostering Innovation</w:t>
      </w:r>
    </w:p>
    <w:p w:rsidR="00BC755E" w:rsidRDefault="00BC755E" w14:paraId="35A25C0F" w14:textId="6B54237D" w:rsidP="00BC755E">
      <w:r>
        <w:t>When Marriott leaders and staff work together to embrace innovation they can achieve better results. Planting innovation labs across our main markets helps us validate fresh market and technology options. Employees who participate in creating new ideas feel more owned by and more creative in their work</w:t>
      </w:r>
      <w:r w:rsidR="00F57F6D">
        <w:t xml:space="preserve"> (</w:t>
      </w:r>
      <w:r w:rsidR="00F57F6D" w:rsidRPr="00F57F6D">
        <w:t>Santarsiero</w:t>
      </w:r>
      <w:r w:rsidR="00F57F6D">
        <w:t xml:space="preserve"> et al., 2023).</w:t>
      </w:r>
    </w:p>
    <w:p w:rsidR="00BC755E" w:rsidRDefault="00BC755E" w14:paraId="30B28451" w14:textId="77777777" w:rsidP="00BC755E" w:rsidRPr="00BC755E">
      <w:pPr>
        <w:rPr>
          <w:bCs/>
          <w:b/>
        </w:rPr>
      </w:pPr>
      <w:r w:rsidRPr="00BC755E">
        <w:rPr>
          <w:bCs/>
          <w:b/>
        </w:rPr>
        <w:t>Improving Crisis Preparedness</w:t>
      </w:r>
    </w:p>
    <w:p w:rsidR="00BC755E" w:rsidRDefault="00BC755E" w14:paraId="4561FD12" w14:textId="5E1167DE" w:rsidP="00B5118D" w:rsidRPr="00B5118D">
      <w:r>
        <w:t>As part of their response strategy Marriott needs to build a complete system to handle business emergencies. To prepare for business challenges Marriott launches multiple planning programmes and trains staff members while creating a fast-reaction team. The lessons from COVID-19 help build a foundation for organisational resilience</w:t>
      </w:r>
      <w:r w:rsidR="00F57F6D">
        <w:t xml:space="preserve"> (</w:t>
      </w:r>
      <w:r w:rsidR="00F57F6D" w:rsidRPr="00F57F6D">
        <w:t xml:space="preserve">Saoudi and Dehane, 2022). </w:t>
      </w:r>
      <w:r>
        <w:br w:type="page"/>
      </w:r>
    </w:p>
    <w:p w:rsidR="00BC755E" w:rsidRDefault="00BC755E" w14:paraId="6AE99368" w14:textId="7B77FE41" w:rsidP="00BC755E">
      <w:pPr>
        <w:pStyle w:val="Heading1"/>
      </w:pPr>
      <w:bookmarkStart w:id="10" w:name="_Toc188441978"/>
      <w:r>
        <w:t>6. Conclusion</w:t>
        <w:lastRenderedPageBreak/>
      </w:r>
      <w:bookmarkEnd w:id="10"/>
    </w:p>
    <w:p w:rsidR="0078061D" w:rsidRDefault="00BC755E" w14:paraId="3B3EED0A" w14:textId="50BAB29C" w:rsidP="00BC755E">
      <w:r>
        <w:t>Marriott International shows how effectively combining its organisational system with team values and business plans creates excellent results. Both global standards and local preferences work together through its hybrid system and its employee-supportive way of working brings lasting commitment. Recent digital transformation and sustainability projects prove Marriott International continues to lead innovation and environmental stewardship. Continuous support is needed to handle workforce diversity together with quick business changes. Through smart strategic decisions, Marriott can grow its market position and build better business results in today's active market.</w:t>
      </w:r>
    </w:p>
    <w:p w:rsidR="0078061D" w:rsidRDefault="0078061D" w14:paraId="2562DA06" w14:textId="77777777">
      <w:pPr>
        <w:jc w:val="left"/>
        <w:spacing w:line="276" w:lineRule="auto"/>
      </w:pPr>
      <w:r>
        <w:br w:type="page"/>
      </w:r>
    </w:p>
    <w:p w:rsidR="0078061D" w:rsidRDefault="0078061D" w14:paraId="2868964F" w14:textId="158D387F" w:rsidP="0078061D">
      <w:pPr>
        <w:pStyle w:val="Heading1"/>
      </w:pPr>
      <w:bookmarkStart w:id="11" w:name="_Toc188441979"/>
      <w:r>
        <w:t>References</w:t>
        <w:lastRenderedPageBreak/>
      </w:r>
      <w:bookmarkEnd w:id="11"/>
    </w:p>
    <w:p w:rsidR="00DB7F53" w:rsidRDefault="00DB7F53" w14:paraId="5D084622" w14:textId="77777777" w:rsidP="00B5118D">
      <w:r>
        <w:t xml:space="preserve">Boddy, D. (2017) Management: An Introduction (7th Ed), Harlow, Pearson </w:t>
      </w:r>
    </w:p>
    <w:p w:rsidR="00DB7F53" w:rsidRDefault="00DB7F53" w14:paraId="21776CDB" w14:textId="77777777" w:rsidP="00B5118D">
      <w:r w:rsidRPr="00453B23">
        <w:t xml:space="preserve">Burnes, B., </w:t>
      </w:r>
      <w:r>
        <w:t>(</w:t>
      </w:r>
      <w:r w:rsidRPr="00453B23">
        <w:t>2020</w:t>
      </w:r>
      <w:r>
        <w:t>)</w:t>
      </w:r>
      <w:r w:rsidRPr="00453B23">
        <w:t>. The origins of Lewin’s three-step model of change. </w:t>
      </w:r>
      <w:r w:rsidRPr="00B5118D">
        <w:rPr>
          <w:iCs/>
          <w:i/>
        </w:rPr>
        <w:t>The Journal of Applied Behavioral Science</w:t>
      </w:r>
      <w:r w:rsidRPr="00453B23">
        <w:t>, </w:t>
      </w:r>
      <w:r w:rsidRPr="00B5118D">
        <w:rPr>
          <w:iCs/>
          <w:i/>
        </w:rPr>
        <w:t>56</w:t>
      </w:r>
      <w:r w:rsidRPr="00453B23">
        <w:t>(1), pp.32-59.</w:t>
      </w:r>
    </w:p>
    <w:p w:rsidR="00DB7F53" w:rsidRDefault="00DB7F53" w14:paraId="7D97D39D" w14:textId="77777777" w:rsidP="00B5118D">
      <w:r w:rsidRPr="00020A2D">
        <w:t xml:space="preserve">Bush, M.C., </w:t>
      </w:r>
      <w:r>
        <w:t>(</w:t>
      </w:r>
      <w:r w:rsidRPr="00020A2D">
        <w:t>2018</w:t>
      </w:r>
      <w:r>
        <w:t>)</w:t>
      </w:r>
      <w:r w:rsidRPr="00020A2D">
        <w:t>. </w:t>
      </w:r>
      <w:r w:rsidRPr="00B5118D">
        <w:rPr>
          <w:iCs/>
          <w:i/>
        </w:rPr>
        <w:t>A great place to work for all: Better for business, better for people, better for the world</w:t>
      </w:r>
      <w:r w:rsidRPr="00020A2D">
        <w:t>. Berrett-Koehler Publishers.</w:t>
      </w:r>
    </w:p>
    <w:p w:rsidR="00DB7F53" w:rsidRDefault="00DB7F53" w14:paraId="449E27DE" w14:textId="77777777" w:rsidP="00B5118D">
      <w:r w:rsidRPr="00E90215">
        <w:t xml:space="preserve">Clarissia, S.M.S., </w:t>
      </w:r>
      <w:r>
        <w:t>(</w:t>
      </w:r>
      <w:r w:rsidRPr="00E90215">
        <w:t>2020</w:t>
      </w:r>
      <w:r>
        <w:t>)</w:t>
      </w:r>
      <w:r w:rsidRPr="00E90215">
        <w:t>. A study on Ansoff Matrix Technique: As a growth strategy and an adaptive learning technique adopted in the leading brand of products. </w:t>
      </w:r>
      <w:r w:rsidRPr="00B5118D">
        <w:rPr>
          <w:iCs/>
          <w:i/>
        </w:rPr>
        <w:t>BIMS Journal of Management</w:t>
      </w:r>
      <w:r w:rsidRPr="00E90215">
        <w:t>, </w:t>
      </w:r>
      <w:r w:rsidRPr="00B5118D">
        <w:rPr>
          <w:iCs/>
          <w:i/>
        </w:rPr>
        <w:t>18</w:t>
      </w:r>
      <w:r w:rsidRPr="00E90215">
        <w:t>.</w:t>
      </w:r>
    </w:p>
    <w:p w:rsidR="00DB7F53" w:rsidRDefault="00DB7F53" w14:paraId="026C56FB" w14:textId="77777777" w:rsidP="00B5118D">
      <w:r w:rsidRPr="00A3489B">
        <w:t xml:space="preserve">Dev, C.S., </w:t>
      </w:r>
      <w:r>
        <w:t>(</w:t>
      </w:r>
      <w:r w:rsidRPr="00A3489B">
        <w:t>2024</w:t>
      </w:r>
      <w:r>
        <w:t>)</w:t>
      </w:r>
      <w:r w:rsidRPr="00A3489B">
        <w:t>. Hotel Brand Overload: The Coming Shakeout.</w:t>
      </w:r>
    </w:p>
    <w:p w:rsidR="00DB7F53" w:rsidRDefault="00DB7F53" w14:paraId="11517ACE" w14:textId="77777777" w:rsidP="00B5118D">
      <w:r w:rsidRPr="00A3489B">
        <w:t xml:space="preserve">Dogru, T., Erdogan, A. and Kizildag, M., </w:t>
      </w:r>
      <w:r>
        <w:t>(</w:t>
      </w:r>
      <w:r w:rsidRPr="00A3489B">
        <w:t>2018</w:t>
      </w:r>
      <w:r>
        <w:t>)</w:t>
      </w:r>
      <w:r w:rsidRPr="00A3489B">
        <w:t>. Marriott Starwood merger: what did we learn from a financial standpoint?. </w:t>
      </w:r>
      <w:r w:rsidRPr="00B5118D">
        <w:rPr>
          <w:iCs/>
          <w:i/>
        </w:rPr>
        <w:t>Journal of Hospitality and Tourism Insights</w:t>
      </w:r>
      <w:r w:rsidRPr="00A3489B">
        <w:t>, </w:t>
      </w:r>
      <w:r w:rsidRPr="00B5118D">
        <w:rPr>
          <w:iCs/>
          <w:i/>
        </w:rPr>
        <w:t>1</w:t>
      </w:r>
      <w:r w:rsidRPr="00A3489B">
        <w:t>(2), pp.121-136.</w:t>
      </w:r>
    </w:p>
    <w:p w:rsidR="00DB7F53" w:rsidRDefault="00DB7F53" w14:paraId="7DE0FD56" w14:textId="77777777" w:rsidP="00B5118D">
      <w:r w:rsidRPr="00E90215">
        <w:t xml:space="preserve">Gardetti, M.A. and Torres, A.L. eds., </w:t>
      </w:r>
      <w:r>
        <w:t>(</w:t>
      </w:r>
      <w:r w:rsidRPr="00E90215">
        <w:t>2017</w:t>
      </w:r>
      <w:r>
        <w:t>)</w:t>
      </w:r>
      <w:r w:rsidRPr="00E90215">
        <w:t>. </w:t>
      </w:r>
      <w:r w:rsidRPr="00B5118D">
        <w:rPr>
          <w:iCs/>
          <w:i/>
        </w:rPr>
        <w:t>Sustainability in Hospitality: How innovative hotels are transforming the industry</w:t>
      </w:r>
      <w:r w:rsidRPr="00E90215">
        <w:t>. Routledge.</w:t>
      </w:r>
    </w:p>
    <w:p w:rsidR="00DB7F53" w:rsidRDefault="00DB7F53" w14:paraId="7EF77F89" w14:textId="77777777" w:rsidP="00B5118D">
      <w:r w:rsidRPr="00E90215">
        <w:t xml:space="preserve">Gerard, H. and Bruijl, T., </w:t>
      </w:r>
      <w:r>
        <w:t>(</w:t>
      </w:r>
      <w:r w:rsidRPr="00E90215">
        <w:t>2019</w:t>
      </w:r>
      <w:r>
        <w:t>)</w:t>
      </w:r>
      <w:r w:rsidRPr="00E90215">
        <w:t>. </w:t>
      </w:r>
      <w:r w:rsidRPr="00B5118D">
        <w:rPr>
          <w:iCs/>
          <w:i/>
        </w:rPr>
        <w:t>The relevance of Porter's five forces in today's innovative and changing business environment</w:t>
      </w:r>
      <w:r w:rsidRPr="00E90215">
        <w:t>. SSRN.</w:t>
      </w:r>
    </w:p>
    <w:p w:rsidR="00DB7F53" w:rsidRDefault="00DB7F53" w14:paraId="77E4B130" w14:textId="77777777" w:rsidP="00B5118D">
      <w:r w:rsidRPr="00A3489B">
        <w:t xml:space="preserve">Kang, S.P., Chen, Y., Svihla, V., Gallup, A., Ferris, K. and Datye, A.K., </w:t>
      </w:r>
      <w:r>
        <w:t>(</w:t>
      </w:r>
      <w:r w:rsidRPr="00A3489B">
        <w:t>2022</w:t>
      </w:r>
      <w:r>
        <w:t>)</w:t>
      </w:r>
      <w:r w:rsidRPr="00A3489B">
        <w:t>. Guiding change in higher education: An emergent, iterative application of Kotter’s change model. </w:t>
      </w:r>
      <w:r w:rsidRPr="00B5118D">
        <w:rPr>
          <w:iCs/>
          <w:i/>
        </w:rPr>
        <w:t>Studies in Higher Education</w:t>
      </w:r>
      <w:r w:rsidRPr="00A3489B">
        <w:t>, </w:t>
      </w:r>
      <w:r w:rsidRPr="00B5118D">
        <w:rPr>
          <w:iCs/>
          <w:i/>
        </w:rPr>
        <w:t>47</w:t>
      </w:r>
      <w:r w:rsidRPr="00A3489B">
        <w:t>(2), pp.270-289.</w:t>
      </w:r>
    </w:p>
    <w:p w:rsidR="00DB7F53" w:rsidRDefault="00DB7F53" w14:paraId="1B6E798C" w14:textId="77777777" w:rsidP="00B5118D" w:rsidRPr="0078061D">
      <w:r w:rsidRPr="00453B23">
        <w:t xml:space="preserve">Legrand, W., Chen, J.S. and Laeis, G.C., </w:t>
      </w:r>
      <w:r>
        <w:t>(</w:t>
      </w:r>
      <w:r w:rsidRPr="00453B23">
        <w:t>2022</w:t>
      </w:r>
      <w:r>
        <w:t>)</w:t>
      </w:r>
      <w:r w:rsidRPr="00453B23">
        <w:t>. </w:t>
      </w:r>
      <w:r w:rsidRPr="00B5118D">
        <w:rPr>
          <w:iCs/>
          <w:i/>
        </w:rPr>
        <w:t>Sustainability in the hospitality industry: Principles of sustainable operations</w:t>
      </w:r>
      <w:r w:rsidRPr="00453B23">
        <w:t>. Routledge.</w:t>
      </w:r>
    </w:p>
    <w:p w:rsidR="00DB7F53" w:rsidRDefault="00DB7F53" w14:paraId="7839B41E" w14:textId="77777777" w:rsidP="00B5118D">
      <w:r>
        <w:t xml:space="preserve">Mullins, L (2019) Organisational Behaviour in the Workplace (12th edition) Harlow: Pearson </w:t>
      </w:r>
    </w:p>
    <w:p w:rsidR="00DB7F53" w:rsidRDefault="00DB7F53" w14:paraId="58BFCEF2" w14:textId="77777777" w:rsidP="00B5118D">
      <w:r>
        <w:t xml:space="preserve">Mullins, L and Dosser, P. (2013) Hospitality Management and Organisational Behaviour (5th Ed) Harlow, Pearson. </w:t>
      </w:r>
    </w:p>
    <w:p w:rsidR="00DB7F53" w:rsidRDefault="00DB7F53" w14:paraId="5172F10E" w14:textId="77777777" w:rsidP="00B5118D">
      <w:r>
        <w:t xml:space="preserve">Mullins, L. (2023) Management and Organisational Behaviour (13th edition) Harlow: Pearson </w:t>
      </w:r>
    </w:p>
    <w:p w:rsidR="00DB7F53" w:rsidRDefault="00DB7F53" w14:paraId="41968971" w14:textId="77777777" w:rsidP="00B5118D">
      <w:r w:rsidRPr="00E90215">
        <w:t xml:space="preserve">Rakesh, N. and Wind, J., </w:t>
      </w:r>
      <w:r>
        <w:t>(</w:t>
      </w:r>
      <w:r w:rsidRPr="00E90215">
        <w:t>2020</w:t>
      </w:r>
      <w:r>
        <w:t>)</w:t>
      </w:r>
      <w:r w:rsidRPr="00E90215">
        <w:t>. </w:t>
      </w:r>
      <w:r w:rsidRPr="00B5118D">
        <w:rPr>
          <w:iCs/>
          <w:i/>
        </w:rPr>
        <w:t>Transformation in Times of Crisis: Eight Principles for Creating Opportunities and Value in the Post-Pandemic World</w:t>
      </w:r>
      <w:r w:rsidRPr="00E90215">
        <w:t>. Notion Press.</w:t>
      </w:r>
    </w:p>
    <w:p w:rsidR="00DB7F53" w:rsidRDefault="00DB7F53" w14:paraId="47238858" w14:textId="77777777" w:rsidP="00B5118D">
      <w:r w:rsidRPr="00A3489B">
        <w:t xml:space="preserve">Remy, D., Tan, S., Boo, H.C. and Tee, S., </w:t>
        <w:lastRenderedPageBreak/>
      </w:r>
      <w:r>
        <w:t>(</w:t>
      </w:r>
      <w:r w:rsidRPr="00A3489B">
        <w:t>2023</w:t>
      </w:r>
      <w:r>
        <w:t>)</w:t>
      </w:r>
      <w:r w:rsidRPr="00A3489B">
        <w:t>. Revenue Management Metrics Study.</w:t>
      </w:r>
    </w:p>
    <w:p w:rsidR="00DB7F53" w:rsidRDefault="00DB7F53" w14:paraId="39327F12" w14:textId="77777777" w:rsidP="00B5118D">
      <w:r w:rsidRPr="00E90215">
        <w:t xml:space="preserve">Rizvi, Y.S., </w:t>
      </w:r>
      <w:r>
        <w:t>(</w:t>
      </w:r>
      <w:r w:rsidRPr="00E90215">
        <w:t>2023</w:t>
      </w:r>
      <w:r>
        <w:t>)</w:t>
      </w:r>
      <w:r w:rsidRPr="00E90215">
        <w:t>. Drivers of exemplary leadership behaviour: the role of regulation competence amid disruptions. </w:t>
      </w:r>
      <w:r w:rsidRPr="00B5118D">
        <w:rPr>
          <w:iCs/>
          <w:i/>
        </w:rPr>
        <w:t>International Journal of Management Practice</w:t>
      </w:r>
      <w:r w:rsidRPr="00E90215">
        <w:t>, </w:t>
      </w:r>
      <w:r w:rsidRPr="00B5118D">
        <w:rPr>
          <w:iCs/>
          <w:i/>
        </w:rPr>
        <w:t>16</w:t>
      </w:r>
      <w:r w:rsidRPr="00E90215">
        <w:t>(6), pp.744-764.</w:t>
      </w:r>
    </w:p>
    <w:p w:rsidR="00DB7F53" w:rsidRDefault="00DB7F53" w14:paraId="6141ACFB" w14:textId="77777777" w:rsidP="00B5118D">
      <w:r w:rsidRPr="00020A2D">
        <w:t xml:space="preserve">Santarsiero, F., Schiuma, G., Carlucci, D. and Helander, N., </w:t>
      </w:r>
      <w:r>
        <w:t>(</w:t>
      </w:r>
      <w:r w:rsidRPr="00020A2D">
        <w:t>2023</w:t>
      </w:r>
      <w:r>
        <w:t>)</w:t>
      </w:r>
      <w:r w:rsidRPr="00020A2D">
        <w:t>. Digital transformation in healthcare organisations: The role of innovation labs. </w:t>
      </w:r>
      <w:r w:rsidRPr="00B5118D">
        <w:rPr>
          <w:iCs/>
          <w:i/>
        </w:rPr>
        <w:t>Technovation</w:t>
      </w:r>
      <w:r w:rsidRPr="00020A2D">
        <w:t>, </w:t>
      </w:r>
      <w:r w:rsidRPr="00B5118D">
        <w:rPr>
          <w:iCs/>
          <w:i/>
        </w:rPr>
        <w:t>122</w:t>
      </w:r>
      <w:r w:rsidRPr="00020A2D">
        <w:t>, p.102640.</w:t>
      </w:r>
    </w:p>
    <w:p w:rsidR="00DB7F53" w:rsidRDefault="00DB7F53" w14:paraId="2F95F20D" w14:textId="77777777" w:rsidP="00B5118D">
      <w:r w:rsidRPr="00020A2D">
        <w:t xml:space="preserve">Saoudi, I. and Dehane, M., </w:t>
      </w:r>
      <w:r>
        <w:t>(</w:t>
      </w:r>
      <w:r w:rsidRPr="00020A2D">
        <w:t>2022</w:t>
      </w:r>
      <w:r>
        <w:t>)</w:t>
      </w:r>
      <w:r w:rsidRPr="00020A2D">
        <w:t>. The Effect of Managing by Intelligences on the Crisis Management Effectiveness in Light of the Corona Pandemic: A Case Study of a Group of Hotels. </w:t>
      </w:r>
      <w:r w:rsidRPr="00B5118D">
        <w:rPr>
          <w:iCs/>
          <w:i/>
        </w:rPr>
        <w:t>Journal of Economic Integration</w:t>
      </w:r>
      <w:r w:rsidRPr="00020A2D">
        <w:t>, </w:t>
      </w:r>
      <w:r w:rsidRPr="00B5118D">
        <w:rPr>
          <w:iCs/>
          <w:i/>
        </w:rPr>
        <w:t>10</w:t>
      </w:r>
      <w:r w:rsidRPr="00020A2D">
        <w:t>(1), pp.1-18.</w:t>
      </w:r>
    </w:p>
    <w:p w:rsidR="00546DD2" w:rsidRDefault="00546DD2" w14:paraId="048D575B" w14:textId="2B0992C2" w:rsidP="00B5118D">
      <w:r w:rsidRPr="00471164">
        <w:t xml:space="preserve">Sheth, J.N., Jain, V., Roy, G. and Chakraborty, A., </w:t>
      </w:r>
      <w:r>
        <w:t>(</w:t>
      </w:r>
      <w:r w:rsidRPr="00471164">
        <w:t>2022</w:t>
      </w:r>
      <w:r>
        <w:t>)</w:t>
      </w:r>
      <w:r w:rsidRPr="00471164">
        <w:t>. AI-driven banking services: the next frontier for a personalised experience in the emerging market. </w:t>
      </w:r>
      <w:r w:rsidRPr="00B5118D">
        <w:rPr>
          <w:iCs/>
          <w:i/>
        </w:rPr>
        <w:t>International Journal of Bank Marketing</w:t>
      </w:r>
      <w:r w:rsidRPr="00471164">
        <w:t>, </w:t>
      </w:r>
      <w:r w:rsidRPr="00B5118D">
        <w:rPr>
          <w:iCs/>
          <w:i/>
        </w:rPr>
        <w:t>40</w:t>
      </w:r>
      <w:r w:rsidRPr="00471164">
        <w:t>(6), pp.1248-1271.</w:t>
      </w:r>
    </w:p>
    <w:p w:rsidR="00DB7F53" w:rsidRDefault="00DB7F53" w14:paraId="2673A089" w14:textId="77777777" w:rsidP="00B5118D">
      <w:r w:rsidRPr="00E90215">
        <w:t xml:space="preserve">Wesley, S., Jackson, K.N., Martínez Ramos, D., Vanbeber, S. and Mujtaba, B.G., </w:t>
      </w:r>
      <w:r>
        <w:t>(</w:t>
      </w:r>
      <w:r w:rsidRPr="00E90215">
        <w:t>2024</w:t>
      </w:r>
      <w:r>
        <w:t>)</w:t>
      </w:r>
      <w:r w:rsidRPr="00E90215">
        <w:t>. Marriott Hotel's Practices in Mitigating Discrimination Through Inclusionary Employee Resource Groups. </w:t>
      </w:r>
      <w:r w:rsidRPr="00B5118D">
        <w:rPr>
          <w:iCs/>
          <w:i/>
        </w:rPr>
        <w:t>Journal of Business Diversity</w:t>
      </w:r>
      <w:r w:rsidRPr="00E90215">
        <w:t>, </w:t>
      </w:r>
      <w:r w:rsidRPr="00B5118D">
        <w:rPr>
          <w:iCs/>
          <w:i/>
        </w:rPr>
        <w:t>24</w:t>
      </w:r>
      <w:r w:rsidRPr="00E90215">
        <w:t>(1).</w:t>
      </w:r>
    </w:p>
    <w:sectPr w:rsidR="00DB7F53">
      <w:docGrid w:linePitch="360"/>
      <w:footerReference r:id="rId16" w:type="default"/>
      <w:pgSz w:w="11906" w:h="16838"/>
      <w:pgMar w:left="1440" w:right="1440" w:top="1440" w:bottom="1440" w:header="708" w:footer="708" w:gutter="0"/>
      <w:cols w:space="708"/>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CCD19D3" w14:textId="77777777" w:rsidR="007F2025" w:rsidRDefault="007F2025" w:rsidP="00671151">
      <w:pPr>
        <w:spacing w:after="0" w:line="240" w:lineRule="auto"/>
      </w:pPr>
      <w:r>
        <w:separator/>
      </w:r>
    </w:p>
  </w:endnote>
  <w:endnote w:type="continuationSeparator" w:id="0">
    <w:p w14:paraId="2F9B5A3A" w14:textId="77777777" w:rsidR="007F2025" w:rsidRDefault="007F2025" w:rsidP="00671151">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Mangal">
    <w:altName w:val="Courier New"/>
    <w:panose1 w:val="00000400000000000000"/>
    <w:charset w:val="00"/>
    <w:family w:val="roman"/>
    <w:pitch w:val="variable"/>
    <w:sig w:usb0="00008003" w:usb1="00000000" w:usb2="00000000" w:usb3="00000000" w:csb0="00000001" w:csb1="00000000"/>
  </w:font>
  <w:font w:name="Symbol"/>
  <w:font w:name="Courier New"/>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23198258"/>
      <w:docPartObj>
        <w:docPartGallery w:val="Page Numbers (Bottom of Page)"/>
        <w:docPartUnique/>
      </w:docPartObj>
    </w:sdtPr>
    <w:sdtEndPr>
      <w:rPr>
        <w:noProof/>
      </w:rPr>
    </w:sdtEndPr>
    <w:sdtContent>
      <w:p w14:paraId="56C1FB2A" w14:textId="1F16AFF3" w:rsidR="000B48A1" w:rsidRDefault="000B48A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819BB2" w14:textId="77777777" w:rsidR="000B48A1" w:rsidRDefault="000B48A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EE68D3" w14:textId="77777777" w:rsidR="007F2025" w:rsidRDefault="007F2025" w:rsidP="00671151">
      <w:pPr>
        <w:spacing w:after="0" w:line="240" w:lineRule="auto"/>
      </w:pPr>
      <w:r>
        <w:separator/>
      </w:r>
    </w:p>
  </w:footnote>
  <w:footnote w:type="continuationSeparator" w:id="0">
    <w:p w14:paraId="5DB5ABF1" w14:textId="77777777" w:rsidR="007F2025" w:rsidRDefault="007F2025" w:rsidP="00671151">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0B675DD"/>
    <w:tmpl w:val="D876C04C"/>
    <w:lvl w:ilvl="0" w:tplc="4009000F">
      <w:numFmt w:val="decimal"/>
      <w:lvlText w:val="%1."/>
      <w:start w:val="1"/>
      <w:pPr>
        <w:ind w:left="720"/>
        <w:ind w:hanging="360"/>
      </w:pPr>
      <w:lvlJc w:val="left"/>
    </w:lvl>
    <w:lvl w:ilvl="1" w:tentative="1" w:tplc="40090019">
      <w:numFmt w:val="lowerLetter"/>
      <w:lvlText w:val="%2."/>
      <w:start w:val="1"/>
      <w:pPr>
        <w:ind w:left="1440"/>
        <w:ind w:hanging="360"/>
      </w:pPr>
      <w:lvlJc w:val="left"/>
    </w:lvl>
    <w:lvl w:ilvl="2" w:tentative="1" w:tplc="4009001B">
      <w:numFmt w:val="lowerRoman"/>
      <w:lvlText w:val="%3."/>
      <w:start w:val="1"/>
      <w:pPr>
        <w:ind w:left="2160"/>
        <w:ind w:hanging="180"/>
      </w:pPr>
      <w:lvlJc w:val="right"/>
    </w:lvl>
    <w:lvl w:ilvl="3" w:tentative="1" w:tplc="4009000F">
      <w:numFmt w:val="decimal"/>
      <w:lvlText w:val="%4."/>
      <w:start w:val="1"/>
      <w:pPr>
        <w:ind w:left="2880"/>
        <w:ind w:hanging="360"/>
      </w:pPr>
      <w:lvlJc w:val="left"/>
    </w:lvl>
    <w:lvl w:ilvl="4" w:tentative="1" w:tplc="40090019">
      <w:numFmt w:val="lowerLetter"/>
      <w:lvlText w:val="%5."/>
      <w:start w:val="1"/>
      <w:pPr>
        <w:ind w:left="3600"/>
        <w:ind w:hanging="360"/>
      </w:pPr>
      <w:lvlJc w:val="left"/>
    </w:lvl>
    <w:lvl w:ilvl="5" w:tentative="1" w:tplc="4009001B">
      <w:numFmt w:val="lowerRoman"/>
      <w:lvlText w:val="%6."/>
      <w:start w:val="1"/>
      <w:pPr>
        <w:ind w:left="4320"/>
        <w:ind w:hanging="180"/>
      </w:pPr>
      <w:lvlJc w:val="right"/>
    </w:lvl>
    <w:lvl w:ilvl="6" w:tentative="1" w:tplc="4009000F">
      <w:numFmt w:val="decimal"/>
      <w:lvlText w:val="%7."/>
      <w:start w:val="1"/>
      <w:pPr>
        <w:ind w:left="5040"/>
        <w:ind w:hanging="360"/>
      </w:pPr>
      <w:lvlJc w:val="left"/>
    </w:lvl>
    <w:lvl w:ilvl="7" w:tentative="1" w:tplc="40090019">
      <w:numFmt w:val="lowerLetter"/>
      <w:lvlText w:val="%8."/>
      <w:start w:val="1"/>
      <w:pPr>
        <w:ind w:left="5760"/>
        <w:ind w:hanging="360"/>
      </w:pPr>
      <w:lvlJc w:val="left"/>
    </w:lvl>
    <w:lvl w:ilvl="8" w:tentative="1" w:tplc="4009001B">
      <w:numFmt w:val="lowerRoman"/>
      <w:lvlText w:val="%9."/>
      <w:start w:val="1"/>
      <w:pPr>
        <w:ind w:left="6480"/>
        <w:ind w:hanging="180"/>
      </w:pPr>
      <w:lvlJc w:val="right"/>
    </w:lvl>
  </w:abstractNum>
  <w:abstractNum w:abstractNumId="1">
    <w:multiLevelType w:val="hybridMultilevel"/>
    <w:nsid w:val="3197218A"/>
    <w:tmpl w:val="D2E41652"/>
    <w:lvl w:ilvl="0" w:tplc="4009000F">
      <w:numFmt w:val="decimal"/>
      <w:lvlText w:val="%1."/>
      <w:start w:val="1"/>
      <w:pPr>
        <w:ind w:left="720"/>
        <w:ind w:hanging="360"/>
      </w:pPr>
      <w:lvlJc w:val="left"/>
    </w:lvl>
    <w:lvl w:ilvl="1" w:tentative="1" w:tplc="40090019">
      <w:numFmt w:val="lowerLetter"/>
      <w:lvlText w:val="%2."/>
      <w:start w:val="1"/>
      <w:pPr>
        <w:ind w:left="1440"/>
        <w:ind w:hanging="360"/>
      </w:pPr>
      <w:lvlJc w:val="left"/>
    </w:lvl>
    <w:lvl w:ilvl="2" w:tentative="1" w:tplc="4009001B">
      <w:numFmt w:val="lowerRoman"/>
      <w:lvlText w:val="%3."/>
      <w:start w:val="1"/>
      <w:pPr>
        <w:ind w:left="2160"/>
        <w:ind w:hanging="180"/>
      </w:pPr>
      <w:lvlJc w:val="right"/>
    </w:lvl>
    <w:lvl w:ilvl="3" w:tentative="1" w:tplc="4009000F">
      <w:numFmt w:val="decimal"/>
      <w:lvlText w:val="%4."/>
      <w:start w:val="1"/>
      <w:pPr>
        <w:ind w:left="2880"/>
        <w:ind w:hanging="360"/>
      </w:pPr>
      <w:lvlJc w:val="left"/>
    </w:lvl>
    <w:lvl w:ilvl="4" w:tentative="1" w:tplc="40090019">
      <w:numFmt w:val="lowerLetter"/>
      <w:lvlText w:val="%5."/>
      <w:start w:val="1"/>
      <w:pPr>
        <w:ind w:left="3600"/>
        <w:ind w:hanging="360"/>
      </w:pPr>
      <w:lvlJc w:val="left"/>
    </w:lvl>
    <w:lvl w:ilvl="5" w:tentative="1" w:tplc="4009001B">
      <w:numFmt w:val="lowerRoman"/>
      <w:lvlText w:val="%6."/>
      <w:start w:val="1"/>
      <w:pPr>
        <w:ind w:left="4320"/>
        <w:ind w:hanging="180"/>
      </w:pPr>
      <w:lvlJc w:val="right"/>
    </w:lvl>
    <w:lvl w:ilvl="6" w:tentative="1" w:tplc="4009000F">
      <w:numFmt w:val="decimal"/>
      <w:lvlText w:val="%7."/>
      <w:start w:val="1"/>
      <w:pPr>
        <w:ind w:left="5040"/>
        <w:ind w:hanging="360"/>
      </w:pPr>
      <w:lvlJc w:val="left"/>
    </w:lvl>
    <w:lvl w:ilvl="7" w:tentative="1" w:tplc="40090019">
      <w:numFmt w:val="lowerLetter"/>
      <w:lvlText w:val="%8."/>
      <w:start w:val="1"/>
      <w:pPr>
        <w:ind w:left="5760"/>
        <w:ind w:hanging="360"/>
      </w:pPr>
      <w:lvlJc w:val="left"/>
    </w:lvl>
    <w:lvl w:ilvl="8" w:tentative="1" w:tplc="4009001B">
      <w:numFmt w:val="lowerRoman"/>
      <w:lvlText w:val="%9."/>
      <w:start w:val="1"/>
      <w:pPr>
        <w:ind w:left="648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0"/>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9A85375"/>
  <w15:chartTrackingRefBased/>
  <w:rsids>
    <w:rsidRoot val="00BC755E"/>
    <w:rsid val="00082B0E"/>
    <w:rsid val="000B48A1"/>
    <w:rsid val="002E6459"/>
    <w:rsid val="004E0DEF"/>
    <w:rsid val="00546DD2"/>
    <w:rsid val="00664B5B"/>
    <w:rsid val="00671151"/>
    <w:rsid val="0067540E"/>
    <w:rsid val="006818AF"/>
    <w:rsid val="006D5BE5"/>
    <w:rsid val="00704060"/>
    <w:rsid val="0078061D"/>
    <w:rsid val="007A58D9"/>
    <w:rsid val="007F2025"/>
    <w:rsid val="008210C2"/>
    <w:rsid val="00A018E9"/>
    <w:rsid val="00A42FB0"/>
    <w:rsid val="00AB6B1E"/>
    <w:rsid val="00AF05AC"/>
    <w:rsid val="00B1736A"/>
    <w:rsid val="00B5118D"/>
    <w:rsid val="00B524E7"/>
    <w:rsid val="00BC755E"/>
    <w:rsid val="00C4179D"/>
    <w:rsid val="00CA6C9B"/>
    <w:rsid val="00DB7F53"/>
    <w:rsid val="00DF4CC5"/>
    <w:rsid val="00EA7547"/>
    <w:rsid val="00ED2BEF"/>
    <w:rsid val="00F57F6D"/>
    <w:rsid val="00F667D0"/>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hi-IN"/>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E0DE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E0DEF"/>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4E0DEF"/>
    <w:pPr>
      <w:keepNext/>
      <w:keepLines/>
      <w:spacing w:before="40" w:after="0"/>
      <w:outlineLvl w:val="1"/>
    </w:pPr>
    <w:rPr>
      <w:rFonts w:asciiTheme="majorBidi" w:eastAsiaTheme="majorEastAsia" w:hAnsiTheme="majorBidi" w:cstheme="majorBidi"/>
      <w:b/>
      <w:sz w:val="32"/>
      <w:szCs w:val="26"/>
    </w:rPr>
  </w:style>
  <w:style w:type="paragraph" w:styleId="Heading3">
    <w:name w:val="heading 3"/>
    <w:basedOn w:val="Normal"/>
    <w:next w:val="Normal"/>
    <w:link w:val="Heading3Char"/>
    <w:uiPriority w:val="9"/>
    <w:unhideWhenUsed/>
    <w:qFormat/>
    <w:rsid w:val="002E6459"/>
    <w:pPr>
      <w:keepNext/>
      <w:keepLines/>
      <w:spacing w:before="40" w:after="0"/>
      <w:outlineLvl w:val="2"/>
    </w:pPr>
    <w:rPr>
      <w:rFonts w:asciiTheme="majorHAnsi" w:eastAsiaTheme="majorEastAsia" w:hAnsiTheme="majorHAnsi" w:cs="Mangal"/>
      <w:b/>
      <w:sz w:val="28"/>
      <w:szCs w:val="21"/>
    </w:rPr>
  </w:style>
  <w:style w:type="paragraph" w:styleId="Heading4">
    <w:name w:val="heading 4"/>
    <w:basedOn w:val="Normal"/>
    <w:next w:val="Normal"/>
    <w:link w:val="Heading4Char"/>
    <w:uiPriority w:val="9"/>
    <w:semiHidden/>
    <w:unhideWhenUsed/>
    <w:qFormat/>
    <w:rsid w:val="00BC755E"/>
    <w:pPr>
      <w:keepNext/>
      <w:keepLines/>
      <w:spacing w:before="80" w:after="40"/>
      <w:outlineLvl w:val="3"/>
    </w:pPr>
    <w:rPr>
      <w:rFonts w:asciiTheme="minorHAnsi" w:eastAsiaTheme="majorEastAsia" w:hAnsiTheme="minorHAnsi" w:cs="Mangal"/>
      <w:i/>
      <w:iCs/>
      <w:color w:val="365F91" w:themeColor="accent1" w:themeShade="BF"/>
    </w:rPr>
  </w:style>
  <w:style w:type="paragraph" w:styleId="Heading5">
    <w:name w:val="heading 5"/>
    <w:basedOn w:val="Normal"/>
    <w:next w:val="Normal"/>
    <w:link w:val="Heading5Char"/>
    <w:uiPriority w:val="9"/>
    <w:semiHidden/>
    <w:unhideWhenUsed/>
    <w:qFormat/>
    <w:rsid w:val="00BC755E"/>
    <w:pPr>
      <w:keepNext/>
      <w:keepLines/>
      <w:spacing w:before="80" w:after="40"/>
      <w:outlineLvl w:val="4"/>
    </w:pPr>
    <w:rPr>
      <w:rFonts w:asciiTheme="minorHAnsi" w:eastAsiaTheme="majorEastAsia" w:hAnsiTheme="minorHAnsi" w:cs="Mangal"/>
      <w:color w:val="365F91" w:themeColor="accent1" w:themeShade="BF"/>
    </w:rPr>
  </w:style>
  <w:style w:type="paragraph" w:styleId="Heading6">
    <w:name w:val="heading 6"/>
    <w:basedOn w:val="Normal"/>
    <w:next w:val="Normal"/>
    <w:link w:val="Heading6Char"/>
    <w:uiPriority w:val="9"/>
    <w:semiHidden/>
    <w:unhideWhenUsed/>
    <w:qFormat/>
    <w:rsid w:val="00BC755E"/>
    <w:pPr>
      <w:keepNext/>
      <w:keepLines/>
      <w:spacing w:before="40" w:after="0"/>
      <w:outlineLvl w:val="5"/>
    </w:pPr>
    <w:rPr>
      <w:rFonts w:asciiTheme="minorHAnsi" w:eastAsiaTheme="majorEastAsia" w:hAnsiTheme="minorHAnsi" w:cs="Mangal"/>
      <w:i/>
      <w:iCs/>
      <w:color w:val="595959" w:themeColor="text1" w:themeTint="A6"/>
    </w:rPr>
  </w:style>
  <w:style w:type="paragraph" w:styleId="Heading7">
    <w:name w:val="heading 7"/>
    <w:basedOn w:val="Normal"/>
    <w:next w:val="Normal"/>
    <w:link w:val="Heading7Char"/>
    <w:uiPriority w:val="9"/>
    <w:semiHidden/>
    <w:unhideWhenUsed/>
    <w:qFormat/>
    <w:rsid w:val="00BC755E"/>
    <w:pPr>
      <w:keepNext/>
      <w:keepLines/>
      <w:spacing w:before="40" w:after="0"/>
      <w:outlineLvl w:val="6"/>
    </w:pPr>
    <w:rPr>
      <w:rFonts w:asciiTheme="minorHAnsi" w:eastAsiaTheme="majorEastAsia" w:hAnsiTheme="minorHAnsi" w:cs="Mangal"/>
      <w:color w:val="595959" w:themeColor="text1" w:themeTint="A6"/>
    </w:rPr>
  </w:style>
  <w:style w:type="paragraph" w:styleId="Heading8">
    <w:name w:val="heading 8"/>
    <w:basedOn w:val="Normal"/>
    <w:next w:val="Normal"/>
    <w:link w:val="Heading8Char"/>
    <w:uiPriority w:val="9"/>
    <w:semiHidden/>
    <w:unhideWhenUsed/>
    <w:qFormat/>
    <w:rsid w:val="00BC755E"/>
    <w:pPr>
      <w:keepNext/>
      <w:keepLines/>
      <w:spacing w:after="0"/>
      <w:outlineLvl w:val="7"/>
    </w:pPr>
    <w:rPr>
      <w:rFonts w:asciiTheme="minorHAnsi" w:eastAsiaTheme="majorEastAsia" w:hAnsiTheme="minorHAnsi" w:cs="Mangal"/>
      <w:i/>
      <w:iCs/>
      <w:color w:val="272727" w:themeColor="text1" w:themeTint="D8"/>
    </w:rPr>
  </w:style>
  <w:style w:type="paragraph" w:styleId="Heading9">
    <w:name w:val="heading 9"/>
    <w:basedOn w:val="Normal"/>
    <w:next w:val="Normal"/>
    <w:link w:val="Heading9Char"/>
    <w:uiPriority w:val="9"/>
    <w:semiHidden/>
    <w:unhideWhenUsed/>
    <w:qFormat/>
    <w:rsid w:val="00BC755E"/>
    <w:pPr>
      <w:keepNext/>
      <w:keepLines/>
      <w:spacing w:after="0"/>
      <w:outlineLvl w:val="8"/>
    </w:pPr>
    <w:rPr>
      <w:rFonts w:asciiTheme="minorHAnsi" w:eastAsiaTheme="majorEastAsia" w:hAnsiTheme="minorHAnsi" w:cs="Mangal"/>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0DEF"/>
    <w:rPr>
      <w:rFonts w:ascii="Times New Roman" w:eastAsiaTheme="majorEastAsia" w:hAnsi="Times New Roman" w:cstheme="majorBidi"/>
      <w:b/>
      <w:sz w:val="36"/>
      <w:szCs w:val="32"/>
    </w:rPr>
  </w:style>
  <w:style w:type="paragraph" w:styleId="Title">
    <w:name w:val="Title"/>
    <w:basedOn w:val="Heading3"/>
    <w:next w:val="Normal"/>
    <w:link w:val="TitleChar"/>
    <w:uiPriority w:val="10"/>
    <w:qFormat/>
    <w:rsid w:val="00AF05AC"/>
    <w:pPr>
      <w:keepNext w:val="0"/>
      <w:keepLines w:val="0"/>
      <w:spacing w:before="0" w:line="240" w:lineRule="auto"/>
      <w:contextualSpacing/>
      <w:outlineLvl w:val="9"/>
    </w:pPr>
    <w:rPr>
      <w:spacing w:val="-10"/>
      <w:kern w:val="28"/>
      <w:sz w:val="56"/>
      <w:szCs w:val="50"/>
    </w:rPr>
  </w:style>
  <w:style w:type="character" w:customStyle="1" w:styleId="TitleChar">
    <w:name w:val="Title Char"/>
    <w:basedOn w:val="DefaultParagraphFont"/>
    <w:link w:val="Title"/>
    <w:uiPriority w:val="10"/>
    <w:rsid w:val="00AF05AC"/>
    <w:rPr>
      <w:rFonts w:asciiTheme="majorHAnsi" w:eastAsiaTheme="majorEastAsia" w:hAnsiTheme="majorHAnsi" w:cs="Mangal"/>
      <w:spacing w:val="-10"/>
      <w:kern w:val="28"/>
      <w:sz w:val="56"/>
      <w:szCs w:val="50"/>
    </w:rPr>
  </w:style>
  <w:style w:type="character" w:customStyle="1" w:styleId="Heading3Char">
    <w:name w:val="Heading 3 Char"/>
    <w:basedOn w:val="DefaultParagraphFont"/>
    <w:link w:val="Heading3"/>
    <w:uiPriority w:val="9"/>
    <w:rsid w:val="002E6459"/>
    <w:rPr>
      <w:rFonts w:asciiTheme="majorHAnsi" w:eastAsiaTheme="majorEastAsia" w:hAnsiTheme="majorHAnsi" w:cs="Mangal"/>
      <w:b/>
      <w:sz w:val="28"/>
      <w:szCs w:val="21"/>
    </w:rPr>
  </w:style>
  <w:style w:type="character" w:customStyle="1" w:styleId="Heading2Char">
    <w:name w:val="Heading 2 Char"/>
    <w:basedOn w:val="DefaultParagraphFont"/>
    <w:link w:val="Heading2"/>
    <w:uiPriority w:val="9"/>
    <w:rsid w:val="004E0DEF"/>
    <w:rPr>
      <w:rFonts w:asciiTheme="majorBidi" w:eastAsiaTheme="majorEastAsia" w:hAnsiTheme="majorBidi" w:cstheme="majorBidi"/>
      <w:b/>
      <w:sz w:val="32"/>
      <w:szCs w:val="26"/>
    </w:rPr>
  </w:style>
  <w:style w:type="character" w:customStyle="1" w:styleId="Heading4Char">
    <w:name w:val="Heading 4 Char"/>
    <w:basedOn w:val="DefaultParagraphFont"/>
    <w:link w:val="Heading4"/>
    <w:uiPriority w:val="9"/>
    <w:semiHidden/>
    <w:rsid w:val="00BC755E"/>
    <w:rPr>
      <w:rFonts w:eastAsiaTheme="majorEastAsia" w:cs="Mangal"/>
      <w:i/>
      <w:iCs/>
      <w:color w:val="365F91" w:themeColor="accent1" w:themeShade="BF"/>
      <w:sz w:val="24"/>
      <w:lang w:val="en-GB"/>
    </w:rPr>
  </w:style>
  <w:style w:type="character" w:customStyle="1" w:styleId="Heading5Char">
    <w:name w:val="Heading 5 Char"/>
    <w:basedOn w:val="DefaultParagraphFont"/>
    <w:link w:val="Heading5"/>
    <w:uiPriority w:val="9"/>
    <w:semiHidden/>
    <w:rsid w:val="00BC755E"/>
    <w:rPr>
      <w:rFonts w:eastAsiaTheme="majorEastAsia" w:cs="Mangal"/>
      <w:color w:val="365F91" w:themeColor="accent1" w:themeShade="BF"/>
      <w:sz w:val="24"/>
      <w:lang w:val="en-GB"/>
    </w:rPr>
  </w:style>
  <w:style w:type="character" w:customStyle="1" w:styleId="Heading6Char">
    <w:name w:val="Heading 6 Char"/>
    <w:basedOn w:val="DefaultParagraphFont"/>
    <w:link w:val="Heading6"/>
    <w:uiPriority w:val="9"/>
    <w:semiHidden/>
    <w:rsid w:val="00BC755E"/>
    <w:rPr>
      <w:rFonts w:eastAsiaTheme="majorEastAsia" w:cs="Mangal"/>
      <w:i/>
      <w:iCs/>
      <w:color w:val="595959" w:themeColor="text1" w:themeTint="A6"/>
      <w:sz w:val="24"/>
      <w:lang w:val="en-GB"/>
    </w:rPr>
  </w:style>
  <w:style w:type="character" w:customStyle="1" w:styleId="Heading7Char">
    <w:name w:val="Heading 7 Char"/>
    <w:basedOn w:val="DefaultParagraphFont"/>
    <w:link w:val="Heading7"/>
    <w:uiPriority w:val="9"/>
    <w:semiHidden/>
    <w:rsid w:val="00BC755E"/>
    <w:rPr>
      <w:rFonts w:eastAsiaTheme="majorEastAsia" w:cs="Mangal"/>
      <w:color w:val="595959" w:themeColor="text1" w:themeTint="A6"/>
      <w:sz w:val="24"/>
      <w:lang w:val="en-GB"/>
    </w:rPr>
  </w:style>
  <w:style w:type="character" w:customStyle="1" w:styleId="Heading8Char">
    <w:name w:val="Heading 8 Char"/>
    <w:basedOn w:val="DefaultParagraphFont"/>
    <w:link w:val="Heading8"/>
    <w:uiPriority w:val="9"/>
    <w:semiHidden/>
    <w:rsid w:val="00BC755E"/>
    <w:rPr>
      <w:rFonts w:eastAsiaTheme="majorEastAsia" w:cs="Mangal"/>
      <w:i/>
      <w:iCs/>
      <w:color w:val="272727" w:themeColor="text1" w:themeTint="D8"/>
      <w:sz w:val="24"/>
      <w:lang w:val="en-GB"/>
    </w:rPr>
  </w:style>
  <w:style w:type="character" w:customStyle="1" w:styleId="Heading9Char">
    <w:name w:val="Heading 9 Char"/>
    <w:basedOn w:val="DefaultParagraphFont"/>
    <w:link w:val="Heading9"/>
    <w:uiPriority w:val="9"/>
    <w:semiHidden/>
    <w:rsid w:val="00BC755E"/>
    <w:rPr>
      <w:rFonts w:eastAsiaTheme="majorEastAsia" w:cs="Mangal"/>
      <w:color w:val="272727" w:themeColor="text1" w:themeTint="D8"/>
      <w:sz w:val="24"/>
      <w:lang w:val="en-GB"/>
    </w:rPr>
  </w:style>
  <w:style w:type="paragraph" w:styleId="Subtitle">
    <w:name w:val="Subtitle"/>
    <w:basedOn w:val="Normal"/>
    <w:next w:val="Normal"/>
    <w:link w:val="SubtitleChar"/>
    <w:uiPriority w:val="11"/>
    <w:qFormat/>
    <w:rsid w:val="00BC755E"/>
    <w:pPr>
      <w:numPr>
        <w:ilvl w:val="1"/>
      </w:numPr>
      <w:spacing w:after="160"/>
    </w:pPr>
    <w:rPr>
      <w:rFonts w:asciiTheme="minorHAnsi" w:eastAsiaTheme="majorEastAsia" w:hAnsiTheme="minorHAnsi" w:cs="Mangal"/>
      <w:color w:val="595959" w:themeColor="text1" w:themeTint="A6"/>
      <w:spacing w:val="15"/>
      <w:sz w:val="28"/>
      <w:szCs w:val="25"/>
    </w:rPr>
  </w:style>
  <w:style w:type="character" w:customStyle="1" w:styleId="SubtitleChar">
    <w:name w:val="Subtitle Char"/>
    <w:basedOn w:val="DefaultParagraphFont"/>
    <w:link w:val="Subtitle"/>
    <w:uiPriority w:val="11"/>
    <w:rsid w:val="00BC755E"/>
    <w:rPr>
      <w:rFonts w:eastAsiaTheme="majorEastAsia" w:cs="Mangal"/>
      <w:color w:val="595959" w:themeColor="text1" w:themeTint="A6"/>
      <w:spacing w:val="15"/>
      <w:sz w:val="28"/>
      <w:szCs w:val="25"/>
      <w:lang w:val="en-GB"/>
    </w:rPr>
  </w:style>
  <w:style w:type="paragraph" w:styleId="Quote">
    <w:name w:val="Quote"/>
    <w:basedOn w:val="Normal"/>
    <w:next w:val="Normal"/>
    <w:link w:val="QuoteChar"/>
    <w:uiPriority w:val="29"/>
    <w:qFormat/>
    <w:rsid w:val="00BC755E"/>
    <w:pPr>
      <w:spacing w:before="160" w:after="160"/>
      <w:jc w:val="center"/>
    </w:pPr>
    <w:rPr>
      <w:rFonts w:cs="Mangal"/>
      <w:i/>
      <w:iCs/>
      <w:color w:val="404040" w:themeColor="text1" w:themeTint="BF"/>
    </w:rPr>
  </w:style>
  <w:style w:type="character" w:customStyle="1" w:styleId="QuoteChar">
    <w:name w:val="Quote Char"/>
    <w:basedOn w:val="DefaultParagraphFont"/>
    <w:link w:val="Quote"/>
    <w:uiPriority w:val="29"/>
    <w:rsid w:val="00BC755E"/>
    <w:rPr>
      <w:rFonts w:ascii="Times New Roman" w:hAnsi="Times New Roman" w:cs="Mangal"/>
      <w:i/>
      <w:iCs/>
      <w:color w:val="404040" w:themeColor="text1" w:themeTint="BF"/>
      <w:sz w:val="24"/>
      <w:lang w:val="en-GB"/>
    </w:rPr>
  </w:style>
  <w:style w:type="paragraph" w:styleId="ListParagraph">
    <w:name w:val="List Paragraph"/>
    <w:basedOn w:val="Normal"/>
    <w:uiPriority w:val="34"/>
    <w:qFormat/>
    <w:rsid w:val="00BC755E"/>
    <w:pPr>
      <w:ind w:left="720"/>
      <w:contextualSpacing/>
    </w:pPr>
    <w:rPr>
      <w:rFonts w:cs="Mangal"/>
    </w:rPr>
  </w:style>
  <w:style w:type="character" w:styleId="IntenseEmphasis">
    <w:name w:val="Intense Emphasis"/>
    <w:basedOn w:val="DefaultParagraphFont"/>
    <w:uiPriority w:val="21"/>
    <w:qFormat/>
    <w:rsid w:val="00BC755E"/>
    <w:rPr>
      <w:i/>
      <w:iCs/>
      <w:color w:val="365F91" w:themeColor="accent1" w:themeShade="BF"/>
    </w:rPr>
  </w:style>
  <w:style w:type="paragraph" w:styleId="IntenseQuote">
    <w:name w:val="Intense Quote"/>
    <w:basedOn w:val="Normal"/>
    <w:next w:val="Normal"/>
    <w:link w:val="IntenseQuoteChar"/>
    <w:uiPriority w:val="30"/>
    <w:qFormat/>
    <w:rsid w:val="00BC755E"/>
    <w:pPr>
      <w:pBdr>
        <w:top w:val="single" w:sz="4" w:space="10" w:color="365F91" w:themeColor="accent1" w:themeShade="BF"/>
        <w:bottom w:val="single" w:sz="4" w:space="10" w:color="365F91" w:themeColor="accent1" w:themeShade="BF"/>
      </w:pBdr>
      <w:spacing w:before="360" w:after="360"/>
      <w:ind w:left="864" w:right="864"/>
      <w:jc w:val="center"/>
    </w:pPr>
    <w:rPr>
      <w:rFonts w:cs="Mangal"/>
      <w:i/>
      <w:iCs/>
      <w:color w:val="365F91" w:themeColor="accent1" w:themeShade="BF"/>
    </w:rPr>
  </w:style>
  <w:style w:type="character" w:customStyle="1" w:styleId="IntenseQuoteChar">
    <w:name w:val="Intense Quote Char"/>
    <w:basedOn w:val="DefaultParagraphFont"/>
    <w:link w:val="IntenseQuote"/>
    <w:uiPriority w:val="30"/>
    <w:rsid w:val="00BC755E"/>
    <w:rPr>
      <w:rFonts w:ascii="Times New Roman" w:hAnsi="Times New Roman" w:cs="Mangal"/>
      <w:i/>
      <w:iCs/>
      <w:color w:val="365F91" w:themeColor="accent1" w:themeShade="BF"/>
      <w:sz w:val="24"/>
      <w:lang w:val="en-GB"/>
    </w:rPr>
  </w:style>
  <w:style w:type="character" w:styleId="IntenseReference">
    <w:name w:val="Intense Reference"/>
    <w:basedOn w:val="DefaultParagraphFont"/>
    <w:uiPriority w:val="32"/>
    <w:qFormat/>
    <w:rsid w:val="00BC755E"/>
    <w:rPr>
      <w:b/>
      <w:bCs/>
      <w:smallCaps/>
      <w:color w:val="365F91" w:themeColor="accent1" w:themeShade="BF"/>
      <w:spacing w:val="5"/>
    </w:rPr>
  </w:style>
  <w:style w:type="paragraph" w:styleId="TOCHeading">
    <w:name w:val="TOC Heading"/>
    <w:basedOn w:val="Heading1"/>
    <w:next w:val="Normal"/>
    <w:uiPriority w:val="39"/>
    <w:unhideWhenUsed/>
    <w:qFormat/>
    <w:rsid w:val="0078061D"/>
    <w:pPr>
      <w:spacing w:line="259" w:lineRule="auto"/>
      <w:jc w:val="left"/>
      <w:outlineLvl w:val="9"/>
    </w:pPr>
    <w:rPr>
      <w:rFonts w:asciiTheme="majorHAnsi" w:hAnsiTheme="majorHAnsi"/>
      <w:b w:val="0"/>
      <w:color w:val="365F91" w:themeColor="accent1" w:themeShade="BF"/>
      <w:sz w:val="32"/>
      <w:lang w:val="en-US" w:bidi="ar-SA"/>
    </w:rPr>
  </w:style>
  <w:style w:type="paragraph" w:styleId="TOC1">
    <w:name w:val="toc 1"/>
    <w:basedOn w:val="Normal"/>
    <w:next w:val="Normal"/>
    <w:autoRedefine/>
    <w:uiPriority w:val="39"/>
    <w:unhideWhenUsed/>
    <w:rsid w:val="0078061D"/>
    <w:pPr>
      <w:spacing w:after="100"/>
    </w:pPr>
    <w:rPr>
      <w:rFonts w:cs="Mangal"/>
    </w:rPr>
  </w:style>
  <w:style w:type="character" w:styleId="Hyperlink">
    <w:name w:val="Hyperlink"/>
    <w:basedOn w:val="DefaultParagraphFont"/>
    <w:uiPriority w:val="99"/>
    <w:unhideWhenUsed/>
    <w:rsid w:val="0078061D"/>
    <w:rPr>
      <w:color w:val="0000FF" w:themeColor="hyperlink"/>
      <w:u w:val="single"/>
    </w:rPr>
  </w:style>
  <w:style w:type="paragraph" w:styleId="Header">
    <w:name w:val="header"/>
    <w:basedOn w:val="Normal"/>
    <w:link w:val="HeaderChar"/>
    <w:uiPriority w:val="99"/>
    <w:unhideWhenUsed/>
    <w:rsid w:val="00671151"/>
    <w:pPr>
      <w:tabs>
        <w:tab w:val="center" w:pos="4513"/>
        <w:tab w:val="right" w:pos="9026"/>
      </w:tabs>
      <w:spacing w:after="0" w:line="240" w:lineRule="auto"/>
    </w:pPr>
    <w:rPr>
      <w:rFonts w:cs="Mangal"/>
    </w:rPr>
  </w:style>
  <w:style w:type="character" w:customStyle="1" w:styleId="HeaderChar">
    <w:name w:val="Header Char"/>
    <w:basedOn w:val="DefaultParagraphFont"/>
    <w:link w:val="Header"/>
    <w:uiPriority w:val="99"/>
    <w:rsid w:val="00671151"/>
    <w:rPr>
      <w:rFonts w:ascii="Times New Roman" w:hAnsi="Times New Roman" w:cs="Mangal"/>
      <w:sz w:val="24"/>
      <w:lang w:val="en-GB"/>
    </w:rPr>
  </w:style>
  <w:style w:type="paragraph" w:styleId="Footer">
    <w:name w:val="footer"/>
    <w:basedOn w:val="Normal"/>
    <w:link w:val="FooterChar"/>
    <w:uiPriority w:val="99"/>
    <w:unhideWhenUsed/>
    <w:rsid w:val="00671151"/>
    <w:pPr>
      <w:tabs>
        <w:tab w:val="center" w:pos="4513"/>
        <w:tab w:val="right" w:pos="9026"/>
      </w:tabs>
      <w:spacing w:after="0" w:line="240" w:lineRule="auto"/>
    </w:pPr>
    <w:rPr>
      <w:rFonts w:cs="Mangal"/>
    </w:rPr>
  </w:style>
  <w:style w:type="character" w:customStyle="1" w:styleId="FooterChar">
    <w:name w:val="Footer Char"/>
    <w:basedOn w:val="DefaultParagraphFont"/>
    <w:link w:val="Footer"/>
    <w:uiPriority w:val="99"/>
    <w:rsid w:val="00671151"/>
    <w:rPr>
      <w:rFonts w:ascii="Times New Roman" w:hAnsi="Times New Roman" w:cs="Mangal"/>
      <w:sz w:val="24"/>
      <w:lang w:val="en-GB"/>
    </w:rPr>
  </w:style>
  <w:style w:type="paragraph" w:styleId="Caption">
    <w:name w:val="caption"/>
    <w:basedOn w:val="Normal"/>
    <w:next w:val="Normal"/>
    <w:uiPriority w:val="35"/>
    <w:unhideWhenUsed/>
    <w:qFormat/>
    <w:rsid w:val="00B5118D"/>
    <w:pPr>
      <w:spacing w:line="240" w:lineRule="auto"/>
    </w:pPr>
    <w:rPr>
      <w:rFonts w:cs="Mangal"/>
      <w:i/>
      <w:iCs/>
      <w:color w:val="1F497D" w:themeColor="text2"/>
      <w:sz w:val="18"/>
      <w:szCs w:val="16"/>
    </w:rPr>
  </w:style>
  <w:style w:type="paragraph" w:styleId="TableofFigures">
    <w:name w:val="table of figures"/>
    <w:basedOn w:val="Normal"/>
    <w:next w:val="Normal"/>
    <w:uiPriority w:val="99"/>
    <w:unhideWhenUsed/>
    <w:rsid w:val="00ED2BEF"/>
    <w:pPr>
      <w:spacing w:after="0"/>
    </w:pPr>
    <w:rPr>
      <w:rFonts w:cs="Mang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3137236">
      <w:bodyDiv w:val="1"/>
      <w:marLeft w:val="0"/>
      <w:marRight w:val="0"/>
      <w:marTop w:val="0"/>
      <w:marBottom w:val="0"/>
      <w:divBdr>
        <w:top w:val="none" w:sz="0" w:space="0" w:color="auto"/>
        <w:left w:val="none" w:sz="0" w:space="0" w:color="auto"/>
        <w:bottom w:val="none" w:sz="0" w:space="0" w:color="auto"/>
        <w:right w:val="none" w:sz="0" w:space="0" w:color="auto"/>
      </w:divBdr>
    </w:div>
    <w:div w:id="672532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Colors" Target="diagrams/colors1.xml"/><Relationship Id="rId19" Type="http://schemas.openxmlformats.org/officeDocument/2006/relationships/image" Target="media/image1.png"/><Relationship Id="rId20" Type="http://schemas.openxmlformats.org/officeDocument/2006/relationships/image" Target="media/image3.png"/><Relationship Id="rId21" Type="http://schemas.openxmlformats.org/officeDocument/2006/relationships/image" Target="media/image2.jpeg"/></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D7A5376-742B-4E3B-AFF5-97A8F4234EF7}" type="doc">
      <dgm:prSet loTypeId="urn:microsoft.com/office/officeart/2005/8/layout/hierarchy1" loCatId="hierarchy" qsTypeId="urn:microsoft.com/office/officeart/2005/8/quickstyle/simple4" qsCatId="simple" csTypeId="urn:microsoft.com/office/officeart/2005/8/colors/accent0_3" csCatId="mainScheme" phldr="1"/>
      <dgm:spPr/>
      <dgm:t>
        <a:bodyPr/>
        <a:lstStyle/>
        <a:p>
          <a:endParaRPr lang="en-IN"/>
        </a:p>
      </dgm:t>
    </dgm:pt>
    <dgm:pt modelId="{5F449DC9-4C42-4D61-B395-2AD879F5B047}">
      <dgm:prSet phldrT="[Text]" custT="1"/>
      <dgm:spPr/>
      <dgm:t>
        <a:bodyPr/>
        <a:lstStyle/>
        <a:p>
          <a:r>
            <a:rPr lang="en-GB" sz="900" b="1"/>
            <a:t>Recommendations</a:t>
          </a:r>
          <a:endParaRPr lang="en-IN" sz="900" b="1"/>
        </a:p>
      </dgm:t>
    </dgm:pt>
    <dgm:pt modelId="{48DA7CBF-928C-426F-BD94-EE03681A63DC}" type="parTrans" cxnId="{28A834D9-CEA9-4A1E-AB41-DF0BED3DD61B}">
      <dgm:prSet/>
      <dgm:spPr/>
      <dgm:t>
        <a:bodyPr/>
        <a:lstStyle/>
        <a:p>
          <a:endParaRPr lang="en-IN"/>
        </a:p>
      </dgm:t>
    </dgm:pt>
    <dgm:pt modelId="{F22894E7-1D14-476C-BE88-C8B0D2A5F557}" type="sibTrans" cxnId="{28A834D9-CEA9-4A1E-AB41-DF0BED3DD61B}">
      <dgm:prSet/>
      <dgm:spPr/>
      <dgm:t>
        <a:bodyPr/>
        <a:lstStyle/>
        <a:p>
          <a:endParaRPr lang="en-IN"/>
        </a:p>
      </dgm:t>
    </dgm:pt>
    <dgm:pt modelId="{84EB8172-2C23-493B-A386-099D8C341E6C}">
      <dgm:prSet phldrT="[Text]" custT="1"/>
      <dgm:spPr/>
      <dgm:t>
        <a:bodyPr/>
        <a:lstStyle/>
        <a:p>
          <a:r>
            <a:rPr lang="en-GB" sz="900" b="0"/>
            <a:t>Improving Our Digital Systems</a:t>
          </a:r>
          <a:endParaRPr lang="en-IN" sz="900" b="0"/>
        </a:p>
      </dgm:t>
    </dgm:pt>
    <dgm:pt modelId="{8F9B24F6-FD73-4952-887B-C31BFBC1453F}" type="parTrans" cxnId="{0F1F28C0-2EF2-46ED-8131-11A6BA8D542D}">
      <dgm:prSet/>
      <dgm:spPr/>
      <dgm:t>
        <a:bodyPr/>
        <a:lstStyle/>
        <a:p>
          <a:endParaRPr lang="en-IN"/>
        </a:p>
      </dgm:t>
    </dgm:pt>
    <dgm:pt modelId="{8903919B-B34D-4041-9269-0A136DE13B64}" type="sibTrans" cxnId="{0F1F28C0-2EF2-46ED-8131-11A6BA8D542D}">
      <dgm:prSet/>
      <dgm:spPr/>
      <dgm:t>
        <a:bodyPr/>
        <a:lstStyle/>
        <a:p>
          <a:endParaRPr lang="en-IN"/>
        </a:p>
      </dgm:t>
    </dgm:pt>
    <dgm:pt modelId="{B9A3313B-A7F7-4671-ABC4-85FD2EC9B6E9}">
      <dgm:prSet phldrT="[Text]" custT="1"/>
      <dgm:spPr/>
      <dgm:t>
        <a:bodyPr/>
        <a:lstStyle/>
        <a:p>
          <a:r>
            <a:rPr lang="en-GB" sz="900" b="0"/>
            <a:t>Expanding Sustainability Efforts</a:t>
          </a:r>
          <a:endParaRPr lang="en-IN" sz="900" b="0"/>
        </a:p>
      </dgm:t>
    </dgm:pt>
    <dgm:pt modelId="{A7B65CEA-47E4-41EE-9164-219F98EBC4C9}" type="parTrans" cxnId="{5704DE6D-D834-49D8-A14D-6CB09362ABFE}">
      <dgm:prSet/>
      <dgm:spPr/>
      <dgm:t>
        <a:bodyPr/>
        <a:lstStyle/>
        <a:p>
          <a:endParaRPr lang="en-IN"/>
        </a:p>
      </dgm:t>
    </dgm:pt>
    <dgm:pt modelId="{C49DD8FC-096A-4B35-8D4E-EFF3C0B6F58A}" type="sibTrans" cxnId="{5704DE6D-D834-49D8-A14D-6CB09362ABFE}">
      <dgm:prSet/>
      <dgm:spPr/>
      <dgm:t>
        <a:bodyPr/>
        <a:lstStyle/>
        <a:p>
          <a:endParaRPr lang="en-IN"/>
        </a:p>
      </dgm:t>
    </dgm:pt>
    <dgm:pt modelId="{B364FDAF-A87C-4807-855D-8DE4FC6BCAA0}">
      <dgm:prSet phldrT="[Text]" custT="1"/>
      <dgm:spPr/>
      <dgm:t>
        <a:bodyPr/>
        <a:lstStyle/>
        <a:p>
          <a:r>
            <a:rPr lang="en-GB" sz="900" b="0"/>
            <a:t>Enhancing Employee Connection</a:t>
          </a:r>
          <a:endParaRPr lang="en-IN" sz="900" b="0"/>
        </a:p>
      </dgm:t>
    </dgm:pt>
    <dgm:pt modelId="{DE0F5767-0131-400B-8EDB-E26682A5197D}" type="parTrans" cxnId="{9F79EF30-5AB0-4E4B-A9F2-DBF954A0B539}">
      <dgm:prSet/>
      <dgm:spPr/>
      <dgm:t>
        <a:bodyPr/>
        <a:lstStyle/>
        <a:p>
          <a:endParaRPr lang="en-IN"/>
        </a:p>
      </dgm:t>
    </dgm:pt>
    <dgm:pt modelId="{7F1DAAAB-528A-4AF6-AB75-E1F3C14AB20C}" type="sibTrans" cxnId="{9F79EF30-5AB0-4E4B-A9F2-DBF954A0B539}">
      <dgm:prSet/>
      <dgm:spPr/>
      <dgm:t>
        <a:bodyPr/>
        <a:lstStyle/>
        <a:p>
          <a:endParaRPr lang="en-IN"/>
        </a:p>
      </dgm:t>
    </dgm:pt>
    <dgm:pt modelId="{B07DFF29-336A-469B-8634-D1C20053F342}">
      <dgm:prSet phldrT="[Text]" custT="1"/>
      <dgm:spPr/>
      <dgm:t>
        <a:bodyPr/>
        <a:lstStyle/>
        <a:p>
          <a:r>
            <a:rPr lang="en-GB" sz="900" b="0"/>
            <a:t>Fostering Innovation</a:t>
          </a:r>
          <a:endParaRPr lang="en-IN" sz="900" b="0"/>
        </a:p>
      </dgm:t>
    </dgm:pt>
    <dgm:pt modelId="{E0C25F95-0F5E-4DE2-9905-B954C987C2CE}" type="parTrans" cxnId="{B1C1C002-F613-476E-BE0B-3B3CE24F3D86}">
      <dgm:prSet/>
      <dgm:spPr/>
      <dgm:t>
        <a:bodyPr/>
        <a:lstStyle/>
        <a:p>
          <a:endParaRPr lang="en-IN"/>
        </a:p>
      </dgm:t>
    </dgm:pt>
    <dgm:pt modelId="{F4312FE0-CA27-4D0A-8AEA-C2C8FEB58662}" type="sibTrans" cxnId="{B1C1C002-F613-476E-BE0B-3B3CE24F3D86}">
      <dgm:prSet/>
      <dgm:spPr/>
      <dgm:t>
        <a:bodyPr/>
        <a:lstStyle/>
        <a:p>
          <a:endParaRPr lang="en-IN"/>
        </a:p>
      </dgm:t>
    </dgm:pt>
    <dgm:pt modelId="{EE150056-2573-47D1-8EC7-2B279D8F3ABA}">
      <dgm:prSet phldrT="[Text]" custT="1"/>
      <dgm:spPr/>
      <dgm:t>
        <a:bodyPr/>
        <a:lstStyle/>
        <a:p>
          <a:r>
            <a:rPr lang="en-GB" sz="900" b="0"/>
            <a:t>Improving Crisis Preparedness</a:t>
          </a:r>
          <a:endParaRPr lang="en-IN" sz="900" b="0"/>
        </a:p>
      </dgm:t>
    </dgm:pt>
    <dgm:pt modelId="{3728C021-645A-46D8-A089-7D60BF58514A}" type="parTrans" cxnId="{15EE8620-0D5B-4603-853E-FD4AEAA8C72E}">
      <dgm:prSet/>
      <dgm:spPr/>
      <dgm:t>
        <a:bodyPr/>
        <a:lstStyle/>
        <a:p>
          <a:endParaRPr lang="en-IN"/>
        </a:p>
      </dgm:t>
    </dgm:pt>
    <dgm:pt modelId="{6B04C122-47D7-42C8-A0BC-81855BA4D98B}" type="sibTrans" cxnId="{15EE8620-0D5B-4603-853E-FD4AEAA8C72E}">
      <dgm:prSet/>
      <dgm:spPr/>
      <dgm:t>
        <a:bodyPr/>
        <a:lstStyle/>
        <a:p>
          <a:endParaRPr lang="en-IN"/>
        </a:p>
      </dgm:t>
    </dgm:pt>
    <dgm:pt modelId="{AF529843-1705-40E3-8731-983D5E50EF81}" type="pres">
      <dgm:prSet presAssocID="{AD7A5376-742B-4E3B-AFF5-97A8F4234EF7}" presName="hierChild1" presStyleCnt="0">
        <dgm:presLayoutVars>
          <dgm:chPref val="1"/>
          <dgm:dir/>
          <dgm:animOne val="branch"/>
          <dgm:animLvl val="lvl"/>
          <dgm:resizeHandles/>
        </dgm:presLayoutVars>
      </dgm:prSet>
      <dgm:spPr/>
      <dgm:t>
        <a:bodyPr/>
        <a:lstStyle/>
        <a:p>
          <a:endParaRPr lang="en-US"/>
        </a:p>
      </dgm:t>
    </dgm:pt>
    <dgm:pt modelId="{63CAB233-CAE6-462B-AAEA-FF1316DD00B6}" type="pres">
      <dgm:prSet presAssocID="{5F449DC9-4C42-4D61-B395-2AD879F5B047}" presName="hierRoot1" presStyleCnt="0"/>
      <dgm:spPr/>
    </dgm:pt>
    <dgm:pt modelId="{7BCE69A1-409E-4CD4-9E0A-BFB4F4A79B90}" type="pres">
      <dgm:prSet presAssocID="{5F449DC9-4C42-4D61-B395-2AD879F5B047}" presName="composite" presStyleCnt="0"/>
      <dgm:spPr/>
    </dgm:pt>
    <dgm:pt modelId="{FADB96BD-A22C-4DAA-AAB7-2CB37E4B00EA}" type="pres">
      <dgm:prSet presAssocID="{5F449DC9-4C42-4D61-B395-2AD879F5B047}" presName="background" presStyleLbl="node0" presStyleIdx="0" presStyleCnt="1"/>
      <dgm:spPr/>
    </dgm:pt>
    <dgm:pt modelId="{96D6176E-DF59-4455-BFEC-74A116EF7A6E}" type="pres">
      <dgm:prSet presAssocID="{5F449DC9-4C42-4D61-B395-2AD879F5B047}" presName="text" presStyleLbl="fgAcc0" presStyleIdx="0" presStyleCnt="1" custScaleX="148769" custScaleY="122602">
        <dgm:presLayoutVars>
          <dgm:chPref val="3"/>
        </dgm:presLayoutVars>
      </dgm:prSet>
      <dgm:spPr/>
      <dgm:t>
        <a:bodyPr/>
        <a:lstStyle/>
        <a:p>
          <a:endParaRPr lang="en-US"/>
        </a:p>
      </dgm:t>
    </dgm:pt>
    <dgm:pt modelId="{59EDEE5E-285D-438B-8E14-2DAC939BD0E4}" type="pres">
      <dgm:prSet presAssocID="{5F449DC9-4C42-4D61-B395-2AD879F5B047}" presName="hierChild2" presStyleCnt="0"/>
      <dgm:spPr/>
    </dgm:pt>
    <dgm:pt modelId="{D8AACF83-E45E-4A26-BFAC-6BB1BC3488B5}" type="pres">
      <dgm:prSet presAssocID="{8F9B24F6-FD73-4952-887B-C31BFBC1453F}" presName="Name10" presStyleLbl="parChTrans1D2" presStyleIdx="0" presStyleCnt="5"/>
      <dgm:spPr/>
      <dgm:t>
        <a:bodyPr/>
        <a:lstStyle/>
        <a:p>
          <a:endParaRPr lang="en-US"/>
        </a:p>
      </dgm:t>
    </dgm:pt>
    <dgm:pt modelId="{FCB3ABB6-C3E4-4686-997B-ED3999DEF14A}" type="pres">
      <dgm:prSet presAssocID="{84EB8172-2C23-493B-A386-099D8C341E6C}" presName="hierRoot2" presStyleCnt="0"/>
      <dgm:spPr/>
    </dgm:pt>
    <dgm:pt modelId="{1EB451B5-F6EC-4536-A74E-6513E628CA00}" type="pres">
      <dgm:prSet presAssocID="{84EB8172-2C23-493B-A386-099D8C341E6C}" presName="composite2" presStyleCnt="0"/>
      <dgm:spPr/>
    </dgm:pt>
    <dgm:pt modelId="{00101C82-C4B1-4684-9EBD-E306ACD99922}" type="pres">
      <dgm:prSet presAssocID="{84EB8172-2C23-493B-A386-099D8C341E6C}" presName="background2" presStyleLbl="node2" presStyleIdx="0" presStyleCnt="5"/>
      <dgm:spPr/>
    </dgm:pt>
    <dgm:pt modelId="{D6E5E55F-8FC2-484F-88E7-CAF666948F43}" type="pres">
      <dgm:prSet presAssocID="{84EB8172-2C23-493B-A386-099D8C341E6C}" presName="text2" presStyleLbl="fgAcc2" presStyleIdx="0" presStyleCnt="5" custScaleX="127873">
        <dgm:presLayoutVars>
          <dgm:chPref val="3"/>
        </dgm:presLayoutVars>
      </dgm:prSet>
      <dgm:spPr/>
      <dgm:t>
        <a:bodyPr/>
        <a:lstStyle/>
        <a:p>
          <a:endParaRPr lang="en-US"/>
        </a:p>
      </dgm:t>
    </dgm:pt>
    <dgm:pt modelId="{BDC0BE55-873F-4BA4-B85D-EEDBCCBF7526}" type="pres">
      <dgm:prSet presAssocID="{84EB8172-2C23-493B-A386-099D8C341E6C}" presName="hierChild3" presStyleCnt="0"/>
      <dgm:spPr/>
    </dgm:pt>
    <dgm:pt modelId="{4BAD9CD4-638D-431E-AAE7-BCE5042A194D}" type="pres">
      <dgm:prSet presAssocID="{A7B65CEA-47E4-41EE-9164-219F98EBC4C9}" presName="Name10" presStyleLbl="parChTrans1D2" presStyleIdx="1" presStyleCnt="5"/>
      <dgm:spPr/>
      <dgm:t>
        <a:bodyPr/>
        <a:lstStyle/>
        <a:p>
          <a:endParaRPr lang="en-US"/>
        </a:p>
      </dgm:t>
    </dgm:pt>
    <dgm:pt modelId="{8B7E04DA-57BF-4EAA-99B8-698F1F7EA1B0}" type="pres">
      <dgm:prSet presAssocID="{B9A3313B-A7F7-4671-ABC4-85FD2EC9B6E9}" presName="hierRoot2" presStyleCnt="0"/>
      <dgm:spPr/>
    </dgm:pt>
    <dgm:pt modelId="{EAE13DF6-C5FE-4924-8975-257418A4E5CE}" type="pres">
      <dgm:prSet presAssocID="{B9A3313B-A7F7-4671-ABC4-85FD2EC9B6E9}" presName="composite2" presStyleCnt="0"/>
      <dgm:spPr/>
    </dgm:pt>
    <dgm:pt modelId="{7C13F028-0CAA-4341-944A-B00AC65B154E}" type="pres">
      <dgm:prSet presAssocID="{B9A3313B-A7F7-4671-ABC4-85FD2EC9B6E9}" presName="background2" presStyleLbl="node2" presStyleIdx="1" presStyleCnt="5"/>
      <dgm:spPr/>
    </dgm:pt>
    <dgm:pt modelId="{8CC69609-966A-4FC8-AE01-6EC3321FE4C6}" type="pres">
      <dgm:prSet presAssocID="{B9A3313B-A7F7-4671-ABC4-85FD2EC9B6E9}" presName="text2" presStyleLbl="fgAcc2" presStyleIdx="1" presStyleCnt="5" custScaleX="127873">
        <dgm:presLayoutVars>
          <dgm:chPref val="3"/>
        </dgm:presLayoutVars>
      </dgm:prSet>
      <dgm:spPr/>
      <dgm:t>
        <a:bodyPr/>
        <a:lstStyle/>
        <a:p>
          <a:endParaRPr lang="en-US"/>
        </a:p>
      </dgm:t>
    </dgm:pt>
    <dgm:pt modelId="{6402FC9A-E4EE-4A71-BE88-AB60BD202BC6}" type="pres">
      <dgm:prSet presAssocID="{B9A3313B-A7F7-4671-ABC4-85FD2EC9B6E9}" presName="hierChild3" presStyleCnt="0"/>
      <dgm:spPr/>
    </dgm:pt>
    <dgm:pt modelId="{08A8A18F-4AB4-42E2-8150-958990F42ED9}" type="pres">
      <dgm:prSet presAssocID="{DE0F5767-0131-400B-8EDB-E26682A5197D}" presName="Name10" presStyleLbl="parChTrans1D2" presStyleIdx="2" presStyleCnt="5"/>
      <dgm:spPr/>
      <dgm:t>
        <a:bodyPr/>
        <a:lstStyle/>
        <a:p>
          <a:endParaRPr lang="en-US"/>
        </a:p>
      </dgm:t>
    </dgm:pt>
    <dgm:pt modelId="{3EA90C09-2BB6-4942-96DE-4DD8F70E348B}" type="pres">
      <dgm:prSet presAssocID="{B364FDAF-A87C-4807-855D-8DE4FC6BCAA0}" presName="hierRoot2" presStyleCnt="0"/>
      <dgm:spPr/>
    </dgm:pt>
    <dgm:pt modelId="{17AD1B1E-DFAE-44F6-B090-2BAB4F9C22FE}" type="pres">
      <dgm:prSet presAssocID="{B364FDAF-A87C-4807-855D-8DE4FC6BCAA0}" presName="composite2" presStyleCnt="0"/>
      <dgm:spPr/>
    </dgm:pt>
    <dgm:pt modelId="{ACF6345D-0C0A-4775-971B-0CC2F466EFF0}" type="pres">
      <dgm:prSet presAssocID="{B364FDAF-A87C-4807-855D-8DE4FC6BCAA0}" presName="background2" presStyleLbl="node2" presStyleIdx="2" presStyleCnt="5"/>
      <dgm:spPr/>
    </dgm:pt>
    <dgm:pt modelId="{98910AC6-6802-45F7-90C4-A4ECD8A820A3}" type="pres">
      <dgm:prSet presAssocID="{B364FDAF-A87C-4807-855D-8DE4FC6BCAA0}" presName="text2" presStyleLbl="fgAcc2" presStyleIdx="2" presStyleCnt="5" custScaleX="127873">
        <dgm:presLayoutVars>
          <dgm:chPref val="3"/>
        </dgm:presLayoutVars>
      </dgm:prSet>
      <dgm:spPr/>
      <dgm:t>
        <a:bodyPr/>
        <a:lstStyle/>
        <a:p>
          <a:endParaRPr lang="en-US"/>
        </a:p>
      </dgm:t>
    </dgm:pt>
    <dgm:pt modelId="{31D872D2-BF57-4CD7-9E01-32CB36270A51}" type="pres">
      <dgm:prSet presAssocID="{B364FDAF-A87C-4807-855D-8DE4FC6BCAA0}" presName="hierChild3" presStyleCnt="0"/>
      <dgm:spPr/>
    </dgm:pt>
    <dgm:pt modelId="{1ADCEB21-7A29-420C-A9DB-CD430CFE5DF5}" type="pres">
      <dgm:prSet presAssocID="{E0C25F95-0F5E-4DE2-9905-B954C987C2CE}" presName="Name10" presStyleLbl="parChTrans1D2" presStyleIdx="3" presStyleCnt="5"/>
      <dgm:spPr/>
      <dgm:t>
        <a:bodyPr/>
        <a:lstStyle/>
        <a:p>
          <a:endParaRPr lang="en-US"/>
        </a:p>
      </dgm:t>
    </dgm:pt>
    <dgm:pt modelId="{8698E7C6-DF73-4673-B67F-D170E66429D6}" type="pres">
      <dgm:prSet presAssocID="{B07DFF29-336A-469B-8634-D1C20053F342}" presName="hierRoot2" presStyleCnt="0"/>
      <dgm:spPr/>
    </dgm:pt>
    <dgm:pt modelId="{57AB6811-625F-4353-8B08-0AF6E7D5428C}" type="pres">
      <dgm:prSet presAssocID="{B07DFF29-336A-469B-8634-D1C20053F342}" presName="composite2" presStyleCnt="0"/>
      <dgm:spPr/>
    </dgm:pt>
    <dgm:pt modelId="{B4DF22F3-9FC8-4953-B637-D715E4084611}" type="pres">
      <dgm:prSet presAssocID="{B07DFF29-336A-469B-8634-D1C20053F342}" presName="background2" presStyleLbl="node2" presStyleIdx="3" presStyleCnt="5"/>
      <dgm:spPr/>
    </dgm:pt>
    <dgm:pt modelId="{1E09E324-1883-4200-9944-CD766A0DB16F}" type="pres">
      <dgm:prSet presAssocID="{B07DFF29-336A-469B-8634-D1C20053F342}" presName="text2" presStyleLbl="fgAcc2" presStyleIdx="3" presStyleCnt="5" custScaleX="127873">
        <dgm:presLayoutVars>
          <dgm:chPref val="3"/>
        </dgm:presLayoutVars>
      </dgm:prSet>
      <dgm:spPr/>
      <dgm:t>
        <a:bodyPr/>
        <a:lstStyle/>
        <a:p>
          <a:endParaRPr lang="en-US"/>
        </a:p>
      </dgm:t>
    </dgm:pt>
    <dgm:pt modelId="{9A54F20E-F899-4D14-895E-C9BD4C265CD1}" type="pres">
      <dgm:prSet presAssocID="{B07DFF29-336A-469B-8634-D1C20053F342}" presName="hierChild3" presStyleCnt="0"/>
      <dgm:spPr/>
    </dgm:pt>
    <dgm:pt modelId="{E2CC51A6-C6AD-4D1B-B841-30771F8742F0}" type="pres">
      <dgm:prSet presAssocID="{3728C021-645A-46D8-A089-7D60BF58514A}" presName="Name10" presStyleLbl="parChTrans1D2" presStyleIdx="4" presStyleCnt="5"/>
      <dgm:spPr/>
      <dgm:t>
        <a:bodyPr/>
        <a:lstStyle/>
        <a:p>
          <a:endParaRPr lang="en-US"/>
        </a:p>
      </dgm:t>
    </dgm:pt>
    <dgm:pt modelId="{A2BD3274-37CD-4D36-8415-F09D5A56C4AF}" type="pres">
      <dgm:prSet presAssocID="{EE150056-2573-47D1-8EC7-2B279D8F3ABA}" presName="hierRoot2" presStyleCnt="0"/>
      <dgm:spPr/>
    </dgm:pt>
    <dgm:pt modelId="{5740C265-D1A7-4B5F-A196-71CB138D9883}" type="pres">
      <dgm:prSet presAssocID="{EE150056-2573-47D1-8EC7-2B279D8F3ABA}" presName="composite2" presStyleCnt="0"/>
      <dgm:spPr/>
    </dgm:pt>
    <dgm:pt modelId="{3B130819-5A2A-4FA2-99BF-DA033FD61C10}" type="pres">
      <dgm:prSet presAssocID="{EE150056-2573-47D1-8EC7-2B279D8F3ABA}" presName="background2" presStyleLbl="node2" presStyleIdx="4" presStyleCnt="5"/>
      <dgm:spPr/>
    </dgm:pt>
    <dgm:pt modelId="{D2D9B453-AD34-4E23-9BDB-B9A19501D7CB}" type="pres">
      <dgm:prSet presAssocID="{EE150056-2573-47D1-8EC7-2B279D8F3ABA}" presName="text2" presStyleLbl="fgAcc2" presStyleIdx="4" presStyleCnt="5" custScaleX="127873">
        <dgm:presLayoutVars>
          <dgm:chPref val="3"/>
        </dgm:presLayoutVars>
      </dgm:prSet>
      <dgm:spPr/>
      <dgm:t>
        <a:bodyPr/>
        <a:lstStyle/>
        <a:p>
          <a:endParaRPr lang="en-US"/>
        </a:p>
      </dgm:t>
    </dgm:pt>
    <dgm:pt modelId="{B84865AC-FB4B-4349-B8C6-36E0BA45126B}" type="pres">
      <dgm:prSet presAssocID="{EE150056-2573-47D1-8EC7-2B279D8F3ABA}" presName="hierChild3" presStyleCnt="0"/>
      <dgm:spPr/>
    </dgm:pt>
  </dgm:ptLst>
  <dgm:cxnLst>
    <dgm:cxn modelId="{95D70861-F4B8-4916-A82B-85DD0D7C5389}" type="presOf" srcId="{AD7A5376-742B-4E3B-AFF5-97A8F4234EF7}" destId="{AF529843-1705-40E3-8731-983D5E50EF81}" srcOrd="0" destOrd="0" presId="urn:microsoft.com/office/officeart/2005/8/layout/hierarchy1"/>
    <dgm:cxn modelId="{2AE5E17D-6C72-4680-9417-54F10A8511FB}" type="presOf" srcId="{EE150056-2573-47D1-8EC7-2B279D8F3ABA}" destId="{D2D9B453-AD34-4E23-9BDB-B9A19501D7CB}" srcOrd="0" destOrd="0" presId="urn:microsoft.com/office/officeart/2005/8/layout/hierarchy1"/>
    <dgm:cxn modelId="{B1C1C002-F613-476E-BE0B-3B3CE24F3D86}" srcId="{5F449DC9-4C42-4D61-B395-2AD879F5B047}" destId="{B07DFF29-336A-469B-8634-D1C20053F342}" srcOrd="3" destOrd="0" parTransId="{E0C25F95-0F5E-4DE2-9905-B954C987C2CE}" sibTransId="{F4312FE0-CA27-4D0A-8AEA-C2C8FEB58662}"/>
    <dgm:cxn modelId="{5704DE6D-D834-49D8-A14D-6CB09362ABFE}" srcId="{5F449DC9-4C42-4D61-B395-2AD879F5B047}" destId="{B9A3313B-A7F7-4671-ABC4-85FD2EC9B6E9}" srcOrd="1" destOrd="0" parTransId="{A7B65CEA-47E4-41EE-9164-219F98EBC4C9}" sibTransId="{C49DD8FC-096A-4B35-8D4E-EFF3C0B6F58A}"/>
    <dgm:cxn modelId="{28A834D9-CEA9-4A1E-AB41-DF0BED3DD61B}" srcId="{AD7A5376-742B-4E3B-AFF5-97A8F4234EF7}" destId="{5F449DC9-4C42-4D61-B395-2AD879F5B047}" srcOrd="0" destOrd="0" parTransId="{48DA7CBF-928C-426F-BD94-EE03681A63DC}" sibTransId="{F22894E7-1D14-476C-BE88-C8B0D2A5F557}"/>
    <dgm:cxn modelId="{ADCA936D-2E1E-4DED-BE33-FF6128B3E1D6}" type="presOf" srcId="{5F449DC9-4C42-4D61-B395-2AD879F5B047}" destId="{96D6176E-DF59-4455-BFEC-74A116EF7A6E}" srcOrd="0" destOrd="0" presId="urn:microsoft.com/office/officeart/2005/8/layout/hierarchy1"/>
    <dgm:cxn modelId="{9F79EF30-5AB0-4E4B-A9F2-DBF954A0B539}" srcId="{5F449DC9-4C42-4D61-B395-2AD879F5B047}" destId="{B364FDAF-A87C-4807-855D-8DE4FC6BCAA0}" srcOrd="2" destOrd="0" parTransId="{DE0F5767-0131-400B-8EDB-E26682A5197D}" sibTransId="{7F1DAAAB-528A-4AF6-AB75-E1F3C14AB20C}"/>
    <dgm:cxn modelId="{0F1F28C0-2EF2-46ED-8131-11A6BA8D542D}" srcId="{5F449DC9-4C42-4D61-B395-2AD879F5B047}" destId="{84EB8172-2C23-493B-A386-099D8C341E6C}" srcOrd="0" destOrd="0" parTransId="{8F9B24F6-FD73-4952-887B-C31BFBC1453F}" sibTransId="{8903919B-B34D-4041-9269-0A136DE13B64}"/>
    <dgm:cxn modelId="{C5FF4473-FCCD-4255-BFC4-EF62BA5BF8DD}" type="presOf" srcId="{E0C25F95-0F5E-4DE2-9905-B954C987C2CE}" destId="{1ADCEB21-7A29-420C-A9DB-CD430CFE5DF5}" srcOrd="0" destOrd="0" presId="urn:microsoft.com/office/officeart/2005/8/layout/hierarchy1"/>
    <dgm:cxn modelId="{A9D1F4CA-3699-4708-98FD-69E13366E1CC}" type="presOf" srcId="{B07DFF29-336A-469B-8634-D1C20053F342}" destId="{1E09E324-1883-4200-9944-CD766A0DB16F}" srcOrd="0" destOrd="0" presId="urn:microsoft.com/office/officeart/2005/8/layout/hierarchy1"/>
    <dgm:cxn modelId="{8EFE275C-EEAC-4D77-902B-A8049AD61A8B}" type="presOf" srcId="{B9A3313B-A7F7-4671-ABC4-85FD2EC9B6E9}" destId="{8CC69609-966A-4FC8-AE01-6EC3321FE4C6}" srcOrd="0" destOrd="0" presId="urn:microsoft.com/office/officeart/2005/8/layout/hierarchy1"/>
    <dgm:cxn modelId="{61DA06B8-A46E-44BE-AB67-D2AF5F4488B3}" type="presOf" srcId="{84EB8172-2C23-493B-A386-099D8C341E6C}" destId="{D6E5E55F-8FC2-484F-88E7-CAF666948F43}" srcOrd="0" destOrd="0" presId="urn:microsoft.com/office/officeart/2005/8/layout/hierarchy1"/>
    <dgm:cxn modelId="{15EE8620-0D5B-4603-853E-FD4AEAA8C72E}" srcId="{5F449DC9-4C42-4D61-B395-2AD879F5B047}" destId="{EE150056-2573-47D1-8EC7-2B279D8F3ABA}" srcOrd="4" destOrd="0" parTransId="{3728C021-645A-46D8-A089-7D60BF58514A}" sibTransId="{6B04C122-47D7-42C8-A0BC-81855BA4D98B}"/>
    <dgm:cxn modelId="{93546FD3-0A11-43AA-9D9B-B805AA8D6859}" type="presOf" srcId="{3728C021-645A-46D8-A089-7D60BF58514A}" destId="{E2CC51A6-C6AD-4D1B-B841-30771F8742F0}" srcOrd="0" destOrd="0" presId="urn:microsoft.com/office/officeart/2005/8/layout/hierarchy1"/>
    <dgm:cxn modelId="{FBE6F698-CA17-4892-825B-328EF17E66A6}" type="presOf" srcId="{B364FDAF-A87C-4807-855D-8DE4FC6BCAA0}" destId="{98910AC6-6802-45F7-90C4-A4ECD8A820A3}" srcOrd="0" destOrd="0" presId="urn:microsoft.com/office/officeart/2005/8/layout/hierarchy1"/>
    <dgm:cxn modelId="{949AE7B9-7DE2-47B5-B392-56BAB15BFC83}" type="presOf" srcId="{8F9B24F6-FD73-4952-887B-C31BFBC1453F}" destId="{D8AACF83-E45E-4A26-BFAC-6BB1BC3488B5}" srcOrd="0" destOrd="0" presId="urn:microsoft.com/office/officeart/2005/8/layout/hierarchy1"/>
    <dgm:cxn modelId="{1303475B-4B6B-476C-9AF8-87725C9B0B6C}" type="presOf" srcId="{A7B65CEA-47E4-41EE-9164-219F98EBC4C9}" destId="{4BAD9CD4-638D-431E-AAE7-BCE5042A194D}" srcOrd="0" destOrd="0" presId="urn:microsoft.com/office/officeart/2005/8/layout/hierarchy1"/>
    <dgm:cxn modelId="{0861AE8A-2313-4C1B-BE34-6CF7A28FF354}" type="presOf" srcId="{DE0F5767-0131-400B-8EDB-E26682A5197D}" destId="{08A8A18F-4AB4-42E2-8150-958990F42ED9}" srcOrd="0" destOrd="0" presId="urn:microsoft.com/office/officeart/2005/8/layout/hierarchy1"/>
    <dgm:cxn modelId="{69719B37-EA63-4F48-824C-F4397A0D5981}" type="presParOf" srcId="{AF529843-1705-40E3-8731-983D5E50EF81}" destId="{63CAB233-CAE6-462B-AAEA-FF1316DD00B6}" srcOrd="0" destOrd="0" presId="urn:microsoft.com/office/officeart/2005/8/layout/hierarchy1"/>
    <dgm:cxn modelId="{32F7880E-9063-4723-91FF-386C13762AA7}" type="presParOf" srcId="{63CAB233-CAE6-462B-AAEA-FF1316DD00B6}" destId="{7BCE69A1-409E-4CD4-9E0A-BFB4F4A79B90}" srcOrd="0" destOrd="0" presId="urn:microsoft.com/office/officeart/2005/8/layout/hierarchy1"/>
    <dgm:cxn modelId="{00BC7BD4-6AF4-49D5-AD54-23266C68060E}" type="presParOf" srcId="{7BCE69A1-409E-4CD4-9E0A-BFB4F4A79B90}" destId="{FADB96BD-A22C-4DAA-AAB7-2CB37E4B00EA}" srcOrd="0" destOrd="0" presId="urn:microsoft.com/office/officeart/2005/8/layout/hierarchy1"/>
    <dgm:cxn modelId="{804A1530-CC62-498B-B1E2-76CDB0881573}" type="presParOf" srcId="{7BCE69A1-409E-4CD4-9E0A-BFB4F4A79B90}" destId="{96D6176E-DF59-4455-BFEC-74A116EF7A6E}" srcOrd="1" destOrd="0" presId="urn:microsoft.com/office/officeart/2005/8/layout/hierarchy1"/>
    <dgm:cxn modelId="{285EFA53-98C6-4A9C-BA52-77D3FCF94996}" type="presParOf" srcId="{63CAB233-CAE6-462B-AAEA-FF1316DD00B6}" destId="{59EDEE5E-285D-438B-8E14-2DAC939BD0E4}" srcOrd="1" destOrd="0" presId="urn:microsoft.com/office/officeart/2005/8/layout/hierarchy1"/>
    <dgm:cxn modelId="{2E9511D2-98E0-40C8-BBFE-FF614918FAB5}" type="presParOf" srcId="{59EDEE5E-285D-438B-8E14-2DAC939BD0E4}" destId="{D8AACF83-E45E-4A26-BFAC-6BB1BC3488B5}" srcOrd="0" destOrd="0" presId="urn:microsoft.com/office/officeart/2005/8/layout/hierarchy1"/>
    <dgm:cxn modelId="{EDA855A2-3118-49F4-9328-055B303B380F}" type="presParOf" srcId="{59EDEE5E-285D-438B-8E14-2DAC939BD0E4}" destId="{FCB3ABB6-C3E4-4686-997B-ED3999DEF14A}" srcOrd="1" destOrd="0" presId="urn:microsoft.com/office/officeart/2005/8/layout/hierarchy1"/>
    <dgm:cxn modelId="{34C14917-B40A-4050-9A52-7E2D029A7842}" type="presParOf" srcId="{FCB3ABB6-C3E4-4686-997B-ED3999DEF14A}" destId="{1EB451B5-F6EC-4536-A74E-6513E628CA00}" srcOrd="0" destOrd="0" presId="urn:microsoft.com/office/officeart/2005/8/layout/hierarchy1"/>
    <dgm:cxn modelId="{22735581-F88F-430E-86E8-95442C5CD65E}" type="presParOf" srcId="{1EB451B5-F6EC-4536-A74E-6513E628CA00}" destId="{00101C82-C4B1-4684-9EBD-E306ACD99922}" srcOrd="0" destOrd="0" presId="urn:microsoft.com/office/officeart/2005/8/layout/hierarchy1"/>
    <dgm:cxn modelId="{4CA1E69B-07DC-4A18-B52F-855F53508F6D}" type="presParOf" srcId="{1EB451B5-F6EC-4536-A74E-6513E628CA00}" destId="{D6E5E55F-8FC2-484F-88E7-CAF666948F43}" srcOrd="1" destOrd="0" presId="urn:microsoft.com/office/officeart/2005/8/layout/hierarchy1"/>
    <dgm:cxn modelId="{F33788DA-437F-4BAE-B822-7E162FA689CB}" type="presParOf" srcId="{FCB3ABB6-C3E4-4686-997B-ED3999DEF14A}" destId="{BDC0BE55-873F-4BA4-B85D-EEDBCCBF7526}" srcOrd="1" destOrd="0" presId="urn:microsoft.com/office/officeart/2005/8/layout/hierarchy1"/>
    <dgm:cxn modelId="{DA31A7F5-06A5-420B-90D7-F8CC31189C1F}" type="presParOf" srcId="{59EDEE5E-285D-438B-8E14-2DAC939BD0E4}" destId="{4BAD9CD4-638D-431E-AAE7-BCE5042A194D}" srcOrd="2" destOrd="0" presId="urn:microsoft.com/office/officeart/2005/8/layout/hierarchy1"/>
    <dgm:cxn modelId="{4FE34423-E282-4CFC-8710-F0580EED5243}" type="presParOf" srcId="{59EDEE5E-285D-438B-8E14-2DAC939BD0E4}" destId="{8B7E04DA-57BF-4EAA-99B8-698F1F7EA1B0}" srcOrd="3" destOrd="0" presId="urn:microsoft.com/office/officeart/2005/8/layout/hierarchy1"/>
    <dgm:cxn modelId="{A1FFE098-1A55-4505-BA2B-EBF3E7EE0F3B}" type="presParOf" srcId="{8B7E04DA-57BF-4EAA-99B8-698F1F7EA1B0}" destId="{EAE13DF6-C5FE-4924-8975-257418A4E5CE}" srcOrd="0" destOrd="0" presId="urn:microsoft.com/office/officeart/2005/8/layout/hierarchy1"/>
    <dgm:cxn modelId="{341B0ADD-59F3-4A2D-904F-2E003C4904B7}" type="presParOf" srcId="{EAE13DF6-C5FE-4924-8975-257418A4E5CE}" destId="{7C13F028-0CAA-4341-944A-B00AC65B154E}" srcOrd="0" destOrd="0" presId="urn:microsoft.com/office/officeart/2005/8/layout/hierarchy1"/>
    <dgm:cxn modelId="{AB6B2742-E830-4892-994F-E3ED66E9A0B5}" type="presParOf" srcId="{EAE13DF6-C5FE-4924-8975-257418A4E5CE}" destId="{8CC69609-966A-4FC8-AE01-6EC3321FE4C6}" srcOrd="1" destOrd="0" presId="urn:microsoft.com/office/officeart/2005/8/layout/hierarchy1"/>
    <dgm:cxn modelId="{C184DF85-D514-477B-ADD6-65A2AF825580}" type="presParOf" srcId="{8B7E04DA-57BF-4EAA-99B8-698F1F7EA1B0}" destId="{6402FC9A-E4EE-4A71-BE88-AB60BD202BC6}" srcOrd="1" destOrd="0" presId="urn:microsoft.com/office/officeart/2005/8/layout/hierarchy1"/>
    <dgm:cxn modelId="{049EF9D6-4A6E-4649-B106-E0D6411097D5}" type="presParOf" srcId="{59EDEE5E-285D-438B-8E14-2DAC939BD0E4}" destId="{08A8A18F-4AB4-42E2-8150-958990F42ED9}" srcOrd="4" destOrd="0" presId="urn:microsoft.com/office/officeart/2005/8/layout/hierarchy1"/>
    <dgm:cxn modelId="{625A4C08-B87C-40E0-A877-5D4B88F9C06A}" type="presParOf" srcId="{59EDEE5E-285D-438B-8E14-2DAC939BD0E4}" destId="{3EA90C09-2BB6-4942-96DE-4DD8F70E348B}" srcOrd="5" destOrd="0" presId="urn:microsoft.com/office/officeart/2005/8/layout/hierarchy1"/>
    <dgm:cxn modelId="{E2CA978A-3A08-4EBF-A232-50BEF58083E0}" type="presParOf" srcId="{3EA90C09-2BB6-4942-96DE-4DD8F70E348B}" destId="{17AD1B1E-DFAE-44F6-B090-2BAB4F9C22FE}" srcOrd="0" destOrd="0" presId="urn:microsoft.com/office/officeart/2005/8/layout/hierarchy1"/>
    <dgm:cxn modelId="{4CE1785B-8EAE-40D0-B8C4-1F9D2079970C}" type="presParOf" srcId="{17AD1B1E-DFAE-44F6-B090-2BAB4F9C22FE}" destId="{ACF6345D-0C0A-4775-971B-0CC2F466EFF0}" srcOrd="0" destOrd="0" presId="urn:microsoft.com/office/officeart/2005/8/layout/hierarchy1"/>
    <dgm:cxn modelId="{67BEB5E2-2B4B-41F8-9016-E95F9603A83E}" type="presParOf" srcId="{17AD1B1E-DFAE-44F6-B090-2BAB4F9C22FE}" destId="{98910AC6-6802-45F7-90C4-A4ECD8A820A3}" srcOrd="1" destOrd="0" presId="urn:microsoft.com/office/officeart/2005/8/layout/hierarchy1"/>
    <dgm:cxn modelId="{31D580CC-86C7-49A0-8BF5-1CF2B8B7232A}" type="presParOf" srcId="{3EA90C09-2BB6-4942-96DE-4DD8F70E348B}" destId="{31D872D2-BF57-4CD7-9E01-32CB36270A51}" srcOrd="1" destOrd="0" presId="urn:microsoft.com/office/officeart/2005/8/layout/hierarchy1"/>
    <dgm:cxn modelId="{8377C415-E985-4938-B89F-9126AB116ACA}" type="presParOf" srcId="{59EDEE5E-285D-438B-8E14-2DAC939BD0E4}" destId="{1ADCEB21-7A29-420C-A9DB-CD430CFE5DF5}" srcOrd="6" destOrd="0" presId="urn:microsoft.com/office/officeart/2005/8/layout/hierarchy1"/>
    <dgm:cxn modelId="{75171DF1-C169-4A5A-92AD-99A6FE76C8BE}" type="presParOf" srcId="{59EDEE5E-285D-438B-8E14-2DAC939BD0E4}" destId="{8698E7C6-DF73-4673-B67F-D170E66429D6}" srcOrd="7" destOrd="0" presId="urn:microsoft.com/office/officeart/2005/8/layout/hierarchy1"/>
    <dgm:cxn modelId="{22910F66-B077-45FC-8AF4-FC05744E04D8}" type="presParOf" srcId="{8698E7C6-DF73-4673-B67F-D170E66429D6}" destId="{57AB6811-625F-4353-8B08-0AF6E7D5428C}" srcOrd="0" destOrd="0" presId="urn:microsoft.com/office/officeart/2005/8/layout/hierarchy1"/>
    <dgm:cxn modelId="{9CF72C64-ABC7-4F00-86C9-8CF4F66A5F58}" type="presParOf" srcId="{57AB6811-625F-4353-8B08-0AF6E7D5428C}" destId="{B4DF22F3-9FC8-4953-B637-D715E4084611}" srcOrd="0" destOrd="0" presId="urn:microsoft.com/office/officeart/2005/8/layout/hierarchy1"/>
    <dgm:cxn modelId="{379A4CBA-FBC0-47B1-81B6-CA84542764A6}" type="presParOf" srcId="{57AB6811-625F-4353-8B08-0AF6E7D5428C}" destId="{1E09E324-1883-4200-9944-CD766A0DB16F}" srcOrd="1" destOrd="0" presId="urn:microsoft.com/office/officeart/2005/8/layout/hierarchy1"/>
    <dgm:cxn modelId="{7D95C654-F2EB-480B-917C-BD10D56BB2AE}" type="presParOf" srcId="{8698E7C6-DF73-4673-B67F-D170E66429D6}" destId="{9A54F20E-F899-4D14-895E-C9BD4C265CD1}" srcOrd="1" destOrd="0" presId="urn:microsoft.com/office/officeart/2005/8/layout/hierarchy1"/>
    <dgm:cxn modelId="{6ABAFBD2-0CFE-4B41-97FD-783887AD2C7D}" type="presParOf" srcId="{59EDEE5E-285D-438B-8E14-2DAC939BD0E4}" destId="{E2CC51A6-C6AD-4D1B-B841-30771F8742F0}" srcOrd="8" destOrd="0" presId="urn:microsoft.com/office/officeart/2005/8/layout/hierarchy1"/>
    <dgm:cxn modelId="{C6470992-6B96-48B0-AFA4-DDC0C027F561}" type="presParOf" srcId="{59EDEE5E-285D-438B-8E14-2DAC939BD0E4}" destId="{A2BD3274-37CD-4D36-8415-F09D5A56C4AF}" srcOrd="9" destOrd="0" presId="urn:microsoft.com/office/officeart/2005/8/layout/hierarchy1"/>
    <dgm:cxn modelId="{59D9E595-9B95-4601-9768-F8943795D799}" type="presParOf" srcId="{A2BD3274-37CD-4D36-8415-F09D5A56C4AF}" destId="{5740C265-D1A7-4B5F-A196-71CB138D9883}" srcOrd="0" destOrd="0" presId="urn:microsoft.com/office/officeart/2005/8/layout/hierarchy1"/>
    <dgm:cxn modelId="{045425E9-3531-4316-8753-3503FAF79B26}" type="presParOf" srcId="{5740C265-D1A7-4B5F-A196-71CB138D9883}" destId="{3B130819-5A2A-4FA2-99BF-DA033FD61C10}" srcOrd="0" destOrd="0" presId="urn:microsoft.com/office/officeart/2005/8/layout/hierarchy1"/>
    <dgm:cxn modelId="{72291FA8-ABC6-4710-9948-859BE65E3F8F}" type="presParOf" srcId="{5740C265-D1A7-4B5F-A196-71CB138D9883}" destId="{D2D9B453-AD34-4E23-9BDB-B9A19501D7CB}" srcOrd="1" destOrd="0" presId="urn:microsoft.com/office/officeart/2005/8/layout/hierarchy1"/>
    <dgm:cxn modelId="{BE3025AB-2289-49C7-B10B-BCC0246D2678}" type="presParOf" srcId="{A2BD3274-37CD-4D36-8415-F09D5A56C4AF}" destId="{B84865AC-FB4B-4349-B8C6-36E0BA45126B}" srcOrd="1" destOrd="0" presId="urn:microsoft.com/office/officeart/2005/8/layout/hierarchy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2CC51A6-C6AD-4D1B-B841-30771F8742F0}">
      <dsp:nvSpPr>
        <dsp:cNvPr id="0" name=""/>
        <dsp:cNvSpPr/>
      </dsp:nvSpPr>
      <dsp:spPr>
        <a:xfrm>
          <a:off x="2702011" y="1506464"/>
          <a:ext cx="2225573" cy="215620"/>
        </a:xfrm>
        <a:custGeom>
          <a:avLst/>
          <a:gdLst/>
          <a:ahLst/>
          <a:cxnLst/>
          <a:rect l="0" t="0" r="0" b="0"/>
          <a:pathLst>
            <a:path>
              <a:moveTo>
                <a:pt x="0" y="0"/>
              </a:moveTo>
              <a:lnTo>
                <a:pt x="0" y="146938"/>
              </a:lnTo>
              <a:lnTo>
                <a:pt x="2225573" y="146938"/>
              </a:lnTo>
              <a:lnTo>
                <a:pt x="2225573" y="215620"/>
              </a:lnTo>
            </a:path>
          </a:pathLst>
        </a:custGeom>
        <a:noFill/>
        <a:ln w="9525" cap="flat" cmpd="sng" algn="ctr">
          <a:solidFill>
            <a:schemeClr val="dk2">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1ADCEB21-7A29-420C-A9DB-CD430CFE5DF5}">
      <dsp:nvSpPr>
        <dsp:cNvPr id="0" name=""/>
        <dsp:cNvSpPr/>
      </dsp:nvSpPr>
      <dsp:spPr>
        <a:xfrm>
          <a:off x="2702011" y="1506464"/>
          <a:ext cx="1112786" cy="215620"/>
        </a:xfrm>
        <a:custGeom>
          <a:avLst/>
          <a:gdLst/>
          <a:ahLst/>
          <a:cxnLst/>
          <a:rect l="0" t="0" r="0" b="0"/>
          <a:pathLst>
            <a:path>
              <a:moveTo>
                <a:pt x="0" y="0"/>
              </a:moveTo>
              <a:lnTo>
                <a:pt x="0" y="146938"/>
              </a:lnTo>
              <a:lnTo>
                <a:pt x="1112786" y="146938"/>
              </a:lnTo>
              <a:lnTo>
                <a:pt x="1112786" y="215620"/>
              </a:lnTo>
            </a:path>
          </a:pathLst>
        </a:custGeom>
        <a:noFill/>
        <a:ln w="9525" cap="flat" cmpd="sng" algn="ctr">
          <a:solidFill>
            <a:schemeClr val="dk2">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08A8A18F-4AB4-42E2-8150-958990F42ED9}">
      <dsp:nvSpPr>
        <dsp:cNvPr id="0" name=""/>
        <dsp:cNvSpPr/>
      </dsp:nvSpPr>
      <dsp:spPr>
        <a:xfrm>
          <a:off x="2656291" y="1506464"/>
          <a:ext cx="91440" cy="215620"/>
        </a:xfrm>
        <a:custGeom>
          <a:avLst/>
          <a:gdLst/>
          <a:ahLst/>
          <a:cxnLst/>
          <a:rect l="0" t="0" r="0" b="0"/>
          <a:pathLst>
            <a:path>
              <a:moveTo>
                <a:pt x="45720" y="0"/>
              </a:moveTo>
              <a:lnTo>
                <a:pt x="45720" y="215620"/>
              </a:lnTo>
            </a:path>
          </a:pathLst>
        </a:custGeom>
        <a:noFill/>
        <a:ln w="9525" cap="flat" cmpd="sng" algn="ctr">
          <a:solidFill>
            <a:schemeClr val="dk2">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4BAD9CD4-638D-431E-AAE7-BCE5042A194D}">
      <dsp:nvSpPr>
        <dsp:cNvPr id="0" name=""/>
        <dsp:cNvSpPr/>
      </dsp:nvSpPr>
      <dsp:spPr>
        <a:xfrm>
          <a:off x="1589224" y="1506464"/>
          <a:ext cx="1112786" cy="215620"/>
        </a:xfrm>
        <a:custGeom>
          <a:avLst/>
          <a:gdLst/>
          <a:ahLst/>
          <a:cxnLst/>
          <a:rect l="0" t="0" r="0" b="0"/>
          <a:pathLst>
            <a:path>
              <a:moveTo>
                <a:pt x="1112786" y="0"/>
              </a:moveTo>
              <a:lnTo>
                <a:pt x="1112786" y="146938"/>
              </a:lnTo>
              <a:lnTo>
                <a:pt x="0" y="146938"/>
              </a:lnTo>
              <a:lnTo>
                <a:pt x="0" y="215620"/>
              </a:lnTo>
            </a:path>
          </a:pathLst>
        </a:custGeom>
        <a:noFill/>
        <a:ln w="9525" cap="flat" cmpd="sng" algn="ctr">
          <a:solidFill>
            <a:schemeClr val="dk2">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D8AACF83-E45E-4A26-BFAC-6BB1BC3488B5}">
      <dsp:nvSpPr>
        <dsp:cNvPr id="0" name=""/>
        <dsp:cNvSpPr/>
      </dsp:nvSpPr>
      <dsp:spPr>
        <a:xfrm>
          <a:off x="476437" y="1506464"/>
          <a:ext cx="2225573" cy="215620"/>
        </a:xfrm>
        <a:custGeom>
          <a:avLst/>
          <a:gdLst/>
          <a:ahLst/>
          <a:cxnLst/>
          <a:rect l="0" t="0" r="0" b="0"/>
          <a:pathLst>
            <a:path>
              <a:moveTo>
                <a:pt x="2225573" y="0"/>
              </a:moveTo>
              <a:lnTo>
                <a:pt x="2225573" y="146938"/>
              </a:lnTo>
              <a:lnTo>
                <a:pt x="0" y="146938"/>
              </a:lnTo>
              <a:lnTo>
                <a:pt x="0" y="215620"/>
              </a:lnTo>
            </a:path>
          </a:pathLst>
        </a:custGeom>
        <a:noFill/>
        <a:ln w="9525" cap="flat" cmpd="sng" algn="ctr">
          <a:solidFill>
            <a:schemeClr val="dk2">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FADB96BD-A22C-4DAA-AAB7-2CB37E4B00EA}">
      <dsp:nvSpPr>
        <dsp:cNvPr id="0" name=""/>
        <dsp:cNvSpPr/>
      </dsp:nvSpPr>
      <dsp:spPr>
        <a:xfrm>
          <a:off x="2150534" y="929277"/>
          <a:ext cx="1102954" cy="577186"/>
        </a:xfrm>
        <a:prstGeom prst="roundRect">
          <a:avLst>
            <a:gd name="adj" fmla="val 10000"/>
          </a:avLst>
        </a:prstGeom>
        <a:gradFill rotWithShape="0">
          <a:gsLst>
            <a:gs pos="0">
              <a:schemeClr val="dk2">
                <a:hueOff val="0"/>
                <a:satOff val="0"/>
                <a:lumOff val="0"/>
                <a:alphaOff val="0"/>
                <a:shade val="51000"/>
                <a:satMod val="130000"/>
              </a:schemeClr>
            </a:gs>
            <a:gs pos="80000">
              <a:schemeClr val="dk2">
                <a:hueOff val="0"/>
                <a:satOff val="0"/>
                <a:lumOff val="0"/>
                <a:alphaOff val="0"/>
                <a:shade val="93000"/>
                <a:satMod val="130000"/>
              </a:schemeClr>
            </a:gs>
            <a:gs pos="100000">
              <a:schemeClr val="dk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96D6176E-DF59-4455-BFEC-74A116EF7A6E}">
      <dsp:nvSpPr>
        <dsp:cNvPr id="0" name=""/>
        <dsp:cNvSpPr/>
      </dsp:nvSpPr>
      <dsp:spPr>
        <a:xfrm>
          <a:off x="2232910" y="1007534"/>
          <a:ext cx="1102954" cy="577186"/>
        </a:xfrm>
        <a:prstGeom prst="roundRect">
          <a:avLst>
            <a:gd name="adj" fmla="val 10000"/>
          </a:avLst>
        </a:prstGeom>
        <a:solidFill>
          <a:schemeClr val="lt2">
            <a:alpha val="90000"/>
            <a:hueOff val="0"/>
            <a:satOff val="0"/>
            <a:lumOff val="0"/>
            <a:alphaOff val="0"/>
          </a:schemeClr>
        </a:solidFill>
        <a:ln w="9525" cap="flat" cmpd="sng" algn="ctr">
          <a:solidFill>
            <a:schemeClr val="dk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b="1" kern="1200"/>
            <a:t>Recommendations</a:t>
          </a:r>
          <a:endParaRPr lang="en-IN" sz="900" b="1" kern="1200"/>
        </a:p>
      </dsp:txBody>
      <dsp:txXfrm>
        <a:off x="2249815" y="1024439"/>
        <a:ext cx="1069144" cy="543376"/>
      </dsp:txXfrm>
    </dsp:sp>
    <dsp:sp modelId="{00101C82-C4B1-4684-9EBD-E306ACD99922}">
      <dsp:nvSpPr>
        <dsp:cNvPr id="0" name=""/>
        <dsp:cNvSpPr/>
      </dsp:nvSpPr>
      <dsp:spPr>
        <a:xfrm>
          <a:off x="2420" y="1722084"/>
          <a:ext cx="948034" cy="470780"/>
        </a:xfrm>
        <a:prstGeom prst="roundRect">
          <a:avLst>
            <a:gd name="adj" fmla="val 10000"/>
          </a:avLst>
        </a:prstGeom>
        <a:gradFill rotWithShape="0">
          <a:gsLst>
            <a:gs pos="0">
              <a:schemeClr val="dk2">
                <a:hueOff val="0"/>
                <a:satOff val="0"/>
                <a:lumOff val="0"/>
                <a:alphaOff val="0"/>
                <a:shade val="51000"/>
                <a:satMod val="130000"/>
              </a:schemeClr>
            </a:gs>
            <a:gs pos="80000">
              <a:schemeClr val="dk2">
                <a:hueOff val="0"/>
                <a:satOff val="0"/>
                <a:lumOff val="0"/>
                <a:alphaOff val="0"/>
                <a:shade val="93000"/>
                <a:satMod val="130000"/>
              </a:schemeClr>
            </a:gs>
            <a:gs pos="100000">
              <a:schemeClr val="dk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D6E5E55F-8FC2-484F-88E7-CAF666948F43}">
      <dsp:nvSpPr>
        <dsp:cNvPr id="0" name=""/>
        <dsp:cNvSpPr/>
      </dsp:nvSpPr>
      <dsp:spPr>
        <a:xfrm>
          <a:off x="84797" y="1800341"/>
          <a:ext cx="948034" cy="470780"/>
        </a:xfrm>
        <a:prstGeom prst="roundRect">
          <a:avLst>
            <a:gd name="adj" fmla="val 10000"/>
          </a:avLst>
        </a:prstGeom>
        <a:solidFill>
          <a:schemeClr val="lt2">
            <a:alpha val="90000"/>
            <a:hueOff val="0"/>
            <a:satOff val="0"/>
            <a:lumOff val="0"/>
            <a:alphaOff val="0"/>
          </a:schemeClr>
        </a:solidFill>
        <a:ln w="9525" cap="flat" cmpd="sng" algn="ctr">
          <a:solidFill>
            <a:schemeClr val="dk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b="0" kern="1200"/>
            <a:t>Improving Our Digital Systems</a:t>
          </a:r>
          <a:endParaRPr lang="en-IN" sz="900" b="0" kern="1200"/>
        </a:p>
      </dsp:txBody>
      <dsp:txXfrm>
        <a:off x="98586" y="1814130"/>
        <a:ext cx="920456" cy="443202"/>
      </dsp:txXfrm>
    </dsp:sp>
    <dsp:sp modelId="{7C13F028-0CAA-4341-944A-B00AC65B154E}">
      <dsp:nvSpPr>
        <dsp:cNvPr id="0" name=""/>
        <dsp:cNvSpPr/>
      </dsp:nvSpPr>
      <dsp:spPr>
        <a:xfrm>
          <a:off x="1115207" y="1722084"/>
          <a:ext cx="948034" cy="470780"/>
        </a:xfrm>
        <a:prstGeom prst="roundRect">
          <a:avLst>
            <a:gd name="adj" fmla="val 10000"/>
          </a:avLst>
        </a:prstGeom>
        <a:gradFill rotWithShape="0">
          <a:gsLst>
            <a:gs pos="0">
              <a:schemeClr val="dk2">
                <a:hueOff val="0"/>
                <a:satOff val="0"/>
                <a:lumOff val="0"/>
                <a:alphaOff val="0"/>
                <a:shade val="51000"/>
                <a:satMod val="130000"/>
              </a:schemeClr>
            </a:gs>
            <a:gs pos="80000">
              <a:schemeClr val="dk2">
                <a:hueOff val="0"/>
                <a:satOff val="0"/>
                <a:lumOff val="0"/>
                <a:alphaOff val="0"/>
                <a:shade val="93000"/>
                <a:satMod val="130000"/>
              </a:schemeClr>
            </a:gs>
            <a:gs pos="100000">
              <a:schemeClr val="dk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8CC69609-966A-4FC8-AE01-6EC3321FE4C6}">
      <dsp:nvSpPr>
        <dsp:cNvPr id="0" name=""/>
        <dsp:cNvSpPr/>
      </dsp:nvSpPr>
      <dsp:spPr>
        <a:xfrm>
          <a:off x="1197584" y="1800341"/>
          <a:ext cx="948034" cy="470780"/>
        </a:xfrm>
        <a:prstGeom prst="roundRect">
          <a:avLst>
            <a:gd name="adj" fmla="val 10000"/>
          </a:avLst>
        </a:prstGeom>
        <a:solidFill>
          <a:schemeClr val="lt2">
            <a:alpha val="90000"/>
            <a:hueOff val="0"/>
            <a:satOff val="0"/>
            <a:lumOff val="0"/>
            <a:alphaOff val="0"/>
          </a:schemeClr>
        </a:solidFill>
        <a:ln w="9525" cap="flat" cmpd="sng" algn="ctr">
          <a:solidFill>
            <a:schemeClr val="dk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b="0" kern="1200"/>
            <a:t>Expanding Sustainability Efforts</a:t>
          </a:r>
          <a:endParaRPr lang="en-IN" sz="900" b="0" kern="1200"/>
        </a:p>
      </dsp:txBody>
      <dsp:txXfrm>
        <a:off x="1211373" y="1814130"/>
        <a:ext cx="920456" cy="443202"/>
      </dsp:txXfrm>
    </dsp:sp>
    <dsp:sp modelId="{ACF6345D-0C0A-4775-971B-0CC2F466EFF0}">
      <dsp:nvSpPr>
        <dsp:cNvPr id="0" name=""/>
        <dsp:cNvSpPr/>
      </dsp:nvSpPr>
      <dsp:spPr>
        <a:xfrm>
          <a:off x="2227994" y="1722084"/>
          <a:ext cx="948034" cy="470780"/>
        </a:xfrm>
        <a:prstGeom prst="roundRect">
          <a:avLst>
            <a:gd name="adj" fmla="val 10000"/>
          </a:avLst>
        </a:prstGeom>
        <a:gradFill rotWithShape="0">
          <a:gsLst>
            <a:gs pos="0">
              <a:schemeClr val="dk2">
                <a:hueOff val="0"/>
                <a:satOff val="0"/>
                <a:lumOff val="0"/>
                <a:alphaOff val="0"/>
                <a:shade val="51000"/>
                <a:satMod val="130000"/>
              </a:schemeClr>
            </a:gs>
            <a:gs pos="80000">
              <a:schemeClr val="dk2">
                <a:hueOff val="0"/>
                <a:satOff val="0"/>
                <a:lumOff val="0"/>
                <a:alphaOff val="0"/>
                <a:shade val="93000"/>
                <a:satMod val="130000"/>
              </a:schemeClr>
            </a:gs>
            <a:gs pos="100000">
              <a:schemeClr val="dk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98910AC6-6802-45F7-90C4-A4ECD8A820A3}">
      <dsp:nvSpPr>
        <dsp:cNvPr id="0" name=""/>
        <dsp:cNvSpPr/>
      </dsp:nvSpPr>
      <dsp:spPr>
        <a:xfrm>
          <a:off x="2310371" y="1800341"/>
          <a:ext cx="948034" cy="470780"/>
        </a:xfrm>
        <a:prstGeom prst="roundRect">
          <a:avLst>
            <a:gd name="adj" fmla="val 10000"/>
          </a:avLst>
        </a:prstGeom>
        <a:solidFill>
          <a:schemeClr val="lt2">
            <a:alpha val="90000"/>
            <a:hueOff val="0"/>
            <a:satOff val="0"/>
            <a:lumOff val="0"/>
            <a:alphaOff val="0"/>
          </a:schemeClr>
        </a:solidFill>
        <a:ln w="9525" cap="flat" cmpd="sng" algn="ctr">
          <a:solidFill>
            <a:schemeClr val="dk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b="0" kern="1200"/>
            <a:t>Enhancing Employee Connection</a:t>
          </a:r>
          <a:endParaRPr lang="en-IN" sz="900" b="0" kern="1200"/>
        </a:p>
      </dsp:txBody>
      <dsp:txXfrm>
        <a:off x="2324160" y="1814130"/>
        <a:ext cx="920456" cy="443202"/>
      </dsp:txXfrm>
    </dsp:sp>
    <dsp:sp modelId="{B4DF22F3-9FC8-4953-B637-D715E4084611}">
      <dsp:nvSpPr>
        <dsp:cNvPr id="0" name=""/>
        <dsp:cNvSpPr/>
      </dsp:nvSpPr>
      <dsp:spPr>
        <a:xfrm>
          <a:off x="3340781" y="1722084"/>
          <a:ext cx="948034" cy="470780"/>
        </a:xfrm>
        <a:prstGeom prst="roundRect">
          <a:avLst>
            <a:gd name="adj" fmla="val 10000"/>
          </a:avLst>
        </a:prstGeom>
        <a:gradFill rotWithShape="0">
          <a:gsLst>
            <a:gs pos="0">
              <a:schemeClr val="dk2">
                <a:hueOff val="0"/>
                <a:satOff val="0"/>
                <a:lumOff val="0"/>
                <a:alphaOff val="0"/>
                <a:shade val="51000"/>
                <a:satMod val="130000"/>
              </a:schemeClr>
            </a:gs>
            <a:gs pos="80000">
              <a:schemeClr val="dk2">
                <a:hueOff val="0"/>
                <a:satOff val="0"/>
                <a:lumOff val="0"/>
                <a:alphaOff val="0"/>
                <a:shade val="93000"/>
                <a:satMod val="130000"/>
              </a:schemeClr>
            </a:gs>
            <a:gs pos="100000">
              <a:schemeClr val="dk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1E09E324-1883-4200-9944-CD766A0DB16F}">
      <dsp:nvSpPr>
        <dsp:cNvPr id="0" name=""/>
        <dsp:cNvSpPr/>
      </dsp:nvSpPr>
      <dsp:spPr>
        <a:xfrm>
          <a:off x="3423158" y="1800341"/>
          <a:ext cx="948034" cy="470780"/>
        </a:xfrm>
        <a:prstGeom prst="roundRect">
          <a:avLst>
            <a:gd name="adj" fmla="val 10000"/>
          </a:avLst>
        </a:prstGeom>
        <a:solidFill>
          <a:schemeClr val="lt2">
            <a:alpha val="90000"/>
            <a:hueOff val="0"/>
            <a:satOff val="0"/>
            <a:lumOff val="0"/>
            <a:alphaOff val="0"/>
          </a:schemeClr>
        </a:solidFill>
        <a:ln w="9525" cap="flat" cmpd="sng" algn="ctr">
          <a:solidFill>
            <a:schemeClr val="dk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b="0" kern="1200"/>
            <a:t>Fostering Innovation</a:t>
          </a:r>
          <a:endParaRPr lang="en-IN" sz="900" b="0" kern="1200"/>
        </a:p>
      </dsp:txBody>
      <dsp:txXfrm>
        <a:off x="3436947" y="1814130"/>
        <a:ext cx="920456" cy="443202"/>
      </dsp:txXfrm>
    </dsp:sp>
    <dsp:sp modelId="{3B130819-5A2A-4FA2-99BF-DA033FD61C10}">
      <dsp:nvSpPr>
        <dsp:cNvPr id="0" name=""/>
        <dsp:cNvSpPr/>
      </dsp:nvSpPr>
      <dsp:spPr>
        <a:xfrm>
          <a:off x="4453568" y="1722084"/>
          <a:ext cx="948034" cy="470780"/>
        </a:xfrm>
        <a:prstGeom prst="roundRect">
          <a:avLst>
            <a:gd name="adj" fmla="val 10000"/>
          </a:avLst>
        </a:prstGeom>
        <a:gradFill rotWithShape="0">
          <a:gsLst>
            <a:gs pos="0">
              <a:schemeClr val="dk2">
                <a:hueOff val="0"/>
                <a:satOff val="0"/>
                <a:lumOff val="0"/>
                <a:alphaOff val="0"/>
                <a:shade val="51000"/>
                <a:satMod val="130000"/>
              </a:schemeClr>
            </a:gs>
            <a:gs pos="80000">
              <a:schemeClr val="dk2">
                <a:hueOff val="0"/>
                <a:satOff val="0"/>
                <a:lumOff val="0"/>
                <a:alphaOff val="0"/>
                <a:shade val="93000"/>
                <a:satMod val="130000"/>
              </a:schemeClr>
            </a:gs>
            <a:gs pos="100000">
              <a:schemeClr val="dk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D2D9B453-AD34-4E23-9BDB-B9A19501D7CB}">
      <dsp:nvSpPr>
        <dsp:cNvPr id="0" name=""/>
        <dsp:cNvSpPr/>
      </dsp:nvSpPr>
      <dsp:spPr>
        <a:xfrm>
          <a:off x="4535944" y="1800341"/>
          <a:ext cx="948034" cy="470780"/>
        </a:xfrm>
        <a:prstGeom prst="roundRect">
          <a:avLst>
            <a:gd name="adj" fmla="val 10000"/>
          </a:avLst>
        </a:prstGeom>
        <a:solidFill>
          <a:schemeClr val="lt2">
            <a:alpha val="90000"/>
            <a:hueOff val="0"/>
            <a:satOff val="0"/>
            <a:lumOff val="0"/>
            <a:alphaOff val="0"/>
          </a:schemeClr>
        </a:solidFill>
        <a:ln w="9525" cap="flat" cmpd="sng" algn="ctr">
          <a:solidFill>
            <a:schemeClr val="dk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b="0" kern="1200"/>
            <a:t>Improving Crisis Preparedness</a:t>
          </a:r>
          <a:endParaRPr lang="en-IN" sz="900" b="0" kern="1200"/>
        </a:p>
      </dsp:txBody>
      <dsp:txXfrm>
        <a:off x="4549733" y="1814130"/>
        <a:ext cx="920456" cy="443202"/>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E780E-7EE1-4EF7-9B72-22A7873EFC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2941</Words>
  <Characters>16769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2025-01-22T12:25:00Z</dcterms:created>
  <dcterms:modified xsi:type="dcterms:W3CDTF">2025-01-22T12:25:00Z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7ac73975e4a9981aaf99a12ad720f54bd3580f3595be6be0d7c77d8d0095357f</vt:lpwstr>
  </property>
</Properties>
</file>