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65769806"/>
        <w:docPartObj>
          <w:docPartGallery w:val="Cover Pages"/>
          <w:docPartUnique/>
        </w:docPartObj>
      </w:sdtPr>
      <w:sdtEnd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dtEndPr>
      <w:sdtContent>
        <w:p w14:paraId="2C5E669A" w14:textId="2A866C4E" w:rsidR="002C4817" w:rsidRDefault="002C4817" w:rsidP="00F20836">
          <w:pPr>
            <w:pStyle w:val="NoSpacing"/>
            <w:spacing w:before="1540" w:after="240"/>
            <w:jc w:val="center"/>
            <w:rPr>
              <w:color w:val="4472C4" w:themeColor="accent1"/>
            </w:rPr>
          </w:pPr>
          <w:r>
            <w:rPr>
              <w:noProof/>
              <w:color w:val="4472C4" w:themeColor="accent1"/>
            </w:rPr>
            <w:drawing>
              <wp:inline distT="0" distB="0" distL="0" distR="0" wp14:anchorId="1D2A948A" wp14:editId="0591216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1406082E0498444C8F916B21305477E3"/>
            </w:placeholder>
            <w:dataBinding w:prefixMappings="xmlns:ns0='http://purl.org/dc/elements/1.1/' xmlns:ns1='http://schemas.openxmlformats.org/package/2006/metadata/core-properties' " w:xpath="/ns1:coreProperties[1]/ns0:title[1]" w:storeItemID="{6C3C8BC8-F283-45AE-878A-BAB7291924A1}"/>
            <w:text/>
          </w:sdtPr>
          <w:sdtContent>
            <w:p w14:paraId="3C92E65B" w14:textId="5729AF10" w:rsidR="002C4817" w:rsidRPr="000A3C28" w:rsidRDefault="000A3C28" w:rsidP="00F2083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sidRPr="000A3C28">
                <w:rPr>
                  <w:rFonts w:asciiTheme="majorHAnsi" w:eastAsiaTheme="majorEastAsia" w:hAnsiTheme="majorHAnsi" w:cstheme="majorBidi"/>
                  <w:caps/>
                  <w:color w:val="4472C4" w:themeColor="accent1"/>
                  <w:sz w:val="56"/>
                  <w:szCs w:val="56"/>
                </w:rPr>
                <w:t>an investigation of methods</w:t>
              </w:r>
              <w:r w:rsidR="002C4817" w:rsidRPr="000A3C28">
                <w:rPr>
                  <w:rFonts w:asciiTheme="majorHAnsi" w:eastAsiaTheme="majorEastAsia" w:hAnsiTheme="majorHAnsi" w:cstheme="majorBidi"/>
                  <w:caps/>
                  <w:color w:val="4472C4" w:themeColor="accent1"/>
                  <w:sz w:val="56"/>
                  <w:szCs w:val="56"/>
                </w:rPr>
                <w:t xml:space="preserve"> to</w:t>
              </w:r>
              <w:r w:rsidRPr="000A3C28">
                <w:rPr>
                  <w:rFonts w:asciiTheme="majorHAnsi" w:eastAsiaTheme="majorEastAsia" w:hAnsiTheme="majorHAnsi" w:cstheme="majorBidi"/>
                  <w:caps/>
                  <w:color w:val="4472C4" w:themeColor="accent1"/>
                  <w:sz w:val="56"/>
                  <w:szCs w:val="56"/>
                </w:rPr>
                <w:t xml:space="preserve"> rais</w:t>
              </w:r>
              <w:r w:rsidR="00863021">
                <w:rPr>
                  <w:rFonts w:asciiTheme="majorHAnsi" w:eastAsiaTheme="majorEastAsia" w:hAnsiTheme="majorHAnsi" w:cstheme="majorBidi"/>
                  <w:caps/>
                  <w:color w:val="4472C4" w:themeColor="accent1"/>
                  <w:sz w:val="56"/>
                  <w:szCs w:val="56"/>
                </w:rPr>
                <w:t>e</w:t>
              </w:r>
              <w:r w:rsidRPr="000A3C28">
                <w:rPr>
                  <w:rFonts w:asciiTheme="majorHAnsi" w:eastAsiaTheme="majorEastAsia" w:hAnsiTheme="majorHAnsi" w:cstheme="majorBidi"/>
                  <w:caps/>
                  <w:color w:val="4472C4" w:themeColor="accent1"/>
                  <w:sz w:val="56"/>
                  <w:szCs w:val="56"/>
                </w:rPr>
                <w:t xml:space="preserve"> awareness of community issues</w:t>
              </w:r>
            </w:p>
          </w:sdtContent>
        </w:sdt>
        <w:p w14:paraId="6A9C04AD" w14:textId="45012E67" w:rsidR="002C4817" w:rsidRDefault="002C4817" w:rsidP="00F20836">
          <w:pPr>
            <w:pStyle w:val="NoSpacing"/>
            <w:jc w:val="center"/>
            <w:rPr>
              <w:color w:val="4472C4" w:themeColor="accent1"/>
              <w:sz w:val="28"/>
              <w:szCs w:val="28"/>
            </w:rPr>
          </w:pPr>
        </w:p>
        <w:p w14:paraId="7E6C55F5" w14:textId="113CDB77" w:rsidR="002C4817" w:rsidRDefault="002C4817" w:rsidP="00F2083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7728" behindDoc="0" locked="0" layoutInCell="1" allowOverlap="1" wp14:anchorId="2BBBAA96" wp14:editId="59F4804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3000109" w14:textId="2512A1C5" w:rsidR="00DE50E8" w:rsidRDefault="00DE50E8">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234B772" w14:textId="66DF4B62" w:rsidR="00DE50E8" w:rsidRDefault="00DE50E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alexandra gould</w:t>
                                    </w:r>
                                  </w:sdtContent>
                                </w:sdt>
                              </w:p>
                              <w:p w14:paraId="1B6E6FF3" w14:textId="5877D71E" w:rsidR="00DE50E8" w:rsidRDefault="00DE50E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Student number: 1704505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BBBAA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772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3000109" w14:textId="2512A1C5" w:rsidR="00DE50E8" w:rsidRDefault="00DE50E8">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234B772" w14:textId="66DF4B62" w:rsidR="00DE50E8" w:rsidRDefault="00DE50E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alexandra gould</w:t>
                              </w:r>
                            </w:sdtContent>
                          </w:sdt>
                        </w:p>
                        <w:p w14:paraId="1B6E6FF3" w14:textId="5877D71E" w:rsidR="00DE50E8" w:rsidRDefault="00DE50E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Student number: 1704505</w:t>
                              </w:r>
                            </w:sdtContent>
                          </w:sdt>
                        </w:p>
                      </w:txbxContent>
                    </v:textbox>
                    <w10:wrap anchorx="margin" anchory="page"/>
                  </v:shape>
                </w:pict>
              </mc:Fallback>
            </mc:AlternateContent>
          </w:r>
          <w:r>
            <w:rPr>
              <w:noProof/>
              <w:color w:val="4472C4" w:themeColor="accent1"/>
            </w:rPr>
            <w:drawing>
              <wp:inline distT="0" distB="0" distL="0" distR="0" wp14:anchorId="6E474C4A" wp14:editId="4046AA6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735E52" w14:textId="79AE1C00" w:rsidR="000A3C28" w:rsidRDefault="00863021" w:rsidP="00F20836">
          <w:r>
            <w:rPr>
              <w:noProof/>
            </w:rPr>
            <w:drawing>
              <wp:anchor distT="0" distB="0" distL="114300" distR="114300" simplePos="0" relativeHeight="251668992" behindDoc="1" locked="0" layoutInCell="1" allowOverlap="1" wp14:anchorId="7881827E" wp14:editId="5C2972DD">
                <wp:simplePos x="0" y="0"/>
                <wp:positionH relativeFrom="margin">
                  <wp:align>center</wp:align>
                </wp:positionH>
                <wp:positionV relativeFrom="page">
                  <wp:posOffset>6492240</wp:posOffset>
                </wp:positionV>
                <wp:extent cx="2435225" cy="1824990"/>
                <wp:effectExtent l="0" t="0" r="3175" b="3810"/>
                <wp:wrapTight wrapText="bothSides">
                  <wp:wrapPolygon edited="0">
                    <wp:start x="0" y="0"/>
                    <wp:lineTo x="0" y="21420"/>
                    <wp:lineTo x="21459" y="21420"/>
                    <wp:lineTo x="21459" y="0"/>
                    <wp:lineTo x="0" y="0"/>
                  </wp:wrapPolygon>
                </wp:wrapTight>
                <wp:docPr id="1" name="Picture 1" descr="Sea of lightbulbs in park with one lit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ea of lightbulbs in park with one lit up"/>
                        <pic:cNvPicPr/>
                      </pic:nvPicPr>
                      <pic:blipFill>
                        <a:blip r:embed="rId11" cstate="print">
                          <a:duotone>
                            <a:schemeClr val="accent1">
                              <a:shade val="45000"/>
                              <a:satMod val="135000"/>
                            </a:schemeClr>
                            <a:prstClr val="white"/>
                          </a:duotone>
                          <a:alphaModFix amt="70000"/>
                          <a:extLst>
                            <a:ext uri="{28A0092B-C50C-407E-A947-70E740481C1C}">
                              <a14:useLocalDpi xmlns:a14="http://schemas.microsoft.com/office/drawing/2010/main" val="0"/>
                            </a:ext>
                          </a:extLst>
                        </a:blip>
                        <a:stretch>
                          <a:fillRect/>
                        </a:stretch>
                      </pic:blipFill>
                      <pic:spPr>
                        <a:xfrm>
                          <a:off x="0" y="0"/>
                          <a:ext cx="2435225" cy="1824990"/>
                        </a:xfrm>
                        <a:prstGeom prst="rect">
                          <a:avLst/>
                        </a:prstGeom>
                      </pic:spPr>
                    </pic:pic>
                  </a:graphicData>
                </a:graphic>
                <wp14:sizeRelH relativeFrom="margin">
                  <wp14:pctWidth>0</wp14:pctWidth>
                </wp14:sizeRelH>
                <wp14:sizeRelV relativeFrom="margin">
                  <wp14:pctHeight>0</wp14:pctHeight>
                </wp14:sizeRelV>
              </wp:anchor>
            </w:drawing>
          </w:r>
          <w:r w:rsidR="002C4817">
            <w:br w:type="page"/>
          </w:r>
        </w:p>
        <w:p w14:paraId="01E96E93" w14:textId="77777777" w:rsidR="00F20836" w:rsidRDefault="00F20836" w:rsidP="00F20836">
          <w:pPr>
            <w:pStyle w:val="Heading2"/>
            <w:jc w:val="center"/>
          </w:pPr>
          <w:r>
            <w:lastRenderedPageBreak/>
            <w:t>Contents</w:t>
          </w:r>
        </w:p>
        <w:p w14:paraId="08C863B0" w14:textId="77777777" w:rsidR="00F20836" w:rsidRDefault="00F20836" w:rsidP="00F20836"/>
        <w:p w14:paraId="5014A156" w14:textId="26ACE911" w:rsidR="00F20836" w:rsidRPr="00F20836" w:rsidRDefault="00F20836" w:rsidP="00F20836">
          <w:pPr>
            <w:pStyle w:val="Subtitle"/>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0836">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105F32">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D4651">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Page 2</w:t>
          </w:r>
          <w:r w:rsidR="008D4651">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F0055C">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7D713B8" w14:textId="484210DB" w:rsidR="00F20836" w:rsidRPr="00F20836" w:rsidRDefault="00F20836" w:rsidP="00F20836">
          <w:pPr>
            <w:pStyle w:val="Subtitle"/>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0836">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w:t>
          </w:r>
          <w:r w:rsidR="00105F32">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D4651">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Page 3</w:t>
          </w:r>
        </w:p>
        <w:p w14:paraId="4CB265E5" w14:textId="11F72AAC" w:rsidR="00F20836" w:rsidRPr="00F20836" w:rsidRDefault="00F20836" w:rsidP="00F20836">
          <w:pPr>
            <w:pStyle w:val="Subtitle"/>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0836">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Strategy 1</w:t>
          </w:r>
          <w:r w:rsidR="00105F32">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D4651">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Page 4</w:t>
          </w:r>
        </w:p>
        <w:p w14:paraId="16747C9A" w14:textId="55A3A250" w:rsidR="00F20836" w:rsidRPr="00F20836" w:rsidRDefault="00F20836" w:rsidP="00F20836">
          <w:pPr>
            <w:pStyle w:val="Subtitle"/>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0836">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Strategy </w:t>
          </w:r>
          <w:r w:rsidR="00F0055C">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r w:rsidR="00105F32">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D4651">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Page 6</w:t>
          </w:r>
        </w:p>
        <w:p w14:paraId="238C49BB" w14:textId="2F0F1DEB" w:rsidR="00EE0BD1" w:rsidRPr="00EE0BD1" w:rsidRDefault="00F20836" w:rsidP="00EE0BD1">
          <w:pPr>
            <w:pStyle w:val="Subtitle"/>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0836">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00105F32">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D4651">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Page 8</w:t>
          </w:r>
        </w:p>
        <w:p w14:paraId="4C48043E" w14:textId="653B0E5F" w:rsidR="00EE0BD1" w:rsidRDefault="00F20836" w:rsidP="00EE0BD1">
          <w:pPr>
            <w:pStyle w:val="Subtitle"/>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0836">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w:t>
          </w:r>
          <w:r w:rsidR="00105F32">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D4651">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Page 9</w:t>
          </w:r>
        </w:p>
        <w:p w14:paraId="25A34527" w14:textId="1349242A" w:rsidR="00EE0BD1" w:rsidRPr="00EE0BD1" w:rsidRDefault="00EE0BD1" w:rsidP="00EE0BD1">
          <w:pPr>
            <w:pStyle w:val="Subtitle"/>
          </w:pPr>
          <w:r>
            <w:t>Appendix: Page 12</w:t>
          </w:r>
        </w:p>
        <w:p w14:paraId="152FC8E7" w14:textId="77777777" w:rsidR="00EE0BD1" w:rsidRPr="00EE0BD1" w:rsidRDefault="00EE0BD1" w:rsidP="00EE0BD1"/>
        <w:p w14:paraId="2FFF6180" w14:textId="50B0C4E8" w:rsidR="00EE0BD1" w:rsidRPr="00EE0BD1" w:rsidRDefault="00EE0BD1" w:rsidP="00EE0BD1"/>
        <w:p w14:paraId="0745D6D9" w14:textId="77777777" w:rsidR="00F20836" w:rsidRDefault="00F20836" w:rsidP="00F20836"/>
        <w:p w14:paraId="1DE2DACF" w14:textId="77777777" w:rsidR="00F20836" w:rsidRDefault="00F20836" w:rsidP="00F20836"/>
        <w:p w14:paraId="0F2E431C" w14:textId="77777777" w:rsidR="00F20836" w:rsidRDefault="00F20836" w:rsidP="00F20836"/>
        <w:p w14:paraId="02D9B4EE" w14:textId="77777777" w:rsidR="00F20836" w:rsidRDefault="00F20836" w:rsidP="00F20836"/>
        <w:p w14:paraId="69550909" w14:textId="77777777" w:rsidR="00F20836" w:rsidRDefault="00F20836" w:rsidP="00F20836"/>
        <w:p w14:paraId="41DAA64E" w14:textId="77777777" w:rsidR="00F20836" w:rsidRDefault="00F20836" w:rsidP="00F20836"/>
        <w:p w14:paraId="0FEB2818" w14:textId="77777777" w:rsidR="00F20836" w:rsidRDefault="00F20836" w:rsidP="00F20836"/>
        <w:p w14:paraId="5315A9EF" w14:textId="77777777" w:rsidR="00F20836" w:rsidRDefault="00F20836" w:rsidP="00F20836"/>
        <w:p w14:paraId="06E4F247" w14:textId="77777777" w:rsidR="00F20836" w:rsidRDefault="00F20836" w:rsidP="00F20836"/>
        <w:p w14:paraId="6746D87B" w14:textId="77777777" w:rsidR="00F20836" w:rsidRDefault="00F20836" w:rsidP="00F20836"/>
        <w:p w14:paraId="287D5CD9" w14:textId="77777777" w:rsidR="00F20836" w:rsidRDefault="00F20836" w:rsidP="00F20836"/>
        <w:p w14:paraId="3125C336" w14:textId="77777777" w:rsidR="00F20836" w:rsidRDefault="00F20836" w:rsidP="00F20836"/>
        <w:p w14:paraId="7F48A2C3" w14:textId="77777777" w:rsidR="00F20836" w:rsidRDefault="00F20836" w:rsidP="00F20836"/>
        <w:p w14:paraId="2BD29ADD" w14:textId="77777777" w:rsidR="00F20836" w:rsidRDefault="00F20836" w:rsidP="00F20836"/>
        <w:p w14:paraId="175402CB" w14:textId="77777777" w:rsidR="00F20836" w:rsidRDefault="00F20836" w:rsidP="00F20836"/>
        <w:p w14:paraId="342558C0" w14:textId="77777777" w:rsidR="00F20836" w:rsidRDefault="00F20836" w:rsidP="00F20836"/>
        <w:p w14:paraId="52CA2628" w14:textId="77777777" w:rsidR="00F20836" w:rsidRDefault="00F20836" w:rsidP="00F20836"/>
        <w:p w14:paraId="0AB2BC70" w14:textId="77777777" w:rsidR="0092618B" w:rsidRDefault="0092618B" w:rsidP="00F20836"/>
        <w:p w14:paraId="48D81739" w14:textId="77777777" w:rsidR="003366BE" w:rsidRDefault="003366BE" w:rsidP="003366BE">
          <w:r>
            <w:lastRenderedPageBreak/>
            <w:t>Introduction.</w:t>
          </w:r>
        </w:p>
        <w:p w14:paraId="4103B616" w14:textId="24FFCEAF" w:rsidR="008D4651" w:rsidRDefault="003366BE" w:rsidP="003366BE">
          <w:r>
            <w:t>This report will examine the initiatives which have contributed to the enhancement of community health. Improving the health of Wales is a priority underpinned by several policies and frameworks; including Simply Prudent Healthcare (2013), 1000 lives (2014) and the Wellbeing of a Future Generations Act 2015 – see Appendix 1. A community can be defined as a group of individuals that either live within a set area or by having a particular characteristic in common (Clifford-Simplican, 2019). Characteristics can be described as a specific feature or quality that distinguishes a person and helps to identify them (Cambridge, 2020). It is important to understand these definitions to comprehend how one can identify the target audience, its demographics and cultural habits to instigate change. This paper will explore two distinct initiatives, examine how change occurred and discuss whether the initiatives were successful. The two Welsh campaigns chosen are Beat Flu and Help Me Quit. A discussion regarding the methods used that involve education, motivation, opportunity and capability will be considered. Behavioural models will be explored alongside the campaigns and how these influences a community to reconsider behaviour and its significance to the population’s health and wellbeing.</w:t>
          </w:r>
          <w:r w:rsidR="008D4651">
            <w:br w:type="page"/>
          </w:r>
        </w:p>
        <w:p w14:paraId="1E16C31E" w14:textId="77777777" w:rsidR="003366BE" w:rsidRDefault="003366BE" w:rsidP="003366BE">
          <w:r>
            <w:lastRenderedPageBreak/>
            <w:t>Impact.</w:t>
          </w:r>
        </w:p>
        <w:p w14:paraId="6A482732" w14:textId="77777777" w:rsidR="003366BE" w:rsidRDefault="003366BE" w:rsidP="003366BE">
          <w:r>
            <w:t>Before proceeding to examine the two initiatives, it will be necessary to discuss the motives. Ill health contributes to increasing pressure on the National Health Service (NHS) and a financial burden (Hodgson et al, 2017). Wales is a devolved Government, which means that the United Kingdom (UK) central government allocate set funds procured from taxpayers for the Welsh government to disperse. To ensure that value for money is maximised, the Welsh government decide where the money should be allocated. Influenza is a communicable disease, those most at risk have underlying health concerns, influence morbidity and increased seasonal mortality in the UK (Evans, Wood and Carter, 2016 and Hodgson et al, 2017). Current data is difficult to distinguish because of the current pandemic, however, to illustrate the impact, estimates suggest that seasonal influenza affects up to 10% of the population globally resulting in approximately 250,000 to 500,000 deaths annually (</w:t>
          </w:r>
          <w:proofErr w:type="spellStart"/>
          <w:r>
            <w:t>Iuliano</w:t>
          </w:r>
          <w:proofErr w:type="spellEnd"/>
          <w:r>
            <w:t xml:space="preserve"> et al, 2018). Reducing the impact influenza has, will significantly improve the wellbeing of its most vulnerable communities and those that provide care for them, whilst reducing the pressures placed on healthcare providers (WHO, 2020 and Evans, Wood and Carter, 2016).</w:t>
          </w:r>
        </w:p>
        <w:p w14:paraId="67D03F8F" w14:textId="6D148613" w:rsidR="008D4651" w:rsidRDefault="003366BE" w:rsidP="003366BE">
          <w:r>
            <w:t>Smoking continues to be the leading contributing factor of morbidity and death in Wales (Ahmadi-</w:t>
          </w:r>
          <w:proofErr w:type="spellStart"/>
          <w:r>
            <w:t>Abhari</w:t>
          </w:r>
          <w:proofErr w:type="spellEnd"/>
          <w:r>
            <w:t xml:space="preserve"> et al, 2018). The importance of awareness of the implications of smoking is enormous. Smoking cessation has been proven to improve personal health and fitness, boost immunity, protect those that live in close proximity and break addictive patterns (Glantz and </w:t>
          </w:r>
          <w:proofErr w:type="spellStart"/>
          <w:r>
            <w:t>Bareham</w:t>
          </w:r>
          <w:proofErr w:type="spellEnd"/>
          <w:r>
            <w:t>, 2018). Enhancing the health and wellbeing of Wales not only relieves health service pressures but also secures better opportunities for achieving quality of life (George et al, 2018 and Woodall and Freeman, 2020). Having outlined the motive for these campaigns the next chapter will explore the Beat Flu campaign in more detail.</w:t>
          </w:r>
          <w:r w:rsidR="008D4651">
            <w:br w:type="page"/>
          </w:r>
        </w:p>
        <w:p w14:paraId="7C519321" w14:textId="77777777" w:rsidR="003366BE" w:rsidRDefault="003366BE" w:rsidP="003366BE">
          <w:r>
            <w:lastRenderedPageBreak/>
            <w:t>Strategy 1.</w:t>
          </w:r>
        </w:p>
        <w:p w14:paraId="60865C7C" w14:textId="77777777" w:rsidR="003366BE" w:rsidRDefault="003366BE" w:rsidP="003366BE">
          <w:r>
            <w:t xml:space="preserve">Beat Flu is an NHS Wales campaign led by Public Health Wales. It aims to raise awareness and to encourage individuals considered at highest risk of contracting the virus or of spreading it, to prevent illness by getting vaccinated annually (NHS Wales, 2017). As briefly outlined in the chapter above, Influenza also known as flu is a communicable disease that causes infection of the respiratory system. Symptoms can range from mild to severe, with complications that can cause death (Wenham et al, 2018). Flu infection rates create concern because of the ease at which it spreads and for its mutating possibilities that can cause a global pandemic, such as is currently being observed with Covid-19 (CDC, 2016). The European Centre for Disease and Control Prevention monitor influenza activity continuously and advice Public Health organisations on interventions (NHS Wales, 2020). For any campaign to be successful, first Public Health Wales needs to understand the demographic of its target audience. In the case of the Beat Flu campaign, it has three distinct areas. Adults, children and health and social care workers. The specific characteristics are identified as vulnerable individuals prone to additional health complications or an increased risk of spreading the disease. By receiving a vaccine one can reduce the risk of contracting the virus or dramatically lessening the impact of symptoms. However, reports by Deng et al, (2018) and Tripp, </w:t>
          </w:r>
          <w:proofErr w:type="spellStart"/>
          <w:r>
            <w:t>Bakre</w:t>
          </w:r>
          <w:proofErr w:type="spellEnd"/>
          <w:r>
            <w:t xml:space="preserve"> and </w:t>
          </w:r>
          <w:proofErr w:type="spellStart"/>
          <w:r>
            <w:t>Stanbas</w:t>
          </w:r>
          <w:proofErr w:type="spellEnd"/>
          <w:r>
            <w:t xml:space="preserve">, (2019) state that influenza vaccines are limited in the effectiveness of protection provided by annual vaccines. Despite these reports, The World Health Organisation (WHO), Public Health Wales, the NHS and a report by </w:t>
          </w:r>
          <w:proofErr w:type="spellStart"/>
          <w:r>
            <w:t>Cianci</w:t>
          </w:r>
          <w:proofErr w:type="spellEnd"/>
          <w:r>
            <w:t xml:space="preserve">, Newton and </w:t>
          </w:r>
          <w:proofErr w:type="spellStart"/>
          <w:r>
            <w:t>Pagliari</w:t>
          </w:r>
          <w:proofErr w:type="spellEnd"/>
          <w:r>
            <w:t xml:space="preserve"> (2020) all state that vaccination remains the best method to prevent influenza spreading. Considering the perceived limitations of the vaccine next this paper will discuss how organisations such as Public Health Wales attempt to overcome these obstacles to persuade a community into getting annually vaccinated. </w:t>
          </w:r>
        </w:p>
        <w:p w14:paraId="525514B7" w14:textId="7D42745E" w:rsidR="008D4651" w:rsidRDefault="003366BE" w:rsidP="003366BE">
          <w:r>
            <w:t xml:space="preserve">The campaign’s choice of language is specific to make the audience consider ill health and possible mortality and therefore drive a motivation towards action. One of the frameworks to support behaviour change is the Health Belief Model – see Appendix 2. As suggested in the title, the model confronts people’s beliefs, perceived benefits and barriers to health interventions (Green, Murphy and </w:t>
          </w:r>
          <w:proofErr w:type="spellStart"/>
          <w:r>
            <w:t>Gryboski</w:t>
          </w:r>
          <w:proofErr w:type="spellEnd"/>
          <w:r>
            <w:t>, 2020). It has a foundation in cognitive psychology whereby a person’s expectations are prompted rather than considering behaviour change initiatives. With fear-based self-efficacy, cognition triggers an evaluation of perceived susceptibility, severity and benefits occur that can lead a person into action (</w:t>
          </w:r>
          <w:proofErr w:type="spellStart"/>
          <w:r>
            <w:t>Sulat</w:t>
          </w:r>
          <w:proofErr w:type="spellEnd"/>
          <w:r>
            <w:t xml:space="preserve"> et al, 2018). To support the framework, the choice of language is concise and clear, utilising a clear white background and limiting the word count to maximise message content and understanding. The campaign chooses to provide several variants of the message to target specific audiences, for example providing downloadable flyers for healthcare workers, pregnant individuals and targeting people with asthma to name a few that can be placed in appropriate places depending on the demographic audience. The beat flu brand identifies a clear objective, understanding its target audience to display a core message to those individuals directly. The brand also understands the primary channels on which to advertise and does so by endorsing relatable and trustworthy individuals, such as nurses displaying a facemask and wearing a uniform to project the message. To further maximise audience potential, the campaign is bilingual to transcend language barriers. Having discussed methods for activating behavioural changes, next this paper will evaluate the effectiveness of the campaign. Public health Wales issues an annual report documenting its findings. The Beat Flu campaign was launched in 2018 to further progress its immunisation programme (</w:t>
          </w:r>
          <w:proofErr w:type="spellStart"/>
          <w:r>
            <w:t>Kamat</w:t>
          </w:r>
          <w:proofErr w:type="spellEnd"/>
          <w:r>
            <w:t xml:space="preserve">, 2018). Since then, an examination of the data indicates that since the launch of the campaign there were 11,795 diagnosed cases of influenza in the year 2018/2019 compared to 19,529 in 2017/ 2018 showing a significant drop in confirmed cases. Furthermore, there were 62 outbreaks compared to 88 the previous year (NHS Wales, 2020). Whilst it has been acknowledged that influenza vaccines are not wholly effective in the protection of a population </w:t>
          </w:r>
          <w:r>
            <w:lastRenderedPageBreak/>
            <w:t>against the disease, the evidence suggests an increase in its uptake has correlated with a reduction in cases</w:t>
          </w:r>
          <w:r>
            <w:t>.</w:t>
          </w:r>
          <w:r w:rsidR="008D4651">
            <w:br w:type="page"/>
          </w:r>
        </w:p>
        <w:p w14:paraId="75F8F4AF" w14:textId="77777777" w:rsidR="008078E1" w:rsidRDefault="008078E1" w:rsidP="008078E1">
          <w:pPr>
            <w:rPr>
              <w:noProof/>
            </w:rPr>
          </w:pPr>
          <w:r>
            <w:rPr>
              <w:noProof/>
            </w:rPr>
            <w:lastRenderedPageBreak/>
            <w:t>Strategy 2</w:t>
          </w:r>
        </w:p>
        <w:p w14:paraId="6ACFDA1A" w14:textId="77777777" w:rsidR="008078E1" w:rsidRDefault="008078E1" w:rsidP="008078E1">
          <w:pPr>
            <w:rPr>
              <w:noProof/>
            </w:rPr>
          </w:pPr>
          <w:r>
            <w:rPr>
              <w:noProof/>
            </w:rPr>
            <w:t xml:space="preserve">Help me quit is an NHS Wales campaign led by Public Health Wales. The campaign is a bilingual support system to stop smoking services in the country. As previously mentioned, the impact of smoking remains the most significant cause of preventable illness and health inequity in Wales and remains a Public Health priority to reduce the health impact smoking has (Brown et al, 2018). Previous campaigns to reduce the number of smokers as part of a health promotion drive including introducing a ban on tobacco advertising and smoking within public places have been successful (George et al, 2018). However, support is still required for those who want to quit but have been unsuccessful. Thus, the introduction of another approach to operate in conjunction with limiting opportunities to smoke, to providing supportive measures to quit. Having already provided medical research to educate the smoking community of the detrimental health implications, to continue the momentum of modifying health behaviours, one must next recognise social-cognitive approaches. Social cognitive theory can be defined as an influence of personal behaviours based upon observations of others (Kennedy, Kray and Ku, 2017). To expand, as a result of previous campaigns, the perception of smoking has changed. However, the campaigns prior research indicated that despite individuals wanting to break nicotine addiction, a barrier to accessing the right support had been identified. Thus, Help Me Quit has been employed to signpost motivated persons toward appropriate support systems. To further engage those identified, a comprehension of psychological behavioural patterns and health models are required. Change can then be prompted through utilising concepts such as the participation ladder - see Appendix 3. The participation ladder primarily focuses on a proactive approach by redistributing the power from ‘power holders’, in this case, the policymakers that have restricted opportunities to smoke amidst health promotion claims back to society: smokers (Ciaffi, 2019). These methods also comply with the transtheoretical model, which suggests a combination of intervention and cognitive behavioural strategies are essential in the success of health behaviour change (Elder, Ayala and Harris, 1999). Help Me Quit demonstrates these models and theories throughout its campaign by offering empowering support and linking to other community providers and advocates including hospital-based services, community, pharmacy and Stop Smoking Wales. In addition, the method provides choice and risk reduction techniques that address social pressures, addiction and overcoming obstacles. Whilst the campaign being discussed is based in Wales, the message to quit smoking is universal. Help Me Quit aims to raise awareness, with its primary message being that it is never too late to give up smoking, the language that is considered to promote choice and empower an individual once decisive action has been made. The campaign is focused on pharmacy access and has been designed to coincide with no smoking day on March the 14th. This date has been calculated as when most people consider stopping smoking and are most likely to ask for help (Beard, West, Michie and Brown 2020). Furthermore, the incentive links in with the Make Every Contact Count policy. The policy encourages pharmacists to open conversation with its customers with an aim to discuss changes that can benefit health (Wilson and Soni, 2016). This method further creates an opportunity for behavioural change when instigated during a period of motivation. Health interventions, as previously discussed are most successful when utilising a combination of techniques to increase the likelihood of success. When exploring the advertising methods, the key message must remain consistent, relevant and engaging (Hollebeek and Macky, 2019). The campaign in question has appeared to achieve these goals. To explain further, the logo and slogan are distinct, prominent, clear and unique which allows for mental availability and increases the likelihood of behavioural change over time. The colour chosen is bold and allows for the NHS Wales logo to be easily identified promoting professional endorsement and trust. Also, advertising is located where impact can be maximised, and support can be accessed. Having discussed the campaign’s background and approach, next this paper will discuss methods of </w:t>
          </w:r>
          <w:r>
            <w:rPr>
              <w:noProof/>
            </w:rPr>
            <w:lastRenderedPageBreak/>
            <w:t>evaluating metrics. Monitoring and evaluation can reinforce a campaign’s impact. Born et al, (2017) explain, a compelling evidence base can be used to support efforts and establish that certain policies are improving decision making towards healthier lifestyles. Public Health Wales utilise organisations such as the Ubiquity group who monitor technology engagement, whilst Public Health Wales themselves monitor service uptake data through communications with service providers. The Help Me Quit campaign has demonstrated a clear understanding of its background and identified the gaps that have resulted in the need for a further drive towards motivation and behavioural change.</w:t>
          </w:r>
        </w:p>
        <w:p w14:paraId="528CEA86" w14:textId="42EF1374" w:rsidR="008D4651" w:rsidRDefault="008078E1" w:rsidP="008078E1">
          <w:pPr>
            <w:rPr>
              <w:noProof/>
            </w:rPr>
          </w:pPr>
          <w:r>
            <w:rPr>
              <w:noProof/>
            </w:rPr>
            <w:t xml:space="preserve">Despite the campaign’s efforts to increase engagement by opening conversation with customers, the process heavily relies on an individual’s response and cooperation. Furthermore, reports identify that when confronted with questions based on health, respondents are more likely to answer with social desirability bias (Aguinis, Pierce and Quigley, 1993; Bowling, 2005 and Charles and Dattalo, 2018). This evidence raises questions about the accuracy of the data being collected, the necessity of the campaign and its effectiveness. This argument strengthens when considering the number of stop smoking campaigns that already exist, combined with funding limitations. </w:t>
          </w:r>
          <w:r w:rsidR="008D4651">
            <w:rPr>
              <w:noProof/>
            </w:rPr>
            <w:br w:type="page"/>
          </w:r>
        </w:p>
        <w:p w14:paraId="63B4A156" w14:textId="51168F79" w:rsidR="00105F32" w:rsidRDefault="008078E1" w:rsidP="00F20836">
          <w:r w:rsidRPr="008078E1">
            <w:lastRenderedPageBreak/>
            <w:t xml:space="preserve">In conclusion, promoting the health of Wales is a priority. Understanding the motivation and behavioural determinants of a demographic are necessary to instigate any change (Born et al, 2017). Influenza and smoking remain significant factors of ill health, premature death and NHS burden. Despite arguments against either campaign's success, evidence remains in support of continued and consistent messages that prompt an audience to the importance of healthier lifestyles. Provoking mortality fears remains to be the prominent motivation towards behavioural change (Jansen, 2017; Simpson, 2017 and Peters, Ruiter and </w:t>
          </w:r>
          <w:proofErr w:type="spellStart"/>
          <w:r w:rsidRPr="008078E1">
            <w:t>Kok</w:t>
          </w:r>
          <w:proofErr w:type="spellEnd"/>
          <w:r w:rsidRPr="008078E1">
            <w:t>, 2014). Without these constant reminders, a community may revert to undesirable behaviours. This would have a direct impact on the health of individuals including those living in proximity whilst further adding to the burden of NHS resources.</w:t>
          </w:r>
        </w:p>
        <w:p w14:paraId="0DCA1FD9" w14:textId="77777777" w:rsidR="00F24819" w:rsidRDefault="00F24819" w:rsidP="00F20836"/>
        <w:p w14:paraId="5E825656" w14:textId="77777777" w:rsidR="00F24819" w:rsidRDefault="00F24819" w:rsidP="00F20836"/>
        <w:p w14:paraId="6598B533" w14:textId="6CB67163" w:rsidR="00F24819" w:rsidRDefault="00F24819" w:rsidP="00F20836"/>
        <w:p w14:paraId="0AB66017" w14:textId="77777777" w:rsidR="00F24819" w:rsidRDefault="00F24819" w:rsidP="00F20836"/>
        <w:p w14:paraId="0403E945" w14:textId="77777777" w:rsidR="00F24819" w:rsidRDefault="00F24819" w:rsidP="00F20836"/>
        <w:p w14:paraId="3F275843" w14:textId="5088583A" w:rsidR="00F24819" w:rsidRDefault="005859FD" w:rsidP="00F20836"/>
      </w:sdtContent>
    </w:sdt>
    <w:p w14:paraId="1FC27B70" w14:textId="1D6A7B14" w:rsidR="00F20836" w:rsidRDefault="00F20836"/>
    <w:p w14:paraId="19008051" w14:textId="58C5670A" w:rsidR="00F046E0" w:rsidRDefault="00F046E0"/>
    <w:p w14:paraId="280ECB5E" w14:textId="5A9C9BBB" w:rsidR="00F046E0" w:rsidRDefault="00F046E0"/>
    <w:p w14:paraId="450F32D2" w14:textId="731D6C9D" w:rsidR="00F046E0" w:rsidRDefault="00F046E0"/>
    <w:p w14:paraId="4ADCCA6E" w14:textId="134EC07F" w:rsidR="00F046E0" w:rsidRDefault="00F046E0"/>
    <w:p w14:paraId="4F3B7624" w14:textId="37303126" w:rsidR="00F046E0" w:rsidRDefault="00F046E0"/>
    <w:p w14:paraId="4EDA5220" w14:textId="288D6EDE" w:rsidR="00F046E0" w:rsidRDefault="00F046E0"/>
    <w:p w14:paraId="54E2FAF0" w14:textId="22C19D2F" w:rsidR="00F046E0" w:rsidRDefault="00F046E0"/>
    <w:p w14:paraId="78B7DF4D" w14:textId="40FE74E6" w:rsidR="00F046E0" w:rsidRDefault="00F046E0"/>
    <w:p w14:paraId="7CD772FE" w14:textId="70637980" w:rsidR="00F046E0" w:rsidRDefault="00F046E0"/>
    <w:p w14:paraId="33390DD3" w14:textId="2ED427E7" w:rsidR="00F046E0" w:rsidRDefault="00F046E0"/>
    <w:p w14:paraId="1C0B9100" w14:textId="02C67CCD" w:rsidR="00F046E0" w:rsidRDefault="00F046E0"/>
    <w:p w14:paraId="13AE891C" w14:textId="29CEB956" w:rsidR="00F046E0" w:rsidRDefault="00F046E0"/>
    <w:p w14:paraId="7AA8F1A1" w14:textId="3E4AA214" w:rsidR="00F046E0" w:rsidRDefault="00F046E0"/>
    <w:p w14:paraId="5038A504" w14:textId="281F7CCC" w:rsidR="00F046E0" w:rsidRDefault="00F046E0"/>
    <w:p w14:paraId="5B0358A1" w14:textId="2A6BED02" w:rsidR="00F046E0" w:rsidRDefault="00F046E0"/>
    <w:p w14:paraId="09703B60" w14:textId="31A27697" w:rsidR="00F046E0" w:rsidRDefault="00F046E0"/>
    <w:p w14:paraId="40AC58D8" w14:textId="2ED93614" w:rsidR="00F046E0" w:rsidRDefault="00F046E0"/>
    <w:sdt>
      <w:sdtPr>
        <w:id w:val="-701713507"/>
        <w:docPartObj>
          <w:docPartGallery w:val="Bibliographies"/>
          <w:docPartUnique/>
        </w:docPartObj>
      </w:sdtPr>
      <w:sdtEndPr>
        <w:rPr>
          <w:rFonts w:asciiTheme="minorHAnsi" w:eastAsiaTheme="minorEastAsia" w:hAnsiTheme="minorHAnsi" w:cstheme="minorBidi"/>
          <w:color w:val="auto"/>
          <w:sz w:val="22"/>
          <w:szCs w:val="22"/>
        </w:rPr>
      </w:sdtEndPr>
      <w:sdtContent>
        <w:p w14:paraId="32CDDF63" w14:textId="468157EA" w:rsidR="00F046E0" w:rsidRDefault="00F046E0">
          <w:pPr>
            <w:pStyle w:val="Heading1"/>
          </w:pPr>
          <w:r>
            <w:t>References</w:t>
          </w:r>
        </w:p>
        <w:p w14:paraId="70DC0469" w14:textId="16110992" w:rsidR="00F046E0" w:rsidRDefault="004839FA" w:rsidP="00F046E0">
          <w:pPr>
            <w:pStyle w:val="Bibliography"/>
            <w:rPr>
              <w:noProof/>
            </w:rPr>
          </w:pPr>
          <w:r w:rsidRPr="004839FA">
            <w:rPr>
              <w:noProof/>
            </w:rPr>
            <w:t>Aguinis, H., Pierce, C. A., &amp; Quigley, B. M.</w:t>
          </w:r>
          <w:r w:rsidR="00BB6DCF">
            <w:rPr>
              <w:noProof/>
            </w:rPr>
            <w:t>,</w:t>
          </w:r>
          <w:r>
            <w:rPr>
              <w:noProof/>
            </w:rPr>
            <w:t xml:space="preserve"> </w:t>
          </w:r>
          <w:r w:rsidR="00F046E0">
            <w:rPr>
              <w:noProof/>
            </w:rPr>
            <w:t xml:space="preserve">1993. Conditions under which a bogus pipeline procedure enhances the validity of self-reported cigarette-smoking: A meta-analytic review.. </w:t>
          </w:r>
          <w:r w:rsidR="00F046E0">
            <w:rPr>
              <w:i/>
              <w:iCs/>
              <w:noProof/>
            </w:rPr>
            <w:t xml:space="preserve">Journal of Applied Social Psychology, </w:t>
          </w:r>
          <w:r w:rsidR="00F046E0">
            <w:rPr>
              <w:noProof/>
            </w:rPr>
            <w:t>23(5), p. 352–373.</w:t>
          </w:r>
        </w:p>
        <w:p w14:paraId="43A22F13" w14:textId="645EA9A1" w:rsidR="00F046E0" w:rsidRDefault="004839FA" w:rsidP="00F046E0">
          <w:pPr>
            <w:pStyle w:val="Bibliography"/>
            <w:rPr>
              <w:noProof/>
            </w:rPr>
          </w:pPr>
          <w:r w:rsidRPr="004839FA">
            <w:rPr>
              <w:noProof/>
            </w:rPr>
            <w:t>Ahmadi-Abhari, S., Bandosz, P., Guzman-Castillo, M., Shipley, M., O’Flaherty, M. and Brunner, E.,</w:t>
          </w:r>
          <w:r>
            <w:rPr>
              <w:noProof/>
            </w:rPr>
            <w:t xml:space="preserve"> </w:t>
          </w:r>
          <w:r w:rsidR="00F046E0">
            <w:rPr>
              <w:noProof/>
            </w:rPr>
            <w:t xml:space="preserve">2018. Impact of changes in tobacco smoking prevalence on death, dementia and disability in England and Wales, 2017–2040: A modelling study.. </w:t>
          </w:r>
          <w:r w:rsidR="00F046E0">
            <w:rPr>
              <w:i/>
              <w:iCs/>
              <w:noProof/>
            </w:rPr>
            <w:t xml:space="preserve">Revue d'Épidémiologie et de Santé Publique,, </w:t>
          </w:r>
          <w:r w:rsidR="00F046E0">
            <w:rPr>
              <w:noProof/>
            </w:rPr>
            <w:t>66(5), pp. 236-237.</w:t>
          </w:r>
        </w:p>
        <w:p w14:paraId="777F7B93" w14:textId="77777777" w:rsidR="00EE0BD1" w:rsidRPr="00EE0BD1" w:rsidRDefault="00EE0BD1" w:rsidP="00EE0BD1">
          <w:pPr>
            <w:rPr>
              <w:rFonts w:eastAsiaTheme="minorHAnsi"/>
              <w:noProof/>
              <w:sz w:val="24"/>
              <w:szCs w:val="24"/>
              <w:lang w:val="en-US"/>
            </w:rPr>
          </w:pPr>
          <w:r w:rsidRPr="00EE0BD1">
            <w:rPr>
              <w:rFonts w:eastAsiaTheme="minorHAnsi"/>
              <w:noProof/>
              <w:lang w:val="en-US"/>
            </w:rPr>
            <w:t xml:space="preserve">Arnstein, S., 1969. A ladder of citizen participation.. </w:t>
          </w:r>
          <w:r w:rsidRPr="00EE0BD1">
            <w:rPr>
              <w:rFonts w:eastAsiaTheme="minorHAnsi"/>
              <w:i/>
              <w:iCs/>
              <w:noProof/>
              <w:lang w:val="en-US"/>
            </w:rPr>
            <w:t xml:space="preserve">Journal of the American Institute of planners,, </w:t>
          </w:r>
          <w:r w:rsidRPr="00EE0BD1">
            <w:rPr>
              <w:rFonts w:eastAsiaTheme="minorHAnsi"/>
              <w:noProof/>
              <w:lang w:val="en-US"/>
            </w:rPr>
            <w:t>35(4), pp. 216-224.</w:t>
          </w:r>
        </w:p>
        <w:p w14:paraId="3FF4BA5A" w14:textId="48A32646" w:rsidR="00F046E0" w:rsidRDefault="004839FA" w:rsidP="00F046E0">
          <w:pPr>
            <w:pStyle w:val="Bibliography"/>
            <w:rPr>
              <w:noProof/>
            </w:rPr>
          </w:pPr>
          <w:r w:rsidRPr="004839FA">
            <w:rPr>
              <w:noProof/>
            </w:rPr>
            <w:t>Aylward, M., Phillips, C. and Howson, H.,</w:t>
          </w:r>
          <w:r w:rsidR="00F046E0">
            <w:rPr>
              <w:noProof/>
            </w:rPr>
            <w:t xml:space="preserve"> 2013. </w:t>
          </w:r>
          <w:r w:rsidR="00F046E0">
            <w:rPr>
              <w:i/>
              <w:iCs/>
              <w:noProof/>
            </w:rPr>
            <w:t xml:space="preserve">Simply Prudent Healthcare–achieving better care and value for money in Wales–discussion paper., </w:t>
          </w:r>
          <w:r w:rsidR="00F046E0">
            <w:rPr>
              <w:noProof/>
            </w:rPr>
            <w:t>Cardiff: The Bevan commission.</w:t>
          </w:r>
        </w:p>
        <w:p w14:paraId="2A9DEF5B" w14:textId="26736516" w:rsidR="00F046E0" w:rsidRDefault="004839FA" w:rsidP="00F046E0">
          <w:pPr>
            <w:pStyle w:val="Bibliography"/>
            <w:rPr>
              <w:noProof/>
            </w:rPr>
          </w:pPr>
          <w:r w:rsidRPr="004839FA">
            <w:rPr>
              <w:noProof/>
            </w:rPr>
            <w:t>Beard, E., West, R., Michie, S. and Brown, J.,</w:t>
          </w:r>
          <w:r w:rsidR="00F046E0">
            <w:rPr>
              <w:noProof/>
            </w:rPr>
            <w:t xml:space="preserve"> 2020. Association of prevalence of electronic cigarette use with smoking cessation and cigarette consumption in England: a time–series analysis between 2006 and 2017.. </w:t>
          </w:r>
          <w:r w:rsidR="00F046E0">
            <w:rPr>
              <w:i/>
              <w:iCs/>
              <w:noProof/>
            </w:rPr>
            <w:t xml:space="preserve">Addiction, </w:t>
          </w:r>
          <w:r w:rsidR="00F046E0">
            <w:rPr>
              <w:noProof/>
            </w:rPr>
            <w:t>115(5), pp. 961-974..</w:t>
          </w:r>
        </w:p>
        <w:p w14:paraId="07F435AD" w14:textId="3B8BB170" w:rsidR="00F046E0" w:rsidRDefault="004839FA" w:rsidP="00F046E0">
          <w:pPr>
            <w:pStyle w:val="Bibliography"/>
            <w:rPr>
              <w:noProof/>
            </w:rPr>
          </w:pPr>
          <w:r w:rsidRPr="004839FA">
            <w:rPr>
              <w:noProof/>
            </w:rPr>
            <w:t>Born, K.B., Coulter, A., Han, A., Ellen, M., Peul, W., Myres, P., Lindner, R., Wolfson, D., Bhatia, R.S. and Levinson, W.,</w:t>
          </w:r>
          <w:r w:rsidR="00F046E0">
            <w:rPr>
              <w:noProof/>
            </w:rPr>
            <w:t xml:space="preserve"> 2017. Engaging patients and the public in Choosing Wisely.. </w:t>
          </w:r>
          <w:r w:rsidR="00F046E0">
            <w:rPr>
              <w:i/>
              <w:iCs/>
              <w:noProof/>
            </w:rPr>
            <w:t xml:space="preserve">BMJ Quality &amp; Safety, </w:t>
          </w:r>
          <w:r w:rsidR="00F046E0">
            <w:rPr>
              <w:noProof/>
            </w:rPr>
            <w:t>Volume 26, pp. 687-691.</w:t>
          </w:r>
        </w:p>
        <w:p w14:paraId="3EBBE97E" w14:textId="77777777" w:rsidR="00F046E0" w:rsidRDefault="00F046E0" w:rsidP="00F046E0">
          <w:pPr>
            <w:pStyle w:val="Bibliography"/>
            <w:rPr>
              <w:noProof/>
            </w:rPr>
          </w:pPr>
          <w:r>
            <w:rPr>
              <w:noProof/>
            </w:rPr>
            <w:t xml:space="preserve">Bowling, A., 2005. Mode of questionnaire administration can have serious effects on data quality.. </w:t>
          </w:r>
          <w:r>
            <w:rPr>
              <w:i/>
              <w:iCs/>
              <w:noProof/>
            </w:rPr>
            <w:t xml:space="preserve">Journal of public health,, </w:t>
          </w:r>
          <w:r>
            <w:rPr>
              <w:noProof/>
            </w:rPr>
            <w:t>27(3), pp. 281-291.</w:t>
          </w:r>
        </w:p>
        <w:p w14:paraId="49F950BA" w14:textId="337A20A4" w:rsidR="00F046E0" w:rsidRDefault="004839FA" w:rsidP="00F046E0">
          <w:pPr>
            <w:pStyle w:val="Bibliography"/>
            <w:rPr>
              <w:noProof/>
            </w:rPr>
          </w:pPr>
          <w:r w:rsidRPr="004839FA">
            <w:rPr>
              <w:noProof/>
            </w:rPr>
            <w:t>Brown, K.F., Rumgay, H., Dunlop, C., Ryan, M., Quartly, F., Cox, A., Deas, A., Elliss-Brookes, L., Gavin, A., Hounsome, L. and Huws, D.,</w:t>
          </w:r>
          <w:r w:rsidR="00F046E0">
            <w:rPr>
              <w:noProof/>
            </w:rPr>
            <w:t xml:space="preserve"> 2018. The fraction of cancer attributable to modifiable risk factors in England, Wales, Scotland, Northern Ireland, and the United Kingdom in 2015.. </w:t>
          </w:r>
          <w:r w:rsidR="00F046E0">
            <w:rPr>
              <w:i/>
              <w:iCs/>
              <w:noProof/>
            </w:rPr>
            <w:t xml:space="preserve">British journal of cancer, </w:t>
          </w:r>
          <w:r w:rsidR="00F046E0">
            <w:rPr>
              <w:noProof/>
            </w:rPr>
            <w:t>118(8), pp. 1130-1141..</w:t>
          </w:r>
        </w:p>
        <w:p w14:paraId="7C9AD41F" w14:textId="77777777" w:rsidR="00F046E0" w:rsidRDefault="00F046E0" w:rsidP="00F046E0">
          <w:pPr>
            <w:pStyle w:val="Bibliography"/>
            <w:rPr>
              <w:noProof/>
            </w:rPr>
          </w:pPr>
          <w:r>
            <w:rPr>
              <w:noProof/>
            </w:rPr>
            <w:t xml:space="preserve">CDC, 2016. </w:t>
          </w:r>
          <w:r>
            <w:rPr>
              <w:i/>
              <w:iCs/>
              <w:noProof/>
            </w:rPr>
            <w:t xml:space="preserve">Centre for disease control and prevention. </w:t>
          </w:r>
          <w:r>
            <w:rPr>
              <w:noProof/>
            </w:rPr>
            <w:t xml:space="preserve">[Online] </w:t>
          </w:r>
          <w:r>
            <w:rPr>
              <w:noProof/>
            </w:rPr>
            <w:br/>
            <w:t xml:space="preserve">Available at: </w:t>
          </w:r>
          <w:r>
            <w:rPr>
              <w:noProof/>
              <w:u w:val="single"/>
            </w:rPr>
            <w:t>https://www.cdc.gov/flu/pandemic-resources/monitoring/index.html</w:t>
          </w:r>
          <w:r>
            <w:rPr>
              <w:noProof/>
            </w:rPr>
            <w:br/>
            <w:t>[Accessed 27 November 2020].</w:t>
          </w:r>
        </w:p>
        <w:p w14:paraId="5AC8A052" w14:textId="17171E78" w:rsidR="00F046E0" w:rsidRDefault="00AD57FA" w:rsidP="00F046E0">
          <w:pPr>
            <w:pStyle w:val="Bibliography"/>
            <w:rPr>
              <w:noProof/>
            </w:rPr>
          </w:pPr>
          <w:r w:rsidRPr="00AD57FA">
            <w:rPr>
              <w:noProof/>
            </w:rPr>
            <w:t>Charles, J.L. and V. Dattalo, P.,</w:t>
          </w:r>
          <w:r w:rsidR="00F046E0">
            <w:rPr>
              <w:noProof/>
            </w:rPr>
            <w:t xml:space="preserve"> 2018. Minimizing social desirability bias in measuring sensitive topics: The use of forgiving language in item development.. </w:t>
          </w:r>
          <w:r w:rsidR="00F046E0">
            <w:rPr>
              <w:i/>
              <w:iCs/>
              <w:noProof/>
            </w:rPr>
            <w:t xml:space="preserve">Journal of Social Service Research,, </w:t>
          </w:r>
          <w:r w:rsidR="00F046E0">
            <w:rPr>
              <w:noProof/>
            </w:rPr>
            <w:t>44(4), pp. 587-599..</w:t>
          </w:r>
        </w:p>
        <w:p w14:paraId="5DBB5BC1" w14:textId="77777777" w:rsidR="00F046E0" w:rsidRDefault="00F046E0" w:rsidP="00F046E0">
          <w:pPr>
            <w:pStyle w:val="Bibliography"/>
            <w:rPr>
              <w:noProof/>
            </w:rPr>
          </w:pPr>
          <w:r>
            <w:rPr>
              <w:noProof/>
            </w:rPr>
            <w:t xml:space="preserve">Ciaffi, D., 2019. Sharing the Commons as a'New Top'of Arnstein's Ladder of Participation. </w:t>
          </w:r>
          <w:r>
            <w:rPr>
              <w:i/>
              <w:iCs/>
              <w:noProof/>
            </w:rPr>
            <w:t xml:space="preserve">Built Environment, </w:t>
          </w:r>
          <w:r>
            <w:rPr>
              <w:noProof/>
            </w:rPr>
            <w:t>45(2), pp. 162-172.</w:t>
          </w:r>
        </w:p>
        <w:p w14:paraId="77BBDF84" w14:textId="05DBF041" w:rsidR="00F046E0" w:rsidRDefault="004839FA" w:rsidP="00F046E0">
          <w:pPr>
            <w:pStyle w:val="Bibliography"/>
            <w:rPr>
              <w:noProof/>
            </w:rPr>
          </w:pPr>
          <w:r w:rsidRPr="004839FA">
            <w:rPr>
              <w:noProof/>
            </w:rPr>
            <w:t>Cianci, R., Newton, E.E. and Pagliari, D</w:t>
          </w:r>
          <w:r>
            <w:rPr>
              <w:noProof/>
            </w:rPr>
            <w:t>.,</w:t>
          </w:r>
          <w:r w:rsidR="00F046E0">
            <w:rPr>
              <w:noProof/>
            </w:rPr>
            <w:t xml:space="preserve"> 2020. Efforts to Improve the Seasonal Influenza Vaccine.. </w:t>
          </w:r>
          <w:r w:rsidR="00F046E0">
            <w:rPr>
              <w:i/>
              <w:iCs/>
              <w:noProof/>
            </w:rPr>
            <w:t xml:space="preserve">Vaccines, </w:t>
          </w:r>
          <w:r w:rsidR="00F046E0">
            <w:rPr>
              <w:noProof/>
            </w:rPr>
            <w:t>8(4), p. 645.</w:t>
          </w:r>
        </w:p>
        <w:p w14:paraId="7D7AB413" w14:textId="77777777" w:rsidR="00F046E0" w:rsidRDefault="00F046E0" w:rsidP="00F046E0">
          <w:pPr>
            <w:pStyle w:val="Bibliography"/>
            <w:rPr>
              <w:noProof/>
            </w:rPr>
          </w:pPr>
          <w:r>
            <w:rPr>
              <w:noProof/>
            </w:rPr>
            <w:t xml:space="preserve">Clifford-Simplican, S., 2019. Theorising community participation: successful concept or empty buzzword?. </w:t>
          </w:r>
          <w:r>
            <w:rPr>
              <w:i/>
              <w:iCs/>
              <w:noProof/>
            </w:rPr>
            <w:t xml:space="preserve">Research and Practice in Intellectual and Developmental Disabilities, </w:t>
          </w:r>
          <w:r>
            <w:rPr>
              <w:noProof/>
            </w:rPr>
            <w:t>6(2), pp. 116-124.</w:t>
          </w:r>
        </w:p>
        <w:p w14:paraId="675B371C" w14:textId="489B7A53" w:rsidR="00F046E0" w:rsidRDefault="00BB6DCF" w:rsidP="00F046E0">
          <w:pPr>
            <w:pStyle w:val="Bibliography"/>
            <w:rPr>
              <w:noProof/>
            </w:rPr>
          </w:pPr>
          <w:r w:rsidRPr="00BB6DCF">
            <w:rPr>
              <w:noProof/>
            </w:rPr>
            <w:t>Elder, J.P., Ayala, G.X. and Harris, S.,</w:t>
          </w:r>
          <w:r>
            <w:rPr>
              <w:noProof/>
            </w:rPr>
            <w:t xml:space="preserve"> </w:t>
          </w:r>
          <w:r w:rsidR="00F046E0">
            <w:rPr>
              <w:noProof/>
            </w:rPr>
            <w:t xml:space="preserve">1999. Theories and intervention approaches to health-behavior change in primary care. </w:t>
          </w:r>
          <w:r w:rsidR="00F046E0">
            <w:rPr>
              <w:i/>
              <w:iCs/>
              <w:noProof/>
            </w:rPr>
            <w:t xml:space="preserve">American journal of preventive medicine, </w:t>
          </w:r>
          <w:r w:rsidR="00F046E0">
            <w:rPr>
              <w:noProof/>
            </w:rPr>
            <w:t>14(4), pp. 275-284.</w:t>
          </w:r>
        </w:p>
        <w:p w14:paraId="315E10E7" w14:textId="4DFC659A" w:rsidR="00F046E0" w:rsidRDefault="00BB6DCF" w:rsidP="00F046E0">
          <w:pPr>
            <w:pStyle w:val="Bibliography"/>
            <w:rPr>
              <w:noProof/>
            </w:rPr>
          </w:pPr>
          <w:r w:rsidRPr="00BB6DCF">
            <w:rPr>
              <w:noProof/>
            </w:rPr>
            <w:lastRenderedPageBreak/>
            <w:t>Evans, A.M., Wood, F.C. and Carter, B.</w:t>
          </w:r>
          <w:r>
            <w:rPr>
              <w:noProof/>
            </w:rPr>
            <w:t>,</w:t>
          </w:r>
          <w:r w:rsidR="00F046E0">
            <w:rPr>
              <w:noProof/>
            </w:rPr>
            <w:t xml:space="preserve"> 2016. National community pharmacy NHS influenza vaccination service in Wales: a primary care mixed methods study. </w:t>
          </w:r>
          <w:r w:rsidR="00F046E0">
            <w:rPr>
              <w:i/>
              <w:iCs/>
              <w:noProof/>
            </w:rPr>
            <w:t xml:space="preserve">British Journal of General Practice,, </w:t>
          </w:r>
          <w:r w:rsidR="00F046E0">
            <w:rPr>
              <w:noProof/>
            </w:rPr>
            <w:t>66(645), pp. 248-257.</w:t>
          </w:r>
        </w:p>
        <w:p w14:paraId="2A60DECC" w14:textId="767CBB34" w:rsidR="00F046E0" w:rsidRDefault="00BB6DCF" w:rsidP="00F046E0">
          <w:pPr>
            <w:pStyle w:val="Bibliography"/>
            <w:rPr>
              <w:noProof/>
            </w:rPr>
          </w:pPr>
          <w:r w:rsidRPr="00BB6DCF">
            <w:rPr>
              <w:noProof/>
            </w:rPr>
            <w:t>George, E., Tomlinson, A., Scholey, V., Williams, J.E. and Griffiths, J.,</w:t>
          </w:r>
          <w:r w:rsidR="00F046E0">
            <w:rPr>
              <w:noProof/>
            </w:rPr>
            <w:t xml:space="preserve"> 2018. </w:t>
          </w:r>
          <w:r w:rsidR="00F046E0">
            <w:rPr>
              <w:i/>
              <w:iCs/>
              <w:noProof/>
            </w:rPr>
            <w:t xml:space="preserve">An independent review of the provision of smoking cessation services in Wales, </w:t>
          </w:r>
          <w:r w:rsidR="00F046E0">
            <w:rPr>
              <w:noProof/>
            </w:rPr>
            <w:t>Cardiff: Welsh Government.</w:t>
          </w:r>
        </w:p>
        <w:p w14:paraId="6150116C" w14:textId="67B4C824" w:rsidR="00F046E0" w:rsidRDefault="00BB6DCF" w:rsidP="00F046E0">
          <w:pPr>
            <w:pStyle w:val="Bibliography"/>
            <w:rPr>
              <w:noProof/>
            </w:rPr>
          </w:pPr>
          <w:r w:rsidRPr="00BB6DCF">
            <w:rPr>
              <w:noProof/>
            </w:rPr>
            <w:t>Glantz, S.A. and Bareham, D.W.,</w:t>
          </w:r>
          <w:r w:rsidR="00F046E0">
            <w:rPr>
              <w:noProof/>
            </w:rPr>
            <w:t xml:space="preserve"> 2018. E-cigarettes: use, effects on smoking, risks, and policy implications. </w:t>
          </w:r>
          <w:r w:rsidR="00F046E0">
            <w:rPr>
              <w:i/>
              <w:iCs/>
              <w:noProof/>
            </w:rPr>
            <w:t xml:space="preserve">Annual review of public health, </w:t>
          </w:r>
          <w:r w:rsidR="00F046E0">
            <w:rPr>
              <w:noProof/>
            </w:rPr>
            <w:t>Volume 39, pp. 215-235.</w:t>
          </w:r>
        </w:p>
        <w:p w14:paraId="57B9555B" w14:textId="77777777" w:rsidR="00F046E0" w:rsidRDefault="00F046E0" w:rsidP="00F046E0">
          <w:pPr>
            <w:pStyle w:val="Bibliography"/>
            <w:rPr>
              <w:noProof/>
            </w:rPr>
          </w:pPr>
          <w:r>
            <w:rPr>
              <w:noProof/>
            </w:rPr>
            <w:t xml:space="preserve">Goverment, W., 2015. </w:t>
          </w:r>
          <w:r>
            <w:rPr>
              <w:i/>
              <w:iCs/>
              <w:noProof/>
            </w:rPr>
            <w:t xml:space="preserve">Future Generations Wales. </w:t>
          </w:r>
          <w:r>
            <w:rPr>
              <w:noProof/>
            </w:rPr>
            <w:t xml:space="preserve">[Online] </w:t>
          </w:r>
          <w:r>
            <w:rPr>
              <w:noProof/>
            </w:rPr>
            <w:br/>
            <w:t xml:space="preserve">Available at: </w:t>
          </w:r>
          <w:r>
            <w:rPr>
              <w:noProof/>
              <w:u w:val="single"/>
            </w:rPr>
            <w:t>https://www.futuregenerations.wales/wp-content/uploads/2017/02/150623-guide-to-the-fg-act-en.pdf</w:t>
          </w:r>
          <w:r>
            <w:rPr>
              <w:noProof/>
            </w:rPr>
            <w:br/>
            <w:t>[Accessed 29 November 2020].</w:t>
          </w:r>
        </w:p>
        <w:p w14:paraId="7C0C629D" w14:textId="3631F3F8" w:rsidR="00F046E0" w:rsidRDefault="00A16DEE" w:rsidP="00F046E0">
          <w:pPr>
            <w:pStyle w:val="Bibliography"/>
            <w:rPr>
              <w:noProof/>
            </w:rPr>
          </w:pPr>
          <w:r w:rsidRPr="00A16DEE">
            <w:rPr>
              <w:noProof/>
            </w:rPr>
            <w:t>Green, E.C., Murphy, E.M. and Gryboski, K.,</w:t>
          </w:r>
          <w:r>
            <w:rPr>
              <w:noProof/>
            </w:rPr>
            <w:t xml:space="preserve"> </w:t>
          </w:r>
          <w:r w:rsidR="00F046E0">
            <w:rPr>
              <w:noProof/>
            </w:rPr>
            <w:t xml:space="preserve">2020. The Health Belief Model. </w:t>
          </w:r>
          <w:r w:rsidR="00F046E0">
            <w:rPr>
              <w:i/>
              <w:iCs/>
              <w:noProof/>
            </w:rPr>
            <w:t xml:space="preserve">The Wiley Encyclopedia of Health Psychology,, </w:t>
          </w:r>
          <w:r w:rsidR="00F046E0">
            <w:rPr>
              <w:noProof/>
            </w:rPr>
            <w:t>pp. 211-214..</w:t>
          </w:r>
        </w:p>
        <w:p w14:paraId="02302A15" w14:textId="3739F792" w:rsidR="00F046E0" w:rsidRDefault="00A16DEE" w:rsidP="00F046E0">
          <w:pPr>
            <w:pStyle w:val="Bibliography"/>
            <w:rPr>
              <w:noProof/>
            </w:rPr>
          </w:pPr>
          <w:r w:rsidRPr="00A16DEE">
            <w:rPr>
              <w:noProof/>
            </w:rPr>
            <w:t>Hodgson, D., Baguelin, M., van Leeuwen, E., Panovska-Griffiths, J., Ramsay, M., Pebody, R. and Atkins, K.E.,</w:t>
          </w:r>
          <w:r w:rsidR="00F046E0">
            <w:rPr>
              <w:noProof/>
            </w:rPr>
            <w:t xml:space="preserve"> 2017. Effect of mass paediatric influenza vaccination on existing influenza vaccination programmes in England and Wales: a modelling and cost-effectiveness analysis.. </w:t>
          </w:r>
          <w:r w:rsidR="00F046E0">
            <w:rPr>
              <w:i/>
              <w:iCs/>
              <w:noProof/>
            </w:rPr>
            <w:t xml:space="preserve">The lancet Public health, </w:t>
          </w:r>
          <w:r w:rsidR="00F046E0">
            <w:rPr>
              <w:noProof/>
            </w:rPr>
            <w:t>2(2), pp. 74-81.</w:t>
          </w:r>
        </w:p>
        <w:p w14:paraId="0CCB23A6" w14:textId="25B79D3B" w:rsidR="00F046E0" w:rsidRDefault="00A16DEE" w:rsidP="00F046E0">
          <w:pPr>
            <w:pStyle w:val="Bibliography"/>
            <w:rPr>
              <w:noProof/>
            </w:rPr>
          </w:pPr>
          <w:r w:rsidRPr="00A16DEE">
            <w:rPr>
              <w:noProof/>
            </w:rPr>
            <w:t>Hollebeek, L.D. and Macky, K.,</w:t>
          </w:r>
          <w:r>
            <w:rPr>
              <w:noProof/>
            </w:rPr>
            <w:t xml:space="preserve"> </w:t>
          </w:r>
          <w:r w:rsidR="00F046E0">
            <w:rPr>
              <w:noProof/>
            </w:rPr>
            <w:t xml:space="preserve">2019. Digital content marketing's role in fostering consumer engagement, trust, and value: Framework, fundamental propositions, and implications.. </w:t>
          </w:r>
          <w:r w:rsidR="00F046E0">
            <w:rPr>
              <w:i/>
              <w:iCs/>
              <w:noProof/>
            </w:rPr>
            <w:t xml:space="preserve">Journal of Interactive Marketing, </w:t>
          </w:r>
          <w:r w:rsidR="00F046E0">
            <w:rPr>
              <w:noProof/>
            </w:rPr>
            <w:t>Volume 45, pp. 27-41.</w:t>
          </w:r>
        </w:p>
        <w:p w14:paraId="68235DBD" w14:textId="46D5B812" w:rsidR="00F046E0" w:rsidRDefault="00A16DEE" w:rsidP="00F046E0">
          <w:pPr>
            <w:pStyle w:val="Bibliography"/>
            <w:rPr>
              <w:noProof/>
            </w:rPr>
          </w:pPr>
          <w:r>
            <w:rPr>
              <w:noProof/>
            </w:rPr>
            <w:t>1000 Lives I</w:t>
          </w:r>
          <w:r w:rsidR="00F046E0">
            <w:rPr>
              <w:noProof/>
            </w:rPr>
            <w:t xml:space="preserve">mprovement, 2014. </w:t>
          </w:r>
          <w:r w:rsidR="00F046E0">
            <w:rPr>
              <w:i/>
              <w:iCs/>
              <w:noProof/>
            </w:rPr>
            <w:t xml:space="preserve">The Quality Improvement Guide: The Improving Quality Together , </w:t>
          </w:r>
          <w:r w:rsidR="00F046E0">
            <w:rPr>
              <w:noProof/>
            </w:rPr>
            <w:t>Cardiff: 1000 Lives Improvement.</w:t>
          </w:r>
        </w:p>
        <w:p w14:paraId="2FD0029B" w14:textId="68B9AD15" w:rsidR="00F046E0" w:rsidRDefault="00A16DEE" w:rsidP="00F046E0">
          <w:pPr>
            <w:pStyle w:val="Bibliography"/>
            <w:rPr>
              <w:noProof/>
            </w:rPr>
          </w:pPr>
          <w:r w:rsidRPr="00A16DEE">
            <w:rPr>
              <w:noProof/>
            </w:rPr>
            <w:t>Iuliano, A.D., Roguski, K.M., Chang, H.H., Muscatello, D.J., Palekar, R., Tempia, S., Cohen, C., Gran, J.M., Schanzer, D., Cowling, B.J. and Wu, P.,</w:t>
          </w:r>
          <w:r w:rsidR="00F046E0">
            <w:rPr>
              <w:noProof/>
            </w:rPr>
            <w:t xml:space="preserve"> 2018. Estimates of global seasonal influenza-associated respiratory mortality: a modelling study.. </w:t>
          </w:r>
          <w:r w:rsidR="00F046E0">
            <w:rPr>
              <w:i/>
              <w:iCs/>
              <w:noProof/>
            </w:rPr>
            <w:t xml:space="preserve">The Lancet, </w:t>
          </w:r>
          <w:r w:rsidR="00F046E0">
            <w:rPr>
              <w:noProof/>
            </w:rPr>
            <w:t>391(10127), pp. 1285-1300.</w:t>
          </w:r>
        </w:p>
        <w:p w14:paraId="5A00AE87" w14:textId="77777777" w:rsidR="00F046E0" w:rsidRDefault="00F046E0" w:rsidP="00F046E0">
          <w:pPr>
            <w:pStyle w:val="Bibliography"/>
            <w:rPr>
              <w:noProof/>
            </w:rPr>
          </w:pPr>
          <w:r>
            <w:rPr>
              <w:noProof/>
            </w:rPr>
            <w:t xml:space="preserve">Jansen, C., 2017. Developing persuasive health campaign messages.. </w:t>
          </w:r>
          <w:r>
            <w:rPr>
              <w:i/>
              <w:iCs/>
              <w:noProof/>
            </w:rPr>
            <w:t xml:space="preserve">Information Design: Research and Practice, </w:t>
          </w:r>
          <w:r>
            <w:rPr>
              <w:noProof/>
            </w:rPr>
            <w:t>pp. 669-684.</w:t>
          </w:r>
        </w:p>
        <w:p w14:paraId="6734500D" w14:textId="77777777" w:rsidR="00F046E0" w:rsidRDefault="00F046E0" w:rsidP="00F046E0">
          <w:pPr>
            <w:pStyle w:val="Bibliography"/>
            <w:rPr>
              <w:noProof/>
            </w:rPr>
          </w:pPr>
          <w:r>
            <w:rPr>
              <w:noProof/>
            </w:rPr>
            <w:t xml:space="preserve">Kamat, P., 2018. </w:t>
          </w:r>
          <w:r>
            <w:rPr>
              <w:i/>
              <w:iCs/>
              <w:noProof/>
            </w:rPr>
            <w:t xml:space="preserve">Univadis. </w:t>
          </w:r>
          <w:r>
            <w:rPr>
              <w:noProof/>
            </w:rPr>
            <w:t xml:space="preserve">[Online] </w:t>
          </w:r>
          <w:r>
            <w:rPr>
              <w:noProof/>
            </w:rPr>
            <w:br/>
            <w:t xml:space="preserve">Available at: </w:t>
          </w:r>
          <w:r>
            <w:rPr>
              <w:noProof/>
              <w:u w:val="single"/>
            </w:rPr>
            <w:t>https://www.univadis.co.uk/viewarticle/annual-beat-flu-campaign-launched-in-wales-632833</w:t>
          </w:r>
          <w:r>
            <w:rPr>
              <w:noProof/>
            </w:rPr>
            <w:br/>
            <w:t>[Accessed 27 November 2020].</w:t>
          </w:r>
        </w:p>
        <w:p w14:paraId="5CEFE8D9" w14:textId="61CACBD1" w:rsidR="00F046E0" w:rsidRDefault="00A16DEE" w:rsidP="00F046E0">
          <w:pPr>
            <w:pStyle w:val="Bibliography"/>
            <w:rPr>
              <w:noProof/>
            </w:rPr>
          </w:pPr>
          <w:r w:rsidRPr="00A16DEE">
            <w:rPr>
              <w:noProof/>
            </w:rPr>
            <w:t>Kennedy, J.A., Kray, L.J. and Ku, G.,</w:t>
          </w:r>
          <w:r>
            <w:rPr>
              <w:noProof/>
            </w:rPr>
            <w:t xml:space="preserve"> </w:t>
          </w:r>
          <w:r w:rsidR="00F046E0">
            <w:rPr>
              <w:noProof/>
            </w:rPr>
            <w:t xml:space="preserve">2017. A social-cognitive approach to understanding gender differences in negotiator ethics: The role of moral identity.. </w:t>
          </w:r>
          <w:r w:rsidR="00F046E0">
            <w:rPr>
              <w:i/>
              <w:iCs/>
              <w:noProof/>
            </w:rPr>
            <w:t xml:space="preserve">Organizational Behavior and Human Decision Processes, </w:t>
          </w:r>
          <w:r w:rsidR="00F046E0">
            <w:rPr>
              <w:noProof/>
            </w:rPr>
            <w:t>Volume 138, pp. 28-44.</w:t>
          </w:r>
        </w:p>
        <w:p w14:paraId="7AC4BCC6" w14:textId="4745F1D4" w:rsidR="00F046E0" w:rsidRDefault="00A16DEE" w:rsidP="00F046E0">
          <w:pPr>
            <w:pStyle w:val="Bibliography"/>
            <w:rPr>
              <w:noProof/>
            </w:rPr>
          </w:pPr>
          <w:r w:rsidRPr="00A16DEE">
            <w:rPr>
              <w:noProof/>
            </w:rPr>
            <w:t>Deng,</w:t>
          </w:r>
          <w:r>
            <w:rPr>
              <w:noProof/>
            </w:rPr>
            <w:t xml:space="preserve"> L.,</w:t>
          </w:r>
          <w:r w:rsidRPr="00A16DEE">
            <w:rPr>
              <w:noProof/>
            </w:rPr>
            <w:t xml:space="preserve"> Mohan, </w:t>
          </w:r>
          <w:r>
            <w:rPr>
              <w:noProof/>
            </w:rPr>
            <w:t xml:space="preserve">T., </w:t>
          </w:r>
          <w:r w:rsidRPr="00A16DEE">
            <w:rPr>
              <w:noProof/>
            </w:rPr>
            <w:t xml:space="preserve">Chang, </w:t>
          </w:r>
          <w:r>
            <w:rPr>
              <w:noProof/>
            </w:rPr>
            <w:t xml:space="preserve">T., </w:t>
          </w:r>
          <w:r w:rsidRPr="00A16DEE">
            <w:rPr>
              <w:noProof/>
            </w:rPr>
            <w:t xml:space="preserve">Gonzalez, </w:t>
          </w:r>
          <w:r>
            <w:rPr>
              <w:noProof/>
            </w:rPr>
            <w:t xml:space="preserve">G., </w:t>
          </w:r>
          <w:r w:rsidRPr="00A16DEE">
            <w:rPr>
              <w:noProof/>
            </w:rPr>
            <w:t xml:space="preserve">Wang, </w:t>
          </w:r>
          <w:r>
            <w:rPr>
              <w:noProof/>
            </w:rPr>
            <w:t xml:space="preserve">Y., </w:t>
          </w:r>
          <w:r w:rsidRPr="00A16DEE">
            <w:rPr>
              <w:noProof/>
            </w:rPr>
            <w:t xml:space="preserve">Kwon, </w:t>
          </w:r>
          <w:r>
            <w:rPr>
              <w:noProof/>
            </w:rPr>
            <w:t xml:space="preserve">Y., </w:t>
          </w:r>
          <w:r w:rsidRPr="00A16DEE">
            <w:rPr>
              <w:noProof/>
            </w:rPr>
            <w:t xml:space="preserve">Kang, </w:t>
          </w:r>
          <w:r>
            <w:rPr>
              <w:noProof/>
            </w:rPr>
            <w:t xml:space="preserve">S., </w:t>
          </w:r>
          <w:r w:rsidRPr="00A16DEE">
            <w:rPr>
              <w:noProof/>
            </w:rPr>
            <w:t>Compans,</w:t>
          </w:r>
          <w:r>
            <w:rPr>
              <w:noProof/>
            </w:rPr>
            <w:t xml:space="preserve"> R.,</w:t>
          </w:r>
          <w:r w:rsidRPr="00A16DEE">
            <w:rPr>
              <w:noProof/>
            </w:rPr>
            <w:t xml:space="preserve"> Champion</w:t>
          </w:r>
          <w:r>
            <w:rPr>
              <w:noProof/>
            </w:rPr>
            <w:t>, J.,</w:t>
          </w:r>
          <w:r w:rsidRPr="00A16DEE">
            <w:rPr>
              <w:noProof/>
            </w:rPr>
            <w:t xml:space="preserve"> &amp; Wang</w:t>
          </w:r>
          <w:r>
            <w:rPr>
              <w:noProof/>
            </w:rPr>
            <w:t xml:space="preserve">, B., </w:t>
          </w:r>
          <w:r w:rsidR="00F046E0">
            <w:rPr>
              <w:noProof/>
            </w:rPr>
            <w:t xml:space="preserve">2018. Double-layered protein nanoparticles induce broad protection against divergent influenza A viruses. </w:t>
          </w:r>
          <w:r w:rsidR="00F046E0">
            <w:rPr>
              <w:i/>
              <w:iCs/>
              <w:noProof/>
            </w:rPr>
            <w:t xml:space="preserve">Nature communications, </w:t>
          </w:r>
          <w:r w:rsidR="00F046E0">
            <w:rPr>
              <w:noProof/>
            </w:rPr>
            <w:t>9(359).</w:t>
          </w:r>
        </w:p>
        <w:p w14:paraId="688AE001" w14:textId="77777777" w:rsidR="00F046E0" w:rsidRDefault="00F046E0" w:rsidP="00F046E0">
          <w:pPr>
            <w:pStyle w:val="Bibliography"/>
            <w:rPr>
              <w:noProof/>
            </w:rPr>
          </w:pPr>
          <w:r>
            <w:rPr>
              <w:noProof/>
            </w:rPr>
            <w:t xml:space="preserve">Organisation, W. H., 2020. </w:t>
          </w:r>
          <w:r>
            <w:rPr>
              <w:i/>
              <w:iCs/>
              <w:noProof/>
            </w:rPr>
            <w:t xml:space="preserve">Seasonal influenza vaccines: an overview for decision-makers., </w:t>
          </w:r>
          <w:r>
            <w:rPr>
              <w:noProof/>
            </w:rPr>
            <w:t>Geneva: s.n.</w:t>
          </w:r>
        </w:p>
        <w:p w14:paraId="32C06BBE" w14:textId="45F07D9F" w:rsidR="00F046E0" w:rsidRDefault="00D85AB6" w:rsidP="00F046E0">
          <w:pPr>
            <w:pStyle w:val="Bibliography"/>
            <w:rPr>
              <w:noProof/>
            </w:rPr>
          </w:pPr>
          <w:r w:rsidRPr="00D85AB6">
            <w:rPr>
              <w:noProof/>
            </w:rPr>
            <w:lastRenderedPageBreak/>
            <w:t>Peters, G.J.Y., Ruiter, R.A. and Kok, G.,</w:t>
          </w:r>
          <w:r>
            <w:rPr>
              <w:noProof/>
            </w:rPr>
            <w:t xml:space="preserve"> </w:t>
          </w:r>
          <w:r w:rsidR="00F046E0">
            <w:rPr>
              <w:noProof/>
            </w:rPr>
            <w:t xml:space="preserve">2014. Threatening communication: A qualitative study of fear appeal effectiveness beliefs among intervention developers, policymakers, politicians, scientists, and advertising professionals.. </w:t>
          </w:r>
          <w:r w:rsidR="00F046E0">
            <w:rPr>
              <w:i/>
              <w:iCs/>
              <w:noProof/>
            </w:rPr>
            <w:t xml:space="preserve">International Journal of Psychology, </w:t>
          </w:r>
          <w:r w:rsidR="00F046E0">
            <w:rPr>
              <w:noProof/>
            </w:rPr>
            <w:t>49(2), pp. 71-79.</w:t>
          </w:r>
        </w:p>
        <w:p w14:paraId="1AF228A6" w14:textId="39133E58" w:rsidR="00F046E0" w:rsidRDefault="00F046E0" w:rsidP="00F046E0">
          <w:pPr>
            <w:pStyle w:val="Bibliography"/>
            <w:rPr>
              <w:noProof/>
            </w:rPr>
          </w:pPr>
          <w:r>
            <w:rPr>
              <w:noProof/>
            </w:rPr>
            <w:t xml:space="preserve">Press, C. U., 2020. </w:t>
          </w:r>
          <w:r>
            <w:rPr>
              <w:i/>
              <w:iCs/>
              <w:noProof/>
            </w:rPr>
            <w:t xml:space="preserve">Cambridge Dictionary. </w:t>
          </w:r>
          <w:r>
            <w:rPr>
              <w:noProof/>
            </w:rPr>
            <w:t xml:space="preserve">[Online] </w:t>
          </w:r>
          <w:r>
            <w:rPr>
              <w:noProof/>
            </w:rPr>
            <w:br/>
            <w:t xml:space="preserve">Available at: </w:t>
          </w:r>
          <w:r>
            <w:rPr>
              <w:noProof/>
              <w:u w:val="single"/>
            </w:rPr>
            <w:t>https://dictionary.cambridge.org/dictionary/english/characteristic</w:t>
          </w:r>
          <w:r>
            <w:rPr>
              <w:noProof/>
            </w:rPr>
            <w:br/>
            <w:t>[Accessed 29 November 2020].</w:t>
          </w:r>
        </w:p>
        <w:p w14:paraId="5E2CA71A" w14:textId="0B39E021" w:rsidR="00EE0BD1" w:rsidRDefault="00EE0BD1" w:rsidP="00EE0BD1">
          <w:pPr>
            <w:rPr>
              <w:rFonts w:eastAsiaTheme="minorHAnsi"/>
              <w:noProof/>
              <w:lang w:val="en-US"/>
            </w:rPr>
          </w:pPr>
          <w:r>
            <w:rPr>
              <w:rFonts w:eastAsiaTheme="minorHAnsi"/>
              <w:noProof/>
              <w:lang w:val="en-US"/>
            </w:rPr>
            <w:t xml:space="preserve">Rosenstock, I.M., Strecher, V.J. and Becker, M.H., </w:t>
          </w:r>
          <w:r w:rsidRPr="00EE0BD1">
            <w:rPr>
              <w:rFonts w:eastAsiaTheme="minorHAnsi"/>
              <w:noProof/>
              <w:lang w:val="en-US"/>
            </w:rPr>
            <w:t xml:space="preserve">1988. Social learning theory and the health belief model. </w:t>
          </w:r>
          <w:r w:rsidRPr="00EE0BD1">
            <w:rPr>
              <w:rFonts w:eastAsiaTheme="minorHAnsi"/>
              <w:i/>
              <w:iCs/>
              <w:noProof/>
              <w:lang w:val="en-US"/>
            </w:rPr>
            <w:t xml:space="preserve">Health education quarterly, </w:t>
          </w:r>
          <w:r w:rsidRPr="00EE0BD1">
            <w:rPr>
              <w:rFonts w:eastAsiaTheme="minorHAnsi"/>
              <w:noProof/>
              <w:lang w:val="en-US"/>
            </w:rPr>
            <w:t>15(2), pp. 175-183.</w:t>
          </w:r>
        </w:p>
        <w:p w14:paraId="570E2CDD" w14:textId="77777777" w:rsidR="00F046E0" w:rsidRDefault="00F046E0" w:rsidP="00F046E0">
          <w:pPr>
            <w:pStyle w:val="Bibliography"/>
            <w:rPr>
              <w:noProof/>
            </w:rPr>
          </w:pPr>
          <w:r>
            <w:rPr>
              <w:noProof/>
            </w:rPr>
            <w:t xml:space="preserve">Simpson, J., 2017. Appeal to fear in health care: appropriate or inappropriate?. </w:t>
          </w:r>
          <w:r>
            <w:rPr>
              <w:i/>
              <w:iCs/>
              <w:noProof/>
            </w:rPr>
            <w:t xml:space="preserve">Chiropractic &amp; Manual Therapies, </w:t>
          </w:r>
          <w:r>
            <w:rPr>
              <w:noProof/>
            </w:rPr>
            <w:t>25(1), p. 27.</w:t>
          </w:r>
        </w:p>
        <w:p w14:paraId="55DBFBD7" w14:textId="00D03B8B" w:rsidR="00F046E0" w:rsidRDefault="00D85AB6" w:rsidP="00F046E0">
          <w:pPr>
            <w:pStyle w:val="Bibliography"/>
            <w:rPr>
              <w:noProof/>
            </w:rPr>
          </w:pPr>
          <w:r w:rsidRPr="00D85AB6">
            <w:rPr>
              <w:noProof/>
            </w:rPr>
            <w:t>Sulat, J.S., Prabandari, Y.S., Sanusi, R., Hapsari, E.D. and Santoso, B.,</w:t>
          </w:r>
          <w:r>
            <w:rPr>
              <w:noProof/>
            </w:rPr>
            <w:t xml:space="preserve"> </w:t>
          </w:r>
          <w:r w:rsidR="00F046E0">
            <w:rPr>
              <w:noProof/>
            </w:rPr>
            <w:t xml:space="preserve">2018. The validity of health belief model variables in predicting behavioral change.. </w:t>
          </w:r>
          <w:r w:rsidR="00F046E0">
            <w:rPr>
              <w:i/>
              <w:iCs/>
              <w:noProof/>
            </w:rPr>
            <w:t xml:space="preserve">Health Education, </w:t>
          </w:r>
          <w:r w:rsidR="00F046E0">
            <w:rPr>
              <w:noProof/>
            </w:rPr>
            <w:t>118(6).</w:t>
          </w:r>
        </w:p>
        <w:p w14:paraId="735953F9" w14:textId="5EE26F92" w:rsidR="00F046E0" w:rsidRDefault="00D85AB6" w:rsidP="00F046E0">
          <w:pPr>
            <w:pStyle w:val="Bibliography"/>
            <w:rPr>
              <w:noProof/>
            </w:rPr>
          </w:pPr>
          <w:r w:rsidRPr="00D85AB6">
            <w:rPr>
              <w:noProof/>
            </w:rPr>
            <w:t>Tripp, R.A., Bakre, A.A. and Stambas, J.</w:t>
          </w:r>
          <w:r>
            <w:rPr>
              <w:noProof/>
            </w:rPr>
            <w:t xml:space="preserve">, </w:t>
          </w:r>
          <w:r w:rsidR="00F046E0">
            <w:rPr>
              <w:noProof/>
            </w:rPr>
            <w:t xml:space="preserve">2019. Understanding the Limitations of Current Influenza Vaccine Strategies and Future Development of More Efficacious Preventative and Therapeutic Interventions.. </w:t>
          </w:r>
          <w:r w:rsidR="00F046E0">
            <w:rPr>
              <w:i/>
              <w:iCs/>
              <w:noProof/>
            </w:rPr>
            <w:t xml:space="preserve">Frontiers in Immunology, </w:t>
          </w:r>
          <w:r w:rsidR="00F046E0">
            <w:rPr>
              <w:noProof/>
            </w:rPr>
            <w:t>Volume 10, p. 2804.</w:t>
          </w:r>
        </w:p>
        <w:p w14:paraId="44F774BD" w14:textId="77777777" w:rsidR="00F046E0" w:rsidRDefault="00F046E0" w:rsidP="00F046E0">
          <w:pPr>
            <w:pStyle w:val="Bibliography"/>
            <w:rPr>
              <w:noProof/>
            </w:rPr>
          </w:pPr>
          <w:r>
            <w:rPr>
              <w:noProof/>
            </w:rPr>
            <w:t xml:space="preserve">Wales, N., 2017. </w:t>
          </w:r>
          <w:r>
            <w:rPr>
              <w:i/>
              <w:iCs/>
              <w:noProof/>
            </w:rPr>
            <w:t xml:space="preserve">NHS Wales. </w:t>
          </w:r>
          <w:r>
            <w:rPr>
              <w:noProof/>
            </w:rPr>
            <w:t xml:space="preserve">[Online] </w:t>
          </w:r>
          <w:r>
            <w:rPr>
              <w:noProof/>
            </w:rPr>
            <w:br/>
            <w:t xml:space="preserve">Available at: </w:t>
          </w:r>
          <w:r>
            <w:rPr>
              <w:noProof/>
              <w:u w:val="single"/>
            </w:rPr>
            <w:t>https://www.wales.nhs.uk/healthtopics/lifestyles/smoking</w:t>
          </w:r>
          <w:r>
            <w:rPr>
              <w:noProof/>
            </w:rPr>
            <w:br/>
            <w:t>[Accessed 29 November 2020].</w:t>
          </w:r>
        </w:p>
        <w:p w14:paraId="6446451C" w14:textId="77777777" w:rsidR="00F046E0" w:rsidRDefault="00F046E0" w:rsidP="00F046E0">
          <w:pPr>
            <w:pStyle w:val="Bibliography"/>
            <w:rPr>
              <w:noProof/>
            </w:rPr>
          </w:pPr>
          <w:r>
            <w:rPr>
              <w:noProof/>
            </w:rPr>
            <w:t xml:space="preserve">Wales, N., 2020. </w:t>
          </w:r>
          <w:r>
            <w:rPr>
              <w:i/>
              <w:iCs/>
              <w:noProof/>
            </w:rPr>
            <w:t xml:space="preserve">NHS Wales. </w:t>
          </w:r>
          <w:r>
            <w:rPr>
              <w:noProof/>
            </w:rPr>
            <w:t xml:space="preserve">[Online] </w:t>
          </w:r>
          <w:r>
            <w:rPr>
              <w:noProof/>
            </w:rPr>
            <w:br/>
            <w:t xml:space="preserve">Available at: </w:t>
          </w:r>
          <w:r>
            <w:rPr>
              <w:noProof/>
              <w:u w:val="single"/>
            </w:rPr>
            <w:t>http://www.wales.nhs.uk/sites3/page.cfm?orgid=457&amp;pid=34338</w:t>
          </w:r>
          <w:r>
            <w:rPr>
              <w:noProof/>
            </w:rPr>
            <w:br/>
            <w:t>[Accessed 27 November 2020].</w:t>
          </w:r>
        </w:p>
        <w:p w14:paraId="76D623D4" w14:textId="77777777" w:rsidR="00F046E0" w:rsidRDefault="00F046E0" w:rsidP="00F046E0">
          <w:pPr>
            <w:pStyle w:val="Bibliography"/>
            <w:rPr>
              <w:noProof/>
            </w:rPr>
          </w:pPr>
          <w:r>
            <w:rPr>
              <w:noProof/>
            </w:rPr>
            <w:t xml:space="preserve">Wales, N., 2020. </w:t>
          </w:r>
          <w:r>
            <w:rPr>
              <w:i/>
              <w:iCs/>
              <w:noProof/>
            </w:rPr>
            <w:t xml:space="preserve">NHS Wales. </w:t>
          </w:r>
          <w:r>
            <w:rPr>
              <w:noProof/>
            </w:rPr>
            <w:t xml:space="preserve">[Online] </w:t>
          </w:r>
          <w:r>
            <w:rPr>
              <w:noProof/>
            </w:rPr>
            <w:br/>
            <w:t xml:space="preserve">Available at: </w:t>
          </w:r>
          <w:r>
            <w:rPr>
              <w:noProof/>
              <w:u w:val="single"/>
            </w:rPr>
            <w:t>http://www.wales.nhs.uk/sites3/page.cfm?orgid=457&amp;pid=34338</w:t>
          </w:r>
          <w:r>
            <w:rPr>
              <w:noProof/>
            </w:rPr>
            <w:br/>
            <w:t>[Accessed 28 November 2020].</w:t>
          </w:r>
        </w:p>
        <w:p w14:paraId="102961FF" w14:textId="46BD94CA" w:rsidR="00F046E0" w:rsidRDefault="00D85AB6" w:rsidP="00F046E0">
          <w:pPr>
            <w:pStyle w:val="Bibliography"/>
            <w:rPr>
              <w:noProof/>
            </w:rPr>
          </w:pPr>
          <w:r w:rsidRPr="00D85AB6">
            <w:rPr>
              <w:noProof/>
            </w:rPr>
            <w:t>Wenham, C., Gray, E.R., Keane, C.E., Donati, M., Paolotti, D., Pebody, R., Fragaszy, E., McKendry, R.A. and Edmunds, W.J.,</w:t>
          </w:r>
          <w:r>
            <w:rPr>
              <w:noProof/>
            </w:rPr>
            <w:t xml:space="preserve"> </w:t>
          </w:r>
          <w:r w:rsidR="00F046E0">
            <w:rPr>
              <w:noProof/>
            </w:rPr>
            <w:t xml:space="preserve">2018. Self-Swabbing for Virological Confirmation of Influenza-Like Illness Among an Internet-Based Cohort in the UK During the 2014-2015 Flu Season: Pilot Study.. </w:t>
          </w:r>
          <w:r w:rsidR="00F046E0">
            <w:rPr>
              <w:i/>
              <w:iCs/>
              <w:noProof/>
            </w:rPr>
            <w:t xml:space="preserve">Journal of medical Internet research, </w:t>
          </w:r>
          <w:r w:rsidR="00F046E0">
            <w:rPr>
              <w:noProof/>
            </w:rPr>
            <w:t>20(3), p. 71.</w:t>
          </w:r>
        </w:p>
        <w:p w14:paraId="1EA12F5B" w14:textId="2F0D28DA" w:rsidR="00F046E0" w:rsidRDefault="00D85AB6" w:rsidP="00F046E0">
          <w:pPr>
            <w:pStyle w:val="Bibliography"/>
            <w:rPr>
              <w:noProof/>
            </w:rPr>
          </w:pPr>
          <w:r w:rsidRPr="00D85AB6">
            <w:rPr>
              <w:noProof/>
            </w:rPr>
            <w:t>Wilson, N. and Soni, A</w:t>
          </w:r>
          <w:r w:rsidR="00F046E0">
            <w:rPr>
              <w:noProof/>
            </w:rPr>
            <w:t xml:space="preserve">., 2016. Interprofessional working: a spearhead opportunity for dentistry and pharmacy. </w:t>
          </w:r>
          <w:r w:rsidR="00F046E0">
            <w:rPr>
              <w:i/>
              <w:iCs/>
              <w:noProof/>
            </w:rPr>
            <w:t xml:space="preserve">British dental journal, </w:t>
          </w:r>
          <w:r w:rsidR="00F046E0">
            <w:rPr>
              <w:noProof/>
            </w:rPr>
            <w:t>221(10), pp. 607-608..</w:t>
          </w:r>
        </w:p>
        <w:p w14:paraId="28A286FC" w14:textId="185A0A72" w:rsidR="00F046E0" w:rsidRDefault="00D85AB6" w:rsidP="00F046E0">
          <w:pPr>
            <w:pStyle w:val="Bibliography"/>
            <w:rPr>
              <w:noProof/>
            </w:rPr>
          </w:pPr>
          <w:r w:rsidRPr="00D85AB6">
            <w:rPr>
              <w:noProof/>
            </w:rPr>
            <w:t>Woodall, J. and Freeman, C.,</w:t>
          </w:r>
          <w:r>
            <w:rPr>
              <w:noProof/>
            </w:rPr>
            <w:t xml:space="preserve"> </w:t>
          </w:r>
          <w:r w:rsidR="00F046E0">
            <w:rPr>
              <w:noProof/>
            </w:rPr>
            <w:t xml:space="preserve">2020. Promoting health and well-being in prisons: an analysis of one year’s prison inspection reports.. </w:t>
          </w:r>
          <w:r w:rsidR="00F046E0">
            <w:rPr>
              <w:i/>
              <w:iCs/>
              <w:noProof/>
            </w:rPr>
            <w:t xml:space="preserve">Critical Public Health, </w:t>
          </w:r>
          <w:r w:rsidR="00F046E0">
            <w:rPr>
              <w:noProof/>
            </w:rPr>
            <w:t>30(5), pp. 555-556.</w:t>
          </w:r>
        </w:p>
        <w:p w14:paraId="1EFF9642" w14:textId="5BA844EF" w:rsidR="00F046E0" w:rsidRDefault="00F046E0" w:rsidP="00F046E0"/>
      </w:sdtContent>
    </w:sdt>
    <w:p w14:paraId="5DFC6E69" w14:textId="3824A77C" w:rsidR="00F046E0" w:rsidRDefault="00F046E0"/>
    <w:p w14:paraId="713A04C1" w14:textId="514F85DD" w:rsidR="00F046E0" w:rsidRDefault="00F046E0"/>
    <w:p w14:paraId="72CF4FF1" w14:textId="163AB688" w:rsidR="00D85AB6" w:rsidRDefault="00D85AB6"/>
    <w:p w14:paraId="65793B1F" w14:textId="76DE0B8B" w:rsidR="00D85AB6" w:rsidRDefault="00D85AB6"/>
    <w:p w14:paraId="3821A28E" w14:textId="77777777" w:rsidR="00EE0BD1" w:rsidRDefault="00EE0BD1"/>
    <w:p w14:paraId="1DF3DB59" w14:textId="4657FA14" w:rsidR="00A755EE" w:rsidRDefault="00D85AB6" w:rsidP="008078E1">
      <w:pPr>
        <w:pStyle w:val="Subtitle"/>
      </w:pPr>
      <w:r>
        <w:lastRenderedPageBreak/>
        <w:t>Appendix</w:t>
      </w:r>
    </w:p>
    <w:p w14:paraId="04D69B2B" w14:textId="7CD73C12" w:rsidR="005A3BFD" w:rsidRDefault="005A3BFD"/>
    <w:p w14:paraId="682886AF" w14:textId="53086DE5" w:rsidR="00613BF3" w:rsidRDefault="00A755EE" w:rsidP="00A755EE">
      <w:pPr>
        <w:pStyle w:val="ListParagraph"/>
        <w:numPr>
          <w:ilvl w:val="0"/>
          <w:numId w:val="1"/>
        </w:numPr>
      </w:pPr>
      <w:r>
        <w:t>The Wellbeing of the Future Generations Act.</w:t>
      </w:r>
    </w:p>
    <w:p w14:paraId="056CC815" w14:textId="589BE94E" w:rsidR="00A755EE" w:rsidRDefault="00A755EE" w:rsidP="00A755EE">
      <w:pPr>
        <w:ind w:left="360"/>
      </w:pPr>
      <w:r>
        <w:t>Image depicting the elements that contribute to the wellbeing of future generations in Wales.</w:t>
      </w:r>
    </w:p>
    <w:p w14:paraId="29C81C63" w14:textId="7AE84DCE" w:rsidR="005A3BFD" w:rsidRDefault="005A3BFD"/>
    <w:p w14:paraId="4121E687" w14:textId="7A71E454" w:rsidR="00D85AB6" w:rsidRDefault="00D85AB6"/>
    <w:p w14:paraId="3B8F0BD4" w14:textId="3CFDE3BA" w:rsidR="005A3BFD" w:rsidRPr="005A3BFD" w:rsidRDefault="00A755EE" w:rsidP="005A3BFD">
      <w:r>
        <w:rPr>
          <w:noProof/>
        </w:rPr>
        <w:drawing>
          <wp:anchor distT="0" distB="0" distL="114300" distR="114300" simplePos="0" relativeHeight="251670016" behindDoc="1" locked="0" layoutInCell="1" allowOverlap="1" wp14:anchorId="4B86426A" wp14:editId="73163534">
            <wp:simplePos x="0" y="0"/>
            <wp:positionH relativeFrom="margin">
              <wp:align>left</wp:align>
            </wp:positionH>
            <wp:positionV relativeFrom="page">
              <wp:posOffset>2346960</wp:posOffset>
            </wp:positionV>
            <wp:extent cx="4206240" cy="2522855"/>
            <wp:effectExtent l="0" t="0" r="381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06240" cy="2522855"/>
                    </a:xfrm>
                    <a:prstGeom prst="rect">
                      <a:avLst/>
                    </a:prstGeom>
                    <a:noFill/>
                    <a:ln>
                      <a:noFill/>
                    </a:ln>
                  </pic:spPr>
                </pic:pic>
              </a:graphicData>
            </a:graphic>
          </wp:anchor>
        </w:drawing>
      </w:r>
    </w:p>
    <w:p w14:paraId="2BB33E56" w14:textId="166B4448" w:rsidR="005A3BFD" w:rsidRPr="005A3BFD" w:rsidRDefault="005A3BFD" w:rsidP="005A3BFD"/>
    <w:p w14:paraId="2C274C3C" w14:textId="7AA4579C" w:rsidR="005A3BFD" w:rsidRPr="005A3BFD" w:rsidRDefault="005A3BFD" w:rsidP="005A3BFD"/>
    <w:p w14:paraId="0DC1F642" w14:textId="6510FBBF" w:rsidR="005A3BFD" w:rsidRPr="005A3BFD" w:rsidRDefault="005A3BFD" w:rsidP="005A3BFD"/>
    <w:p w14:paraId="5796A9F3" w14:textId="4A02A7C4" w:rsidR="005A3BFD" w:rsidRDefault="005A3BFD" w:rsidP="005A3BFD"/>
    <w:p w14:paraId="7D2BB7D1" w14:textId="77777777" w:rsidR="005A3BFD" w:rsidRDefault="005A3BFD" w:rsidP="005A3BFD">
      <w:pPr>
        <w:tabs>
          <w:tab w:val="left" w:pos="7536"/>
        </w:tabs>
      </w:pPr>
    </w:p>
    <w:p w14:paraId="22B174BD" w14:textId="77777777" w:rsidR="005A3BFD" w:rsidRDefault="005A3BFD" w:rsidP="005A3BFD">
      <w:pPr>
        <w:tabs>
          <w:tab w:val="left" w:pos="7536"/>
        </w:tabs>
      </w:pPr>
    </w:p>
    <w:p w14:paraId="5D1FE383" w14:textId="77777777" w:rsidR="005A3BFD" w:rsidRDefault="005A3BFD" w:rsidP="005A3BFD">
      <w:pPr>
        <w:tabs>
          <w:tab w:val="left" w:pos="7536"/>
        </w:tabs>
      </w:pPr>
    </w:p>
    <w:p w14:paraId="092E1D0D" w14:textId="102F1829" w:rsidR="005A3BFD" w:rsidRDefault="00A755EE" w:rsidP="005A3BFD">
      <w:pPr>
        <w:tabs>
          <w:tab w:val="left" w:pos="7536"/>
        </w:tabs>
      </w:pPr>
      <w:r>
        <w:t xml:space="preserve">                                                                                                                                    </w:t>
      </w:r>
      <w:r w:rsidR="00EE0BD1">
        <w:t>(</w:t>
      </w:r>
      <w:r w:rsidR="005A3BFD">
        <w:t>Welsh Government</w:t>
      </w:r>
      <w:r w:rsidR="00EE0BD1">
        <w:t xml:space="preserve">, </w:t>
      </w:r>
      <w:r w:rsidR="005A3BFD">
        <w:t>2015)</w:t>
      </w:r>
    </w:p>
    <w:p w14:paraId="220E870A" w14:textId="225F54BD" w:rsidR="00613BF3" w:rsidRDefault="00613BF3" w:rsidP="005A3BFD">
      <w:pPr>
        <w:tabs>
          <w:tab w:val="left" w:pos="7536"/>
        </w:tabs>
      </w:pPr>
    </w:p>
    <w:p w14:paraId="3E42A2CA" w14:textId="7D65EF35" w:rsidR="00613BF3" w:rsidRDefault="00A755EE" w:rsidP="00EE0BD1">
      <w:pPr>
        <w:pStyle w:val="ListParagraph"/>
        <w:numPr>
          <w:ilvl w:val="0"/>
          <w:numId w:val="1"/>
        </w:numPr>
        <w:tabs>
          <w:tab w:val="left" w:pos="7536"/>
        </w:tabs>
      </w:pPr>
      <w:r>
        <w:t>Image depicting how change can occur according to the Health Belief Model.</w:t>
      </w:r>
    </w:p>
    <w:p w14:paraId="2FF4FDF9" w14:textId="77777777" w:rsidR="00A755EE" w:rsidRDefault="00A755EE" w:rsidP="005A3BFD">
      <w:pPr>
        <w:tabs>
          <w:tab w:val="left" w:pos="7536"/>
        </w:tabs>
        <w:rPr>
          <w:noProof/>
        </w:rPr>
      </w:pPr>
    </w:p>
    <w:p w14:paraId="4AB11242" w14:textId="77777777" w:rsidR="009A69C6" w:rsidRDefault="00481C49" w:rsidP="005A3BFD">
      <w:pPr>
        <w:tabs>
          <w:tab w:val="left" w:pos="7536"/>
        </w:tabs>
      </w:pPr>
      <w:r>
        <w:rPr>
          <w:noProof/>
        </w:rPr>
        <w:drawing>
          <wp:inline distT="0" distB="0" distL="0" distR="0" wp14:anchorId="6DD615DE" wp14:editId="4EDE5DFD">
            <wp:extent cx="3566328" cy="2615888"/>
            <wp:effectExtent l="0" t="0" r="0" b="0"/>
            <wp:docPr id="5" name="Picture 5" descr="The Health Belief Model by Rosenstock, Strecher, and Becker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Health Belief Model by Rosenstock, Strecher, and Becker (198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85414" cy="2629888"/>
                    </a:xfrm>
                    <a:prstGeom prst="rect">
                      <a:avLst/>
                    </a:prstGeom>
                    <a:noFill/>
                    <a:ln>
                      <a:noFill/>
                    </a:ln>
                  </pic:spPr>
                </pic:pic>
              </a:graphicData>
            </a:graphic>
          </wp:inline>
        </w:drawing>
      </w:r>
    </w:p>
    <w:p w14:paraId="455158FE" w14:textId="4E5819ED" w:rsidR="00613BF3" w:rsidRDefault="009A69C6" w:rsidP="005A3BFD">
      <w:pPr>
        <w:tabs>
          <w:tab w:val="left" w:pos="7536"/>
        </w:tabs>
      </w:pPr>
      <w:r>
        <w:t xml:space="preserve">                                                                                                          </w:t>
      </w:r>
      <w:r w:rsidR="00EE0BD1">
        <w:t>(</w:t>
      </w:r>
      <w:r>
        <w:t>Rosenstock, Strecher, and Becker</w:t>
      </w:r>
      <w:r w:rsidR="00EE0BD1">
        <w:t xml:space="preserve">, </w:t>
      </w:r>
      <w:r>
        <w:t>1988)</w:t>
      </w:r>
    </w:p>
    <w:p w14:paraId="5EE0D824" w14:textId="72D0BB1C" w:rsidR="00A755EE" w:rsidRDefault="00A755EE" w:rsidP="005A3BFD">
      <w:pPr>
        <w:tabs>
          <w:tab w:val="left" w:pos="7536"/>
        </w:tabs>
      </w:pPr>
    </w:p>
    <w:p w14:paraId="35CE3202" w14:textId="77777777" w:rsidR="00A755EE" w:rsidRDefault="00A755EE" w:rsidP="005A3BFD">
      <w:pPr>
        <w:tabs>
          <w:tab w:val="left" w:pos="7536"/>
        </w:tabs>
      </w:pPr>
    </w:p>
    <w:p w14:paraId="2A905A05" w14:textId="77777777" w:rsidR="00A755EE" w:rsidRDefault="00A755EE" w:rsidP="005A3BFD">
      <w:pPr>
        <w:tabs>
          <w:tab w:val="left" w:pos="7536"/>
        </w:tabs>
      </w:pPr>
    </w:p>
    <w:p w14:paraId="17E5BA16" w14:textId="77777777" w:rsidR="00A755EE" w:rsidRDefault="00A755EE" w:rsidP="005A3BFD">
      <w:pPr>
        <w:tabs>
          <w:tab w:val="left" w:pos="7536"/>
        </w:tabs>
      </w:pPr>
    </w:p>
    <w:p w14:paraId="4CA71FCD" w14:textId="1C87C0C9" w:rsidR="00A755EE" w:rsidRDefault="00A755EE" w:rsidP="00A755EE">
      <w:pPr>
        <w:pStyle w:val="ListParagraph"/>
        <w:numPr>
          <w:ilvl w:val="0"/>
          <w:numId w:val="1"/>
        </w:numPr>
        <w:tabs>
          <w:tab w:val="left" w:pos="7536"/>
        </w:tabs>
      </w:pPr>
      <w:r>
        <w:t xml:space="preserve">The </w:t>
      </w:r>
      <w:r w:rsidR="00481C49">
        <w:t>P</w:t>
      </w:r>
      <w:r>
        <w:t xml:space="preserve">articipation </w:t>
      </w:r>
      <w:r w:rsidR="00481C49">
        <w:t>L</w:t>
      </w:r>
      <w:r>
        <w:t xml:space="preserve">adder.  </w:t>
      </w:r>
    </w:p>
    <w:p w14:paraId="5815002C" w14:textId="1925AFC6" w:rsidR="00A755EE" w:rsidRDefault="00A755EE" w:rsidP="00EE0BD1">
      <w:pPr>
        <w:tabs>
          <w:tab w:val="left" w:pos="7536"/>
        </w:tabs>
      </w:pPr>
      <w:r>
        <w:t xml:space="preserve">This image depicts how to </w:t>
      </w:r>
      <w:r w:rsidR="00481C49">
        <w:t>instigate change through the Participation Ladder Model.</w:t>
      </w:r>
    </w:p>
    <w:p w14:paraId="11423F55" w14:textId="77777777" w:rsidR="00481C49" w:rsidRDefault="00481C49" w:rsidP="005A3BFD">
      <w:pPr>
        <w:tabs>
          <w:tab w:val="left" w:pos="7536"/>
        </w:tabs>
      </w:pPr>
    </w:p>
    <w:p w14:paraId="3105B5A7" w14:textId="0C889E6B" w:rsidR="00481C49" w:rsidRDefault="00481C49" w:rsidP="005A3BFD">
      <w:pPr>
        <w:tabs>
          <w:tab w:val="left" w:pos="7536"/>
        </w:tabs>
      </w:pPr>
      <w:r>
        <w:tab/>
      </w:r>
    </w:p>
    <w:p w14:paraId="4771A383" w14:textId="3E227125" w:rsidR="00EE0BD1" w:rsidRPr="00EE0BD1" w:rsidRDefault="00A755EE" w:rsidP="00EE0BD1">
      <w:pPr>
        <w:rPr>
          <w:rFonts w:eastAsiaTheme="minorHAnsi"/>
        </w:rPr>
      </w:pPr>
      <w:r>
        <w:rPr>
          <w:noProof/>
        </w:rPr>
        <w:drawing>
          <wp:inline distT="0" distB="0" distL="0" distR="0" wp14:anchorId="731E8942" wp14:editId="75849FBC">
            <wp:extent cx="3116580" cy="3810000"/>
            <wp:effectExtent l="0" t="0" r="7620" b="0"/>
            <wp:docPr id="2" name="Picture 2" descr="Describ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bed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16580" cy="3810000"/>
                    </a:xfrm>
                    <a:prstGeom prst="rect">
                      <a:avLst/>
                    </a:prstGeom>
                    <a:noFill/>
                    <a:ln>
                      <a:noFill/>
                    </a:ln>
                  </pic:spPr>
                </pic:pic>
              </a:graphicData>
            </a:graphic>
          </wp:inline>
        </w:drawing>
      </w:r>
      <w:r w:rsidR="00EE0BD1">
        <w:rPr>
          <w:rFonts w:eastAsiaTheme="minorHAnsi"/>
          <w:noProof/>
        </w:rPr>
        <w:t xml:space="preserve">                                                     </w:t>
      </w:r>
      <w:r w:rsidR="00EE0BD1" w:rsidRPr="00EE0BD1">
        <w:rPr>
          <w:rFonts w:eastAsiaTheme="minorHAnsi"/>
          <w:noProof/>
        </w:rPr>
        <w:t>(Arnstein, 1969)</w:t>
      </w:r>
    </w:p>
    <w:p w14:paraId="00EE2201" w14:textId="6D9AC59C" w:rsidR="00A755EE" w:rsidRPr="005A3BFD" w:rsidRDefault="00A755EE" w:rsidP="005A3BFD">
      <w:pPr>
        <w:tabs>
          <w:tab w:val="left" w:pos="7536"/>
        </w:tabs>
      </w:pPr>
    </w:p>
    <w:sectPr w:rsidR="00A755EE" w:rsidRPr="005A3BFD" w:rsidSect="002C481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E3DB0F" w14:textId="77777777" w:rsidR="00DE50E8" w:rsidRDefault="00DE50E8" w:rsidP="008D09C2">
      <w:pPr>
        <w:spacing w:after="0" w:line="240" w:lineRule="auto"/>
      </w:pPr>
      <w:r>
        <w:separator/>
      </w:r>
    </w:p>
  </w:endnote>
  <w:endnote w:type="continuationSeparator" w:id="0">
    <w:p w14:paraId="0E9BC4DD" w14:textId="77777777" w:rsidR="00DE50E8" w:rsidRDefault="00DE50E8" w:rsidP="008D09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2045071"/>
      <w:docPartObj>
        <w:docPartGallery w:val="Page Numbers (Bottom of Page)"/>
        <w:docPartUnique/>
      </w:docPartObj>
    </w:sdtPr>
    <w:sdtEndPr>
      <w:rPr>
        <w:noProof/>
      </w:rPr>
    </w:sdtEndPr>
    <w:sdtContent>
      <w:p w14:paraId="110F1FC2" w14:textId="5C588A92" w:rsidR="00DE50E8" w:rsidRDefault="00DE50E8">
        <w:pPr>
          <w:pStyle w:val="Footer"/>
        </w:pPr>
        <w:r>
          <w:fldChar w:fldCharType="begin"/>
        </w:r>
        <w:r>
          <w:instrText xml:space="preserve"> PAGE   \* MERGEFORMAT </w:instrText>
        </w:r>
        <w:r>
          <w:fldChar w:fldCharType="separate"/>
        </w:r>
        <w:r>
          <w:rPr>
            <w:noProof/>
          </w:rPr>
          <w:t>2</w:t>
        </w:r>
        <w:r>
          <w:rPr>
            <w:noProof/>
          </w:rPr>
          <w:fldChar w:fldCharType="end"/>
        </w:r>
      </w:p>
    </w:sdtContent>
  </w:sdt>
  <w:p w14:paraId="11B6222A" w14:textId="77777777" w:rsidR="00DE50E8" w:rsidRDefault="00DE50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58B3CD" w14:textId="77777777" w:rsidR="00DE50E8" w:rsidRDefault="00DE50E8" w:rsidP="008D09C2">
      <w:pPr>
        <w:spacing w:after="0" w:line="240" w:lineRule="auto"/>
      </w:pPr>
      <w:r>
        <w:separator/>
      </w:r>
    </w:p>
  </w:footnote>
  <w:footnote w:type="continuationSeparator" w:id="0">
    <w:p w14:paraId="086ABE50" w14:textId="77777777" w:rsidR="00DE50E8" w:rsidRDefault="00DE50E8" w:rsidP="008D09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4E64FA"/>
    <w:multiLevelType w:val="hybridMultilevel"/>
    <w:tmpl w:val="4176B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817"/>
    <w:rsid w:val="00015245"/>
    <w:rsid w:val="000226C8"/>
    <w:rsid w:val="00026B1D"/>
    <w:rsid w:val="000323CB"/>
    <w:rsid w:val="00037C5E"/>
    <w:rsid w:val="00043A2F"/>
    <w:rsid w:val="000A3C28"/>
    <w:rsid w:val="000C761A"/>
    <w:rsid w:val="000F097E"/>
    <w:rsid w:val="001024EE"/>
    <w:rsid w:val="00105F32"/>
    <w:rsid w:val="00113729"/>
    <w:rsid w:val="00114F16"/>
    <w:rsid w:val="0012225C"/>
    <w:rsid w:val="00156EB3"/>
    <w:rsid w:val="0017395C"/>
    <w:rsid w:val="00183805"/>
    <w:rsid w:val="00193D1E"/>
    <w:rsid w:val="001D5BB8"/>
    <w:rsid w:val="001E5720"/>
    <w:rsid w:val="00224916"/>
    <w:rsid w:val="00233FD0"/>
    <w:rsid w:val="0023696B"/>
    <w:rsid w:val="00245F55"/>
    <w:rsid w:val="00254B9D"/>
    <w:rsid w:val="002901C8"/>
    <w:rsid w:val="002C4817"/>
    <w:rsid w:val="002E6D6C"/>
    <w:rsid w:val="003043C9"/>
    <w:rsid w:val="00333E4A"/>
    <w:rsid w:val="003366BE"/>
    <w:rsid w:val="003913BA"/>
    <w:rsid w:val="003B6327"/>
    <w:rsid w:val="003D587F"/>
    <w:rsid w:val="003E353A"/>
    <w:rsid w:val="0042680E"/>
    <w:rsid w:val="00436001"/>
    <w:rsid w:val="00481C49"/>
    <w:rsid w:val="004839FA"/>
    <w:rsid w:val="00497150"/>
    <w:rsid w:val="004A598C"/>
    <w:rsid w:val="005003A2"/>
    <w:rsid w:val="00522710"/>
    <w:rsid w:val="00540227"/>
    <w:rsid w:val="0055144A"/>
    <w:rsid w:val="00553748"/>
    <w:rsid w:val="00557D2F"/>
    <w:rsid w:val="0057152E"/>
    <w:rsid w:val="00581C69"/>
    <w:rsid w:val="00582843"/>
    <w:rsid w:val="005859FD"/>
    <w:rsid w:val="005A3BFD"/>
    <w:rsid w:val="005E2004"/>
    <w:rsid w:val="006024E7"/>
    <w:rsid w:val="00613126"/>
    <w:rsid w:val="00613727"/>
    <w:rsid w:val="00613BF3"/>
    <w:rsid w:val="00641DED"/>
    <w:rsid w:val="0066615D"/>
    <w:rsid w:val="00693081"/>
    <w:rsid w:val="006B448C"/>
    <w:rsid w:val="006D2D61"/>
    <w:rsid w:val="006E5948"/>
    <w:rsid w:val="00702499"/>
    <w:rsid w:val="00713054"/>
    <w:rsid w:val="00731105"/>
    <w:rsid w:val="0074706C"/>
    <w:rsid w:val="007478BA"/>
    <w:rsid w:val="00752D09"/>
    <w:rsid w:val="00777D17"/>
    <w:rsid w:val="00784605"/>
    <w:rsid w:val="00791D70"/>
    <w:rsid w:val="007A25B9"/>
    <w:rsid w:val="007F3AE4"/>
    <w:rsid w:val="008078E1"/>
    <w:rsid w:val="008312A6"/>
    <w:rsid w:val="00832733"/>
    <w:rsid w:val="00836033"/>
    <w:rsid w:val="00840C3B"/>
    <w:rsid w:val="00863021"/>
    <w:rsid w:val="00895CF3"/>
    <w:rsid w:val="008B49FA"/>
    <w:rsid w:val="008D09C2"/>
    <w:rsid w:val="008D4651"/>
    <w:rsid w:val="008E694D"/>
    <w:rsid w:val="0092618B"/>
    <w:rsid w:val="009314ED"/>
    <w:rsid w:val="0096622E"/>
    <w:rsid w:val="0097265D"/>
    <w:rsid w:val="0099258B"/>
    <w:rsid w:val="009A69C6"/>
    <w:rsid w:val="009D1CCA"/>
    <w:rsid w:val="00A0160D"/>
    <w:rsid w:val="00A064CC"/>
    <w:rsid w:val="00A16DEE"/>
    <w:rsid w:val="00A27C36"/>
    <w:rsid w:val="00A3022D"/>
    <w:rsid w:val="00A647FF"/>
    <w:rsid w:val="00A71AE1"/>
    <w:rsid w:val="00A755EE"/>
    <w:rsid w:val="00A92F91"/>
    <w:rsid w:val="00A93F0B"/>
    <w:rsid w:val="00AD3196"/>
    <w:rsid w:val="00AD57FA"/>
    <w:rsid w:val="00AE113C"/>
    <w:rsid w:val="00B00906"/>
    <w:rsid w:val="00B06D2A"/>
    <w:rsid w:val="00B126F6"/>
    <w:rsid w:val="00B32487"/>
    <w:rsid w:val="00B33394"/>
    <w:rsid w:val="00B36706"/>
    <w:rsid w:val="00BB189C"/>
    <w:rsid w:val="00BB6DCF"/>
    <w:rsid w:val="00BC5234"/>
    <w:rsid w:val="00BF7379"/>
    <w:rsid w:val="00C275EB"/>
    <w:rsid w:val="00C65BD1"/>
    <w:rsid w:val="00CC1634"/>
    <w:rsid w:val="00CC5308"/>
    <w:rsid w:val="00CE5B0E"/>
    <w:rsid w:val="00D0154A"/>
    <w:rsid w:val="00D07A1C"/>
    <w:rsid w:val="00D112B9"/>
    <w:rsid w:val="00D15FCF"/>
    <w:rsid w:val="00D34460"/>
    <w:rsid w:val="00D53F7F"/>
    <w:rsid w:val="00D549B5"/>
    <w:rsid w:val="00D67B55"/>
    <w:rsid w:val="00D81016"/>
    <w:rsid w:val="00D85AB6"/>
    <w:rsid w:val="00DB3AAB"/>
    <w:rsid w:val="00DB6A61"/>
    <w:rsid w:val="00DB6CCA"/>
    <w:rsid w:val="00DC5AB2"/>
    <w:rsid w:val="00DD39A8"/>
    <w:rsid w:val="00DD6C6B"/>
    <w:rsid w:val="00DE50E8"/>
    <w:rsid w:val="00DF01C4"/>
    <w:rsid w:val="00DF5CE0"/>
    <w:rsid w:val="00E10D36"/>
    <w:rsid w:val="00E16D1A"/>
    <w:rsid w:val="00E2108F"/>
    <w:rsid w:val="00E216D5"/>
    <w:rsid w:val="00E35ADE"/>
    <w:rsid w:val="00E367C1"/>
    <w:rsid w:val="00E50FD8"/>
    <w:rsid w:val="00E51765"/>
    <w:rsid w:val="00E943B2"/>
    <w:rsid w:val="00EA57DA"/>
    <w:rsid w:val="00EB53C2"/>
    <w:rsid w:val="00EC3559"/>
    <w:rsid w:val="00EC6887"/>
    <w:rsid w:val="00EC7B09"/>
    <w:rsid w:val="00EE0BD1"/>
    <w:rsid w:val="00EE668F"/>
    <w:rsid w:val="00EE78B2"/>
    <w:rsid w:val="00EF550B"/>
    <w:rsid w:val="00F0055C"/>
    <w:rsid w:val="00F046E0"/>
    <w:rsid w:val="00F16530"/>
    <w:rsid w:val="00F20836"/>
    <w:rsid w:val="00F24819"/>
    <w:rsid w:val="00F322A3"/>
    <w:rsid w:val="00F57B0E"/>
    <w:rsid w:val="00FA1F6D"/>
    <w:rsid w:val="00FA5B25"/>
    <w:rsid w:val="00FA6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6C9A9"/>
  <w15:chartTrackingRefBased/>
  <w15:docId w15:val="{3D138610-B9E0-4DA2-B108-76E708E4A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836"/>
  </w:style>
  <w:style w:type="paragraph" w:styleId="Heading1">
    <w:name w:val="heading 1"/>
    <w:basedOn w:val="Normal"/>
    <w:next w:val="Normal"/>
    <w:link w:val="Heading1Char"/>
    <w:uiPriority w:val="9"/>
    <w:qFormat/>
    <w:rsid w:val="00F20836"/>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F20836"/>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0836"/>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0836"/>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F2083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F2083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F2083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F2083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F2083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0836"/>
    <w:pPr>
      <w:spacing w:after="0" w:line="240" w:lineRule="auto"/>
    </w:pPr>
  </w:style>
  <w:style w:type="character" w:customStyle="1" w:styleId="NoSpacingChar">
    <w:name w:val="No Spacing Char"/>
    <w:basedOn w:val="DefaultParagraphFont"/>
    <w:link w:val="NoSpacing"/>
    <w:uiPriority w:val="1"/>
    <w:rsid w:val="002C4817"/>
  </w:style>
  <w:style w:type="character" w:customStyle="1" w:styleId="Heading1Char">
    <w:name w:val="Heading 1 Char"/>
    <w:basedOn w:val="DefaultParagraphFont"/>
    <w:link w:val="Heading1"/>
    <w:uiPriority w:val="9"/>
    <w:rsid w:val="00F20836"/>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F2083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20836"/>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2083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F2083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F2083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F2083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F2083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F20836"/>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F20836"/>
    <w:pPr>
      <w:spacing w:line="240" w:lineRule="auto"/>
    </w:pPr>
    <w:rPr>
      <w:b/>
      <w:bCs/>
      <w:smallCaps/>
      <w:color w:val="44546A" w:themeColor="text2"/>
    </w:rPr>
  </w:style>
  <w:style w:type="paragraph" w:styleId="Title">
    <w:name w:val="Title"/>
    <w:basedOn w:val="Normal"/>
    <w:next w:val="Normal"/>
    <w:link w:val="TitleChar"/>
    <w:uiPriority w:val="10"/>
    <w:qFormat/>
    <w:rsid w:val="00F2083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2083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20836"/>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F20836"/>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F20836"/>
    <w:rPr>
      <w:b/>
      <w:bCs/>
    </w:rPr>
  </w:style>
  <w:style w:type="character" w:styleId="Emphasis">
    <w:name w:val="Emphasis"/>
    <w:basedOn w:val="DefaultParagraphFont"/>
    <w:uiPriority w:val="20"/>
    <w:qFormat/>
    <w:rsid w:val="00F20836"/>
    <w:rPr>
      <w:i/>
      <w:iCs/>
    </w:rPr>
  </w:style>
  <w:style w:type="paragraph" w:styleId="Quote">
    <w:name w:val="Quote"/>
    <w:basedOn w:val="Normal"/>
    <w:next w:val="Normal"/>
    <w:link w:val="QuoteChar"/>
    <w:uiPriority w:val="29"/>
    <w:qFormat/>
    <w:rsid w:val="00F2083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20836"/>
    <w:rPr>
      <w:color w:val="44546A" w:themeColor="text2"/>
      <w:sz w:val="24"/>
      <w:szCs w:val="24"/>
    </w:rPr>
  </w:style>
  <w:style w:type="paragraph" w:styleId="IntenseQuote">
    <w:name w:val="Intense Quote"/>
    <w:basedOn w:val="Normal"/>
    <w:next w:val="Normal"/>
    <w:link w:val="IntenseQuoteChar"/>
    <w:uiPriority w:val="30"/>
    <w:qFormat/>
    <w:rsid w:val="00F2083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2083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F20836"/>
    <w:rPr>
      <w:i/>
      <w:iCs/>
      <w:color w:val="595959" w:themeColor="text1" w:themeTint="A6"/>
    </w:rPr>
  </w:style>
  <w:style w:type="character" w:styleId="IntenseEmphasis">
    <w:name w:val="Intense Emphasis"/>
    <w:basedOn w:val="DefaultParagraphFont"/>
    <w:uiPriority w:val="21"/>
    <w:qFormat/>
    <w:rsid w:val="00F20836"/>
    <w:rPr>
      <w:b/>
      <w:bCs/>
      <w:i/>
      <w:iCs/>
    </w:rPr>
  </w:style>
  <w:style w:type="character" w:styleId="SubtleReference">
    <w:name w:val="Subtle Reference"/>
    <w:basedOn w:val="DefaultParagraphFont"/>
    <w:uiPriority w:val="31"/>
    <w:qFormat/>
    <w:rsid w:val="00F2083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20836"/>
    <w:rPr>
      <w:b/>
      <w:bCs/>
      <w:smallCaps/>
      <w:color w:val="44546A" w:themeColor="text2"/>
      <w:u w:val="single"/>
    </w:rPr>
  </w:style>
  <w:style w:type="character" w:styleId="BookTitle">
    <w:name w:val="Book Title"/>
    <w:basedOn w:val="DefaultParagraphFont"/>
    <w:uiPriority w:val="33"/>
    <w:qFormat/>
    <w:rsid w:val="00F20836"/>
    <w:rPr>
      <w:b/>
      <w:bCs/>
      <w:smallCaps/>
      <w:spacing w:val="10"/>
    </w:rPr>
  </w:style>
  <w:style w:type="paragraph" w:styleId="TOCHeading">
    <w:name w:val="TOC Heading"/>
    <w:basedOn w:val="Heading1"/>
    <w:next w:val="Normal"/>
    <w:uiPriority w:val="39"/>
    <w:semiHidden/>
    <w:unhideWhenUsed/>
    <w:qFormat/>
    <w:rsid w:val="00F20836"/>
    <w:pPr>
      <w:outlineLvl w:val="9"/>
    </w:pPr>
  </w:style>
  <w:style w:type="character" w:styleId="Hyperlink">
    <w:name w:val="Hyperlink"/>
    <w:basedOn w:val="DefaultParagraphFont"/>
    <w:uiPriority w:val="99"/>
    <w:semiHidden/>
    <w:unhideWhenUsed/>
    <w:rsid w:val="00C65BD1"/>
    <w:rPr>
      <w:color w:val="0000FF"/>
      <w:u w:val="single"/>
    </w:rPr>
  </w:style>
  <w:style w:type="paragraph" w:styleId="Header">
    <w:name w:val="header"/>
    <w:basedOn w:val="Normal"/>
    <w:link w:val="HeaderChar"/>
    <w:uiPriority w:val="99"/>
    <w:unhideWhenUsed/>
    <w:rsid w:val="008D09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9C2"/>
  </w:style>
  <w:style w:type="paragraph" w:styleId="Footer">
    <w:name w:val="footer"/>
    <w:basedOn w:val="Normal"/>
    <w:link w:val="FooterChar"/>
    <w:uiPriority w:val="99"/>
    <w:unhideWhenUsed/>
    <w:rsid w:val="008D09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9C2"/>
  </w:style>
  <w:style w:type="paragraph" w:styleId="Bibliography">
    <w:name w:val="Bibliography"/>
    <w:basedOn w:val="Normal"/>
    <w:next w:val="Normal"/>
    <w:uiPriority w:val="37"/>
    <w:unhideWhenUsed/>
    <w:rsid w:val="00F046E0"/>
  </w:style>
  <w:style w:type="paragraph" w:styleId="ListParagraph">
    <w:name w:val="List Paragraph"/>
    <w:basedOn w:val="Normal"/>
    <w:uiPriority w:val="34"/>
    <w:qFormat/>
    <w:rsid w:val="00A755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654325">
      <w:bodyDiv w:val="1"/>
      <w:marLeft w:val="0"/>
      <w:marRight w:val="0"/>
      <w:marTop w:val="0"/>
      <w:marBottom w:val="0"/>
      <w:divBdr>
        <w:top w:val="none" w:sz="0" w:space="0" w:color="auto"/>
        <w:left w:val="none" w:sz="0" w:space="0" w:color="auto"/>
        <w:bottom w:val="none" w:sz="0" w:space="0" w:color="auto"/>
        <w:right w:val="none" w:sz="0" w:space="0" w:color="auto"/>
      </w:divBdr>
    </w:div>
    <w:div w:id="132796878">
      <w:bodyDiv w:val="1"/>
      <w:marLeft w:val="0"/>
      <w:marRight w:val="0"/>
      <w:marTop w:val="0"/>
      <w:marBottom w:val="0"/>
      <w:divBdr>
        <w:top w:val="none" w:sz="0" w:space="0" w:color="auto"/>
        <w:left w:val="none" w:sz="0" w:space="0" w:color="auto"/>
        <w:bottom w:val="none" w:sz="0" w:space="0" w:color="auto"/>
        <w:right w:val="none" w:sz="0" w:space="0" w:color="auto"/>
      </w:divBdr>
    </w:div>
    <w:div w:id="226889784">
      <w:bodyDiv w:val="1"/>
      <w:marLeft w:val="0"/>
      <w:marRight w:val="0"/>
      <w:marTop w:val="0"/>
      <w:marBottom w:val="0"/>
      <w:divBdr>
        <w:top w:val="none" w:sz="0" w:space="0" w:color="auto"/>
        <w:left w:val="none" w:sz="0" w:space="0" w:color="auto"/>
        <w:bottom w:val="none" w:sz="0" w:space="0" w:color="auto"/>
        <w:right w:val="none" w:sz="0" w:space="0" w:color="auto"/>
      </w:divBdr>
    </w:div>
    <w:div w:id="244265178">
      <w:bodyDiv w:val="1"/>
      <w:marLeft w:val="0"/>
      <w:marRight w:val="0"/>
      <w:marTop w:val="0"/>
      <w:marBottom w:val="0"/>
      <w:divBdr>
        <w:top w:val="none" w:sz="0" w:space="0" w:color="auto"/>
        <w:left w:val="none" w:sz="0" w:space="0" w:color="auto"/>
        <w:bottom w:val="none" w:sz="0" w:space="0" w:color="auto"/>
        <w:right w:val="none" w:sz="0" w:space="0" w:color="auto"/>
      </w:divBdr>
    </w:div>
    <w:div w:id="276104734">
      <w:bodyDiv w:val="1"/>
      <w:marLeft w:val="0"/>
      <w:marRight w:val="0"/>
      <w:marTop w:val="0"/>
      <w:marBottom w:val="0"/>
      <w:divBdr>
        <w:top w:val="none" w:sz="0" w:space="0" w:color="auto"/>
        <w:left w:val="none" w:sz="0" w:space="0" w:color="auto"/>
        <w:bottom w:val="none" w:sz="0" w:space="0" w:color="auto"/>
        <w:right w:val="none" w:sz="0" w:space="0" w:color="auto"/>
      </w:divBdr>
    </w:div>
    <w:div w:id="291207520">
      <w:bodyDiv w:val="1"/>
      <w:marLeft w:val="0"/>
      <w:marRight w:val="0"/>
      <w:marTop w:val="0"/>
      <w:marBottom w:val="0"/>
      <w:divBdr>
        <w:top w:val="none" w:sz="0" w:space="0" w:color="auto"/>
        <w:left w:val="none" w:sz="0" w:space="0" w:color="auto"/>
        <w:bottom w:val="none" w:sz="0" w:space="0" w:color="auto"/>
        <w:right w:val="none" w:sz="0" w:space="0" w:color="auto"/>
      </w:divBdr>
    </w:div>
    <w:div w:id="297228256">
      <w:bodyDiv w:val="1"/>
      <w:marLeft w:val="0"/>
      <w:marRight w:val="0"/>
      <w:marTop w:val="0"/>
      <w:marBottom w:val="0"/>
      <w:divBdr>
        <w:top w:val="none" w:sz="0" w:space="0" w:color="auto"/>
        <w:left w:val="none" w:sz="0" w:space="0" w:color="auto"/>
        <w:bottom w:val="none" w:sz="0" w:space="0" w:color="auto"/>
        <w:right w:val="none" w:sz="0" w:space="0" w:color="auto"/>
      </w:divBdr>
    </w:div>
    <w:div w:id="303197774">
      <w:bodyDiv w:val="1"/>
      <w:marLeft w:val="0"/>
      <w:marRight w:val="0"/>
      <w:marTop w:val="0"/>
      <w:marBottom w:val="0"/>
      <w:divBdr>
        <w:top w:val="none" w:sz="0" w:space="0" w:color="auto"/>
        <w:left w:val="none" w:sz="0" w:space="0" w:color="auto"/>
        <w:bottom w:val="none" w:sz="0" w:space="0" w:color="auto"/>
        <w:right w:val="none" w:sz="0" w:space="0" w:color="auto"/>
      </w:divBdr>
    </w:div>
    <w:div w:id="308825714">
      <w:bodyDiv w:val="1"/>
      <w:marLeft w:val="0"/>
      <w:marRight w:val="0"/>
      <w:marTop w:val="0"/>
      <w:marBottom w:val="0"/>
      <w:divBdr>
        <w:top w:val="none" w:sz="0" w:space="0" w:color="auto"/>
        <w:left w:val="none" w:sz="0" w:space="0" w:color="auto"/>
        <w:bottom w:val="none" w:sz="0" w:space="0" w:color="auto"/>
        <w:right w:val="none" w:sz="0" w:space="0" w:color="auto"/>
      </w:divBdr>
    </w:div>
    <w:div w:id="342897840">
      <w:bodyDiv w:val="1"/>
      <w:marLeft w:val="0"/>
      <w:marRight w:val="0"/>
      <w:marTop w:val="0"/>
      <w:marBottom w:val="0"/>
      <w:divBdr>
        <w:top w:val="none" w:sz="0" w:space="0" w:color="auto"/>
        <w:left w:val="none" w:sz="0" w:space="0" w:color="auto"/>
        <w:bottom w:val="none" w:sz="0" w:space="0" w:color="auto"/>
        <w:right w:val="none" w:sz="0" w:space="0" w:color="auto"/>
      </w:divBdr>
    </w:div>
    <w:div w:id="357388491">
      <w:bodyDiv w:val="1"/>
      <w:marLeft w:val="0"/>
      <w:marRight w:val="0"/>
      <w:marTop w:val="0"/>
      <w:marBottom w:val="0"/>
      <w:divBdr>
        <w:top w:val="none" w:sz="0" w:space="0" w:color="auto"/>
        <w:left w:val="none" w:sz="0" w:space="0" w:color="auto"/>
        <w:bottom w:val="none" w:sz="0" w:space="0" w:color="auto"/>
        <w:right w:val="none" w:sz="0" w:space="0" w:color="auto"/>
      </w:divBdr>
      <w:divsChild>
        <w:div w:id="850025549">
          <w:marLeft w:val="0"/>
          <w:marRight w:val="0"/>
          <w:marTop w:val="0"/>
          <w:marBottom w:val="0"/>
          <w:divBdr>
            <w:top w:val="none" w:sz="0" w:space="0" w:color="auto"/>
            <w:left w:val="none" w:sz="0" w:space="0" w:color="auto"/>
            <w:bottom w:val="none" w:sz="0" w:space="0" w:color="auto"/>
            <w:right w:val="none" w:sz="0" w:space="0" w:color="auto"/>
          </w:divBdr>
          <w:divsChild>
            <w:div w:id="1802192028">
              <w:marLeft w:val="0"/>
              <w:marRight w:val="0"/>
              <w:marTop w:val="0"/>
              <w:marBottom w:val="0"/>
              <w:divBdr>
                <w:top w:val="none" w:sz="0" w:space="0" w:color="auto"/>
                <w:left w:val="none" w:sz="0" w:space="0" w:color="auto"/>
                <w:bottom w:val="none" w:sz="0" w:space="0" w:color="auto"/>
                <w:right w:val="none" w:sz="0" w:space="0" w:color="auto"/>
              </w:divBdr>
              <w:divsChild>
                <w:div w:id="48662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857664">
      <w:bodyDiv w:val="1"/>
      <w:marLeft w:val="0"/>
      <w:marRight w:val="0"/>
      <w:marTop w:val="0"/>
      <w:marBottom w:val="0"/>
      <w:divBdr>
        <w:top w:val="none" w:sz="0" w:space="0" w:color="auto"/>
        <w:left w:val="none" w:sz="0" w:space="0" w:color="auto"/>
        <w:bottom w:val="none" w:sz="0" w:space="0" w:color="auto"/>
        <w:right w:val="none" w:sz="0" w:space="0" w:color="auto"/>
      </w:divBdr>
    </w:div>
    <w:div w:id="470900661">
      <w:bodyDiv w:val="1"/>
      <w:marLeft w:val="0"/>
      <w:marRight w:val="0"/>
      <w:marTop w:val="0"/>
      <w:marBottom w:val="0"/>
      <w:divBdr>
        <w:top w:val="none" w:sz="0" w:space="0" w:color="auto"/>
        <w:left w:val="none" w:sz="0" w:space="0" w:color="auto"/>
        <w:bottom w:val="none" w:sz="0" w:space="0" w:color="auto"/>
        <w:right w:val="none" w:sz="0" w:space="0" w:color="auto"/>
      </w:divBdr>
    </w:div>
    <w:div w:id="512693378">
      <w:bodyDiv w:val="1"/>
      <w:marLeft w:val="0"/>
      <w:marRight w:val="0"/>
      <w:marTop w:val="0"/>
      <w:marBottom w:val="0"/>
      <w:divBdr>
        <w:top w:val="none" w:sz="0" w:space="0" w:color="auto"/>
        <w:left w:val="none" w:sz="0" w:space="0" w:color="auto"/>
        <w:bottom w:val="none" w:sz="0" w:space="0" w:color="auto"/>
        <w:right w:val="none" w:sz="0" w:space="0" w:color="auto"/>
      </w:divBdr>
    </w:div>
    <w:div w:id="527059987">
      <w:bodyDiv w:val="1"/>
      <w:marLeft w:val="0"/>
      <w:marRight w:val="0"/>
      <w:marTop w:val="0"/>
      <w:marBottom w:val="0"/>
      <w:divBdr>
        <w:top w:val="none" w:sz="0" w:space="0" w:color="auto"/>
        <w:left w:val="none" w:sz="0" w:space="0" w:color="auto"/>
        <w:bottom w:val="none" w:sz="0" w:space="0" w:color="auto"/>
        <w:right w:val="none" w:sz="0" w:space="0" w:color="auto"/>
      </w:divBdr>
    </w:div>
    <w:div w:id="540018616">
      <w:bodyDiv w:val="1"/>
      <w:marLeft w:val="0"/>
      <w:marRight w:val="0"/>
      <w:marTop w:val="0"/>
      <w:marBottom w:val="0"/>
      <w:divBdr>
        <w:top w:val="none" w:sz="0" w:space="0" w:color="auto"/>
        <w:left w:val="none" w:sz="0" w:space="0" w:color="auto"/>
        <w:bottom w:val="none" w:sz="0" w:space="0" w:color="auto"/>
        <w:right w:val="none" w:sz="0" w:space="0" w:color="auto"/>
      </w:divBdr>
    </w:div>
    <w:div w:id="620502400">
      <w:bodyDiv w:val="1"/>
      <w:marLeft w:val="0"/>
      <w:marRight w:val="0"/>
      <w:marTop w:val="0"/>
      <w:marBottom w:val="0"/>
      <w:divBdr>
        <w:top w:val="none" w:sz="0" w:space="0" w:color="auto"/>
        <w:left w:val="none" w:sz="0" w:space="0" w:color="auto"/>
        <w:bottom w:val="none" w:sz="0" w:space="0" w:color="auto"/>
        <w:right w:val="none" w:sz="0" w:space="0" w:color="auto"/>
      </w:divBdr>
    </w:div>
    <w:div w:id="704139035">
      <w:bodyDiv w:val="1"/>
      <w:marLeft w:val="0"/>
      <w:marRight w:val="0"/>
      <w:marTop w:val="0"/>
      <w:marBottom w:val="0"/>
      <w:divBdr>
        <w:top w:val="none" w:sz="0" w:space="0" w:color="auto"/>
        <w:left w:val="none" w:sz="0" w:space="0" w:color="auto"/>
        <w:bottom w:val="none" w:sz="0" w:space="0" w:color="auto"/>
        <w:right w:val="none" w:sz="0" w:space="0" w:color="auto"/>
      </w:divBdr>
    </w:div>
    <w:div w:id="734738047">
      <w:bodyDiv w:val="1"/>
      <w:marLeft w:val="0"/>
      <w:marRight w:val="0"/>
      <w:marTop w:val="0"/>
      <w:marBottom w:val="0"/>
      <w:divBdr>
        <w:top w:val="none" w:sz="0" w:space="0" w:color="auto"/>
        <w:left w:val="none" w:sz="0" w:space="0" w:color="auto"/>
        <w:bottom w:val="none" w:sz="0" w:space="0" w:color="auto"/>
        <w:right w:val="none" w:sz="0" w:space="0" w:color="auto"/>
      </w:divBdr>
    </w:div>
    <w:div w:id="757479244">
      <w:bodyDiv w:val="1"/>
      <w:marLeft w:val="0"/>
      <w:marRight w:val="0"/>
      <w:marTop w:val="0"/>
      <w:marBottom w:val="0"/>
      <w:divBdr>
        <w:top w:val="none" w:sz="0" w:space="0" w:color="auto"/>
        <w:left w:val="none" w:sz="0" w:space="0" w:color="auto"/>
        <w:bottom w:val="none" w:sz="0" w:space="0" w:color="auto"/>
        <w:right w:val="none" w:sz="0" w:space="0" w:color="auto"/>
      </w:divBdr>
    </w:div>
    <w:div w:id="824707122">
      <w:bodyDiv w:val="1"/>
      <w:marLeft w:val="0"/>
      <w:marRight w:val="0"/>
      <w:marTop w:val="0"/>
      <w:marBottom w:val="0"/>
      <w:divBdr>
        <w:top w:val="none" w:sz="0" w:space="0" w:color="auto"/>
        <w:left w:val="none" w:sz="0" w:space="0" w:color="auto"/>
        <w:bottom w:val="none" w:sz="0" w:space="0" w:color="auto"/>
        <w:right w:val="none" w:sz="0" w:space="0" w:color="auto"/>
      </w:divBdr>
    </w:div>
    <w:div w:id="928730217">
      <w:bodyDiv w:val="1"/>
      <w:marLeft w:val="0"/>
      <w:marRight w:val="0"/>
      <w:marTop w:val="0"/>
      <w:marBottom w:val="0"/>
      <w:divBdr>
        <w:top w:val="none" w:sz="0" w:space="0" w:color="auto"/>
        <w:left w:val="none" w:sz="0" w:space="0" w:color="auto"/>
        <w:bottom w:val="none" w:sz="0" w:space="0" w:color="auto"/>
        <w:right w:val="none" w:sz="0" w:space="0" w:color="auto"/>
      </w:divBdr>
    </w:div>
    <w:div w:id="943345014">
      <w:bodyDiv w:val="1"/>
      <w:marLeft w:val="0"/>
      <w:marRight w:val="0"/>
      <w:marTop w:val="0"/>
      <w:marBottom w:val="0"/>
      <w:divBdr>
        <w:top w:val="none" w:sz="0" w:space="0" w:color="auto"/>
        <w:left w:val="none" w:sz="0" w:space="0" w:color="auto"/>
        <w:bottom w:val="none" w:sz="0" w:space="0" w:color="auto"/>
        <w:right w:val="none" w:sz="0" w:space="0" w:color="auto"/>
      </w:divBdr>
    </w:div>
    <w:div w:id="1057239509">
      <w:bodyDiv w:val="1"/>
      <w:marLeft w:val="0"/>
      <w:marRight w:val="0"/>
      <w:marTop w:val="0"/>
      <w:marBottom w:val="0"/>
      <w:divBdr>
        <w:top w:val="none" w:sz="0" w:space="0" w:color="auto"/>
        <w:left w:val="none" w:sz="0" w:space="0" w:color="auto"/>
        <w:bottom w:val="none" w:sz="0" w:space="0" w:color="auto"/>
        <w:right w:val="none" w:sz="0" w:space="0" w:color="auto"/>
      </w:divBdr>
    </w:div>
    <w:div w:id="1060593936">
      <w:bodyDiv w:val="1"/>
      <w:marLeft w:val="0"/>
      <w:marRight w:val="0"/>
      <w:marTop w:val="0"/>
      <w:marBottom w:val="0"/>
      <w:divBdr>
        <w:top w:val="none" w:sz="0" w:space="0" w:color="auto"/>
        <w:left w:val="none" w:sz="0" w:space="0" w:color="auto"/>
        <w:bottom w:val="none" w:sz="0" w:space="0" w:color="auto"/>
        <w:right w:val="none" w:sz="0" w:space="0" w:color="auto"/>
      </w:divBdr>
    </w:div>
    <w:div w:id="1151944607">
      <w:bodyDiv w:val="1"/>
      <w:marLeft w:val="0"/>
      <w:marRight w:val="0"/>
      <w:marTop w:val="0"/>
      <w:marBottom w:val="0"/>
      <w:divBdr>
        <w:top w:val="none" w:sz="0" w:space="0" w:color="auto"/>
        <w:left w:val="none" w:sz="0" w:space="0" w:color="auto"/>
        <w:bottom w:val="none" w:sz="0" w:space="0" w:color="auto"/>
        <w:right w:val="none" w:sz="0" w:space="0" w:color="auto"/>
      </w:divBdr>
    </w:div>
    <w:div w:id="1253008993">
      <w:bodyDiv w:val="1"/>
      <w:marLeft w:val="0"/>
      <w:marRight w:val="0"/>
      <w:marTop w:val="0"/>
      <w:marBottom w:val="0"/>
      <w:divBdr>
        <w:top w:val="none" w:sz="0" w:space="0" w:color="auto"/>
        <w:left w:val="none" w:sz="0" w:space="0" w:color="auto"/>
        <w:bottom w:val="none" w:sz="0" w:space="0" w:color="auto"/>
        <w:right w:val="none" w:sz="0" w:space="0" w:color="auto"/>
      </w:divBdr>
    </w:div>
    <w:div w:id="1299913552">
      <w:bodyDiv w:val="1"/>
      <w:marLeft w:val="0"/>
      <w:marRight w:val="0"/>
      <w:marTop w:val="0"/>
      <w:marBottom w:val="0"/>
      <w:divBdr>
        <w:top w:val="none" w:sz="0" w:space="0" w:color="auto"/>
        <w:left w:val="none" w:sz="0" w:space="0" w:color="auto"/>
        <w:bottom w:val="none" w:sz="0" w:space="0" w:color="auto"/>
        <w:right w:val="none" w:sz="0" w:space="0" w:color="auto"/>
      </w:divBdr>
    </w:div>
    <w:div w:id="1311982208">
      <w:bodyDiv w:val="1"/>
      <w:marLeft w:val="0"/>
      <w:marRight w:val="0"/>
      <w:marTop w:val="0"/>
      <w:marBottom w:val="0"/>
      <w:divBdr>
        <w:top w:val="none" w:sz="0" w:space="0" w:color="auto"/>
        <w:left w:val="none" w:sz="0" w:space="0" w:color="auto"/>
        <w:bottom w:val="none" w:sz="0" w:space="0" w:color="auto"/>
        <w:right w:val="none" w:sz="0" w:space="0" w:color="auto"/>
      </w:divBdr>
    </w:div>
    <w:div w:id="1378508168">
      <w:bodyDiv w:val="1"/>
      <w:marLeft w:val="0"/>
      <w:marRight w:val="0"/>
      <w:marTop w:val="0"/>
      <w:marBottom w:val="0"/>
      <w:divBdr>
        <w:top w:val="none" w:sz="0" w:space="0" w:color="auto"/>
        <w:left w:val="none" w:sz="0" w:space="0" w:color="auto"/>
        <w:bottom w:val="none" w:sz="0" w:space="0" w:color="auto"/>
        <w:right w:val="none" w:sz="0" w:space="0" w:color="auto"/>
      </w:divBdr>
    </w:div>
    <w:div w:id="1420179894">
      <w:bodyDiv w:val="1"/>
      <w:marLeft w:val="0"/>
      <w:marRight w:val="0"/>
      <w:marTop w:val="0"/>
      <w:marBottom w:val="0"/>
      <w:divBdr>
        <w:top w:val="none" w:sz="0" w:space="0" w:color="auto"/>
        <w:left w:val="none" w:sz="0" w:space="0" w:color="auto"/>
        <w:bottom w:val="none" w:sz="0" w:space="0" w:color="auto"/>
        <w:right w:val="none" w:sz="0" w:space="0" w:color="auto"/>
      </w:divBdr>
    </w:div>
    <w:div w:id="1425955633">
      <w:bodyDiv w:val="1"/>
      <w:marLeft w:val="0"/>
      <w:marRight w:val="0"/>
      <w:marTop w:val="0"/>
      <w:marBottom w:val="0"/>
      <w:divBdr>
        <w:top w:val="none" w:sz="0" w:space="0" w:color="auto"/>
        <w:left w:val="none" w:sz="0" w:space="0" w:color="auto"/>
        <w:bottom w:val="none" w:sz="0" w:space="0" w:color="auto"/>
        <w:right w:val="none" w:sz="0" w:space="0" w:color="auto"/>
      </w:divBdr>
    </w:div>
    <w:div w:id="1502889987">
      <w:bodyDiv w:val="1"/>
      <w:marLeft w:val="0"/>
      <w:marRight w:val="0"/>
      <w:marTop w:val="0"/>
      <w:marBottom w:val="0"/>
      <w:divBdr>
        <w:top w:val="none" w:sz="0" w:space="0" w:color="auto"/>
        <w:left w:val="none" w:sz="0" w:space="0" w:color="auto"/>
        <w:bottom w:val="none" w:sz="0" w:space="0" w:color="auto"/>
        <w:right w:val="none" w:sz="0" w:space="0" w:color="auto"/>
      </w:divBdr>
    </w:div>
    <w:div w:id="1510565297">
      <w:bodyDiv w:val="1"/>
      <w:marLeft w:val="0"/>
      <w:marRight w:val="0"/>
      <w:marTop w:val="0"/>
      <w:marBottom w:val="0"/>
      <w:divBdr>
        <w:top w:val="none" w:sz="0" w:space="0" w:color="auto"/>
        <w:left w:val="none" w:sz="0" w:space="0" w:color="auto"/>
        <w:bottom w:val="none" w:sz="0" w:space="0" w:color="auto"/>
        <w:right w:val="none" w:sz="0" w:space="0" w:color="auto"/>
      </w:divBdr>
    </w:div>
    <w:div w:id="1543053993">
      <w:bodyDiv w:val="1"/>
      <w:marLeft w:val="0"/>
      <w:marRight w:val="0"/>
      <w:marTop w:val="0"/>
      <w:marBottom w:val="0"/>
      <w:divBdr>
        <w:top w:val="none" w:sz="0" w:space="0" w:color="auto"/>
        <w:left w:val="none" w:sz="0" w:space="0" w:color="auto"/>
        <w:bottom w:val="none" w:sz="0" w:space="0" w:color="auto"/>
        <w:right w:val="none" w:sz="0" w:space="0" w:color="auto"/>
      </w:divBdr>
    </w:div>
    <w:div w:id="1654680393">
      <w:bodyDiv w:val="1"/>
      <w:marLeft w:val="0"/>
      <w:marRight w:val="0"/>
      <w:marTop w:val="0"/>
      <w:marBottom w:val="0"/>
      <w:divBdr>
        <w:top w:val="none" w:sz="0" w:space="0" w:color="auto"/>
        <w:left w:val="none" w:sz="0" w:space="0" w:color="auto"/>
        <w:bottom w:val="none" w:sz="0" w:space="0" w:color="auto"/>
        <w:right w:val="none" w:sz="0" w:space="0" w:color="auto"/>
      </w:divBdr>
    </w:div>
    <w:div w:id="1708067485">
      <w:bodyDiv w:val="1"/>
      <w:marLeft w:val="0"/>
      <w:marRight w:val="0"/>
      <w:marTop w:val="0"/>
      <w:marBottom w:val="0"/>
      <w:divBdr>
        <w:top w:val="none" w:sz="0" w:space="0" w:color="auto"/>
        <w:left w:val="none" w:sz="0" w:space="0" w:color="auto"/>
        <w:bottom w:val="none" w:sz="0" w:space="0" w:color="auto"/>
        <w:right w:val="none" w:sz="0" w:space="0" w:color="auto"/>
      </w:divBdr>
    </w:div>
    <w:div w:id="1709336975">
      <w:bodyDiv w:val="1"/>
      <w:marLeft w:val="0"/>
      <w:marRight w:val="0"/>
      <w:marTop w:val="0"/>
      <w:marBottom w:val="0"/>
      <w:divBdr>
        <w:top w:val="none" w:sz="0" w:space="0" w:color="auto"/>
        <w:left w:val="none" w:sz="0" w:space="0" w:color="auto"/>
        <w:bottom w:val="none" w:sz="0" w:space="0" w:color="auto"/>
        <w:right w:val="none" w:sz="0" w:space="0" w:color="auto"/>
      </w:divBdr>
    </w:div>
    <w:div w:id="1719207226">
      <w:bodyDiv w:val="1"/>
      <w:marLeft w:val="0"/>
      <w:marRight w:val="0"/>
      <w:marTop w:val="0"/>
      <w:marBottom w:val="0"/>
      <w:divBdr>
        <w:top w:val="none" w:sz="0" w:space="0" w:color="auto"/>
        <w:left w:val="none" w:sz="0" w:space="0" w:color="auto"/>
        <w:bottom w:val="none" w:sz="0" w:space="0" w:color="auto"/>
        <w:right w:val="none" w:sz="0" w:space="0" w:color="auto"/>
      </w:divBdr>
    </w:div>
    <w:div w:id="1726180939">
      <w:bodyDiv w:val="1"/>
      <w:marLeft w:val="0"/>
      <w:marRight w:val="0"/>
      <w:marTop w:val="0"/>
      <w:marBottom w:val="0"/>
      <w:divBdr>
        <w:top w:val="none" w:sz="0" w:space="0" w:color="auto"/>
        <w:left w:val="none" w:sz="0" w:space="0" w:color="auto"/>
        <w:bottom w:val="none" w:sz="0" w:space="0" w:color="auto"/>
        <w:right w:val="none" w:sz="0" w:space="0" w:color="auto"/>
      </w:divBdr>
    </w:div>
    <w:div w:id="1740514881">
      <w:bodyDiv w:val="1"/>
      <w:marLeft w:val="0"/>
      <w:marRight w:val="0"/>
      <w:marTop w:val="0"/>
      <w:marBottom w:val="0"/>
      <w:divBdr>
        <w:top w:val="none" w:sz="0" w:space="0" w:color="auto"/>
        <w:left w:val="none" w:sz="0" w:space="0" w:color="auto"/>
        <w:bottom w:val="none" w:sz="0" w:space="0" w:color="auto"/>
        <w:right w:val="none" w:sz="0" w:space="0" w:color="auto"/>
      </w:divBdr>
    </w:div>
    <w:div w:id="1794667513">
      <w:bodyDiv w:val="1"/>
      <w:marLeft w:val="0"/>
      <w:marRight w:val="0"/>
      <w:marTop w:val="0"/>
      <w:marBottom w:val="0"/>
      <w:divBdr>
        <w:top w:val="none" w:sz="0" w:space="0" w:color="auto"/>
        <w:left w:val="none" w:sz="0" w:space="0" w:color="auto"/>
        <w:bottom w:val="none" w:sz="0" w:space="0" w:color="auto"/>
        <w:right w:val="none" w:sz="0" w:space="0" w:color="auto"/>
      </w:divBdr>
    </w:div>
    <w:div w:id="1804734954">
      <w:bodyDiv w:val="1"/>
      <w:marLeft w:val="0"/>
      <w:marRight w:val="0"/>
      <w:marTop w:val="0"/>
      <w:marBottom w:val="0"/>
      <w:divBdr>
        <w:top w:val="none" w:sz="0" w:space="0" w:color="auto"/>
        <w:left w:val="none" w:sz="0" w:space="0" w:color="auto"/>
        <w:bottom w:val="none" w:sz="0" w:space="0" w:color="auto"/>
        <w:right w:val="none" w:sz="0" w:space="0" w:color="auto"/>
      </w:divBdr>
    </w:div>
    <w:div w:id="1835994563">
      <w:bodyDiv w:val="1"/>
      <w:marLeft w:val="0"/>
      <w:marRight w:val="0"/>
      <w:marTop w:val="0"/>
      <w:marBottom w:val="0"/>
      <w:divBdr>
        <w:top w:val="none" w:sz="0" w:space="0" w:color="auto"/>
        <w:left w:val="none" w:sz="0" w:space="0" w:color="auto"/>
        <w:bottom w:val="none" w:sz="0" w:space="0" w:color="auto"/>
        <w:right w:val="none" w:sz="0" w:space="0" w:color="auto"/>
      </w:divBdr>
    </w:div>
    <w:div w:id="1862930219">
      <w:bodyDiv w:val="1"/>
      <w:marLeft w:val="0"/>
      <w:marRight w:val="0"/>
      <w:marTop w:val="0"/>
      <w:marBottom w:val="0"/>
      <w:divBdr>
        <w:top w:val="none" w:sz="0" w:space="0" w:color="auto"/>
        <w:left w:val="none" w:sz="0" w:space="0" w:color="auto"/>
        <w:bottom w:val="none" w:sz="0" w:space="0" w:color="auto"/>
        <w:right w:val="none" w:sz="0" w:space="0" w:color="auto"/>
      </w:divBdr>
    </w:div>
    <w:div w:id="1913925194">
      <w:bodyDiv w:val="1"/>
      <w:marLeft w:val="0"/>
      <w:marRight w:val="0"/>
      <w:marTop w:val="0"/>
      <w:marBottom w:val="0"/>
      <w:divBdr>
        <w:top w:val="none" w:sz="0" w:space="0" w:color="auto"/>
        <w:left w:val="none" w:sz="0" w:space="0" w:color="auto"/>
        <w:bottom w:val="none" w:sz="0" w:space="0" w:color="auto"/>
        <w:right w:val="none" w:sz="0" w:space="0" w:color="auto"/>
      </w:divBdr>
    </w:div>
    <w:div w:id="1989549842">
      <w:bodyDiv w:val="1"/>
      <w:marLeft w:val="0"/>
      <w:marRight w:val="0"/>
      <w:marTop w:val="0"/>
      <w:marBottom w:val="0"/>
      <w:divBdr>
        <w:top w:val="none" w:sz="0" w:space="0" w:color="auto"/>
        <w:left w:val="none" w:sz="0" w:space="0" w:color="auto"/>
        <w:bottom w:val="none" w:sz="0" w:space="0" w:color="auto"/>
        <w:right w:val="none" w:sz="0" w:space="0" w:color="auto"/>
      </w:divBdr>
    </w:div>
    <w:div w:id="2010137767">
      <w:bodyDiv w:val="1"/>
      <w:marLeft w:val="0"/>
      <w:marRight w:val="0"/>
      <w:marTop w:val="0"/>
      <w:marBottom w:val="0"/>
      <w:divBdr>
        <w:top w:val="none" w:sz="0" w:space="0" w:color="auto"/>
        <w:left w:val="none" w:sz="0" w:space="0" w:color="auto"/>
        <w:bottom w:val="none" w:sz="0" w:space="0" w:color="auto"/>
        <w:right w:val="none" w:sz="0" w:space="0" w:color="auto"/>
      </w:divBdr>
    </w:div>
    <w:div w:id="2117292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406082E0498444C8F916B21305477E3"/>
        <w:category>
          <w:name w:val="General"/>
          <w:gallery w:val="placeholder"/>
        </w:category>
        <w:types>
          <w:type w:val="bbPlcHdr"/>
        </w:types>
        <w:behaviors>
          <w:behavior w:val="content"/>
        </w:behaviors>
        <w:guid w:val="{07A32EBE-B8E0-48E4-84A3-51723C61D241}"/>
      </w:docPartPr>
      <w:docPartBody>
        <w:p w:rsidR="0042073C" w:rsidRDefault="0042073C" w:rsidP="0042073C">
          <w:pPr>
            <w:pStyle w:val="1406082E0498444C8F916B21305477E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73C"/>
    <w:rsid w:val="0042073C"/>
    <w:rsid w:val="009770DF"/>
    <w:rsid w:val="00EF7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06082E0498444C8F916B21305477E3">
    <w:name w:val="1406082E0498444C8F916B21305477E3"/>
    <w:rsid w:val="004207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number: 1704505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CDC16</b:Tag>
    <b:SourceType>InternetSite</b:SourceType>
    <b:Guid>{6ABA71B8-B222-405A-BC03-97B6BDB4BF2F}</b:Guid>
    <b:Author>
      <b:Author>
        <b:NameList>
          <b:Person>
            <b:Last>CDC</b:Last>
          </b:Person>
        </b:NameList>
      </b:Author>
    </b:Author>
    <b:Title>Centre for disease control and prevention</b:Title>
    <b:Year>2016</b:Year>
    <b:YearAccessed>2020</b:YearAccessed>
    <b:MonthAccessed>November</b:MonthAccessed>
    <b:DayAccessed>27</b:DayAccessed>
    <b:URL>https://www.cdc.gov/flu/pandemic-resources/monitoring/index.html</b:URL>
    <b:RefOrder>1</b:RefOrder>
  </b:Source>
  <b:Source>
    <b:Tag>NHS20</b:Tag>
    <b:SourceType>InternetSite</b:SourceType>
    <b:Guid>{72F62846-F820-46CA-A405-E32B057DFAC6}</b:Guid>
    <b:Author>
      <b:Author>
        <b:NameList>
          <b:Person>
            <b:Last>Wales</b:Last>
            <b:First>NHS</b:First>
          </b:Person>
        </b:NameList>
      </b:Author>
    </b:Author>
    <b:Title>NHS Wales</b:Title>
    <b:Year>2020</b:Year>
    <b:YearAccessed>2020</b:YearAccessed>
    <b:MonthAccessed>November</b:MonthAccessed>
    <b:DayAccessed>27</b:DayAccessed>
    <b:URL>http://www.wales.nhs.uk/sites3/page.cfm?orgid=457&amp;pid=34338</b:URL>
    <b:RefOrder>4</b:RefOrder>
  </b:Source>
  <b:Source>
    <b:Tag>Lei18</b:Tag>
    <b:SourceType>JournalArticle</b:SourceType>
    <b:Guid>{B0D69C70-8614-4D27-AE3C-CD6375F7A00C}</b:Guid>
    <b:Author>
      <b:Author>
        <b:NameList>
          <b:Person>
            <b:Last>Lei Deng</b:Last>
            <b:First>Teena</b:First>
            <b:Middle>Mohan, Timothy Z. Chang, Gilbert X. Gonzalez, Ye Wang, Young-Man Kwon, Sang-Moo Kang, Richard W. Compans, Julie A. Champion &amp; Bao-Zhong Wang</b:Middle>
          </b:Person>
        </b:NameList>
      </b:Author>
    </b:Author>
    <b:Title>Double-layered protein nanoparticles induce broad protection against divergent influenza A viruses</b:Title>
    <b:Year>2018</b:Year>
    <b:JournalName>Nature communications</b:JournalName>
    <b:Volume>9</b:Volume>
    <b:Issue>359</b:Issue>
    <b:RefOrder>5</b:RefOrder>
  </b:Source>
  <b:Source>
    <b:Tag>Cia20</b:Tag>
    <b:SourceType>JournalArticle</b:SourceType>
    <b:Guid>{EFF40374-23CE-45EE-8369-A1646236CD14}</b:Guid>
    <b:Author>
      <b:Author>
        <b:NameList>
          <b:Person>
            <b:Last>Cianci</b:Last>
            <b:First>R.,</b:First>
            <b:Middle>Newton, E.E. and Pagliari, D</b:Middle>
          </b:Person>
        </b:NameList>
      </b:Author>
    </b:Author>
    <b:Title> Efforts to Improve the Seasonal Influenza Vaccine.</b:Title>
    <b:JournalName>Vaccines</b:JournalName>
    <b:Year>2020</b:Year>
    <b:Pages>645</b:Pages>
    <b:Volume>8</b:Volume>
    <b:Issue>4</b:Issue>
    <b:RefOrder>6</b:RefOrder>
  </b:Source>
  <b:Source>
    <b:Tag>Tri19</b:Tag>
    <b:SourceType>JournalArticle</b:SourceType>
    <b:Guid>{B575F273-5AAB-440D-A454-D2B5AA0501DE}</b:Guid>
    <b:Title>Understanding the Limitations of Current Influenza Vaccine Strategies and Future Development of More Efficacious Preventative and Therapeutic Interventions.</b:Title>
    <b:JournalName>Frontiers in Immunology</b:JournalName>
    <b:Year>2019</b:Year>
    <b:Pages>2804</b:Pages>
    <b:Volume>10</b:Volume>
    <b:Author>
      <b:Author>
        <b:NameList>
          <b:Person>
            <b:Last>Tripp</b:Last>
            <b:First>R.A.,</b:First>
            <b:Middle>Bakre, A.A. and Stambas, J.</b:Middle>
          </b:Person>
        </b:NameList>
      </b:Author>
    </b:Author>
    <b:RefOrder>7</b:RefOrder>
  </b:Source>
  <b:Source>
    <b:Tag>Iul18</b:Tag>
    <b:SourceType>JournalArticle</b:SourceType>
    <b:Guid>{91FE0A22-FD7B-4420-B29C-81458EC174A4}</b:Guid>
    <b:Author>
      <b:Author>
        <b:NameList>
          <b:Person>
            <b:Last>Iuliano</b:Last>
            <b:First>A.D.,</b:First>
            <b:Middle>Roguski, K.M., Chang, H.H., Muscatello, D.J., Palekar, R., Tempia, S., Cohen, C., Gran, J.M., Schanzer, D., Cowling, B.J. and Wu, P.,</b:Middle>
          </b:Person>
        </b:NameList>
      </b:Author>
    </b:Author>
    <b:Title>Estimates of global seasonal influenza-associated respiratory mortality: a modelling study.</b:Title>
    <b:JournalName>The Lancet</b:JournalName>
    <b:Year>2018</b:Year>
    <b:Pages>1285-1300</b:Pages>
    <b:Volume>391</b:Volume>
    <b:Issue>10127</b:Issue>
    <b:RefOrder>8</b:RefOrder>
  </b:Source>
  <b:Source>
    <b:Tag>Wor20</b:Tag>
    <b:SourceType>Report</b:SourceType>
    <b:Guid>{C46A4791-B8F8-4F47-A159-A72F8969FD2A}</b:Guid>
    <b:Title>Seasonal influenza vaccines: an overview for decision-makers.</b:Title>
    <b:Year>2020</b:Year>
    <b:Author>
      <b:Author>
        <b:NameList>
          <b:Person>
            <b:Last>Organisation</b:Last>
            <b:First>World</b:First>
            <b:Middle>Health</b:Middle>
          </b:Person>
        </b:NameList>
      </b:Author>
    </b:Author>
    <b:City>Geneva</b:City>
    <b:RefOrder>9</b:RefOrder>
  </b:Source>
  <b:Source>
    <b:Tag>Pav18</b:Tag>
    <b:SourceType>DocumentFromInternetSite</b:SourceType>
    <b:Guid>{8B9D0AD7-6898-436A-86E7-FCEEAAB0BF86}</b:Guid>
    <b:Title>Univadis</b:Title>
    <b:Year>2018</b:Year>
    <b:Author>
      <b:Author>
        <b:NameList>
          <b:Person>
            <b:Last>Kamat</b:Last>
            <b:First>Pavankumar</b:First>
          </b:Person>
        </b:NameList>
      </b:Author>
    </b:Author>
    <b:Month>October</b:Month>
    <b:Day>3</b:Day>
    <b:YearAccessed>2020</b:YearAccessed>
    <b:MonthAccessed>November</b:MonthAccessed>
    <b:DayAccessed>27</b:DayAccessed>
    <b:URL>https://www.univadis.co.uk/viewarticle/annual-beat-flu-campaign-launched-in-wales-632833</b:URL>
    <b:RefOrder>2</b:RefOrder>
  </b:Source>
  <b:Source>
    <b:Tag>Ken17</b:Tag>
    <b:SourceType>JournalArticle</b:SourceType>
    <b:Guid>{15838AF4-5F80-4AC1-A424-F3F7A9C0CE5B}</b:Guid>
    <b:Title>A social-cognitive approach to understanding gender differences in negotiator ethics: The role of moral identity.</b:Title>
    <b:Year>2017</b:Year>
    <b:Author>
      <b:Author>
        <b:NameList>
          <b:Person>
            <b:Last>Kennedy</b:Last>
            <b:First>J.A.,</b:First>
            <b:Middle>Kray, L.J. and Ku, G.,</b:Middle>
          </b:Person>
        </b:NameList>
      </b:Author>
    </b:Author>
    <b:JournalName>Organizational Behavior and Human Decision Processes</b:JournalName>
    <b:Pages>28-44</b:Pages>
    <b:Volume>138</b:Volume>
    <b:RefOrder>10</b:RefOrder>
  </b:Source>
  <b:Source>
    <b:Tag>Eld99</b:Tag>
    <b:SourceType>JournalArticle</b:SourceType>
    <b:Guid>{B2E4FE4A-4556-4719-9BF7-BD72076A1BB7}</b:Guid>
    <b:Author>
      <b:Author>
        <b:NameList>
          <b:Person>
            <b:Last>Elder</b:Last>
            <b:First>J.P.,</b:First>
            <b:Middle>Ayala, G.X. and Harris, S.,</b:Middle>
          </b:Person>
        </b:NameList>
      </b:Author>
    </b:Author>
    <b:Title>Theories and intervention approaches to health-behavior change in primary care</b:Title>
    <b:JournalName>American journal of preventive medicine</b:JournalName>
    <b:Year>1999</b:Year>
    <b:Pages>275-284</b:Pages>
    <b:Volume>14</b:Volume>
    <b:Issue>4</b:Issue>
    <b:RefOrder>11</b:RefOrder>
  </b:Source>
  <b:Source>
    <b:Tag>Bow051</b:Tag>
    <b:SourceType>JournalArticle</b:SourceType>
    <b:Guid>{3A3E7FDE-5738-4918-99FA-A2E981471AE0}</b:Guid>
    <b:Title>Mode of questionnaire administration can have serious effects on data quality.</b:Title>
    <b:Year>2005</b:Year>
    <b:Author>
      <b:Author>
        <b:NameList>
          <b:Person>
            <b:Last>Bowling</b:Last>
            <b:First>A.,</b:First>
          </b:Person>
        </b:NameList>
      </b:Author>
    </b:Author>
    <b:Publisher>Journal of public health</b:Publisher>
    <b:JournalName>Journal of public health,</b:JournalName>
    <b:Pages>281-291</b:Pages>
    <b:Volume>27</b:Volume>
    <b:Issue>3</b:Issue>
    <b:RefOrder>12</b:RefOrder>
  </b:Source>
  <b:Source>
    <b:Tag>Agu93</b:Tag>
    <b:SourceType>JournalArticle</b:SourceType>
    <b:Guid>{8ADAAA06-D875-4EA0-ADF6-65305B114797}</b:Guid>
    <b:Author>
      <b:Author>
        <b:NameList>
          <b:Person>
            <b:Last>Aguinis</b:Last>
            <b:First>H.,</b:First>
            <b:Middle>Pierce, C. A., &amp; Quigley, B. M.</b:Middle>
          </b:Person>
        </b:NameList>
      </b:Author>
    </b:Author>
    <b:Title>Conditions under which a bogus pipeline procedure enhances the validity of self-reported cigarette-smoking: A meta-analytic review. </b:Title>
    <b:JournalName>Journal of Applied Social Psychology</b:JournalName>
    <b:Year>1993</b:Year>
    <b:Pages>352–373</b:Pages>
    <b:Volume>23</b:Volume>
    <b:Issue>5</b:Issue>
    <b:RefOrder>13</b:RefOrder>
  </b:Source>
  <b:Source>
    <b:Tag>Ayl13</b:Tag>
    <b:SourceType>Report</b:SourceType>
    <b:Guid>{46EF29F8-447A-4D65-BFFA-3FA3DDD10119}</b:Guid>
    <b:Title> Simply Prudent Healthcare–achieving better care and value for money in Wales–discussion paper.</b:Title>
    <b:Year>2013</b:Year>
    <b:Author>
      <b:Author>
        <b:NameList>
          <b:Person>
            <b:Last>Aylward</b:Last>
            <b:First>M.,</b:First>
            <b:Middle>Phillips, C. and Howson, H.,</b:Middle>
          </b:Person>
        </b:NameList>
      </b:Author>
    </b:Author>
    <b:Publisher>The Bevan commission</b:Publisher>
    <b:City>Cardiff</b:City>
    <b:RefOrder>14</b:RefOrder>
  </b:Source>
  <b:Source>
    <b:Tag>10014</b:Tag>
    <b:SourceType>Report</b:SourceType>
    <b:Guid>{E6CA9855-F044-4051-B706-BF80CAB96DB3}</b:Guid>
    <b:Author>
      <b:Author>
        <b:NameList>
          <b:Person>
            <b:Last>improvement</b:Last>
            <b:First>1000</b:First>
            <b:Middle>Lives</b:Middle>
          </b:Person>
        </b:NameList>
      </b:Author>
    </b:Author>
    <b:Title> The Quality Improvement Guide: The Improving Quality Together </b:Title>
    <b:Year>2014</b:Year>
    <b:Publisher> 1000 Lives Improvement</b:Publisher>
    <b:City>Cardiff</b:City>
    <b:RefOrder>15</b:RefOrder>
  </b:Source>
  <b:Source>
    <b:Tag>Wel15</b:Tag>
    <b:SourceType>DocumentFromInternetSite</b:SourceType>
    <b:Guid>{DF303893-BC06-420F-9AFA-7CC469D28733}</b:Guid>
    <b:Title>Future Generations Wales</b:Title>
    <b:Year>2015</b:Year>
    <b:Author>
      <b:Author>
        <b:NameList>
          <b:Person>
            <b:Last>Goverment</b:Last>
            <b:First>Welsh</b:First>
          </b:Person>
        </b:NameList>
      </b:Author>
    </b:Author>
    <b:Month>May</b:Month>
    <b:Day>2</b:Day>
    <b:YearAccessed>2020</b:YearAccessed>
    <b:MonthAccessed>November</b:MonthAccessed>
    <b:DayAccessed>29</b:DayAccessed>
    <b:URL>https://www.futuregenerations.wales/wp-content/uploads/2017/02/150623-guide-to-the-fg-act-en.pdf</b:URL>
    <b:RefOrder>16</b:RefOrder>
  </b:Source>
  <b:Source>
    <b:Tag>Cli19</b:Tag>
    <b:SourceType>JournalArticle</b:SourceType>
    <b:Guid>{A45BE27F-5B4C-4135-B37A-DF1B7179F9AC}</b:Guid>
    <b:Title>Theorising community participation: successful concept or empty buzzword?</b:Title>
    <b:Year>2019</b:Year>
    <b:Author>
      <b:Author>
        <b:NameList>
          <b:Person>
            <b:Last>Clifford-Simplican</b:Last>
            <b:First>S.,</b:First>
          </b:Person>
        </b:NameList>
      </b:Author>
    </b:Author>
    <b:JournalName>Research and Practice in Intellectual and Developmental Disabilities</b:JournalName>
    <b:Pages>116-124</b:Pages>
    <b:Volume>6</b:Volume>
    <b:Issue>2</b:Issue>
    <b:RefOrder>17</b:RefOrder>
  </b:Source>
  <b:Source>
    <b:Tag>Cam20</b:Tag>
    <b:SourceType>InternetSite</b:SourceType>
    <b:Guid>{019E03AA-0FC6-431C-9992-FAB778D9C677}</b:Guid>
    <b:Title>Cambridge Dictionary</b:Title>
    <b:Year>2020</b:Year>
    <b:Author>
      <b:Author>
        <b:NameList>
          <b:Person>
            <b:Last>Press</b:Last>
            <b:First>Cambridge</b:First>
            <b:Middle>University</b:Middle>
          </b:Person>
        </b:NameList>
      </b:Author>
    </b:Author>
    <b:YearAccessed>2020</b:YearAccessed>
    <b:MonthAccessed>November</b:MonthAccessed>
    <b:DayAccessed>29</b:DayAccessed>
    <b:URL>https://dictionary.cambridge.org/dictionary/english/characteristic</b:URL>
    <b:RefOrder>18</b:RefOrder>
  </b:Source>
  <b:Source>
    <b:Tag>Hod17</b:Tag>
    <b:SourceType>JournalArticle</b:SourceType>
    <b:Guid>{D1DDDB8F-5105-4A20-9045-A4A2153D4CA1}</b:Guid>
    <b:Title>Effect of mass paediatric influenza vaccination on existing influenza vaccination programmes in England and Wales: a modelling and cost-effectiveness analysis.</b:Title>
    <b:Year>2017</b:Year>
    <b:Author>
      <b:Author>
        <b:NameList>
          <b:Person>
            <b:Last>Hodgson</b:Last>
            <b:First>D.,</b:First>
            <b:Middle>Baguelin, M., van Leeuwen, E., Panovska-Griffiths, J., Ramsay, M., Pebody, R. and Atkins, K.E.,</b:Middle>
          </b:Person>
        </b:NameList>
      </b:Author>
    </b:Author>
    <b:JournalName>The lancet Public health</b:JournalName>
    <b:Pages>74-81</b:Pages>
    <b:Volume>2</b:Volume>
    <b:Issue>2</b:Issue>
    <b:RefOrder>19</b:RefOrder>
  </b:Source>
  <b:Source>
    <b:Tag>Eva16</b:Tag>
    <b:SourceType>JournalArticle</b:SourceType>
    <b:Guid>{21145E10-BF55-4CD9-89F0-3632413B504E}</b:Guid>
    <b:Author>
      <b:Author>
        <b:NameList>
          <b:Person>
            <b:Last>Evans</b:Last>
            <b:First>A.M.,</b:First>
            <b:Middle>Wood, F.C. and Carter, B.</b:Middle>
          </b:Person>
        </b:NameList>
      </b:Author>
    </b:Author>
    <b:Title>National community pharmacy NHS influenza vaccination service in Wales: a primary care mixed methods study</b:Title>
    <b:JournalName>British Journal of General Practice,</b:JournalName>
    <b:Year>2016</b:Year>
    <b:Pages>248-257</b:Pages>
    <b:Volume>66</b:Volume>
    <b:Issue>645</b:Issue>
    <b:RefOrder>20</b:RefOrder>
  </b:Source>
  <b:Source>
    <b:Tag>Ahm18</b:Tag>
    <b:SourceType>JournalArticle</b:SourceType>
    <b:Guid>{A137E22D-4A55-4D27-AED3-53581694C80D}</b:Guid>
    <b:Author>
      <b:Author>
        <b:NameList>
          <b:Person>
            <b:Last>Ahmadi-Abhari</b:Last>
            <b:First>S.,</b:First>
            <b:Middle>Bandosz, P., Guzman-Castillo, M., Shipley, M., O’Flaherty, M. and Brunner, E.,</b:Middle>
          </b:Person>
        </b:NameList>
      </b:Author>
    </b:Author>
    <b:Title>Impact of changes in tobacco smoking prevalence on death, dementia and disability in England and Wales, 2017–2040: A modelling study.</b:Title>
    <b:JournalName>Revue d'Épidémiologie et de Santé Publique,</b:JournalName>
    <b:Year>2018</b:Year>
    <b:Pages>236-237</b:Pages>
    <b:Volume>66</b:Volume>
    <b:Issue>5</b:Issue>
    <b:RefOrder>21</b:RefOrder>
  </b:Source>
  <b:Source>
    <b:Tag>Gla18</b:Tag>
    <b:SourceType>JournalArticle</b:SourceType>
    <b:Guid>{CDAF8EB7-D8CC-4641-8118-9EE91ED957B6}</b:Guid>
    <b:Author>
      <b:Author>
        <b:NameList>
          <b:Person>
            <b:Last>Glantz</b:Last>
            <b:First>S.A.</b:First>
            <b:Middle>and Bareham, D.W.,</b:Middle>
          </b:Person>
        </b:NameList>
      </b:Author>
    </b:Author>
    <b:Title> E-cigarettes: use, effects on smoking, risks, and policy implications</b:Title>
    <b:JournalName>Annual review of public health</b:JournalName>
    <b:Year>2018</b:Year>
    <b:Pages>215-235</b:Pages>
    <b:Volume>39</b:Volume>
    <b:RefOrder>22</b:RefOrder>
  </b:Source>
  <b:Source>
    <b:Tag>Eva161</b:Tag>
    <b:SourceType>JournalArticle</b:SourceType>
    <b:Guid>{7841A2C2-3F51-4F2E-A425-88336F8836A7}</b:Guid>
    <b:Author>
      <b:Author>
        <b:NameList>
          <b:Person>
            <b:Last>Evans</b:Last>
            <b:First>A.M.,</b:First>
            <b:Middle>Wood, F.C. and Carter, B.,</b:Middle>
          </b:Person>
        </b:NameList>
      </b:Author>
    </b:Author>
    <b:Title>National community pharmacy NHS influenza vaccination service in Wales: a primary care mixed methods study.</b:Title>
    <b:JournalName>British Journal of General Practice</b:JournalName>
    <b:Year>2016</b:Year>
    <b:Pages>248-257.</b:Pages>
    <b:Volume>66</b:Volume>
    <b:Issue>645</b:Issue>
    <b:RefOrder>23</b:RefOrder>
  </b:Source>
  <b:Source>
    <b:Tag>Geo18</b:Tag>
    <b:SourceType>Report</b:SourceType>
    <b:Guid>{68ABACF1-0BC7-4C65-9D98-8AB855442955}</b:Guid>
    <b:Title>An independent review of the provision of smoking cessation services in Wales</b:Title>
    <b:Year>2018</b:Year>
    <b:Author>
      <b:Author>
        <b:NameList>
          <b:Person>
            <b:Last>George</b:Last>
            <b:First>E.,</b:First>
            <b:Middle>Tomlinson, A., Scholey, V., Williams, J.E. and Griffiths, J.,</b:Middle>
          </b:Person>
        </b:NameList>
      </b:Author>
    </b:Author>
    <b:Publisher>Welsh Government</b:Publisher>
    <b:City>Cardiff</b:City>
    <b:RefOrder>24</b:RefOrder>
  </b:Source>
  <b:Source>
    <b:Tag>Woo20</b:Tag>
    <b:SourceType>JournalArticle</b:SourceType>
    <b:Guid>{A05FDAEA-1AEA-47D7-B8FF-401283164B3C}</b:Guid>
    <b:Title>Promoting health and well-being in prisons: an analysis of one year’s prison inspection reports.</b:Title>
    <b:Year>2020</b:Year>
    <b:Author>
      <b:Author>
        <b:NameList>
          <b:Person>
            <b:Last>Woodall</b:Last>
            <b:First>J.</b:First>
            <b:Middle>and Freeman, C.,</b:Middle>
          </b:Person>
        </b:NameList>
      </b:Author>
    </b:Author>
    <b:JournalName>Critical Public Health</b:JournalName>
    <b:Pages>555-556</b:Pages>
    <b:Volume>30</b:Volume>
    <b:Issue>5</b:Issue>
    <b:RefOrder>25</b:RefOrder>
  </b:Source>
  <b:Source>
    <b:Tag>NHS17</b:Tag>
    <b:SourceType>InternetSite</b:SourceType>
    <b:Guid>{F6DCB341-CEE0-40AA-B760-C35FCE087D65}</b:Guid>
    <b:Title>NHS Wales</b:Title>
    <b:Year>2017</b:Year>
    <b:Author>
      <b:Author>
        <b:NameList>
          <b:Person>
            <b:Last>Wales</b:Last>
            <b:First>NHS</b:First>
          </b:Person>
        </b:NameList>
      </b:Author>
    </b:Author>
    <b:YearAccessed>2020</b:YearAccessed>
    <b:MonthAccessed>November</b:MonthAccessed>
    <b:DayAccessed>29</b:DayAccessed>
    <b:URL>https://www.wales.nhs.uk/healthtopics/lifestyles/smoking</b:URL>
    <b:RefOrder>26</b:RefOrder>
  </b:Source>
  <b:Source>
    <b:Tag>Wen18</b:Tag>
    <b:SourceType>JournalArticle</b:SourceType>
    <b:Guid>{A274D0C6-9CFD-456A-B769-68976A5165E4}</b:Guid>
    <b:Title>Self-Swabbing for Virological Confirmation of Influenza-Like Illness Among an Internet-Based Cohort in the UK During the 2014-2015 Flu Season: Pilot Study. </b:Title>
    <b:Year>2018</b:Year>
    <b:Author>
      <b:Author>
        <b:NameList>
          <b:Person>
            <b:Last>Wenham</b:Last>
            <b:First>C.,</b:First>
            <b:Middle>Gray, E.R., Keane, C.E., Donati, M., Paolotti, D., Pebody, R., Fragaszy, E., McKendry, R.A. and Edmunds, W.J.,</b:Middle>
          </b:Person>
        </b:NameList>
      </b:Author>
    </b:Author>
    <b:JournalName>Journal of medical Internet research</b:JournalName>
    <b:Pages>71</b:Pages>
    <b:Volume>20</b:Volume>
    <b:Issue>3</b:Issue>
    <b:RefOrder>27</b:RefOrder>
  </b:Source>
  <b:Source>
    <b:Tag>Gre20</b:Tag>
    <b:SourceType>JournalArticle</b:SourceType>
    <b:Guid>{D5C48050-3F3D-4330-B73D-B0048C882569}</b:Guid>
    <b:Author>
      <b:Author>
        <b:NameList>
          <b:Person>
            <b:Last>Green</b:Last>
            <b:First>E.C.,</b:First>
            <b:Middle>Murphy, E.M. and Gryboski, K.,</b:Middle>
          </b:Person>
        </b:NameList>
      </b:Author>
    </b:Author>
    <b:Title>The Health Belief Model. </b:Title>
    <b:JournalName>The Wiley Encyclopedia of Health Psychology,</b:JournalName>
    <b:Year>2020</b:Year>
    <b:Pages>211-214.</b:Pages>
    <b:RefOrder>28</b:RefOrder>
  </b:Source>
  <b:Source>
    <b:Tag>Sul18</b:Tag>
    <b:SourceType>JournalArticle</b:SourceType>
    <b:Guid>{1CE984EC-1188-427B-9362-7D428DA29DD6}</b:Guid>
    <b:Author>
      <b:Author>
        <b:NameList>
          <b:Person>
            <b:Last>Sulat</b:Last>
            <b:First>J.S.,</b:First>
            <b:Middle>Prabandari, Y.S., Sanusi, R., Hapsari, E.D. and Santoso, B.,</b:Middle>
          </b:Person>
        </b:NameList>
      </b:Author>
    </b:Author>
    <b:Title>The validity of health belief model variables in predicting behavioral change.</b:Title>
    <b:JournalName>Health Education</b:JournalName>
    <b:Year>2018</b:Year>
    <b:Volume>118</b:Volume>
    <b:Issue>6</b:Issue>
    <b:RefOrder>29</b:RefOrder>
  </b:Source>
  <b:Source>
    <b:Tag>NHS201</b:Tag>
    <b:SourceType>InternetSite</b:SourceType>
    <b:Guid>{B1F263D8-4841-4D34-A06F-653229D85D02}</b:Guid>
    <b:Title>NHS Wales</b:Title>
    <b:Year>2020</b:Year>
    <b:Author>
      <b:Author>
        <b:NameList>
          <b:Person>
            <b:Last>Wales</b:Last>
            <b:First>NHS</b:First>
          </b:Person>
        </b:NameList>
      </b:Author>
    </b:Author>
    <b:YearAccessed>2020</b:YearAccessed>
    <b:MonthAccessed>November</b:MonthAccessed>
    <b:DayAccessed>28</b:DayAccessed>
    <b:URL>http://www.wales.nhs.uk/sites3/page.cfm?orgid=457&amp;pid=34338</b:URL>
    <b:RefOrder>30</b:RefOrder>
  </b:Source>
  <b:Source>
    <b:Tag>Bro18</b:Tag>
    <b:SourceType>JournalArticle</b:SourceType>
    <b:Guid>{088E182F-1179-4C2A-859B-B61C9B28D24F}</b:Guid>
    <b:Title>The fraction of cancer attributable to modifiable risk factors in England, Wales, Scotland, Northern Ireland, and the United Kingdom in 2015.</b:Title>
    <b:Year>2018</b:Year>
    <b:Author>
      <b:Author>
        <b:NameList>
          <b:Person>
            <b:Last>Brown</b:Last>
            <b:First>K.F.,</b:First>
            <b:Middle>Rumgay, H., Dunlop, C., Ryan, M., Quartly, F., Cox, A., Deas, A., Elliss-Brookes, L., Gavin, A., Hounsome, L. and Huws, D.,</b:Middle>
          </b:Person>
        </b:NameList>
      </b:Author>
    </b:Author>
    <b:JournalName>British journal of cancer</b:JournalName>
    <b:Pages>1130-1141.</b:Pages>
    <b:Volume>118</b:Volume>
    <b:Issue>8</b:Issue>
    <b:RefOrder>31</b:RefOrder>
  </b:Source>
  <b:Source>
    <b:Tag>Cia19</b:Tag>
    <b:SourceType>JournalArticle</b:SourceType>
    <b:Guid>{F7D4902A-F3D3-4B74-8C59-3A21D0EF0CBA}</b:Guid>
    <b:Author>
      <b:Author>
        <b:NameList>
          <b:Person>
            <b:Last>Ciaffi</b:Last>
            <b:First>D.,</b:First>
          </b:Person>
        </b:NameList>
      </b:Author>
    </b:Author>
    <b:Title>Sharing the Commons as a'New Top'of Arnstein's Ladder of Participation</b:Title>
    <b:JournalName>Built Environment</b:JournalName>
    <b:Year>2019</b:Year>
    <b:Pages>162-172</b:Pages>
    <b:Volume>45</b:Volume>
    <b:Issue>2</b:Issue>
    <b:RefOrder>3</b:RefOrder>
  </b:Source>
  <b:Source>
    <b:Tag>Bea20</b:Tag>
    <b:SourceType>JournalArticle</b:SourceType>
    <b:Guid>{DE0366F7-0EF6-462A-AD37-0BF44380F08A}</b:Guid>
    <b:Author>
      <b:Author>
        <b:NameList>
          <b:Person>
            <b:Last>Beard</b:Last>
            <b:First>E.,</b:First>
            <b:Middle>West, R., Michie, S. and Brown, J.,</b:Middle>
          </b:Person>
        </b:NameList>
      </b:Author>
    </b:Author>
    <b:Title>Association of prevalence of electronic cigarette use with smoking cessation and cigarette consumption in England: a time–series analysis between 2006 and 2017.</b:Title>
    <b:JournalName>Addiction</b:JournalName>
    <b:Year>2020</b:Year>
    <b:Pages>961-974.</b:Pages>
    <b:Volume>115</b:Volume>
    <b:Issue>5</b:Issue>
    <b:RefOrder>32</b:RefOrder>
  </b:Source>
  <b:Source>
    <b:Tag>Wil16</b:Tag>
    <b:SourceType>JournalArticle</b:SourceType>
    <b:Guid>{0DC1DFF1-A2DE-4213-9DBC-508489C042C5}</b:Guid>
    <b:Author>
      <b:Author>
        <b:NameList>
          <b:Person>
            <b:Last>Wilson</b:Last>
            <b:First>N.</b:First>
            <b:Middle>and Soni, A.,</b:Middle>
          </b:Person>
        </b:NameList>
      </b:Author>
    </b:Author>
    <b:Title>Interprofessional working: a spearhead opportunity for dentistry and pharmacy</b:Title>
    <b:JournalName>British dental journal</b:JournalName>
    <b:Year>2016</b:Year>
    <b:Pages>607-608.</b:Pages>
    <b:Volume>221</b:Volume>
    <b:Issue>10</b:Issue>
    <b:RefOrder>33</b:RefOrder>
  </b:Source>
  <b:Source>
    <b:Tag>Hol19</b:Tag>
    <b:SourceType>JournalArticle</b:SourceType>
    <b:Guid>{2A9E3238-5C6C-4882-871A-A5B70BF6E5DD}</b:Guid>
    <b:Author>
      <b:Author>
        <b:NameList>
          <b:Person>
            <b:Last>Hollebeek</b:Last>
            <b:First>L.D.</b:First>
            <b:Middle>and Macky, K.,</b:Middle>
          </b:Person>
        </b:NameList>
      </b:Author>
    </b:Author>
    <b:Title> Digital content marketing's role in fostering consumer engagement, trust, and value: Framework, fundamental propositions, and implications.</b:Title>
    <b:JournalName>Journal of Interactive Marketing</b:JournalName>
    <b:Year>2019</b:Year>
    <b:Pages>27-41</b:Pages>
    <b:Volume>45</b:Volume>
    <b:RefOrder>34</b:RefOrder>
  </b:Source>
  <b:Source>
    <b:Tag>Bor17</b:Tag>
    <b:SourceType>JournalArticle</b:SourceType>
    <b:Guid>{26635165-A91D-405C-997C-DC81314CCBB6}</b:Guid>
    <b:Author>
      <b:Author>
        <b:NameList>
          <b:Person>
            <b:Last>Born</b:Last>
            <b:First>K.B.,</b:First>
            <b:Middle>Coulter, A., Han, A., Ellen, M., Peul, W., Myres, P., Lindner, R., Wolfson, D., Bhatia, R.S. and Levinson, W.,</b:Middle>
          </b:Person>
        </b:NameList>
      </b:Author>
    </b:Author>
    <b:Title>Engaging patients and the public in Choosing Wisely.</b:Title>
    <b:JournalName>BMJ Quality &amp; Safety</b:JournalName>
    <b:Year>2017</b:Year>
    <b:Pages>687-691</b:Pages>
    <b:Volume>26</b:Volume>
    <b:RefOrder>35</b:RefOrder>
  </b:Source>
  <b:Source>
    <b:Tag>Jan17</b:Tag>
    <b:SourceType>JournalArticle</b:SourceType>
    <b:Guid>{E3CEAFB1-1195-4A07-9021-C143F72E531E}</b:Guid>
    <b:Author>
      <b:Author>
        <b:NameList>
          <b:Person>
            <b:Last>Jansen</b:Last>
            <b:First>C.,</b:First>
          </b:Person>
        </b:NameList>
      </b:Author>
    </b:Author>
    <b:Title>Developing persuasive health campaign messages.</b:Title>
    <b:JournalName>Information Design: Research and Practice</b:JournalName>
    <b:Year>2017</b:Year>
    <b:Pages>669-684</b:Pages>
    <b:RefOrder>36</b:RefOrder>
  </b:Source>
  <b:Source>
    <b:Tag>Sim17</b:Tag>
    <b:SourceType>JournalArticle</b:SourceType>
    <b:Guid>{51D154D6-60B4-4C9F-9BC1-E77E033C7523}</b:Guid>
    <b:Author>
      <b:Author>
        <b:NameList>
          <b:Person>
            <b:Last>Simpson</b:Last>
            <b:First>J.K.,</b:First>
          </b:Person>
        </b:NameList>
      </b:Author>
    </b:Author>
    <b:Title>Appeal to fear in health care: appropriate or inappropriate?</b:Title>
    <b:JournalName>Chiropractic &amp; Manual Therapies</b:JournalName>
    <b:Year>2017</b:Year>
    <b:Pages>27</b:Pages>
    <b:Volume>25</b:Volume>
    <b:Issue>1</b:Issue>
    <b:RefOrder>37</b:RefOrder>
  </b:Source>
  <b:Source>
    <b:Tag>Pet14</b:Tag>
    <b:SourceType>JournalArticle</b:SourceType>
    <b:Guid>{0FCC29E8-4AE7-47FC-A512-36137F928DFD}</b:Guid>
    <b:Author>
      <b:Author>
        <b:NameList>
          <b:Person>
            <b:Last>Peters</b:Last>
            <b:First>G.J.Y.,</b:First>
            <b:Middle>Ruiter, R.A. and Kok, G.,</b:Middle>
          </b:Person>
        </b:NameList>
      </b:Author>
    </b:Author>
    <b:Title>Threatening communication: A qualitative study of fear appeal effectiveness beliefs among intervention developers, policymakers, politicians, scientists, and advertising professionals.</b:Title>
    <b:JournalName>International Journal of Psychology</b:JournalName>
    <b:Year>2014</b:Year>
    <b:Pages>71-79</b:Pages>
    <b:Volume>49</b:Volume>
    <b:Issue>2</b:Issue>
    <b:RefOrder>38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542A35-FCEB-4487-A464-1E0CB754D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3487</Words>
  <Characters>19881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an investigation of methods to raise awareness of community issues</vt:lpstr>
    </vt:vector>
  </TitlesOfParts>
  <Company>alexandra gould</Company>
  <LinksUpToDate>false</LinksUpToDate>
  <CharactersWithSpaces>23322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of methods to raise awareness of community issues</dc:title>
  <dc:subject>Alexandra Gould</dc:subject>
  <dc:creator>Alex Griffiths</dc:creator>
  <cp:keywords/>
  <dc:description/>
  <cp:lastModifiedBy>Alex Griffiths</cp:lastModifiedBy>
  <cp:revision>2</cp:revision>
  <dcterms:created xsi:type="dcterms:W3CDTF">2020-12-14T13:25:00Z</dcterms:created>
  <dcterms:modified xsi:type="dcterms:W3CDTF">2020-12-14T13:25:00Z</dcterms:modified>
</cp:coreProperties>
</file>