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7ED17C" w14:textId="32439461" w:rsidR="00797731" w:rsidRPr="008D6AE1" w:rsidRDefault="00797731">
      <w:pPr>
        <w:rPr>
          <w:b/>
          <w:bCs/>
          <w:sz w:val="32"/>
          <w:szCs w:val="32"/>
        </w:rPr>
      </w:pPr>
      <w:r>
        <w:rPr>
          <w:b/>
          <w:bCs/>
          <w:sz w:val="28"/>
          <w:szCs w:val="28"/>
        </w:rPr>
        <w:t xml:space="preserve">                              </w:t>
      </w:r>
      <w:r w:rsidRPr="008D6AE1">
        <w:rPr>
          <w:b/>
          <w:bCs/>
          <w:sz w:val="32"/>
          <w:szCs w:val="32"/>
        </w:rPr>
        <w:t>Swot Analysis of My Academic Writing Skills</w:t>
      </w:r>
    </w:p>
    <w:p w14:paraId="48A552EE" w14:textId="77777777" w:rsidR="00797731" w:rsidRDefault="00797731">
      <w:pPr>
        <w:rPr>
          <w:b/>
          <w:bCs/>
          <w:sz w:val="28"/>
          <w:szCs w:val="28"/>
        </w:rPr>
      </w:pPr>
    </w:p>
    <w:p w14:paraId="30212E7B" w14:textId="77777777" w:rsidR="00797731" w:rsidRDefault="00797731">
      <w:pPr>
        <w:rPr>
          <w:b/>
          <w:bCs/>
          <w:sz w:val="28"/>
          <w:szCs w:val="28"/>
        </w:rPr>
      </w:pPr>
    </w:p>
    <w:p w14:paraId="33EC5AF7" w14:textId="5D38B57F" w:rsidR="00797731" w:rsidRPr="00797731" w:rsidRDefault="00797731">
      <w:pPr>
        <w:rPr>
          <w:b/>
          <w:bCs/>
        </w:rPr>
      </w:pPr>
      <w:r w:rsidRPr="00797731">
        <w:rPr>
          <w:b/>
          <w:bCs/>
        </w:rPr>
        <w:t>Introduction</w:t>
      </w:r>
    </w:p>
    <w:p w14:paraId="4B2EC42C" w14:textId="39B20241" w:rsidR="00797731" w:rsidRDefault="00797731">
      <w:r w:rsidRPr="00797731">
        <w:t>The</w:t>
      </w:r>
      <w:r>
        <w:t xml:space="preserve"> ability to write academic is one of the core competencies that is essential for having a successful career in higher education. It gives me the ability to communicate ideas clearly, construct well-supported arguments, and demonstrate my understanding of various topic in a clear and</w:t>
      </w:r>
      <w:r w:rsidR="006D5037">
        <w:t xml:space="preserve"> concise manner. Based on my passive-aggressive personality disorder (PAPD) lectures, I have developed a SWOT analysis in order to </w:t>
      </w:r>
      <w:r w:rsidR="00A7754A">
        <w:t>analyse</w:t>
      </w:r>
      <w:r w:rsidR="006D5037">
        <w:t xml:space="preserve"> my strengths, weaknesses, opportunities, and threats</w:t>
      </w:r>
      <w:r w:rsidR="00A7754A">
        <w:t xml:space="preserve"> regarding my academic writing skills</w:t>
      </w:r>
      <w:r w:rsidR="00444595">
        <w:t xml:space="preserve"> (Farrokhnia et al, 2023).</w:t>
      </w:r>
    </w:p>
    <w:p w14:paraId="19752F05" w14:textId="42F4483E" w:rsidR="00A7754A" w:rsidRDefault="00A7754A">
      <w:pPr>
        <w:rPr>
          <w:b/>
          <w:bCs/>
        </w:rPr>
      </w:pPr>
      <w:r w:rsidRPr="00A7754A">
        <w:rPr>
          <w:b/>
          <w:bCs/>
        </w:rPr>
        <w:t>Strengths</w:t>
      </w:r>
    </w:p>
    <w:p w14:paraId="6032C948" w14:textId="0FE06B78" w:rsidR="00A7754A" w:rsidRPr="008D6AE1" w:rsidRDefault="00A7754A">
      <w:r w:rsidRPr="008D6AE1">
        <w:t>Strong Grasp of Academic Writing Structure</w:t>
      </w:r>
    </w:p>
    <w:p w14:paraId="00BDBF0F" w14:textId="16223054" w:rsidR="00A7754A" w:rsidRDefault="00A7754A">
      <w:r w:rsidRPr="00B20F52">
        <w:t>A significant strength</w:t>
      </w:r>
      <w:r w:rsidR="00B20F52" w:rsidRPr="00B20F52">
        <w:t xml:space="preserve"> of mine</w:t>
      </w:r>
      <w:r w:rsidR="00B20F52">
        <w:t xml:space="preserve"> involves my ability to understand the structure that academic writing requires, and this is one of my greatest strengths. In order</w:t>
      </w:r>
      <w:r w:rsidR="005A4BF4">
        <w:t xml:space="preserve"> to successfully organize essays and reports, I have developed a clear </w:t>
      </w:r>
      <w:r w:rsidR="006B1B0D">
        <w:t>grasp</w:t>
      </w:r>
      <w:r w:rsidR="005A4BF4">
        <w:t xml:space="preserve"> of the mechanics of organizing an introduction, a body, and a</w:t>
      </w:r>
      <w:r w:rsidR="00A42DF7">
        <w:t xml:space="preserve"> conclusion that are clearly defined</w:t>
      </w:r>
      <w:r w:rsidR="004115CB">
        <w:t xml:space="preserve"> (Chaudhri et al, 2022)</w:t>
      </w:r>
      <w:r w:rsidR="00A42DF7">
        <w:t>. There was a strong emphasis on ensuring logical flow and coherence in my</w:t>
      </w:r>
      <w:r w:rsidR="008547D6">
        <w:t xml:space="preserve"> PAPD lectures, where I learnt how to ensure logical flow and coherence. In my paragraphs, I focus on one idea, support</w:t>
      </w:r>
      <w:r w:rsidR="00E45BDB">
        <w:t xml:space="preserve"> it with evidence, and connect the ideas seamle</w:t>
      </w:r>
      <w:r w:rsidR="00077594">
        <w:t>ssly. As a result of this skill, I have consistently received positive feedback on my assignments</w:t>
      </w:r>
      <w:r w:rsidR="00444595">
        <w:t xml:space="preserve"> (Gultom and Oktaviani, 2022).</w:t>
      </w:r>
    </w:p>
    <w:p w14:paraId="72C88EAD" w14:textId="13F4C1E7" w:rsidR="00077594" w:rsidRPr="008D6AE1" w:rsidRDefault="00077594">
      <w:r w:rsidRPr="008D6AE1">
        <w:t>Effective Research and Referencing Skills</w:t>
      </w:r>
    </w:p>
    <w:p w14:paraId="61E348DC" w14:textId="6151629A" w:rsidR="00077594" w:rsidRDefault="00077594">
      <w:r w:rsidRPr="00077594">
        <w:t>The</w:t>
      </w:r>
      <w:r>
        <w:t xml:space="preserve"> research I conduct for my writing is not only thorough, but I also incorporate credible references to back up my arguments. According to the lectures at PAPD, it is necessary to use reliable sources and to adhere to the standards of APA or Havard</w:t>
      </w:r>
      <w:r w:rsidR="007370AE">
        <w:t xml:space="preserve"> citations when writing a paper</w:t>
      </w:r>
      <w:r w:rsidR="003434C3">
        <w:t xml:space="preserve"> (Purdue OWL, 2024).</w:t>
      </w:r>
      <w:r w:rsidR="007370AE">
        <w:t xml:space="preserve"> As a researcher, I am able to find peer-reviewed articles and books by using platforms such as Google Scholar and JSTOR</w:t>
      </w:r>
      <w:r w:rsidR="000E2901">
        <w:t xml:space="preserve"> (Adhikari et al, 2020).</w:t>
      </w:r>
      <w:r w:rsidR="007370AE">
        <w:t xml:space="preserve"> I am able to maintain my academic integrity, as well as the quality of my arguments, because of these skills, which ensure that I provide well-supported arguments. As an example, I have recently been recognized for my ability to include multiple sources</w:t>
      </w:r>
      <w:r w:rsidR="00345846">
        <w:t xml:space="preserve"> into my analysis, which strengthened the quality of my analysis and earned me additional praise for my use of evidence in a recent essay in which I was commended for my use of evidence.</w:t>
      </w:r>
    </w:p>
    <w:p w14:paraId="6FFE50D9" w14:textId="77777777" w:rsidR="00345846" w:rsidRDefault="00345846">
      <w:pPr>
        <w:rPr>
          <w:b/>
          <w:bCs/>
        </w:rPr>
      </w:pPr>
    </w:p>
    <w:p w14:paraId="1A7C655D" w14:textId="015D3671" w:rsidR="00345846" w:rsidRPr="008D6AE1" w:rsidRDefault="00345846">
      <w:r w:rsidRPr="008D6AE1">
        <w:lastRenderedPageBreak/>
        <w:t>Clarity and Precision in Writing</w:t>
      </w:r>
    </w:p>
    <w:p w14:paraId="6CC9577E" w14:textId="7BEF37DF" w:rsidR="00345846" w:rsidRDefault="00345846">
      <w:r>
        <w:t>Communication of ideas clearly and succinctly is one of my key strengths in academic writing, which is crucial to engaging the reader and getting</w:t>
      </w:r>
      <w:r w:rsidR="00F23A28">
        <w:t xml:space="preserve"> their </w:t>
      </w:r>
      <w:r w:rsidR="006B1B0D">
        <w:t>attention.</w:t>
      </w:r>
      <w:r w:rsidR="00F23A28">
        <w:t xml:space="preserve"> I have learned from my PAPD lectures that I should avoid unnecessary jargon and ensure that my points are clearly communicated to the audience without resorting to unnecessary jargon in my lectures</w:t>
      </w:r>
      <w:r w:rsidR="000E2901">
        <w:t xml:space="preserve"> (Redden, 2021</w:t>
      </w:r>
      <w:r w:rsidR="006B1B0D">
        <w:t>). When</w:t>
      </w:r>
      <w:r w:rsidR="00F23A28">
        <w:t xml:space="preserve"> addressing academic discussions, I focus on using straightforward language while maintaining the depth and complexity required in academic discourse. It has been my experience that when I write</w:t>
      </w:r>
      <w:r w:rsidR="003A266E">
        <w:t xml:space="preserve"> reflective pieces, I am able to succinctly capture my experiences and insights, while remaining within the word limit. I believe that this strength enhances the overall readability and impact of my work as a whole</w:t>
      </w:r>
      <w:r w:rsidR="000E2901">
        <w:t xml:space="preserve"> (Wallace et al, 2022).</w:t>
      </w:r>
    </w:p>
    <w:p w14:paraId="538C1D6D" w14:textId="73CB99D8" w:rsidR="00F13A00" w:rsidRPr="008D6AE1" w:rsidRDefault="00F13A00">
      <w:r w:rsidRPr="008D6AE1">
        <w:t xml:space="preserve">Adaptability to Different Writing Styles </w:t>
      </w:r>
    </w:p>
    <w:p w14:paraId="182C61D2" w14:textId="514CD42F" w:rsidR="00F13A00" w:rsidRDefault="00F13A00">
      <w:r>
        <w:t xml:space="preserve">Adaptability to a variety of writing styles is another </w:t>
      </w:r>
      <w:r w:rsidR="006B1B0D">
        <w:t>strength</w:t>
      </w:r>
      <w:r>
        <w:t xml:space="preserve"> that sets me apart from my competitors</w:t>
      </w:r>
      <w:r w:rsidR="00BB3D2A">
        <w:t xml:space="preserve"> (Tamy Al-Binali et al, 2023)</w:t>
      </w:r>
      <w:r>
        <w:t xml:space="preserve">. </w:t>
      </w:r>
      <w:r w:rsidR="00505856">
        <w:t>Whatever the task, I can adapt my tone and approach to tailor my writing to the needs of the assignment.  Through PAPD lectures, I was able to gain a better understanding of these different styles. It has proven invaluable to be to adapt to a variety of academic expectations across a wide range of subjects</w:t>
      </w:r>
      <w:r w:rsidR="00BB3D2A">
        <w:t xml:space="preserve"> (Kleinschmit et al, 2023).</w:t>
      </w:r>
    </w:p>
    <w:p w14:paraId="73E72AFB" w14:textId="356DB32C" w:rsidR="00505856" w:rsidRPr="008D6AE1" w:rsidRDefault="00505856">
      <w:r w:rsidRPr="008D6AE1">
        <w:t>Attention to Detail</w:t>
      </w:r>
    </w:p>
    <w:p w14:paraId="4F8D7C5E" w14:textId="706C65F5" w:rsidR="00505856" w:rsidRDefault="00505856">
      <w:r>
        <w:t>In addition, I have a keen eye for detail, which makes my writing professional. Grammar, punctuation, formatting, and actions are all aspects of</w:t>
      </w:r>
      <w:r w:rsidR="008F0792">
        <w:t xml:space="preserve"> my work I pay attention to</w:t>
      </w:r>
      <w:r w:rsidR="00BB3D2A">
        <w:t xml:space="preserve"> (Anderson, 2023).</w:t>
      </w:r>
      <w:r w:rsidR="008F0792">
        <w:t xml:space="preserve"> A meticulous approach to my assignments enhances their quality and demonstrates my commitment to academic excellence. Wherever I submit my work, I proofread it multiple times to catch errors and refine my arguments.</w:t>
      </w:r>
    </w:p>
    <w:p w14:paraId="23D11599" w14:textId="77777777" w:rsidR="008F0792" w:rsidRDefault="008F0792"/>
    <w:p w14:paraId="6C20169D" w14:textId="60C76353" w:rsidR="008F0792" w:rsidRPr="008D6AE1" w:rsidRDefault="008F0792">
      <w:pPr>
        <w:rPr>
          <w:b/>
          <w:bCs/>
        </w:rPr>
      </w:pPr>
      <w:r w:rsidRPr="008D6AE1">
        <w:rPr>
          <w:b/>
          <w:bCs/>
        </w:rPr>
        <w:t xml:space="preserve">Opportunities </w:t>
      </w:r>
    </w:p>
    <w:p w14:paraId="0E5790FB" w14:textId="423F8A23" w:rsidR="003A266E" w:rsidRDefault="008F0792">
      <w:r>
        <w:t xml:space="preserve">Access to Academic Resources </w:t>
      </w:r>
    </w:p>
    <w:p w14:paraId="033DE8EF" w14:textId="4C43F8EF" w:rsidR="008F0792" w:rsidRDefault="008F0792">
      <w:r>
        <w:t xml:space="preserve">My university offers workshops on academic writing, writing centres, as well as online guides to help students with their writing. In turn, this </w:t>
      </w:r>
      <w:r w:rsidR="001B27C6">
        <w:t>presents me with an excellent opportunity it improves</w:t>
      </w:r>
      <w:r>
        <w:t xml:space="preserve"> </w:t>
      </w:r>
      <w:r w:rsidR="001B27C6">
        <w:t>my skills by using these resources in order to make use of this opportunity. It would be helpful if I attended sessions that would help me improve my skills in critical analysis and argumentation. As well as using Grammarly, I also use it for correcting any stylistic errors I make like overuse of the passive voice in my draft</w:t>
      </w:r>
      <w:r w:rsidR="00BB3D2A">
        <w:t xml:space="preserve"> (Abdallah Abu Qub’a et al, 2024).</w:t>
      </w:r>
    </w:p>
    <w:p w14:paraId="6115063D" w14:textId="4492045D" w:rsidR="001B27C6" w:rsidRPr="008D6AE1" w:rsidRDefault="001B27C6">
      <w:r w:rsidRPr="008D6AE1">
        <w:t xml:space="preserve">Perr Feedback and Collaboration </w:t>
      </w:r>
    </w:p>
    <w:p w14:paraId="0B40EC78" w14:textId="1F9F449B" w:rsidR="001B27C6" w:rsidRDefault="001B27C6">
      <w:r>
        <w:lastRenderedPageBreak/>
        <w:t>It is also possible to engage in collaborative learning by asking your peers for feedback on your work. I have been encouraged to share my work with my classmates</w:t>
      </w:r>
      <w:r w:rsidR="00B14F5D">
        <w:t xml:space="preserve"> in order to gain a new perspective and identify improvement opportunities. In order to be able to improve the quality of my writing, as well as refine the arguments that I make, I thank my peers for providing me with a platform for constructive criticism, which I have found to be an invaluable tool when it comes to improving my writing. This is unique opportunity for me as an individual to apply what I have learned from </w:t>
      </w:r>
      <w:r w:rsidR="006B1B0D">
        <w:t>other</w:t>
      </w:r>
      <w:r w:rsidR="00B14F5D">
        <w:t xml:space="preserve"> strengths to my work by embracing this opportunity and adsorbing their knowledge</w:t>
      </w:r>
      <w:r w:rsidR="00BB3D2A">
        <w:t xml:space="preserve"> (Roy Martin Simamora and</w:t>
      </w:r>
      <w:r w:rsidR="006E617C">
        <w:t xml:space="preserve"> Pasaribu, 2023).</w:t>
      </w:r>
    </w:p>
    <w:p w14:paraId="7B65BC04" w14:textId="06171DD5" w:rsidR="00B14F5D" w:rsidRPr="008D6AE1" w:rsidRDefault="00B14F5D">
      <w:r w:rsidRPr="008D6AE1">
        <w:t xml:space="preserve">Developing Better Time Managements Practices </w:t>
      </w:r>
    </w:p>
    <w:p w14:paraId="1471793A" w14:textId="4D0D8F63" w:rsidR="00B14F5D" w:rsidRDefault="000A63FB">
      <w:r>
        <w:t>I can improve my time management using the time management strategies introduced in PAPD lectures</w:t>
      </w:r>
      <w:r w:rsidR="006E617C">
        <w:t xml:space="preserve"> (Jiang et al, 2020).</w:t>
      </w:r>
      <w:r>
        <w:t xml:space="preserve"> Maintaining a schedule and setting incremental deadlines will help me allocate sufficient time for each phase of the writing process. Additionally, I am able to reduce stress and improve my assignments quality by talking advantage of this opportunity</w:t>
      </w:r>
      <w:r w:rsidR="006E617C">
        <w:t xml:space="preserve"> (Gabriel and Aguinis, 2021).</w:t>
      </w:r>
    </w:p>
    <w:p w14:paraId="3F803427" w14:textId="30ABADB8" w:rsidR="000A63FB" w:rsidRDefault="000A63FB">
      <w:r>
        <w:t xml:space="preserve">Leveraging Generative AI for Proofreading </w:t>
      </w:r>
    </w:p>
    <w:p w14:paraId="7ECCF9FD" w14:textId="2E10C890" w:rsidR="000A63FB" w:rsidRDefault="000A63FB">
      <w:r>
        <w:t>Although generative AI is prohibited when it comes to the writing and structuring of my work, it is permitted when it comes to the proofreading of my work. With the use of AI in the writing process, such as Grammarly and Turnitin, I can enhance the quality of my writing</w:t>
      </w:r>
      <w:r w:rsidR="006E617C">
        <w:t xml:space="preserve"> (Wulandari et al, 2024).</w:t>
      </w:r>
      <w:r>
        <w:t xml:space="preserve"> As a result, I am able to polish my work as a result of talking advantage of this opportunity. </w:t>
      </w:r>
      <w:r w:rsidR="00411DAF">
        <w:t xml:space="preserve"> </w:t>
      </w:r>
    </w:p>
    <w:p w14:paraId="254D4722" w14:textId="77777777" w:rsidR="00411DAF" w:rsidRDefault="00411DAF"/>
    <w:p w14:paraId="6666E2F8" w14:textId="22644857" w:rsidR="00411DAF" w:rsidRPr="008D6AE1" w:rsidRDefault="00411DAF">
      <w:pPr>
        <w:rPr>
          <w:b/>
          <w:bCs/>
          <w:sz w:val="32"/>
          <w:szCs w:val="32"/>
        </w:rPr>
      </w:pPr>
      <w:r w:rsidRPr="008D6AE1">
        <w:rPr>
          <w:b/>
          <w:bCs/>
          <w:sz w:val="32"/>
          <w:szCs w:val="32"/>
        </w:rPr>
        <w:t>Threats</w:t>
      </w:r>
    </w:p>
    <w:p w14:paraId="0A6CE500" w14:textId="637D640F" w:rsidR="00411DAF" w:rsidRDefault="00411DAF">
      <w:r>
        <w:t xml:space="preserve">Procrastination </w:t>
      </w:r>
    </w:p>
    <w:p w14:paraId="7C65E0F6" w14:textId="6CA273AD" w:rsidR="00411DAF" w:rsidRDefault="00411DAF">
      <w:r>
        <w:t>There is no doubt that procrastination remains one of the biggest threats to my academic success. Evan though I am aware of its negative impact, I often delay starting my assignments until the very end of the semester when I have a scheduled deadline to meet. In addition to the increased level of stress caused by this habit, it also makes it impossible to conduct a thorough research and revise at the same time, which is a problem when you are writing an essay. A proc</w:t>
      </w:r>
      <w:r w:rsidR="006750A4">
        <w:t>rastinator will often suffer greatly from the consequences of procrastinating when it comes to complex tasks that need critical thinking and extensive planning</w:t>
      </w:r>
      <w:r w:rsidR="006E617C">
        <w:t xml:space="preserve"> (Steel et al, 2022).</w:t>
      </w:r>
    </w:p>
    <w:p w14:paraId="11BBCCAE" w14:textId="2D4BCD99" w:rsidR="006750A4" w:rsidRDefault="006750A4">
      <w:r>
        <w:t xml:space="preserve">Academic Pressure and Self-Doubt </w:t>
      </w:r>
    </w:p>
    <w:p w14:paraId="3DA641E3" w14:textId="6C319C40" w:rsidR="006750A4" w:rsidRDefault="006750A4">
      <w:r>
        <w:t xml:space="preserve">Academic competition can sometimes lead to feelings of self-doubt and anxiety as a result of the competitive nature of academia. Whenever I compare my work with that of my peers who have achieved high levels of success, I begin to doubt my abilities, which </w:t>
      </w:r>
      <w:r>
        <w:lastRenderedPageBreak/>
        <w:t>can negatively affect my self-confidence and motivation. When I feel pressured to meet perceived standards, I sometimes rush through assignments in an attempt to mee</w:t>
      </w:r>
      <w:r w:rsidR="001427EA">
        <w:t>t them in a timely manner, which results in a work that does not fully showcase my abilities</w:t>
      </w:r>
      <w:r w:rsidR="006E617C">
        <w:t xml:space="preserve"> (Sch</w:t>
      </w:r>
      <w:r w:rsidR="00842C43">
        <w:t>oellbauer et al, 2021).</w:t>
      </w:r>
    </w:p>
    <w:p w14:paraId="24D8DD01" w14:textId="57FA776F" w:rsidR="001427EA" w:rsidRDefault="001427EA">
      <w:r>
        <w:t xml:space="preserve">Limited Availability on Feedback </w:t>
      </w:r>
    </w:p>
    <w:p w14:paraId="1D03E8CD" w14:textId="6C4BF707" w:rsidR="001427EA" w:rsidRDefault="001427EA">
      <w:r>
        <w:t xml:space="preserve">The tutor provides valuable feedback to students, but their time constraints, as well as the large volume of assignments they review, limit their ability to go into great detail. The use of generic feedback, such </w:t>
      </w:r>
      <w:r w:rsidR="006B1B0D">
        <w:t>as, ’needs</w:t>
      </w:r>
      <w:r>
        <w:t xml:space="preserve"> to be analysed further, ‘’ is not always useful in terms of providing concrete information about what can be done to improve </w:t>
      </w:r>
      <w:r w:rsidR="006B1B0D">
        <w:t>a situation</w:t>
      </w:r>
      <w:r>
        <w:t xml:space="preserve">. Because of this lack of detailed feedback, I may not be able to </w:t>
      </w:r>
      <w:r w:rsidR="00041561">
        <w:t>fully understand the areas that need to be addressed, which may hinder my progress</w:t>
      </w:r>
      <w:r w:rsidR="00842C43">
        <w:t xml:space="preserve"> (</w:t>
      </w:r>
      <w:r w:rsidR="006B1B0D">
        <w:t>Ghosh,</w:t>
      </w:r>
      <w:r w:rsidR="00842C43">
        <w:t xml:space="preserve"> 2023).</w:t>
      </w:r>
    </w:p>
    <w:p w14:paraId="5A4BA329" w14:textId="0446F683" w:rsidR="00041561" w:rsidRDefault="00041561">
      <w:r>
        <w:t xml:space="preserve">Overdependence on Technology </w:t>
      </w:r>
    </w:p>
    <w:p w14:paraId="093AA1F3" w14:textId="09F1A916" w:rsidR="00041561" w:rsidRDefault="00041561">
      <w:r>
        <w:t xml:space="preserve">There is on question that tools such as Grammarly can be helpful, but I have found that </w:t>
      </w:r>
      <w:r w:rsidR="006B1B0D">
        <w:t>over relying</w:t>
      </w:r>
      <w:r>
        <w:t xml:space="preserve"> on such technologies may have a detrimental effect on my ability to develop independent proofreading and editing skills. It is important to balance technology use with personal effort. The more I depend on AI tools, the less ability I have to identify and correct mistakes myself</w:t>
      </w:r>
      <w:r w:rsidR="00842C43">
        <w:t xml:space="preserve"> (Swiecki et al, 2022).</w:t>
      </w:r>
    </w:p>
    <w:p w14:paraId="23DFD56A" w14:textId="77777777" w:rsidR="00041561" w:rsidRDefault="00041561"/>
    <w:p w14:paraId="093ECCE3" w14:textId="7C964A77" w:rsidR="00041561" w:rsidRPr="008D6AE1" w:rsidRDefault="00041561">
      <w:pPr>
        <w:rPr>
          <w:b/>
          <w:bCs/>
          <w:sz w:val="32"/>
          <w:szCs w:val="32"/>
        </w:rPr>
      </w:pPr>
      <w:r w:rsidRPr="008D6AE1">
        <w:rPr>
          <w:b/>
          <w:bCs/>
          <w:sz w:val="32"/>
          <w:szCs w:val="32"/>
        </w:rPr>
        <w:t>Conclusion</w:t>
      </w:r>
    </w:p>
    <w:p w14:paraId="1A6B17BF" w14:textId="2CC29FE2" w:rsidR="00041561" w:rsidRDefault="00041561">
      <w:r>
        <w:t>Having the opportunity to reflect on the way I write academically in light of this SWOT analysis has been an en</w:t>
      </w:r>
      <w:r w:rsidR="005C192E">
        <w:t>lightening experience foe me. I excel at academic success due to my understanding of structure, effective referencing, and clarity. There are weaknesses, however, such as poor time management, limited critical analysis, and overuse of p</w:t>
      </w:r>
      <w:r w:rsidR="00566FFA">
        <w:t>assive voice. Utilizing academic resources, peer feedback, and time management strategies will allow me to address these weaknesses. In summary, procrastination and overdependence on technology can be mitigated so that I can improve my writing skills.</w:t>
      </w:r>
    </w:p>
    <w:p w14:paraId="5FF83C0C" w14:textId="70EDC32D" w:rsidR="00566FFA" w:rsidRPr="00041561" w:rsidRDefault="00566FFA">
      <w:r>
        <w:t>We have found that the importance of continuous self-assessment and proactive learning has been highlighted by this analyse</w:t>
      </w:r>
      <w:r w:rsidR="00842C43">
        <w:t xml:space="preserve"> (Azwani Masuwai et al, 2024).</w:t>
      </w:r>
      <w:r>
        <w:t xml:space="preserve"> Using the strategies that have been identified through this SWOT analysis in order to improve my writing capabilities</w:t>
      </w:r>
      <w:r w:rsidR="00D33F0A">
        <w:t xml:space="preserve"> and increase my confidence as an academic writer, I am confident that I can achieve this goal. in addition to contributing to my academic success, this process of improvement will also sever as a preparation for my future professional endeavours, which will necessitate strong writing skills. </w:t>
      </w:r>
    </w:p>
    <w:p w14:paraId="750B8032" w14:textId="001FE87D" w:rsidR="000A63FB" w:rsidRDefault="00D33F0A">
      <w:r>
        <w:t xml:space="preserve"> </w:t>
      </w:r>
    </w:p>
    <w:p w14:paraId="5D7E786F" w14:textId="77777777"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sz w:val="36"/>
          <w:szCs w:val="36"/>
          <w:lang w:val="en-US"/>
        </w:rPr>
        <w:lastRenderedPageBreak/>
        <w:t>Reference list</w:t>
      </w:r>
    </w:p>
    <w:p w14:paraId="57DF2519" w14:textId="275F91C9"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Abdallah Abu Qub'a, Nour, M. and Shehdeh Fareh (2024) ‘Exploring the Use of Grammarly in Assessing English Academic Writing’. </w:t>
      </w:r>
      <w:r>
        <w:rPr>
          <w:rFonts w:ascii="Times New Roman" w:hAnsi="Times New Roman" w:cs="Times New Roman"/>
          <w:i/>
          <w:iCs/>
          <w:kern w:val="0"/>
          <w:lang w:val="en-US"/>
        </w:rPr>
        <w:t>Heliyon</w:t>
      </w:r>
      <w:r>
        <w:rPr>
          <w:rFonts w:ascii="Times New Roman" w:hAnsi="Times New Roman" w:cs="Times New Roman"/>
          <w:kern w:val="0"/>
          <w:lang w:val="en-US"/>
        </w:rPr>
        <w:t xml:space="preserve"> 10(15), pp. e34893–e34893. doi: </w:t>
      </w:r>
      <w:r w:rsidRPr="00842C43">
        <w:rPr>
          <w:rFonts w:ascii="Times New Roman" w:hAnsi="Times New Roman" w:cs="Times New Roman"/>
          <w:kern w:val="0"/>
          <w:lang w:val="en-US"/>
        </w:rPr>
        <w:t>https://doi.org/10.1016/j.heliyon.2024.e34893</w:t>
      </w:r>
      <w:r>
        <w:rPr>
          <w:rFonts w:ascii="Times New Roman" w:hAnsi="Times New Roman" w:cs="Times New Roman"/>
          <w:kern w:val="0"/>
          <w:lang w:val="en-US"/>
        </w:rPr>
        <w:t>.</w:t>
      </w:r>
    </w:p>
    <w:p w14:paraId="269F03B4" w14:textId="7DDE6690"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Adhikari, S.D., Teijlingen, E.R. van, Regmi, P.R., Mahato, P., Simkhada, B. and Simkhada, P.P. (2020) ‘The Presentation of Academic Self in The Digital Age: The Role of Electronic Databases’. </w:t>
      </w:r>
      <w:r>
        <w:rPr>
          <w:rFonts w:ascii="Times New Roman" w:hAnsi="Times New Roman" w:cs="Times New Roman"/>
          <w:i/>
          <w:iCs/>
          <w:kern w:val="0"/>
          <w:lang w:val="en-US"/>
        </w:rPr>
        <w:t>International Journal of Social Sciences and Management</w:t>
      </w:r>
      <w:r>
        <w:rPr>
          <w:rFonts w:ascii="Times New Roman" w:hAnsi="Times New Roman" w:cs="Times New Roman"/>
          <w:kern w:val="0"/>
          <w:lang w:val="en-US"/>
        </w:rPr>
        <w:t xml:space="preserve"> 7(1), pp. 38–41. Available at: </w:t>
      </w:r>
      <w:r w:rsidRPr="00842C43">
        <w:rPr>
          <w:rFonts w:ascii="Times New Roman" w:hAnsi="Times New Roman" w:cs="Times New Roman"/>
          <w:kern w:val="0"/>
          <w:lang w:val="en-US"/>
        </w:rPr>
        <w:t>https://www.nepjol.info/index.php/IJSSM/article/view/27405</w:t>
      </w:r>
      <w:r>
        <w:rPr>
          <w:rFonts w:ascii="Times New Roman" w:hAnsi="Times New Roman" w:cs="Times New Roman"/>
          <w:kern w:val="0"/>
          <w:lang w:val="en-US"/>
        </w:rPr>
        <w:t>.</w:t>
      </w:r>
    </w:p>
    <w:p w14:paraId="3D5DDF24" w14:textId="34C5D408"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Anderson, J. (2023) </w:t>
      </w:r>
      <w:r>
        <w:rPr>
          <w:rFonts w:ascii="Times New Roman" w:hAnsi="Times New Roman" w:cs="Times New Roman"/>
          <w:i/>
          <w:iCs/>
          <w:kern w:val="0"/>
          <w:lang w:val="en-US"/>
        </w:rPr>
        <w:t>Mechanically Inclined</w:t>
      </w:r>
      <w:r>
        <w:rPr>
          <w:rFonts w:ascii="Times New Roman" w:hAnsi="Times New Roman" w:cs="Times New Roman"/>
          <w:kern w:val="0"/>
          <w:lang w:val="en-US"/>
        </w:rPr>
        <w:t xml:space="preserve">. doi: </w:t>
      </w:r>
      <w:r w:rsidRPr="00842C43">
        <w:rPr>
          <w:rFonts w:ascii="Times New Roman" w:hAnsi="Times New Roman" w:cs="Times New Roman"/>
          <w:kern w:val="0"/>
          <w:lang w:val="en-US"/>
        </w:rPr>
        <w:t>https://doi.org/10.4324/9781032681689</w:t>
      </w:r>
      <w:r>
        <w:rPr>
          <w:rFonts w:ascii="Times New Roman" w:hAnsi="Times New Roman" w:cs="Times New Roman"/>
          <w:kern w:val="0"/>
          <w:lang w:val="en-US"/>
        </w:rPr>
        <w:t>.</w:t>
      </w:r>
    </w:p>
    <w:p w14:paraId="55463E3F" w14:textId="2E089F61"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Azwani Masuwai, Hafizhah Zulkifli and Mohd Isa Hamzah (2024) ‘Self-Assessment for Continuous Professional Development: The Perspective of Islamic Education’. </w:t>
      </w:r>
      <w:r>
        <w:rPr>
          <w:rFonts w:ascii="Times New Roman" w:hAnsi="Times New Roman" w:cs="Times New Roman"/>
          <w:i/>
          <w:iCs/>
          <w:kern w:val="0"/>
          <w:lang w:val="en-US"/>
        </w:rPr>
        <w:t>Heliyon</w:t>
      </w:r>
      <w:r>
        <w:rPr>
          <w:rFonts w:ascii="Times New Roman" w:hAnsi="Times New Roman" w:cs="Times New Roman"/>
          <w:kern w:val="0"/>
          <w:lang w:val="en-US"/>
        </w:rPr>
        <w:t xml:space="preserve"> , pp. e38268–e38268. Available at: </w:t>
      </w:r>
      <w:r w:rsidRPr="00842C43">
        <w:rPr>
          <w:rFonts w:ascii="Times New Roman" w:hAnsi="Times New Roman" w:cs="Times New Roman"/>
          <w:kern w:val="0"/>
          <w:lang w:val="en-US"/>
        </w:rPr>
        <w:t>https://www.sciencedirect.com/science/article/pii/S2405844024142995</w:t>
      </w:r>
      <w:r>
        <w:rPr>
          <w:rFonts w:ascii="Times New Roman" w:hAnsi="Times New Roman" w:cs="Times New Roman"/>
          <w:kern w:val="0"/>
          <w:lang w:val="en-US"/>
        </w:rPr>
        <w:t xml:space="preserve"> (Accessed: 9 October 2024).</w:t>
      </w:r>
    </w:p>
    <w:p w14:paraId="02CECC62" w14:textId="7CCFE162"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Chaudhri, V.K. et al. (2022) ‘Knowledge graphs: Introduction, history, and perspectives’. </w:t>
      </w:r>
      <w:r>
        <w:rPr>
          <w:rFonts w:ascii="Times New Roman" w:hAnsi="Times New Roman" w:cs="Times New Roman"/>
          <w:i/>
          <w:iCs/>
          <w:kern w:val="0"/>
          <w:lang w:val="en-US"/>
        </w:rPr>
        <w:t>AI Magazine</w:t>
      </w:r>
      <w:r>
        <w:rPr>
          <w:rFonts w:ascii="Times New Roman" w:hAnsi="Times New Roman" w:cs="Times New Roman"/>
          <w:kern w:val="0"/>
          <w:lang w:val="en-US"/>
        </w:rPr>
        <w:t xml:space="preserve"> 43(1), pp. 17–29. doi: </w:t>
      </w:r>
      <w:r w:rsidRPr="00842C43">
        <w:rPr>
          <w:rFonts w:ascii="Times New Roman" w:hAnsi="Times New Roman" w:cs="Times New Roman"/>
          <w:kern w:val="0"/>
          <w:lang w:val="en-US"/>
        </w:rPr>
        <w:t>https://doi.org/10.1002/aaai.12033</w:t>
      </w:r>
      <w:r>
        <w:rPr>
          <w:rFonts w:ascii="Times New Roman" w:hAnsi="Times New Roman" w:cs="Times New Roman"/>
          <w:kern w:val="0"/>
          <w:lang w:val="en-US"/>
        </w:rPr>
        <w:t>.</w:t>
      </w:r>
    </w:p>
    <w:p w14:paraId="528388BE" w14:textId="468FB505"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Farrokhnia, M., Banihashem, S.K., Noroozi, O. and Wals, A. (2023) ‘A SWOT analysis of ChatGPT: Implications for educational practice and research’. </w:t>
      </w:r>
      <w:r>
        <w:rPr>
          <w:rFonts w:ascii="Times New Roman" w:hAnsi="Times New Roman" w:cs="Times New Roman"/>
          <w:i/>
          <w:iCs/>
          <w:kern w:val="0"/>
          <w:lang w:val="en-US"/>
        </w:rPr>
        <w:t>Innovations in Education and Teaching International</w:t>
      </w:r>
      <w:r>
        <w:rPr>
          <w:rFonts w:ascii="Times New Roman" w:hAnsi="Times New Roman" w:cs="Times New Roman"/>
          <w:kern w:val="0"/>
          <w:lang w:val="en-US"/>
        </w:rPr>
        <w:t xml:space="preserve"> 61(3), pp. 1–15. doi: </w:t>
      </w:r>
      <w:r w:rsidRPr="00842C43">
        <w:rPr>
          <w:rFonts w:ascii="Times New Roman" w:hAnsi="Times New Roman" w:cs="Times New Roman"/>
          <w:kern w:val="0"/>
          <w:lang w:val="en-US"/>
        </w:rPr>
        <w:t>https://doi.org/10.1080/14703297.2023.2195846</w:t>
      </w:r>
      <w:r>
        <w:rPr>
          <w:rFonts w:ascii="Times New Roman" w:hAnsi="Times New Roman" w:cs="Times New Roman"/>
          <w:kern w:val="0"/>
          <w:lang w:val="en-US"/>
        </w:rPr>
        <w:t>.</w:t>
      </w:r>
    </w:p>
    <w:p w14:paraId="1B21C342" w14:textId="7F2C828F"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Gabriel, K. and Aguinis, H. (2021) ‘How to prevent and combat employee burnout and create healthier workplaces during crises and beyond’. </w:t>
      </w:r>
      <w:r>
        <w:rPr>
          <w:rFonts w:ascii="Times New Roman" w:hAnsi="Times New Roman" w:cs="Times New Roman"/>
          <w:i/>
          <w:iCs/>
          <w:kern w:val="0"/>
          <w:lang w:val="en-US"/>
        </w:rPr>
        <w:t>Business Horizons</w:t>
      </w:r>
      <w:r>
        <w:rPr>
          <w:rFonts w:ascii="Times New Roman" w:hAnsi="Times New Roman" w:cs="Times New Roman"/>
          <w:kern w:val="0"/>
          <w:lang w:val="en-US"/>
        </w:rPr>
        <w:t xml:space="preserve"> 65(2), pp. 183–192. doi: </w:t>
      </w:r>
      <w:r w:rsidRPr="00842C43">
        <w:rPr>
          <w:rFonts w:ascii="Times New Roman" w:hAnsi="Times New Roman" w:cs="Times New Roman"/>
          <w:kern w:val="0"/>
          <w:lang w:val="en-US"/>
        </w:rPr>
        <w:t>https://doi.org/10.1016/j.bushor.2021.02.037</w:t>
      </w:r>
      <w:r>
        <w:rPr>
          <w:rFonts w:ascii="Times New Roman" w:hAnsi="Times New Roman" w:cs="Times New Roman"/>
          <w:kern w:val="0"/>
          <w:lang w:val="en-US"/>
        </w:rPr>
        <w:t>.</w:t>
      </w:r>
    </w:p>
    <w:p w14:paraId="794C8A79" w14:textId="16A8698B"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Ghosh, A. (</w:t>
      </w:r>
      <w:r w:rsidR="006B1B0D">
        <w:rPr>
          <w:rFonts w:ascii="Times New Roman" w:hAnsi="Times New Roman" w:cs="Times New Roman"/>
          <w:kern w:val="0"/>
          <w:lang w:val="en-US"/>
        </w:rPr>
        <w:t xml:space="preserve">2023) </w:t>
      </w:r>
      <w:r>
        <w:rPr>
          <w:rFonts w:ascii="Times New Roman" w:hAnsi="Times New Roman" w:cs="Times New Roman"/>
          <w:kern w:val="0"/>
          <w:lang w:val="en-US"/>
        </w:rPr>
        <w:t xml:space="preserve">A comprehensive review of </w:t>
      </w:r>
      <w:r w:rsidR="006B1B0D">
        <w:rPr>
          <w:rFonts w:ascii="Times New Roman" w:hAnsi="Times New Roman" w:cs="Times New Roman"/>
          <w:kern w:val="0"/>
          <w:lang w:val="en-US"/>
        </w:rPr>
        <w:t>water-based</w:t>
      </w:r>
      <w:r>
        <w:rPr>
          <w:rFonts w:ascii="Times New Roman" w:hAnsi="Times New Roman" w:cs="Times New Roman"/>
          <w:kern w:val="0"/>
          <w:lang w:val="en-US"/>
        </w:rPr>
        <w:t xml:space="preserve"> PV: Flotavoltaics, </w:t>
      </w:r>
      <w:r w:rsidR="006B1B0D">
        <w:rPr>
          <w:rFonts w:ascii="Times New Roman" w:hAnsi="Times New Roman" w:cs="Times New Roman"/>
          <w:kern w:val="0"/>
          <w:lang w:val="en-US"/>
        </w:rPr>
        <w:t>underwater</w:t>
      </w:r>
      <w:r>
        <w:rPr>
          <w:rFonts w:ascii="Times New Roman" w:hAnsi="Times New Roman" w:cs="Times New Roman"/>
          <w:kern w:val="0"/>
          <w:lang w:val="en-US"/>
        </w:rPr>
        <w:t xml:space="preserve">, offshore &amp; canal top’. 281, pp. 115044–115044. doi: </w:t>
      </w:r>
      <w:r w:rsidRPr="00842C43">
        <w:rPr>
          <w:rFonts w:ascii="Times New Roman" w:hAnsi="Times New Roman" w:cs="Times New Roman"/>
          <w:kern w:val="0"/>
          <w:lang w:val="en-US"/>
        </w:rPr>
        <w:t>https://doi.org/10.1016/j.oceaneng.2023.115044</w:t>
      </w:r>
      <w:r>
        <w:rPr>
          <w:rFonts w:ascii="Times New Roman" w:hAnsi="Times New Roman" w:cs="Times New Roman"/>
          <w:kern w:val="0"/>
          <w:lang w:val="en-US"/>
        </w:rPr>
        <w:t>.</w:t>
      </w:r>
    </w:p>
    <w:p w14:paraId="08693973" w14:textId="45336555"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Gultom, S. and Oktaviani, L. (2022) ‘THE CORRELATION BETWEEN STUDENTS’ SELF-ESTEEM AND THEIR ENGLISH PROFICIENCY TEST RESULT’. </w:t>
      </w:r>
      <w:r>
        <w:rPr>
          <w:rFonts w:ascii="Times New Roman" w:hAnsi="Times New Roman" w:cs="Times New Roman"/>
          <w:i/>
          <w:iCs/>
          <w:kern w:val="0"/>
          <w:lang w:val="en-US"/>
        </w:rPr>
        <w:t xml:space="preserve">Journal of </w:t>
      </w:r>
      <w:r>
        <w:rPr>
          <w:rFonts w:ascii="Times New Roman" w:hAnsi="Times New Roman" w:cs="Times New Roman"/>
          <w:i/>
          <w:iCs/>
          <w:kern w:val="0"/>
          <w:lang w:val="en-US"/>
        </w:rPr>
        <w:lastRenderedPageBreak/>
        <w:t>English Language Teaching and Learning</w:t>
      </w:r>
      <w:r>
        <w:rPr>
          <w:rFonts w:ascii="Times New Roman" w:hAnsi="Times New Roman" w:cs="Times New Roman"/>
          <w:kern w:val="0"/>
          <w:lang w:val="en-US"/>
        </w:rPr>
        <w:t xml:space="preserve"> 3(2), pp. 52–57. doi: </w:t>
      </w:r>
      <w:r w:rsidRPr="00842C43">
        <w:rPr>
          <w:rFonts w:ascii="Times New Roman" w:hAnsi="Times New Roman" w:cs="Times New Roman"/>
          <w:kern w:val="0"/>
          <w:lang w:val="en-US"/>
        </w:rPr>
        <w:t>https://doi.org/10.33365/jeltl.v3i2.2211</w:t>
      </w:r>
      <w:r>
        <w:rPr>
          <w:rFonts w:ascii="Times New Roman" w:hAnsi="Times New Roman" w:cs="Times New Roman"/>
          <w:kern w:val="0"/>
          <w:lang w:val="en-US"/>
        </w:rPr>
        <w:t>.</w:t>
      </w:r>
    </w:p>
    <w:p w14:paraId="47CD9D0F" w14:textId="1EA93805"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Jiang, S., Qi, Y., Cai, S. and Lu, X. (</w:t>
      </w:r>
      <w:r w:rsidR="006B1B0D">
        <w:rPr>
          <w:rFonts w:ascii="Times New Roman" w:hAnsi="Times New Roman" w:cs="Times New Roman"/>
          <w:kern w:val="0"/>
          <w:lang w:val="en-US"/>
        </w:rPr>
        <w:t xml:space="preserve">2020) </w:t>
      </w:r>
      <w:r>
        <w:rPr>
          <w:rFonts w:ascii="Times New Roman" w:hAnsi="Times New Roman" w:cs="Times New Roman"/>
          <w:kern w:val="0"/>
          <w:lang w:val="en-US"/>
        </w:rPr>
        <w:t xml:space="preserve">Light fixed-time control for cluster synchronization of complex networks’. </w:t>
      </w:r>
      <w:r>
        <w:rPr>
          <w:rFonts w:ascii="Times New Roman" w:hAnsi="Times New Roman" w:cs="Times New Roman"/>
          <w:i/>
          <w:iCs/>
          <w:kern w:val="0"/>
          <w:lang w:val="en-US"/>
        </w:rPr>
        <w:t>Neurocomputing</w:t>
      </w:r>
      <w:r>
        <w:rPr>
          <w:rFonts w:ascii="Times New Roman" w:hAnsi="Times New Roman" w:cs="Times New Roman"/>
          <w:kern w:val="0"/>
          <w:lang w:val="en-US"/>
        </w:rPr>
        <w:t xml:space="preserve"> 424, pp. 63–70. doi: </w:t>
      </w:r>
      <w:r w:rsidRPr="00842C43">
        <w:rPr>
          <w:rFonts w:ascii="Times New Roman" w:hAnsi="Times New Roman" w:cs="Times New Roman"/>
          <w:kern w:val="0"/>
          <w:lang w:val="en-US"/>
        </w:rPr>
        <w:t>https://doi.org/10.1016/j.neucom.2020.10.111</w:t>
      </w:r>
      <w:r>
        <w:rPr>
          <w:rFonts w:ascii="Times New Roman" w:hAnsi="Times New Roman" w:cs="Times New Roman"/>
          <w:kern w:val="0"/>
          <w:lang w:val="en-US"/>
        </w:rPr>
        <w:t>.</w:t>
      </w:r>
    </w:p>
    <w:p w14:paraId="360F2FB4" w14:textId="37A66964"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Kleinschmit, A.J. et al. (</w:t>
      </w:r>
      <w:r w:rsidR="006B1B0D">
        <w:rPr>
          <w:rFonts w:ascii="Times New Roman" w:hAnsi="Times New Roman" w:cs="Times New Roman"/>
          <w:kern w:val="0"/>
          <w:lang w:val="en-US"/>
        </w:rPr>
        <w:t xml:space="preserve">2023) </w:t>
      </w:r>
      <w:r>
        <w:rPr>
          <w:rFonts w:ascii="Times New Roman" w:hAnsi="Times New Roman" w:cs="Times New Roman"/>
          <w:kern w:val="0"/>
          <w:lang w:val="en-US"/>
        </w:rPr>
        <w:t xml:space="preserve">Accelerating STEM education reform: linked communities of practice promote creation of open educational resources and sustainable professional development’. </w:t>
      </w:r>
      <w:r>
        <w:rPr>
          <w:rFonts w:ascii="Times New Roman" w:hAnsi="Times New Roman" w:cs="Times New Roman"/>
          <w:i/>
          <w:iCs/>
          <w:kern w:val="0"/>
          <w:lang w:val="en-US"/>
        </w:rPr>
        <w:t>International Journal of STEM Education</w:t>
      </w:r>
      <w:r>
        <w:rPr>
          <w:rFonts w:ascii="Times New Roman" w:hAnsi="Times New Roman" w:cs="Times New Roman"/>
          <w:kern w:val="0"/>
          <w:lang w:val="en-US"/>
        </w:rPr>
        <w:t xml:space="preserve"> 10(1). doi: </w:t>
      </w:r>
      <w:r w:rsidRPr="00842C43">
        <w:rPr>
          <w:rFonts w:ascii="Times New Roman" w:hAnsi="Times New Roman" w:cs="Times New Roman"/>
          <w:kern w:val="0"/>
          <w:lang w:val="en-US"/>
        </w:rPr>
        <w:t>https://doi.org/10.1186/s40594-023-00405-y</w:t>
      </w:r>
      <w:r>
        <w:rPr>
          <w:rFonts w:ascii="Times New Roman" w:hAnsi="Times New Roman" w:cs="Times New Roman"/>
          <w:kern w:val="0"/>
          <w:lang w:val="en-US"/>
        </w:rPr>
        <w:t>.</w:t>
      </w:r>
    </w:p>
    <w:p w14:paraId="7FA5CB67" w14:textId="7D152B1C"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Purdue OWL (2024) </w:t>
      </w:r>
      <w:r>
        <w:rPr>
          <w:rFonts w:ascii="Times New Roman" w:hAnsi="Times New Roman" w:cs="Times New Roman"/>
          <w:i/>
          <w:iCs/>
          <w:kern w:val="0"/>
          <w:lang w:val="en-US"/>
        </w:rPr>
        <w:t>APA Formatting and Style Guide (7th Edition) - Purdue OWL® - Purdue University</w:t>
      </w:r>
      <w:r>
        <w:rPr>
          <w:rFonts w:ascii="Times New Roman" w:hAnsi="Times New Roman" w:cs="Times New Roman"/>
          <w:kern w:val="0"/>
          <w:lang w:val="en-US"/>
        </w:rPr>
        <w:t xml:space="preserve">. Available at: </w:t>
      </w:r>
      <w:r w:rsidRPr="00842C43">
        <w:rPr>
          <w:rFonts w:ascii="Times New Roman" w:hAnsi="Times New Roman" w:cs="Times New Roman"/>
          <w:kern w:val="0"/>
          <w:lang w:val="en-US"/>
        </w:rPr>
        <w:t>https://owl.purdue.edu/owl/research_and_citation/apa_style/apa_formatting_and_style_guide/index.html</w:t>
      </w:r>
      <w:r>
        <w:rPr>
          <w:rFonts w:ascii="Times New Roman" w:hAnsi="Times New Roman" w:cs="Times New Roman"/>
          <w:kern w:val="0"/>
          <w:lang w:val="en-US"/>
        </w:rPr>
        <w:t>.</w:t>
      </w:r>
    </w:p>
    <w:p w14:paraId="16792568" w14:textId="77777777"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Redden, S.M. (2021) </w:t>
      </w:r>
      <w:r>
        <w:rPr>
          <w:rFonts w:ascii="Times New Roman" w:hAnsi="Times New Roman" w:cs="Times New Roman"/>
          <w:i/>
          <w:iCs/>
          <w:kern w:val="0"/>
          <w:lang w:val="en-US"/>
        </w:rPr>
        <w:t>101 Pat-Downs : An Undercover Look at Airport Security and the TSA</w:t>
      </w:r>
      <w:r>
        <w:rPr>
          <w:rFonts w:ascii="Times New Roman" w:hAnsi="Times New Roman" w:cs="Times New Roman"/>
          <w:kern w:val="0"/>
          <w:lang w:val="en-US"/>
        </w:rPr>
        <w:t>. Lincoln: Potomac Books.</w:t>
      </w:r>
    </w:p>
    <w:p w14:paraId="409CCB57" w14:textId="1D9CA707"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Roy Martin Simamora and Pasaribu, D. (2023) ‘Education Should Embrace All Potential: Students’ Reflective Essays on the Meaning of Merdeka Belajar’. 4(1), pp. 68–87. doi: </w:t>
      </w:r>
      <w:r w:rsidRPr="00842C43">
        <w:rPr>
          <w:rFonts w:ascii="Times New Roman" w:hAnsi="Times New Roman" w:cs="Times New Roman"/>
          <w:kern w:val="0"/>
          <w:lang w:val="en-US"/>
        </w:rPr>
        <w:t>https://doi.org/10.46627/silet.v4i1.200</w:t>
      </w:r>
      <w:r>
        <w:rPr>
          <w:rFonts w:ascii="Times New Roman" w:hAnsi="Times New Roman" w:cs="Times New Roman"/>
          <w:kern w:val="0"/>
          <w:lang w:val="en-US"/>
        </w:rPr>
        <w:t>.</w:t>
      </w:r>
    </w:p>
    <w:p w14:paraId="5A31AA29" w14:textId="76676549"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Schoellbauer, J., Sonnentag, S., Prem, R. and Korunka, C. (2021) ‘I’d rather know what to expect … Work unpredictability as contemporary work stressor with detrimental implications for employees’ daily wellbeing’. </w:t>
      </w:r>
      <w:r>
        <w:rPr>
          <w:rFonts w:ascii="Times New Roman" w:hAnsi="Times New Roman" w:cs="Times New Roman"/>
          <w:i/>
          <w:iCs/>
          <w:kern w:val="0"/>
          <w:lang w:val="en-US"/>
        </w:rPr>
        <w:t>Work &amp; Stress</w:t>
      </w:r>
      <w:r>
        <w:rPr>
          <w:rFonts w:ascii="Times New Roman" w:hAnsi="Times New Roman" w:cs="Times New Roman"/>
          <w:kern w:val="0"/>
          <w:lang w:val="en-US"/>
        </w:rPr>
        <w:t xml:space="preserve"> , pp. 1–18. doi: </w:t>
      </w:r>
      <w:r w:rsidRPr="00842C43">
        <w:rPr>
          <w:rFonts w:ascii="Times New Roman" w:hAnsi="Times New Roman" w:cs="Times New Roman"/>
          <w:kern w:val="0"/>
          <w:lang w:val="en-US"/>
        </w:rPr>
        <w:t>https://doi.org/10.1080/02678373.2021.1976881</w:t>
      </w:r>
      <w:r>
        <w:rPr>
          <w:rFonts w:ascii="Times New Roman" w:hAnsi="Times New Roman" w:cs="Times New Roman"/>
          <w:kern w:val="0"/>
          <w:lang w:val="en-US"/>
        </w:rPr>
        <w:t>.</w:t>
      </w:r>
    </w:p>
    <w:p w14:paraId="3E59D3C4" w14:textId="7B71C329"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Steel, P., Taras, D., Ponak, A. and Kammeyer-Mueller, J. (</w:t>
      </w:r>
      <w:r w:rsidR="006B1B0D">
        <w:rPr>
          <w:rFonts w:ascii="Times New Roman" w:hAnsi="Times New Roman" w:cs="Times New Roman"/>
          <w:kern w:val="0"/>
          <w:lang w:val="en-US"/>
        </w:rPr>
        <w:t xml:space="preserve">2022) </w:t>
      </w:r>
      <w:r>
        <w:rPr>
          <w:rFonts w:ascii="Times New Roman" w:hAnsi="Times New Roman" w:cs="Times New Roman"/>
          <w:kern w:val="0"/>
          <w:lang w:val="en-US"/>
        </w:rPr>
        <w:t xml:space="preserve">Self-Regulation of Slippery Deadlines: The Role of Procrastination in Work Performance’. </w:t>
      </w:r>
      <w:r>
        <w:rPr>
          <w:rFonts w:ascii="Times New Roman" w:hAnsi="Times New Roman" w:cs="Times New Roman"/>
          <w:i/>
          <w:iCs/>
          <w:kern w:val="0"/>
          <w:lang w:val="en-US"/>
        </w:rPr>
        <w:t>Frontiers in Psychology</w:t>
      </w:r>
      <w:r>
        <w:rPr>
          <w:rFonts w:ascii="Times New Roman" w:hAnsi="Times New Roman" w:cs="Times New Roman"/>
          <w:kern w:val="0"/>
          <w:lang w:val="en-US"/>
        </w:rPr>
        <w:t xml:space="preserve"> 12. Available at: </w:t>
      </w:r>
      <w:r w:rsidRPr="00842C43">
        <w:rPr>
          <w:rFonts w:ascii="Times New Roman" w:hAnsi="Times New Roman" w:cs="Times New Roman"/>
          <w:kern w:val="0"/>
          <w:lang w:val="en-US"/>
        </w:rPr>
        <w:t>https://www.ncbi.nlm.nih.gov/pmc/articles/PMC8770981/</w:t>
      </w:r>
      <w:r>
        <w:rPr>
          <w:rFonts w:ascii="Times New Roman" w:hAnsi="Times New Roman" w:cs="Times New Roman"/>
          <w:kern w:val="0"/>
          <w:lang w:val="en-US"/>
        </w:rPr>
        <w:t>.</w:t>
      </w:r>
    </w:p>
    <w:p w14:paraId="171DDD1F" w14:textId="2B766351"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Swiecki, Z. et al. (</w:t>
      </w:r>
      <w:r w:rsidR="006B1B0D">
        <w:rPr>
          <w:rFonts w:ascii="Times New Roman" w:hAnsi="Times New Roman" w:cs="Times New Roman"/>
          <w:kern w:val="0"/>
          <w:lang w:val="en-US"/>
        </w:rPr>
        <w:t xml:space="preserve">2022) </w:t>
      </w:r>
      <w:r>
        <w:rPr>
          <w:rFonts w:ascii="Times New Roman" w:hAnsi="Times New Roman" w:cs="Times New Roman"/>
          <w:kern w:val="0"/>
          <w:lang w:val="en-US"/>
        </w:rPr>
        <w:t xml:space="preserve">Assessment in the age of artificial intelligence’. </w:t>
      </w:r>
      <w:r>
        <w:rPr>
          <w:rFonts w:ascii="Times New Roman" w:hAnsi="Times New Roman" w:cs="Times New Roman"/>
          <w:i/>
          <w:iCs/>
          <w:kern w:val="0"/>
          <w:lang w:val="en-US"/>
        </w:rPr>
        <w:t>Computers and Education: Artificial Intelligence</w:t>
      </w:r>
      <w:r>
        <w:rPr>
          <w:rFonts w:ascii="Times New Roman" w:hAnsi="Times New Roman" w:cs="Times New Roman"/>
          <w:kern w:val="0"/>
          <w:lang w:val="en-US"/>
        </w:rPr>
        <w:t xml:space="preserve"> 3(3), p. 100075. Available at: </w:t>
      </w:r>
      <w:r w:rsidRPr="00842C43">
        <w:rPr>
          <w:rFonts w:ascii="Times New Roman" w:hAnsi="Times New Roman" w:cs="Times New Roman"/>
          <w:kern w:val="0"/>
          <w:lang w:val="en-US"/>
        </w:rPr>
        <w:t>https://www.sciencedirect.com/science/article/pii/S2666920X22000303</w:t>
      </w:r>
      <w:r>
        <w:rPr>
          <w:rFonts w:ascii="Times New Roman" w:hAnsi="Times New Roman" w:cs="Times New Roman"/>
          <w:kern w:val="0"/>
          <w:lang w:val="en-US"/>
        </w:rPr>
        <w:t>.</w:t>
      </w:r>
    </w:p>
    <w:p w14:paraId="6FB8BCB6" w14:textId="7D9C4612"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lastRenderedPageBreak/>
        <w:t xml:space="preserve">Tamy Al-Binali, Ahmet Faruk Aysan, Hasan Dınçer, İbrahım Musa Ünal and Serhat Yüksel (2023) ‘New Horizons in Bank Mergers: A Quantum Spherical Fuzzy Decision-Making Framework for Analyzing Islamic and Conventional Bank Mergers and Enhancing Resilience’. </w:t>
      </w:r>
      <w:r>
        <w:rPr>
          <w:rFonts w:ascii="Times New Roman" w:hAnsi="Times New Roman" w:cs="Times New Roman"/>
          <w:i/>
          <w:iCs/>
          <w:kern w:val="0"/>
          <w:lang w:val="en-US"/>
        </w:rPr>
        <w:t>Sustainability</w:t>
      </w:r>
      <w:r>
        <w:rPr>
          <w:rFonts w:ascii="Times New Roman" w:hAnsi="Times New Roman" w:cs="Times New Roman"/>
          <w:kern w:val="0"/>
          <w:lang w:val="en-US"/>
        </w:rPr>
        <w:t xml:space="preserve"> 15(10), pp. 7822–7822. doi: </w:t>
      </w:r>
      <w:r w:rsidRPr="00842C43">
        <w:rPr>
          <w:rFonts w:ascii="Times New Roman" w:hAnsi="Times New Roman" w:cs="Times New Roman"/>
          <w:kern w:val="0"/>
          <w:lang w:val="en-US"/>
        </w:rPr>
        <w:t>https://doi.org/10.3390/su15107822</w:t>
      </w:r>
      <w:r>
        <w:rPr>
          <w:rFonts w:ascii="Times New Roman" w:hAnsi="Times New Roman" w:cs="Times New Roman"/>
          <w:kern w:val="0"/>
          <w:lang w:val="en-US"/>
        </w:rPr>
        <w:t>.</w:t>
      </w:r>
    </w:p>
    <w:p w14:paraId="1D2C72C7" w14:textId="184F1F9E"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Wallace, S. et al. (2022) ‘Towards Individuated Reading Experiences: Different Fonts Increase Reading Speed for Different Individuals’. </w:t>
      </w:r>
      <w:r>
        <w:rPr>
          <w:rFonts w:ascii="Times New Roman" w:hAnsi="Times New Roman" w:cs="Times New Roman"/>
          <w:i/>
          <w:iCs/>
          <w:kern w:val="0"/>
          <w:lang w:val="en-US"/>
        </w:rPr>
        <w:t>ACM Transactions on Computer-Human Interaction</w:t>
      </w:r>
      <w:r>
        <w:rPr>
          <w:rFonts w:ascii="Times New Roman" w:hAnsi="Times New Roman" w:cs="Times New Roman"/>
          <w:kern w:val="0"/>
          <w:lang w:val="en-US"/>
        </w:rPr>
        <w:t xml:space="preserve"> 29(4), pp. 1–56. doi: </w:t>
      </w:r>
      <w:r w:rsidRPr="00842C43">
        <w:rPr>
          <w:rFonts w:ascii="Times New Roman" w:hAnsi="Times New Roman" w:cs="Times New Roman"/>
          <w:kern w:val="0"/>
          <w:lang w:val="en-US"/>
        </w:rPr>
        <w:t>https://doi.org/10.1145/3502222</w:t>
      </w:r>
      <w:r>
        <w:rPr>
          <w:rFonts w:ascii="Times New Roman" w:hAnsi="Times New Roman" w:cs="Times New Roman"/>
          <w:kern w:val="0"/>
          <w:lang w:val="en-US"/>
        </w:rPr>
        <w:t>.</w:t>
      </w:r>
    </w:p>
    <w:p w14:paraId="4D3BFC0E" w14:textId="1EBE479B" w:rsidR="00842C43" w:rsidRDefault="00842C43" w:rsidP="00842C43">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Wulandari, F., Astuti, M.T. and Marhamah, M. (2024) ‘Enhancing Writing Literacy Teachers’ through AI </w:t>
      </w:r>
      <w:r w:rsidR="006B1B0D">
        <w:rPr>
          <w:rFonts w:ascii="Times New Roman" w:hAnsi="Times New Roman" w:cs="Times New Roman"/>
          <w:kern w:val="0"/>
          <w:lang w:val="en-US"/>
        </w:rPr>
        <w:t>Development -</w:t>
      </w:r>
      <w:r>
        <w:rPr>
          <w:rFonts w:ascii="Times New Roman" w:hAnsi="Times New Roman" w:cs="Times New Roman"/>
          <w:kern w:val="0"/>
          <w:lang w:val="en-US"/>
        </w:rPr>
        <w:t xml:space="preserve"> Repository Universitas Islam Riau’. </w:t>
      </w:r>
      <w:r>
        <w:rPr>
          <w:rFonts w:ascii="Times New Roman" w:hAnsi="Times New Roman" w:cs="Times New Roman"/>
          <w:i/>
          <w:iCs/>
          <w:kern w:val="0"/>
          <w:lang w:val="en-US"/>
        </w:rPr>
        <w:t>Uir.ac.id</w:t>
      </w:r>
      <w:r>
        <w:rPr>
          <w:rFonts w:ascii="Times New Roman" w:hAnsi="Times New Roman" w:cs="Times New Roman"/>
          <w:kern w:val="0"/>
          <w:lang w:val="en-US"/>
        </w:rPr>
        <w:t xml:space="preserve"> . Available at: </w:t>
      </w:r>
      <w:r w:rsidRPr="00842C43">
        <w:rPr>
          <w:rFonts w:ascii="Times New Roman" w:hAnsi="Times New Roman" w:cs="Times New Roman"/>
          <w:kern w:val="0"/>
          <w:lang w:val="en-US"/>
        </w:rPr>
        <w:t>http://repository.uir.ac.id/id/eprint/23289</w:t>
      </w:r>
      <w:r>
        <w:rPr>
          <w:rFonts w:ascii="Times New Roman" w:hAnsi="Times New Roman" w:cs="Times New Roman"/>
          <w:kern w:val="0"/>
          <w:lang w:val="en-US"/>
        </w:rPr>
        <w:t xml:space="preserve"> (Accessed: 9 October 2024).</w:t>
      </w:r>
    </w:p>
    <w:p w14:paraId="5D462B07" w14:textId="4C0407F1" w:rsidR="00D33F0A" w:rsidRPr="00D33F0A" w:rsidRDefault="00D33F0A">
      <w:pPr>
        <w:rPr>
          <w:sz w:val="32"/>
          <w:szCs w:val="32"/>
        </w:rPr>
      </w:pPr>
    </w:p>
    <w:sectPr w:rsidR="00D33F0A" w:rsidRPr="00D33F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731"/>
    <w:rsid w:val="00041561"/>
    <w:rsid w:val="00077594"/>
    <w:rsid w:val="000A63FB"/>
    <w:rsid w:val="000E2901"/>
    <w:rsid w:val="001427EA"/>
    <w:rsid w:val="001B27C6"/>
    <w:rsid w:val="002D076E"/>
    <w:rsid w:val="002D1AF5"/>
    <w:rsid w:val="003434C3"/>
    <w:rsid w:val="00345846"/>
    <w:rsid w:val="00397CCB"/>
    <w:rsid w:val="003A266E"/>
    <w:rsid w:val="004115CB"/>
    <w:rsid w:val="00411DAF"/>
    <w:rsid w:val="00444595"/>
    <w:rsid w:val="00505856"/>
    <w:rsid w:val="00566FFA"/>
    <w:rsid w:val="005A4BF4"/>
    <w:rsid w:val="005C192E"/>
    <w:rsid w:val="006750A4"/>
    <w:rsid w:val="006B1B0D"/>
    <w:rsid w:val="006D33FF"/>
    <w:rsid w:val="006D5037"/>
    <w:rsid w:val="006E617C"/>
    <w:rsid w:val="007370AE"/>
    <w:rsid w:val="00797731"/>
    <w:rsid w:val="00842C43"/>
    <w:rsid w:val="008547D6"/>
    <w:rsid w:val="008D6AE1"/>
    <w:rsid w:val="008F0792"/>
    <w:rsid w:val="00A42DF7"/>
    <w:rsid w:val="00A7754A"/>
    <w:rsid w:val="00B14F5D"/>
    <w:rsid w:val="00B20F52"/>
    <w:rsid w:val="00BB3D2A"/>
    <w:rsid w:val="00C06CAB"/>
    <w:rsid w:val="00D33F0A"/>
    <w:rsid w:val="00E45BDB"/>
    <w:rsid w:val="00EB35A4"/>
    <w:rsid w:val="00EB3E8B"/>
    <w:rsid w:val="00F13A00"/>
    <w:rsid w:val="00F23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E5238"/>
  <w15:chartTrackingRefBased/>
  <w15:docId w15:val="{44F08181-6A00-476A-8941-DC1C92A8D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7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77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77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77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77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77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77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77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77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7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77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77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77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77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77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77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77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7731"/>
    <w:rPr>
      <w:rFonts w:eastAsiaTheme="majorEastAsia" w:cstheme="majorBidi"/>
      <w:color w:val="272727" w:themeColor="text1" w:themeTint="D8"/>
    </w:rPr>
  </w:style>
  <w:style w:type="paragraph" w:styleId="Title">
    <w:name w:val="Title"/>
    <w:basedOn w:val="Normal"/>
    <w:next w:val="Normal"/>
    <w:link w:val="TitleChar"/>
    <w:uiPriority w:val="10"/>
    <w:qFormat/>
    <w:rsid w:val="007977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7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77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77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7731"/>
    <w:pPr>
      <w:spacing w:before="160"/>
      <w:jc w:val="center"/>
    </w:pPr>
    <w:rPr>
      <w:i/>
      <w:iCs/>
      <w:color w:val="404040" w:themeColor="text1" w:themeTint="BF"/>
    </w:rPr>
  </w:style>
  <w:style w:type="character" w:customStyle="1" w:styleId="QuoteChar">
    <w:name w:val="Quote Char"/>
    <w:basedOn w:val="DefaultParagraphFont"/>
    <w:link w:val="Quote"/>
    <w:uiPriority w:val="29"/>
    <w:rsid w:val="00797731"/>
    <w:rPr>
      <w:i/>
      <w:iCs/>
      <w:color w:val="404040" w:themeColor="text1" w:themeTint="BF"/>
    </w:rPr>
  </w:style>
  <w:style w:type="paragraph" w:styleId="ListParagraph">
    <w:name w:val="List Paragraph"/>
    <w:basedOn w:val="Normal"/>
    <w:uiPriority w:val="34"/>
    <w:qFormat/>
    <w:rsid w:val="00797731"/>
    <w:pPr>
      <w:ind w:left="720"/>
      <w:contextualSpacing/>
    </w:pPr>
  </w:style>
  <w:style w:type="character" w:styleId="IntenseEmphasis">
    <w:name w:val="Intense Emphasis"/>
    <w:basedOn w:val="DefaultParagraphFont"/>
    <w:uiPriority w:val="21"/>
    <w:qFormat/>
    <w:rsid w:val="00797731"/>
    <w:rPr>
      <w:i/>
      <w:iCs/>
      <w:color w:val="0F4761" w:themeColor="accent1" w:themeShade="BF"/>
    </w:rPr>
  </w:style>
  <w:style w:type="paragraph" w:styleId="IntenseQuote">
    <w:name w:val="Intense Quote"/>
    <w:basedOn w:val="Normal"/>
    <w:next w:val="Normal"/>
    <w:link w:val="IntenseQuoteChar"/>
    <w:uiPriority w:val="30"/>
    <w:qFormat/>
    <w:rsid w:val="007977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7731"/>
    <w:rPr>
      <w:i/>
      <w:iCs/>
      <w:color w:val="0F4761" w:themeColor="accent1" w:themeShade="BF"/>
    </w:rPr>
  </w:style>
  <w:style w:type="character" w:styleId="IntenseReference">
    <w:name w:val="Intense Reference"/>
    <w:basedOn w:val="DefaultParagraphFont"/>
    <w:uiPriority w:val="32"/>
    <w:qFormat/>
    <w:rsid w:val="00797731"/>
    <w:rPr>
      <w:b/>
      <w:bCs/>
      <w:smallCaps/>
      <w:color w:val="0F4761" w:themeColor="accent1" w:themeShade="BF"/>
      <w:spacing w:val="5"/>
    </w:rPr>
  </w:style>
  <w:style w:type="character" w:styleId="Hyperlink">
    <w:name w:val="Hyperlink"/>
    <w:basedOn w:val="DefaultParagraphFont"/>
    <w:uiPriority w:val="99"/>
    <w:unhideWhenUsed/>
    <w:rsid w:val="00842C43"/>
    <w:rPr>
      <w:color w:val="467886" w:themeColor="hyperlink"/>
      <w:u w:val="single"/>
    </w:rPr>
  </w:style>
  <w:style w:type="character" w:styleId="UnresolvedMention">
    <w:name w:val="Unresolved Mention"/>
    <w:basedOn w:val="DefaultParagraphFont"/>
    <w:uiPriority w:val="99"/>
    <w:semiHidden/>
    <w:unhideWhenUsed/>
    <w:rsid w:val="00842C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0165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EB58D5E805447A67E6E3AC2AA098F" ma:contentTypeVersion="14" ma:contentTypeDescription="Create a new document." ma:contentTypeScope="" ma:versionID="011cbdeb0fc0ff58a6cecc9fe20405b4">
  <xsd:schema xmlns:xsd="http://www.w3.org/2001/XMLSchema" xmlns:xs="http://www.w3.org/2001/XMLSchema" xmlns:p="http://schemas.microsoft.com/office/2006/metadata/properties" xmlns:ns3="5b0da114-0538-4a78-995a-f0bd13903525" xmlns:ns4="076a45e5-8aef-46c2-8bf0-bde5428c276d" targetNamespace="http://schemas.microsoft.com/office/2006/metadata/properties" ma:root="true" ma:fieldsID="63758865e8677e5c2269d5e6ade6175d" ns3:_="" ns4:_="">
    <xsd:import namespace="5b0da114-0538-4a78-995a-f0bd13903525"/>
    <xsd:import namespace="076a45e5-8aef-46c2-8bf0-bde5428c276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da114-0538-4a78-995a-f0bd13903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6a45e5-8aef-46c2-8bf0-bde5428c276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b0da114-0538-4a78-995a-f0bd13903525" xsi:nil="true"/>
  </documentManagement>
</p:properties>
</file>

<file path=customXml/itemProps1.xml><?xml version="1.0" encoding="utf-8"?>
<ds:datastoreItem xmlns:ds="http://schemas.openxmlformats.org/officeDocument/2006/customXml" ds:itemID="{60F55613-B33E-4364-AE40-9538FFBC1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da114-0538-4a78-995a-f0bd13903525"/>
    <ds:schemaRef ds:uri="076a45e5-8aef-46c2-8bf0-bde5428c27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C7DE18-62C2-44F0-816D-A047FA01EAA6}">
  <ds:schemaRefs>
    <ds:schemaRef ds:uri="http://schemas.microsoft.com/sharepoint/v3/contenttype/forms"/>
  </ds:schemaRefs>
</ds:datastoreItem>
</file>

<file path=customXml/itemProps3.xml><?xml version="1.0" encoding="utf-8"?>
<ds:datastoreItem xmlns:ds="http://schemas.openxmlformats.org/officeDocument/2006/customXml" ds:itemID="{C4AA4189-1FF4-4D10-BD70-F2330E80C740}">
  <ds:schemaRefs>
    <ds:schemaRef ds:uri="http://purl.org/dc/dcmitype/"/>
    <ds:schemaRef ds:uri="http://schemas.microsoft.com/office/2006/documentManagement/types"/>
    <ds:schemaRef ds:uri="http://schemas.microsoft.com/office/infopath/2007/PartnerControls"/>
    <ds:schemaRef ds:uri="http://www.w3.org/XML/1998/namespace"/>
    <ds:schemaRef ds:uri="5b0da114-0538-4a78-995a-f0bd13903525"/>
    <ds:schemaRef ds:uri="http://purl.org/dc/terms/"/>
    <ds:schemaRef ds:uri="http://purl.org/dc/elements/1.1/"/>
    <ds:schemaRef ds:uri="http://schemas.openxmlformats.org/package/2006/metadata/core-properties"/>
    <ds:schemaRef ds:uri="076a45e5-8aef-46c2-8bf0-bde5428c276d"/>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2154</Words>
  <Characters>12278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Viorel Murgu (2216416)</dc:creator>
  <cp:keywords/>
  <dc:description/>
  <cp:lastModifiedBy>Viorel Murgu (2216416)</cp:lastModifiedBy>
  <cp:revision>2</cp:revision>
  <dcterms:created xsi:type="dcterms:W3CDTF">2024-12-13T20:26:00Z</dcterms:created>
  <dcterms:modified xsi:type="dcterms:W3CDTF">2024-12-13T20:26:00Z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0x0101008D3EB58D5E805447A67E6E3AC2AA098F</vt:lpwstr>
  </property>
</Properties>
</file>