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0625F" w14:textId="784AF21D" w:rsidR="007D5DA6" w:rsidRPr="00784781" w:rsidRDefault="007D5DA6" w:rsidP="00784781">
      <w:pPr>
        <w:spacing w:after="80"/>
        <w:rPr>
          <w:rFonts w:ascii="Times New Roman" w:hAnsi="Times New Roman" w:cs="Times New Roman"/>
          <w:b/>
          <w:bCs/>
          <w:sz w:val="32"/>
          <w:szCs w:val="32"/>
        </w:rPr>
      </w:pPr>
      <w:r w:rsidRPr="00784781">
        <w:rPr>
          <w:rFonts w:ascii="Times New Roman" w:hAnsi="Times New Roman" w:cs="Times New Roman"/>
          <w:b/>
          <w:bCs/>
          <w:sz w:val="32"/>
          <w:szCs w:val="32"/>
        </w:rPr>
        <w:t>Protecting and Supporting Families in Health and Care BMHP5021</w:t>
      </w:r>
    </w:p>
    <w:p w14:paraId="13645733" w14:textId="77777777" w:rsidR="007D5DA6" w:rsidRPr="00784781" w:rsidRDefault="007D5DA6" w:rsidP="00784781">
      <w:pPr>
        <w:spacing w:after="80"/>
        <w:rPr>
          <w:rFonts w:ascii="Times New Roman" w:hAnsi="Times New Roman" w:cs="Times New Roman"/>
          <w:b/>
          <w:bCs/>
          <w:sz w:val="32"/>
          <w:szCs w:val="32"/>
        </w:rPr>
      </w:pPr>
    </w:p>
    <w:p w14:paraId="3110962B" w14:textId="77777777" w:rsidR="007D5DA6" w:rsidRPr="00784781" w:rsidRDefault="007D5DA6" w:rsidP="00784781">
      <w:pPr>
        <w:spacing w:after="80"/>
        <w:rPr>
          <w:rFonts w:ascii="Times New Roman" w:hAnsi="Times New Roman" w:cs="Times New Roman"/>
          <w:b/>
          <w:bCs/>
          <w:sz w:val="32"/>
          <w:szCs w:val="32"/>
        </w:rPr>
      </w:pPr>
    </w:p>
    <w:p w14:paraId="20247CB4" w14:textId="0B720AAF" w:rsidR="00C20D9F" w:rsidRDefault="00000000" w:rsidP="00784781">
      <w:pPr>
        <w:spacing w:after="80"/>
        <w:rPr>
          <w:rFonts w:ascii="Times New Roman" w:hAnsi="Times New Roman" w:cs="Times New Roman"/>
          <w:b/>
          <w:bCs/>
          <w:sz w:val="32"/>
          <w:szCs w:val="32"/>
        </w:rPr>
      </w:pPr>
      <w:r w:rsidRPr="00784781">
        <w:rPr>
          <w:rFonts w:ascii="Times New Roman" w:hAnsi="Times New Roman" w:cs="Times New Roman"/>
          <w:b/>
          <w:bCs/>
          <w:sz w:val="32"/>
          <w:szCs w:val="32"/>
        </w:rPr>
        <w:t>An Examination and Analysis of How the ‘Early Help’ System is Signposted to UK Families by Their Local Authority Website</w:t>
      </w:r>
    </w:p>
    <w:p w14:paraId="7BFF945C" w14:textId="77777777" w:rsidR="00784781" w:rsidRDefault="00784781" w:rsidP="00784781">
      <w:pPr>
        <w:spacing w:after="80"/>
        <w:rPr>
          <w:rFonts w:ascii="Times New Roman" w:hAnsi="Times New Roman" w:cs="Times New Roman"/>
          <w:sz w:val="28"/>
          <w:szCs w:val="28"/>
        </w:rPr>
      </w:pPr>
    </w:p>
    <w:p w14:paraId="66C757BC" w14:textId="77777777" w:rsidR="00784781" w:rsidRPr="00784781" w:rsidRDefault="00784781" w:rsidP="00784781">
      <w:pPr>
        <w:spacing w:after="80"/>
        <w:rPr>
          <w:rFonts w:ascii="Times New Roman" w:hAnsi="Times New Roman" w:cs="Times New Roman"/>
          <w:sz w:val="28"/>
          <w:szCs w:val="28"/>
        </w:rPr>
      </w:pPr>
    </w:p>
    <w:p w14:paraId="32D0D86A" w14:textId="77777777" w:rsidR="00C20D9F" w:rsidRPr="00784781" w:rsidRDefault="00000000" w:rsidP="00784781">
      <w:pPr>
        <w:spacing w:after="360"/>
        <w:rPr>
          <w:rFonts w:ascii="Times New Roman" w:hAnsi="Times New Roman" w:cs="Times New Roman"/>
          <w:i/>
          <w:iCs/>
          <w:sz w:val="28"/>
          <w:szCs w:val="28"/>
        </w:rPr>
      </w:pPr>
      <w:r w:rsidRPr="00784781">
        <w:rPr>
          <w:rFonts w:ascii="Times New Roman" w:hAnsi="Times New Roman" w:cs="Times New Roman"/>
          <w:i/>
          <w:iCs/>
          <w:sz w:val="28"/>
          <w:szCs w:val="28"/>
        </w:rPr>
        <w:t>A comparative review of Leeds City Council, Southwark Council and Nottinghamshire County Council</w:t>
      </w:r>
    </w:p>
    <w:p w14:paraId="269EF4F9" w14:textId="77777777" w:rsidR="00784781" w:rsidRDefault="00784781">
      <w:pPr>
        <w:spacing w:after="360"/>
        <w:jc w:val="center"/>
        <w:rPr>
          <w:i/>
          <w:iCs/>
        </w:rPr>
      </w:pPr>
    </w:p>
    <w:p w14:paraId="2365DA7D" w14:textId="77777777" w:rsidR="00784781" w:rsidRDefault="00784781">
      <w:pPr>
        <w:spacing w:after="360"/>
        <w:jc w:val="center"/>
        <w:rPr>
          <w:i/>
          <w:iCs/>
        </w:rPr>
      </w:pPr>
    </w:p>
    <w:p w14:paraId="58C7CF1F" w14:textId="77777777" w:rsidR="00CB1EA2" w:rsidRDefault="00CB1EA2" w:rsidP="00CB1EA2">
      <w:pPr>
        <w:sectPr w:rsidR="00CB1EA2" w:rsidSect="00CB1EA2">
          <w:pgSz w:w="11906" w:h="16838"/>
          <w:pgMar w:top="1440" w:right="1440" w:bottom="1440" w:left="1440" w:header="708" w:footer="708" w:gutter="0"/>
          <w:cols w:space="720"/>
          <w:docGrid w:linePitch="360"/>
        </w:sectPr>
      </w:pPr>
      <w:r>
        <w:t>Claudiu Girbea 2430595</w:t>
      </w:r>
    </w:p>
    <w:p w14:paraId="4F6D5959" w14:textId="703861D3" w:rsidR="00784781" w:rsidRDefault="00CB1EA2">
      <w:pPr>
        <w:spacing w:after="360"/>
        <w:jc w:val="center"/>
        <w:rPr>
          <w:i/>
          <w:iCs/>
        </w:rPr>
      </w:pPr>
      <w:r>
        <w:rPr>
          <w:i/>
          <w:iCs/>
        </w:rPr>
        <w:lastRenderedPageBreak/>
        <w:t xml:space="preserve"> </w:t>
      </w:r>
    </w:p>
    <w:p w14:paraId="2A22EE3C" w14:textId="77777777" w:rsidR="00784781" w:rsidRDefault="00784781">
      <w:pPr>
        <w:spacing w:after="360"/>
        <w:jc w:val="center"/>
        <w:rPr>
          <w:i/>
          <w:iCs/>
        </w:rPr>
      </w:pPr>
    </w:p>
    <w:sdt>
      <w:sdtPr>
        <w:rPr>
          <w:rFonts w:ascii="Calibri" w:eastAsia="Calibri" w:hAnsi="Calibri" w:cs="Calibri"/>
          <w:color w:val="auto"/>
          <w:sz w:val="24"/>
          <w:szCs w:val="24"/>
          <w:lang w:val="en-GB" w:eastAsia="en-GB"/>
        </w:rPr>
        <w:id w:val="-531030716"/>
        <w:docPartObj>
          <w:docPartGallery w:val="Table of Contents"/>
          <w:docPartUnique/>
        </w:docPartObj>
      </w:sdtPr>
      <w:sdtEndPr>
        <w:rPr>
          <w:b/>
          <w:bCs/>
          <w:noProof/>
        </w:rPr>
      </w:sdtEndPr>
      <w:sdtContent>
        <w:p w14:paraId="6D195394" w14:textId="4D131583" w:rsidR="00784781" w:rsidRDefault="00784781">
          <w:pPr>
            <w:pStyle w:val="TOCHeading"/>
          </w:pPr>
          <w:r>
            <w:t>Table of Contents</w:t>
          </w:r>
        </w:p>
        <w:p w14:paraId="2001DF46" w14:textId="2E34DC89" w:rsidR="00784781" w:rsidRDefault="00784781">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36140333" w:history="1">
            <w:r w:rsidRPr="00D3084D">
              <w:rPr>
                <w:rStyle w:val="Hyperlink"/>
                <w:noProof/>
              </w:rPr>
              <w:t>Introduction</w:t>
            </w:r>
            <w:r>
              <w:rPr>
                <w:noProof/>
                <w:webHidden/>
              </w:rPr>
              <w:tab/>
            </w:r>
            <w:r>
              <w:rPr>
                <w:noProof/>
                <w:webHidden/>
              </w:rPr>
              <w:fldChar w:fldCharType="begin"/>
            </w:r>
            <w:r>
              <w:rPr>
                <w:noProof/>
                <w:webHidden/>
              </w:rPr>
              <w:instrText xml:space="preserve"> PAGEREF _Toc236140333 \h </w:instrText>
            </w:r>
            <w:r>
              <w:rPr>
                <w:noProof/>
                <w:webHidden/>
              </w:rPr>
            </w:r>
            <w:r>
              <w:rPr>
                <w:noProof/>
                <w:webHidden/>
              </w:rPr>
              <w:fldChar w:fldCharType="separate"/>
            </w:r>
            <w:r>
              <w:rPr>
                <w:noProof/>
                <w:webHidden/>
              </w:rPr>
              <w:t>2</w:t>
            </w:r>
            <w:r>
              <w:rPr>
                <w:noProof/>
                <w:webHidden/>
              </w:rPr>
              <w:fldChar w:fldCharType="end"/>
            </w:r>
          </w:hyperlink>
        </w:p>
        <w:p w14:paraId="02DF4E22" w14:textId="5C7A6CA3" w:rsidR="00784781" w:rsidRDefault="00784781">
          <w:pPr>
            <w:pStyle w:val="TOC1"/>
            <w:tabs>
              <w:tab w:val="right" w:leader="dot" w:pos="9016"/>
            </w:tabs>
            <w:rPr>
              <w:rFonts w:asciiTheme="minorHAnsi" w:eastAsiaTheme="minorEastAsia" w:hAnsiTheme="minorHAnsi" w:cstheme="minorBidi"/>
              <w:noProof/>
              <w:kern w:val="2"/>
              <w14:ligatures w14:val="standardContextual"/>
            </w:rPr>
          </w:pPr>
          <w:hyperlink w:anchor="_Toc236140334" w:history="1">
            <w:r w:rsidRPr="00D3084D">
              <w:rPr>
                <w:rStyle w:val="Hyperlink"/>
                <w:noProof/>
              </w:rPr>
              <w:t>The Early Help System</w:t>
            </w:r>
            <w:r>
              <w:rPr>
                <w:noProof/>
                <w:webHidden/>
              </w:rPr>
              <w:tab/>
            </w:r>
            <w:r>
              <w:rPr>
                <w:noProof/>
                <w:webHidden/>
              </w:rPr>
              <w:fldChar w:fldCharType="begin"/>
            </w:r>
            <w:r>
              <w:rPr>
                <w:noProof/>
                <w:webHidden/>
              </w:rPr>
              <w:instrText xml:space="preserve"> PAGEREF _Toc236140334 \h </w:instrText>
            </w:r>
            <w:r>
              <w:rPr>
                <w:noProof/>
                <w:webHidden/>
              </w:rPr>
            </w:r>
            <w:r>
              <w:rPr>
                <w:noProof/>
                <w:webHidden/>
              </w:rPr>
              <w:fldChar w:fldCharType="separate"/>
            </w:r>
            <w:r>
              <w:rPr>
                <w:noProof/>
                <w:webHidden/>
              </w:rPr>
              <w:t>3</w:t>
            </w:r>
            <w:r>
              <w:rPr>
                <w:noProof/>
                <w:webHidden/>
              </w:rPr>
              <w:fldChar w:fldCharType="end"/>
            </w:r>
          </w:hyperlink>
        </w:p>
        <w:p w14:paraId="4BC52FB0" w14:textId="125A7D9F" w:rsidR="00784781" w:rsidRDefault="00784781">
          <w:pPr>
            <w:pStyle w:val="TOC1"/>
            <w:tabs>
              <w:tab w:val="right" w:leader="dot" w:pos="9016"/>
            </w:tabs>
            <w:rPr>
              <w:rFonts w:asciiTheme="minorHAnsi" w:eastAsiaTheme="minorEastAsia" w:hAnsiTheme="minorHAnsi" w:cstheme="minorBidi"/>
              <w:noProof/>
              <w:kern w:val="2"/>
              <w14:ligatures w14:val="standardContextual"/>
            </w:rPr>
          </w:pPr>
          <w:hyperlink w:anchor="_Toc236140335" w:history="1">
            <w:r w:rsidRPr="00D3084D">
              <w:rPr>
                <w:rStyle w:val="Hyperlink"/>
                <w:noProof/>
              </w:rPr>
              <w:t>Multi-Agency Working</w:t>
            </w:r>
            <w:r>
              <w:rPr>
                <w:noProof/>
                <w:webHidden/>
              </w:rPr>
              <w:tab/>
            </w:r>
            <w:r>
              <w:rPr>
                <w:noProof/>
                <w:webHidden/>
              </w:rPr>
              <w:fldChar w:fldCharType="begin"/>
            </w:r>
            <w:r>
              <w:rPr>
                <w:noProof/>
                <w:webHidden/>
              </w:rPr>
              <w:instrText xml:space="preserve"> PAGEREF _Toc236140335 \h </w:instrText>
            </w:r>
            <w:r>
              <w:rPr>
                <w:noProof/>
                <w:webHidden/>
              </w:rPr>
            </w:r>
            <w:r>
              <w:rPr>
                <w:noProof/>
                <w:webHidden/>
              </w:rPr>
              <w:fldChar w:fldCharType="separate"/>
            </w:r>
            <w:r>
              <w:rPr>
                <w:noProof/>
                <w:webHidden/>
              </w:rPr>
              <w:t>4</w:t>
            </w:r>
            <w:r>
              <w:rPr>
                <w:noProof/>
                <w:webHidden/>
              </w:rPr>
              <w:fldChar w:fldCharType="end"/>
            </w:r>
          </w:hyperlink>
        </w:p>
        <w:p w14:paraId="66C35BC3" w14:textId="60E4C15C" w:rsidR="00784781" w:rsidRDefault="00784781">
          <w:pPr>
            <w:pStyle w:val="TOC1"/>
            <w:tabs>
              <w:tab w:val="right" w:leader="dot" w:pos="9016"/>
            </w:tabs>
            <w:rPr>
              <w:rFonts w:asciiTheme="minorHAnsi" w:eastAsiaTheme="minorEastAsia" w:hAnsiTheme="minorHAnsi" w:cstheme="minorBidi"/>
              <w:noProof/>
              <w:kern w:val="2"/>
              <w14:ligatures w14:val="standardContextual"/>
            </w:rPr>
          </w:pPr>
          <w:hyperlink w:anchor="_Toc236140336" w:history="1">
            <w:r w:rsidRPr="00D3084D">
              <w:rPr>
                <w:rStyle w:val="Hyperlink"/>
                <w:noProof/>
              </w:rPr>
              <w:t>Evaluation of Local Authority Websites</w:t>
            </w:r>
            <w:r>
              <w:rPr>
                <w:noProof/>
                <w:webHidden/>
              </w:rPr>
              <w:tab/>
            </w:r>
            <w:r>
              <w:rPr>
                <w:noProof/>
                <w:webHidden/>
              </w:rPr>
              <w:fldChar w:fldCharType="begin"/>
            </w:r>
            <w:r>
              <w:rPr>
                <w:noProof/>
                <w:webHidden/>
              </w:rPr>
              <w:instrText xml:space="preserve"> PAGEREF _Toc236140336 \h </w:instrText>
            </w:r>
            <w:r>
              <w:rPr>
                <w:noProof/>
                <w:webHidden/>
              </w:rPr>
            </w:r>
            <w:r>
              <w:rPr>
                <w:noProof/>
                <w:webHidden/>
              </w:rPr>
              <w:fldChar w:fldCharType="separate"/>
            </w:r>
            <w:r>
              <w:rPr>
                <w:noProof/>
                <w:webHidden/>
              </w:rPr>
              <w:t>4</w:t>
            </w:r>
            <w:r>
              <w:rPr>
                <w:noProof/>
                <w:webHidden/>
              </w:rPr>
              <w:fldChar w:fldCharType="end"/>
            </w:r>
          </w:hyperlink>
        </w:p>
        <w:p w14:paraId="6FA43D1A" w14:textId="610DEDF8" w:rsidR="00784781" w:rsidRDefault="00784781">
          <w:pPr>
            <w:pStyle w:val="TOC1"/>
            <w:tabs>
              <w:tab w:val="right" w:leader="dot" w:pos="9016"/>
            </w:tabs>
            <w:rPr>
              <w:rFonts w:asciiTheme="minorHAnsi" w:eastAsiaTheme="minorEastAsia" w:hAnsiTheme="minorHAnsi" w:cstheme="minorBidi"/>
              <w:noProof/>
              <w:kern w:val="2"/>
              <w14:ligatures w14:val="standardContextual"/>
            </w:rPr>
          </w:pPr>
          <w:hyperlink w:anchor="_Toc236140337" w:history="1">
            <w:r w:rsidRPr="00D3084D">
              <w:rPr>
                <w:rStyle w:val="Hyperlink"/>
                <w:noProof/>
              </w:rPr>
              <w:t>Comparative Analysis</w:t>
            </w:r>
            <w:r>
              <w:rPr>
                <w:noProof/>
                <w:webHidden/>
              </w:rPr>
              <w:tab/>
            </w:r>
            <w:r>
              <w:rPr>
                <w:noProof/>
                <w:webHidden/>
              </w:rPr>
              <w:fldChar w:fldCharType="begin"/>
            </w:r>
            <w:r>
              <w:rPr>
                <w:noProof/>
                <w:webHidden/>
              </w:rPr>
              <w:instrText xml:space="preserve"> PAGEREF _Toc236140337 \h </w:instrText>
            </w:r>
            <w:r>
              <w:rPr>
                <w:noProof/>
                <w:webHidden/>
              </w:rPr>
            </w:r>
            <w:r>
              <w:rPr>
                <w:noProof/>
                <w:webHidden/>
              </w:rPr>
              <w:fldChar w:fldCharType="separate"/>
            </w:r>
            <w:r>
              <w:rPr>
                <w:noProof/>
                <w:webHidden/>
              </w:rPr>
              <w:t>6</w:t>
            </w:r>
            <w:r>
              <w:rPr>
                <w:noProof/>
                <w:webHidden/>
              </w:rPr>
              <w:fldChar w:fldCharType="end"/>
            </w:r>
          </w:hyperlink>
        </w:p>
        <w:p w14:paraId="0AC8F28E" w14:textId="3BFFDD18" w:rsidR="00784781" w:rsidRDefault="00784781">
          <w:pPr>
            <w:pStyle w:val="TOC1"/>
            <w:tabs>
              <w:tab w:val="right" w:leader="dot" w:pos="9016"/>
            </w:tabs>
            <w:rPr>
              <w:rFonts w:asciiTheme="minorHAnsi" w:eastAsiaTheme="minorEastAsia" w:hAnsiTheme="minorHAnsi" w:cstheme="minorBidi"/>
              <w:noProof/>
              <w:kern w:val="2"/>
              <w14:ligatures w14:val="standardContextual"/>
            </w:rPr>
          </w:pPr>
          <w:hyperlink w:anchor="_Toc236140338" w:history="1">
            <w:r w:rsidRPr="00D3084D">
              <w:rPr>
                <w:rStyle w:val="Hyperlink"/>
                <w:noProof/>
              </w:rPr>
              <w:t>Conclusion and Recommendations</w:t>
            </w:r>
            <w:r>
              <w:rPr>
                <w:noProof/>
                <w:webHidden/>
              </w:rPr>
              <w:tab/>
            </w:r>
            <w:r>
              <w:rPr>
                <w:noProof/>
                <w:webHidden/>
              </w:rPr>
              <w:fldChar w:fldCharType="begin"/>
            </w:r>
            <w:r>
              <w:rPr>
                <w:noProof/>
                <w:webHidden/>
              </w:rPr>
              <w:instrText xml:space="preserve"> PAGEREF _Toc236140338 \h </w:instrText>
            </w:r>
            <w:r>
              <w:rPr>
                <w:noProof/>
                <w:webHidden/>
              </w:rPr>
            </w:r>
            <w:r>
              <w:rPr>
                <w:noProof/>
                <w:webHidden/>
              </w:rPr>
              <w:fldChar w:fldCharType="separate"/>
            </w:r>
            <w:r>
              <w:rPr>
                <w:noProof/>
                <w:webHidden/>
              </w:rPr>
              <w:t>7</w:t>
            </w:r>
            <w:r>
              <w:rPr>
                <w:noProof/>
                <w:webHidden/>
              </w:rPr>
              <w:fldChar w:fldCharType="end"/>
            </w:r>
          </w:hyperlink>
        </w:p>
        <w:p w14:paraId="5A0DD879" w14:textId="45D031BA" w:rsidR="00784781" w:rsidRDefault="00784781">
          <w:pPr>
            <w:pStyle w:val="TOC1"/>
            <w:tabs>
              <w:tab w:val="right" w:leader="dot" w:pos="9016"/>
            </w:tabs>
            <w:rPr>
              <w:rFonts w:asciiTheme="minorHAnsi" w:eastAsiaTheme="minorEastAsia" w:hAnsiTheme="minorHAnsi" w:cstheme="minorBidi"/>
              <w:noProof/>
              <w:kern w:val="2"/>
              <w14:ligatures w14:val="standardContextual"/>
            </w:rPr>
          </w:pPr>
          <w:hyperlink w:anchor="_Toc236140339" w:history="1">
            <w:r w:rsidRPr="00D3084D">
              <w:rPr>
                <w:rStyle w:val="Hyperlink"/>
                <w:noProof/>
              </w:rPr>
              <w:t>Reference List</w:t>
            </w:r>
            <w:r>
              <w:rPr>
                <w:noProof/>
                <w:webHidden/>
              </w:rPr>
              <w:tab/>
            </w:r>
            <w:r>
              <w:rPr>
                <w:noProof/>
                <w:webHidden/>
              </w:rPr>
              <w:fldChar w:fldCharType="begin"/>
            </w:r>
            <w:r>
              <w:rPr>
                <w:noProof/>
                <w:webHidden/>
              </w:rPr>
              <w:instrText xml:space="preserve"> PAGEREF _Toc236140339 \h </w:instrText>
            </w:r>
            <w:r>
              <w:rPr>
                <w:noProof/>
                <w:webHidden/>
              </w:rPr>
            </w:r>
            <w:r>
              <w:rPr>
                <w:noProof/>
                <w:webHidden/>
              </w:rPr>
              <w:fldChar w:fldCharType="separate"/>
            </w:r>
            <w:r>
              <w:rPr>
                <w:noProof/>
                <w:webHidden/>
              </w:rPr>
              <w:t>8</w:t>
            </w:r>
            <w:r>
              <w:rPr>
                <w:noProof/>
                <w:webHidden/>
              </w:rPr>
              <w:fldChar w:fldCharType="end"/>
            </w:r>
          </w:hyperlink>
        </w:p>
        <w:p w14:paraId="7FA840A9" w14:textId="60367E36" w:rsidR="00784781" w:rsidRDefault="00784781">
          <w:r>
            <w:rPr>
              <w:b/>
              <w:bCs/>
              <w:noProof/>
            </w:rPr>
            <w:fldChar w:fldCharType="end"/>
          </w:r>
        </w:p>
      </w:sdtContent>
    </w:sdt>
    <w:p w14:paraId="20B9BC8B" w14:textId="77777777" w:rsidR="00784781" w:rsidRDefault="00784781" w:rsidP="00784781"/>
    <w:p w14:paraId="7AE0DB42" w14:textId="77777777" w:rsidR="00784781" w:rsidRDefault="00784781" w:rsidP="00784781"/>
    <w:p w14:paraId="36D11BFB" w14:textId="77777777" w:rsidR="00784781" w:rsidRDefault="00784781" w:rsidP="00784781"/>
    <w:p w14:paraId="0769E58A" w14:textId="77777777" w:rsidR="00784781" w:rsidRDefault="00784781" w:rsidP="00784781"/>
    <w:p w14:paraId="47A3880A" w14:textId="77777777" w:rsidR="00784781" w:rsidRDefault="00784781" w:rsidP="00784781"/>
    <w:p w14:paraId="040E287C" w14:textId="77777777" w:rsidR="00784781" w:rsidRDefault="00784781" w:rsidP="00784781"/>
    <w:p w14:paraId="161847BE" w14:textId="77777777" w:rsidR="00784781" w:rsidRDefault="00784781" w:rsidP="00784781"/>
    <w:p w14:paraId="533A6521" w14:textId="77777777" w:rsidR="00784781" w:rsidRDefault="00784781" w:rsidP="00784781"/>
    <w:p w14:paraId="66ADF17C" w14:textId="77777777" w:rsidR="00784781" w:rsidRDefault="00784781" w:rsidP="00784781"/>
    <w:p w14:paraId="7C750DB5" w14:textId="77777777" w:rsidR="00784781" w:rsidRDefault="00784781" w:rsidP="00784781"/>
    <w:p w14:paraId="43F2F456" w14:textId="77777777" w:rsidR="00784781" w:rsidRDefault="00784781" w:rsidP="00784781"/>
    <w:p w14:paraId="088B5DBF" w14:textId="77777777" w:rsidR="00784781" w:rsidRDefault="00784781" w:rsidP="00784781"/>
    <w:p w14:paraId="1677AA36" w14:textId="77777777" w:rsidR="00784781" w:rsidRDefault="00784781" w:rsidP="00784781"/>
    <w:p w14:paraId="5C222D46" w14:textId="77777777" w:rsidR="00784781" w:rsidRDefault="00784781" w:rsidP="00784781"/>
    <w:p w14:paraId="12194FBF" w14:textId="77777777" w:rsidR="00784781" w:rsidRDefault="00784781" w:rsidP="00784781"/>
    <w:p w14:paraId="712FE539" w14:textId="77777777" w:rsidR="00784781" w:rsidRDefault="00784781" w:rsidP="00784781"/>
    <w:p w14:paraId="377E8A2C" w14:textId="77777777" w:rsidR="00784781" w:rsidRDefault="00784781" w:rsidP="00784781"/>
    <w:p w14:paraId="46BAC8C8" w14:textId="77777777" w:rsidR="00784781" w:rsidRDefault="00784781" w:rsidP="00784781"/>
    <w:p w14:paraId="509323FA" w14:textId="77777777" w:rsidR="00784781" w:rsidRDefault="00784781" w:rsidP="00784781"/>
    <w:p w14:paraId="1004907F" w14:textId="77777777" w:rsidR="00784781" w:rsidRDefault="00784781" w:rsidP="00784781"/>
    <w:p w14:paraId="1007188B" w14:textId="77777777" w:rsidR="00784781" w:rsidRDefault="00784781" w:rsidP="00784781"/>
    <w:p w14:paraId="2B469E89" w14:textId="77777777" w:rsidR="00784781" w:rsidRDefault="00784781" w:rsidP="00784781"/>
    <w:p w14:paraId="7DFAAB58" w14:textId="77777777" w:rsidR="00784781" w:rsidRDefault="00784781" w:rsidP="00784781"/>
    <w:p w14:paraId="65EB7AF9" w14:textId="77777777" w:rsidR="00784781" w:rsidRDefault="00784781" w:rsidP="00784781"/>
    <w:p w14:paraId="0AF5D07D" w14:textId="77777777" w:rsidR="00784781" w:rsidRDefault="00784781">
      <w:pPr>
        <w:spacing w:after="360"/>
        <w:jc w:val="center"/>
        <w:rPr>
          <w:i/>
          <w:iCs/>
        </w:rPr>
      </w:pPr>
    </w:p>
    <w:p w14:paraId="65222046" w14:textId="77777777" w:rsidR="00784781" w:rsidRDefault="00784781">
      <w:pPr>
        <w:spacing w:after="360"/>
        <w:jc w:val="center"/>
        <w:rPr>
          <w:i/>
          <w:iCs/>
        </w:rPr>
      </w:pPr>
    </w:p>
    <w:p w14:paraId="6559878B" w14:textId="77777777" w:rsidR="00784781" w:rsidRDefault="00784781">
      <w:pPr>
        <w:spacing w:after="360"/>
        <w:jc w:val="center"/>
        <w:rPr>
          <w:i/>
          <w:iCs/>
        </w:rPr>
      </w:pPr>
    </w:p>
    <w:p w14:paraId="5E674426" w14:textId="77777777" w:rsidR="00784781" w:rsidRDefault="00784781">
      <w:pPr>
        <w:spacing w:after="360"/>
        <w:jc w:val="center"/>
        <w:rPr>
          <w:i/>
          <w:iCs/>
        </w:rPr>
      </w:pPr>
    </w:p>
    <w:p w14:paraId="4D5E857D" w14:textId="77777777" w:rsidR="00784781" w:rsidRDefault="00784781">
      <w:pPr>
        <w:spacing w:after="360"/>
        <w:jc w:val="center"/>
      </w:pPr>
    </w:p>
    <w:p w14:paraId="35D8D34A" w14:textId="65F98528" w:rsidR="00784781" w:rsidRDefault="00000000" w:rsidP="00784781">
      <w:pPr>
        <w:pStyle w:val="Heading1"/>
      </w:pPr>
      <w:bookmarkStart w:id="0" w:name="_Toc236140333"/>
      <w:r w:rsidRPr="00784781">
        <w:t>Introduction</w:t>
      </w:r>
      <w:bookmarkEnd w:id="0"/>
      <w:r w:rsidR="00784781">
        <w:t xml:space="preserve"> </w:t>
      </w:r>
    </w:p>
    <w:p w14:paraId="5A2E91CD" w14:textId="77777777" w:rsidR="00784781" w:rsidRDefault="00784781" w:rsidP="00784781">
      <w:pPr>
        <w:spacing w:after="200" w:line="360" w:lineRule="auto"/>
        <w:jc w:val="both"/>
      </w:pPr>
      <w:r>
        <w:t>A key role in the work of strategic safeguarding partnerships in England is the provision of ‘Early Help' to children, young people and families before issues escalate to a point where statutory action is required (Department for Education and Department for Levelling Up, Housing and Communities, 2022). For many families the first place to visit when they are in need of Early Help is a local authority website, and the clarity, accessibility and tone of digital signposting can make a direct impact on family uptake of help (Ofsted, 2015). This report explores and contrasts the way that three local authorities - Leeds City Council, Southwark Council and Nottinghamshire County Council - share information about Early Help and family support services on their websites. It starts with an explanation of the Early Help system and the principles of multi-agency working on which it is based, then considers each website in turn, its strengths and weaknesses, and make recommendations for improvement.</w:t>
      </w:r>
    </w:p>
    <w:p w14:paraId="479C5018" w14:textId="77777777" w:rsidR="00784781" w:rsidRDefault="00784781" w:rsidP="00784781">
      <w:pPr>
        <w:pStyle w:val="Heading1"/>
      </w:pPr>
      <w:bookmarkStart w:id="1" w:name="_Toc236140334"/>
      <w:r>
        <w:t>The Early Help System</w:t>
      </w:r>
      <w:bookmarkEnd w:id="1"/>
    </w:p>
    <w:p w14:paraId="52B994C4" w14:textId="77777777" w:rsidR="00784781" w:rsidRDefault="00784781" w:rsidP="00784781">
      <w:pPr>
        <w:spacing w:after="200" w:line="360" w:lineRule="auto"/>
        <w:jc w:val="both"/>
      </w:pPr>
      <w:r>
        <w:t>Early Help is described by the Department for Education and Department for Levelling Up, Housing and Communities (2022) as the care provided by joining forces across the whole system of care; children and families' needs are identified and acted upon before problems are entrenched. The national vision for a ‘mature' early help system outlined in the Supporting Families: Early Help System Guide are defined by the following descriptors: leadership; partnership understanding of need; accessible services; partnership understanding of need; meaningful partnership with children and families in shaping their own help (Department for Education and Department for Levelling Up, Housing and Communities, 2022).</w:t>
      </w:r>
    </w:p>
    <w:p w14:paraId="348CFA32" w14:textId="77777777" w:rsidR="00784781" w:rsidRDefault="00784781" w:rsidP="00784781">
      <w:pPr>
        <w:spacing w:after="200" w:line="360" w:lineRule="auto"/>
        <w:jc w:val="both"/>
      </w:pPr>
      <w:r>
        <w:t xml:space="preserve">Early Help has its origins in the policy change in 2011, the Munro Review of Child Protection which suggested that the current child protection system was too complicated, shifting attention from preventative work, and that child protection services needed to be delivered through trusted local relationships. This is reflected in the Government's response to the review which pledges to increase the role of local areas in ensuring they have coherent early help offers (Department for Education, 2011). Support from families and early help are also two different things, as do statutory child protection services, as explained by Frost, Abbott </w:t>
      </w:r>
      <w:r>
        <w:lastRenderedPageBreak/>
        <w:t>and Race (2015) as supporting services that do not focus on ‘child protection' but are non-stigmatising, relationship-based and provided by practitioners that families are familiar with and trust. In 2015, an Ofsted (2015) thematic review revealed that there was significant variation across local areas in the way in which early help was resourced, prioritised and understood, with some opportunities for early help missed being reported, in some cases, as a result of poor management and leadership and the uncertainty of roles and responsibilities. The variation in practice creates a useful background for understanding the extent to which or not local authorities are consistent in making EH a public offer online.</w:t>
      </w:r>
    </w:p>
    <w:p w14:paraId="1F672596" w14:textId="77777777" w:rsidR="00784781" w:rsidRDefault="00784781" w:rsidP="00784781">
      <w:pPr>
        <w:pStyle w:val="Heading1"/>
      </w:pPr>
      <w:bookmarkStart w:id="2" w:name="_Toc236140335"/>
      <w:r>
        <w:t>Multi-Agency Working</w:t>
      </w:r>
      <w:bookmarkEnd w:id="2"/>
    </w:p>
    <w:p w14:paraId="5319A1AA" w14:textId="3E134698" w:rsidR="00784781" w:rsidRDefault="00784781" w:rsidP="00784781">
      <w:pPr>
        <w:spacing w:after="200" w:line="360" w:lineRule="auto"/>
        <w:jc w:val="both"/>
      </w:pPr>
      <w:r>
        <w:t>Education, health, police and voluntary and community sector working in tandem is essential to the delivery of Early Help and can't be achieved through children's social care alone. The statutory expectation of all organisations with functions connected to children is that they are aware of their own and other organisations roles and responsibilities and are working together to help, protect and promote children's welfare (Department for Education, 2026). The updated guidance for 2026 boosts expectations for inclusive practice, the needs of babies and unborn children, and the importance of early education and childcare settings as part of the wider safeguarding offer, and still focuses on Family Help — targeted early help and section 17 support — at the heart of the preventative offer (Department for Education, 2026; NSPCC Learning, 2026).</w:t>
      </w:r>
    </w:p>
    <w:p w14:paraId="195BDD1D" w14:textId="77777777" w:rsidR="00784781" w:rsidRDefault="00784781" w:rsidP="00784781">
      <w:pPr>
        <w:spacing w:after="200" w:line="360" w:lineRule="auto"/>
        <w:jc w:val="both"/>
      </w:pPr>
      <w:r>
        <w:t>Multi-agency working is best achieved when there is one lead practitioner to coordinate support for the family, the use of common assessment tools and regular information sharing between agencies (Department for Education and Department for Levelling Up, Housing and Communities, 2022). Fragmented systems and defensive, compliance-focused practice had already been identified as a risk to professional judgement, and poor levels of trusting practice relationships, which are vital to the successful delivery of early help, by Munro (2011). Multi-agency working means that families can receive help from, or be referred from, multiple different services and this has implications for families as they must be aware that they are receiving help from one service or being referred between services and how each service relates to the other. Local authority websites are important in helping families to understand what service is relevant for them and how one part of the system links to another.</w:t>
      </w:r>
    </w:p>
    <w:p w14:paraId="743E59A7" w14:textId="77777777" w:rsidR="00784781" w:rsidRDefault="00784781" w:rsidP="00784781">
      <w:pPr>
        <w:pStyle w:val="Heading1"/>
      </w:pPr>
      <w:bookmarkStart w:id="3" w:name="_Toc236140336"/>
      <w:r>
        <w:lastRenderedPageBreak/>
        <w:t>Evaluation of Local Authority Websites</w:t>
      </w:r>
      <w:bookmarkEnd w:id="3"/>
    </w:p>
    <w:p w14:paraId="17025DBF" w14:textId="77777777" w:rsidR="00784781" w:rsidRDefault="00784781" w:rsidP="00784781">
      <w:pPr>
        <w:spacing w:after="200" w:line="360" w:lineRule="auto"/>
        <w:jc w:val="both"/>
      </w:pPr>
      <w:r>
        <w:t>Leeds City Council</w:t>
      </w:r>
    </w:p>
    <w:p w14:paraId="50D32873" w14:textId="50F47FB4" w:rsidR="00784781" w:rsidRDefault="00784781" w:rsidP="00784781">
      <w:pPr>
        <w:spacing w:after="200" w:line="360" w:lineRule="auto"/>
        <w:jc w:val="both"/>
      </w:pPr>
      <w:r>
        <w:t>Early Help is one of a system of Family Hubs and locality based ‘clusters' across Leeds City Council where schools, health services and the Council are working together with families (Leeds Safeguarding Children Partnership, 2026). The council has one main landing page for the public, which redirects to a ‘Services for Families' section of its website, with ‘Children and Families' linked to the Family Hubs, children's centres and parenting programmes (Leeds City Council, 2026). This is in line with the principle that is at the heart of Leeds’ practice model – ‘right conversation, right people, right time' – and content highlights the option to access support via a local Family Hub or via a professional already working with the family. The advantage of this approach is that it places a priority on a relationship-led approach to support and services, which aligns with the account of effective family support that Frost, Abbott and Race (2015) give in the context of a community-led approach, which is placed in a community setting; the downside of this approach is that the term ‘Early Help’ is not always central on the main navigation, and a family may require multiple clicks or prior knowledge of the presence of Family Hubs in order to access support.</w:t>
      </w:r>
    </w:p>
    <w:p w14:paraId="4FC3A93B" w14:textId="77777777" w:rsidR="00784781" w:rsidRDefault="00784781" w:rsidP="00784781">
      <w:pPr>
        <w:spacing w:after="200" w:line="360" w:lineRule="auto"/>
        <w:jc w:val="both"/>
      </w:pPr>
      <w:r>
        <w:t>Southwark Council</w:t>
      </w:r>
    </w:p>
    <w:p w14:paraId="20401407" w14:textId="77777777" w:rsidR="00784781" w:rsidRDefault="00784781" w:rsidP="00784781">
      <w:pPr>
        <w:spacing w:after="200" w:line="360" w:lineRule="auto"/>
        <w:jc w:val="both"/>
      </w:pPr>
      <w:r>
        <w:t>Southwark Council has the most specific place of access amongst the three authorities: a dedicated ‘Early Help’ page is embedded under ‘Children, young people and families’ and ‘Children's social care' (Southwark Council, 2024). This page makes clear the difference between the universal early help available to all and the more targeted early help services for families who need more support, which follows the hierarchy of needs set out in Working Together to Safeguard Children (Department for Education, 2026; Southwark Council, 2024). The 'About early help' page on Southwark's website states universal services that are available to families (without a referral) in straightforward jargon-free language (Southwark Council, 2024). Clear routes to self-referral are also provided for e.g. an email address, a duty telephone number and an online referral form (Southwark Council, 2024). The main drawback is that whilst some practical information (e.g. referral forms and specialist contact details) are available on a different education portal to the main council site, it does slightly disjoint the user experience of the family using the site to navigate between sites.</w:t>
      </w:r>
    </w:p>
    <w:p w14:paraId="554D10FB" w14:textId="77777777" w:rsidR="00784781" w:rsidRDefault="00784781" w:rsidP="00784781">
      <w:pPr>
        <w:spacing w:after="200" w:line="360" w:lineRule="auto"/>
        <w:jc w:val="both"/>
      </w:pPr>
      <w:r>
        <w:lastRenderedPageBreak/>
        <w:t>Nottinghamshire County Council</w:t>
      </w:r>
    </w:p>
    <w:p w14:paraId="08914F1E" w14:textId="77777777" w:rsidR="00784781" w:rsidRDefault="00784781" w:rsidP="00784781">
      <w:pPr>
        <w:spacing w:after="200" w:line="360" w:lineRule="auto"/>
        <w:jc w:val="both"/>
      </w:pPr>
      <w:r>
        <w:t>The Early Help section of the website is mostly focused on Early Help Unit and Family Hub Networks at Nottinghamshire County Council and how they can be contacted for “Early Help (from conception to 19 years)” (Nottinghamshire County Council, 2026a). The site makes it clear that you can self-refer, including by contacting a Family Hub team in your local area or by calling the Early Help Unit, and is different from a form for professionals to complete to make an online request for services (Nottinghamshire County Council, 2026b). One of its greatest advantages is that it makes it clear for both the professionals and the parents which routes are relevant to each of them, thus minimizing the possibility of families presenting the incorrect form. However, there is no single ‘Early Help’ page, like Southwark's, that pulls all the information together but rather several different pages: early years and childcare, family hub networks and safeguarding (Nottinghamshire County Council, 2026a; 2026c), which might make it more difficult for a family to understand the full range of support available in the absence of an established understanding of the structure of the council's site.</w:t>
      </w:r>
    </w:p>
    <w:p w14:paraId="4994F4E2" w14:textId="77777777" w:rsidR="00784781" w:rsidRDefault="00784781" w:rsidP="00784781">
      <w:pPr>
        <w:pStyle w:val="Heading1"/>
      </w:pPr>
      <w:bookmarkStart w:id="4" w:name="_Toc236140337"/>
      <w:r>
        <w:t>Comparative Analysis</w:t>
      </w:r>
      <w:bookmarkEnd w:id="4"/>
    </w:p>
    <w:p w14:paraId="72836AC6" w14:textId="77777777" w:rsidR="00784781" w:rsidRDefault="00784781" w:rsidP="00784781">
      <w:pPr>
        <w:spacing w:after="200" w:line="360" w:lineRule="auto"/>
        <w:jc w:val="both"/>
      </w:pPr>
      <w:r>
        <w:t>The main difference between the three websites is the structure; there is a single explicitly labelled ‘Early Help hub' within Southwark - with universal and targeted information identifiable by different headings but in the same language, suited to a lay reader; Leeds and Nottinghamshire have multiple pages containing similar information, grouped around services (Family Hubs, clusters and the Early Help Unit) but not around the concept of ‘Early Help'. This is because families looking for help are more likely to mention ‘Early Help’ or ‘family support’ than the names of specific local services, and a single service that has a label for ‘Early Help' will decrease the ‘cognitive load' that the family has to cope with when deciding where to go for help (Southwark Council, 2024).</w:t>
      </w:r>
    </w:p>
    <w:p w14:paraId="36A4249E" w14:textId="77777777" w:rsidR="00784781" w:rsidRDefault="00784781" w:rsidP="00784781">
      <w:pPr>
        <w:spacing w:after="200" w:line="360" w:lineRule="auto"/>
        <w:jc w:val="both"/>
      </w:pPr>
      <w:r>
        <w:t xml:space="preserve">Each of the three authorities is aligned with the national vision in the Early Help System Guide with regard to the emphasis on local provision and the significance of relationships and the identification of self-referral pathways for families, rather than a professional intermediary in each case (Department for Education and Department for Levelling Up, Housing and Communities, 2022). This is significant considering Munro's (2011) fear that overly bureaucratic systems may discourage families from seeking interventions. None of the three </w:t>
      </w:r>
      <w:r>
        <w:lastRenderedPageBreak/>
        <w:t>sites makes a strong and obvious reference to the multi-agency principles which underpin Working Together to Safeguard Children 2026, including how education, health and police partners contribute to the early help offer; this information does appear in professional facing documents but was not clearly evident to families (Department for Education, 2026).</w:t>
      </w:r>
    </w:p>
    <w:p w14:paraId="0F0D2D75" w14:textId="5F78CCF8" w:rsidR="00C20D9F" w:rsidRDefault="00784781" w:rsidP="00784781">
      <w:pPr>
        <w:spacing w:after="200" w:line="360" w:lineRule="auto"/>
        <w:jc w:val="both"/>
      </w:pPr>
      <w:r>
        <w:t xml:space="preserve">Accessibility is best demonstrated in Southwark where the clear distinction between the universal services and targeted services is part of their approach, and in Leeds where there is a strong focus on place based signposting in the form of community clusters and Family Hubs but less top level labelling. Nottinghamshire's approach is somewhere between the two, its distinction between the self-referral and family self-referral routes is obvious once you find it but there is no single page covering all of its content, meaning families may have to visit multiple sections of the website, or already know the term ‘Family Hub Network’, before they reach relevant support (Nottinghamshire County Council, 2026a; 2026c). </w:t>
      </w:r>
    </w:p>
    <w:p w14:paraId="07959CDA" w14:textId="77777777" w:rsidR="00C20D9F" w:rsidRDefault="00000000" w:rsidP="00784781">
      <w:pPr>
        <w:pStyle w:val="Heading1"/>
      </w:pPr>
      <w:bookmarkStart w:id="5" w:name="_Toc236140338"/>
      <w:r>
        <w:t xml:space="preserve">Conclusion and </w:t>
      </w:r>
      <w:r w:rsidRPr="00784781">
        <w:t>Recommendations</w:t>
      </w:r>
      <w:bookmarkEnd w:id="5"/>
    </w:p>
    <w:p w14:paraId="2580C6AE" w14:textId="77777777" w:rsidR="00784781" w:rsidRPr="00784781" w:rsidRDefault="00784781" w:rsidP="00784781">
      <w:pPr>
        <w:spacing w:after="200" w:line="360" w:lineRule="auto"/>
        <w:jc w:val="both"/>
      </w:pPr>
      <w:r>
        <w:t xml:space="preserve"> </w:t>
      </w:r>
      <w:r w:rsidRPr="00784781">
        <w:t>Southwark Council is the most effective and accessible signposting to Early Help and related family support services of the three local authorities reviewed, largely due to having a single clearly labelled entry point, and having made a clear distinction between universal and targeted provision. Both Leeds and Nottinghamshire offer good and extensive early help offers in practice, but the information is not as readily available to an unfamiliar family to find, as it is organised by service name, rather than the common understanding of Early help.</w:t>
      </w:r>
    </w:p>
    <w:p w14:paraId="5852D79A" w14:textId="77777777" w:rsidR="00784781" w:rsidRDefault="00784781" w:rsidP="00784781">
      <w:pPr>
        <w:spacing w:after="200" w:line="360" w:lineRule="auto"/>
        <w:jc w:val="both"/>
      </w:pPr>
      <w:r w:rsidRPr="00784781">
        <w:t xml:space="preserve">Three recommendations follow. All local authorities should have a single clearly labelled ‘Early Help’ landing page, like Southwark, on which all universal and targeted services are available, rather than having to find them in the service-specific sections. Secondly, websites should be more visible as multi-agency Early Help, with a brief explanation of how Early Help through education, health and other partners contributes, and to build public understanding as per the principles in Working Together to Safeguard Children 2026 (Department for Education, 2026). Third, councils that have a referring form or a specialist information on their own website should ensure that this information is clearly linked from the main council portal website, so that families don't have to switch between various websites to access a same support. </w:t>
      </w:r>
    </w:p>
    <w:p w14:paraId="3C827886" w14:textId="77777777" w:rsidR="00784781" w:rsidRDefault="00784781" w:rsidP="00784781">
      <w:pPr>
        <w:spacing w:after="200" w:line="360" w:lineRule="auto"/>
        <w:jc w:val="both"/>
      </w:pPr>
    </w:p>
    <w:p w14:paraId="38115B5E" w14:textId="77777777" w:rsidR="00784781" w:rsidRDefault="00784781" w:rsidP="00784781">
      <w:pPr>
        <w:spacing w:after="200" w:line="360" w:lineRule="auto"/>
        <w:jc w:val="both"/>
      </w:pPr>
    </w:p>
    <w:p w14:paraId="026A4379" w14:textId="7D261957" w:rsidR="00C20D9F" w:rsidRDefault="00C20D9F">
      <w:pPr>
        <w:spacing w:after="200" w:line="360" w:lineRule="auto"/>
        <w:jc w:val="both"/>
      </w:pPr>
    </w:p>
    <w:p w14:paraId="41AB21CB" w14:textId="77777777" w:rsidR="00C20D9F" w:rsidRDefault="00000000" w:rsidP="00784781">
      <w:pPr>
        <w:pStyle w:val="Heading1"/>
      </w:pPr>
      <w:bookmarkStart w:id="6" w:name="_Toc236140339"/>
      <w:r w:rsidRPr="00784781">
        <w:t>Reference</w:t>
      </w:r>
      <w:r>
        <w:t xml:space="preserve"> List</w:t>
      </w:r>
      <w:bookmarkEnd w:id="6"/>
    </w:p>
    <w:p w14:paraId="5D3C425C" w14:textId="77777777" w:rsidR="00C20D9F" w:rsidRDefault="00000000">
      <w:pPr>
        <w:spacing w:after="200" w:line="300" w:lineRule="auto"/>
        <w:ind w:left="720" w:hanging="720"/>
      </w:pPr>
      <w:r>
        <w:rPr>
          <w:sz w:val="22"/>
          <w:szCs w:val="22"/>
        </w:rPr>
        <w:t>Department for Education (2011) A Child-Centred System: The Government's Response to the Munro Review of Child Protection. London: Department for Education. Available at: https://www.gov.uk/government/publications/a-child-centred-system-the-governments-response-to-the-munro-review-of-child-protection (Accessed: 24 July 2026).</w:t>
      </w:r>
    </w:p>
    <w:p w14:paraId="6BCABD8D" w14:textId="77777777" w:rsidR="00C20D9F" w:rsidRDefault="00000000">
      <w:pPr>
        <w:spacing w:after="200" w:line="300" w:lineRule="auto"/>
        <w:ind w:left="720" w:hanging="720"/>
      </w:pPr>
      <w:r>
        <w:rPr>
          <w:sz w:val="22"/>
          <w:szCs w:val="22"/>
        </w:rPr>
        <w:t>Department for Education (2026) Working Together to Safeguard Children 2026: A Guide to Multi-Agency Working to Help, Protect and Promote the Welfare of Children. London: Department for Education. Available at: https://assets.publishing.service.gov.uk/media/69fb1c28d0e316a40f269a5b/Working_together_to_safeguard_children_2026_a_guide_to_multi_agency_working.pdf (Accessed: 24 July 2026).</w:t>
      </w:r>
    </w:p>
    <w:p w14:paraId="5BD6CD45" w14:textId="77777777" w:rsidR="00C20D9F" w:rsidRDefault="00000000">
      <w:pPr>
        <w:spacing w:after="200" w:line="300" w:lineRule="auto"/>
        <w:ind w:left="720" w:hanging="720"/>
      </w:pPr>
      <w:r>
        <w:rPr>
          <w:sz w:val="22"/>
          <w:szCs w:val="22"/>
        </w:rPr>
        <w:t>Department for Education and Department for Levelling Up, Housing and Communities (2022) Supporting Families: Early Help System Guide. London: DfE/DLUHC. Available at: https://www.gov.uk/government/publications/supporting-families-early-help-system-guide (Accessed: 24 July 2026).</w:t>
      </w:r>
    </w:p>
    <w:p w14:paraId="5A8DC46E" w14:textId="77777777" w:rsidR="00C20D9F" w:rsidRDefault="00000000">
      <w:pPr>
        <w:spacing w:after="200" w:line="300" w:lineRule="auto"/>
        <w:ind w:left="720" w:hanging="720"/>
      </w:pPr>
      <w:r>
        <w:rPr>
          <w:sz w:val="22"/>
          <w:szCs w:val="22"/>
        </w:rPr>
        <w:t>Frost, N., Abbott, S. and Race, T. (2015) Family Support: Prevention, Early Intervention and Early Help. Cambridge: Polity Press.</w:t>
      </w:r>
    </w:p>
    <w:p w14:paraId="0BB58D2D" w14:textId="77777777" w:rsidR="00C20D9F" w:rsidRDefault="00000000">
      <w:pPr>
        <w:spacing w:after="200" w:line="300" w:lineRule="auto"/>
        <w:ind w:left="720" w:hanging="720"/>
      </w:pPr>
      <w:r>
        <w:rPr>
          <w:sz w:val="22"/>
          <w:szCs w:val="22"/>
        </w:rPr>
        <w:t>Leeds City Council (2026) Family Information Service. Available at: https://www.leeds.gov.uk/children-and-families/family-information-service (Accessed: 24 July 2026).</w:t>
      </w:r>
    </w:p>
    <w:p w14:paraId="4EF5A953" w14:textId="77777777" w:rsidR="00C20D9F" w:rsidRDefault="00000000">
      <w:pPr>
        <w:spacing w:after="200" w:line="300" w:lineRule="auto"/>
        <w:ind w:left="720" w:hanging="720"/>
      </w:pPr>
      <w:r>
        <w:rPr>
          <w:sz w:val="22"/>
          <w:szCs w:val="22"/>
        </w:rPr>
        <w:t>Leeds Safeguarding Children Partnership (2026) Additional Information to Support Early Help. Available at: https://www.leedsscp.org.uk/practitioners/approaches/early-help/additional-support (Accessed: 24 July 2026).</w:t>
      </w:r>
    </w:p>
    <w:p w14:paraId="416DB4E9" w14:textId="77777777" w:rsidR="00C20D9F" w:rsidRDefault="00000000">
      <w:pPr>
        <w:spacing w:after="200" w:line="300" w:lineRule="auto"/>
        <w:ind w:left="720" w:hanging="720"/>
      </w:pPr>
      <w:r>
        <w:rPr>
          <w:sz w:val="22"/>
          <w:szCs w:val="22"/>
        </w:rPr>
        <w:t>Munro, E. (2011) The Munro Review of Child Protection: Final Report – A Child-Centred System. London: Department for Education.</w:t>
      </w:r>
    </w:p>
    <w:p w14:paraId="28C22DBB" w14:textId="77777777" w:rsidR="00C20D9F" w:rsidRDefault="00000000">
      <w:pPr>
        <w:spacing w:after="200" w:line="300" w:lineRule="auto"/>
        <w:ind w:left="720" w:hanging="720"/>
      </w:pPr>
      <w:r>
        <w:rPr>
          <w:sz w:val="22"/>
          <w:szCs w:val="22"/>
        </w:rPr>
        <w:t>NSPCC Learning (2026) Working Together to Safeguard Children 2026: Summary of Changes. Available at: https://learning.nspcc.org.uk/research-resources/2026/working-together-to-safeguard-children-2026-summary-of-changes (Accessed: 24 July 2026).</w:t>
      </w:r>
    </w:p>
    <w:p w14:paraId="3C6125AB" w14:textId="77777777" w:rsidR="00C20D9F" w:rsidRDefault="00000000">
      <w:pPr>
        <w:spacing w:after="200" w:line="300" w:lineRule="auto"/>
        <w:ind w:left="720" w:hanging="720"/>
      </w:pPr>
      <w:r>
        <w:rPr>
          <w:sz w:val="22"/>
          <w:szCs w:val="22"/>
        </w:rPr>
        <w:t>Nottinghamshire County Council (2026a) Referring to Early Help Services. Available at: https://www.nottinghamshire.gov.uk/care/early-years-and-childcare/childcare-providers/referring-to-early-help-services (Accessed: 24 July 2026).</w:t>
      </w:r>
    </w:p>
    <w:p w14:paraId="75EED694" w14:textId="77777777" w:rsidR="00C20D9F" w:rsidRDefault="00000000">
      <w:pPr>
        <w:spacing w:after="200" w:line="300" w:lineRule="auto"/>
        <w:ind w:left="720" w:hanging="720"/>
      </w:pPr>
      <w:r>
        <w:rPr>
          <w:sz w:val="22"/>
          <w:szCs w:val="22"/>
        </w:rPr>
        <w:lastRenderedPageBreak/>
        <w:t>Nottinghamshire County Council (2026b) Make a Referral to a Family Hub Network. Available at: https://www.nottinghamshire.gov.uk/care/family-hub-networks/information-for-professionals/make-a-referral-to-a-family-hub-network (Accessed: 24 July 2026).</w:t>
      </w:r>
    </w:p>
    <w:p w14:paraId="66AAD437" w14:textId="77777777" w:rsidR="00C20D9F" w:rsidRDefault="00000000">
      <w:pPr>
        <w:spacing w:after="200" w:line="300" w:lineRule="auto"/>
        <w:ind w:left="720" w:hanging="720"/>
      </w:pPr>
      <w:r>
        <w:rPr>
          <w:sz w:val="22"/>
          <w:szCs w:val="22"/>
        </w:rPr>
        <w:t>Nottinghamshire County Council (2026c) Early Help Unit. Available at: https://www.nottinghamshire.gov.uk/care/safeguarding/childrens-mash/services-available-for-non-safeguarding-concerns/early-help-unit (Accessed: 24 July 2026).</w:t>
      </w:r>
    </w:p>
    <w:p w14:paraId="429C23E9" w14:textId="77777777" w:rsidR="00C20D9F" w:rsidRDefault="00000000">
      <w:pPr>
        <w:spacing w:after="200" w:line="300" w:lineRule="auto"/>
        <w:ind w:left="720" w:hanging="720"/>
      </w:pPr>
      <w:r>
        <w:rPr>
          <w:sz w:val="22"/>
          <w:szCs w:val="22"/>
        </w:rPr>
        <w:t>Ofsted (2015) Early Help: Whose Responsibility? Manchester: Ofsted. Available at: https://assets.publishing.service.gov.uk/government/uploads/system/uploads/attachment_data/file/410378/Early_help_whose_responsibility.pdf (Accessed: 24 July 2026).</w:t>
      </w:r>
    </w:p>
    <w:p w14:paraId="7B1A8AFE" w14:textId="77777777" w:rsidR="00C20D9F" w:rsidRDefault="00000000">
      <w:pPr>
        <w:spacing w:after="200" w:line="300" w:lineRule="auto"/>
        <w:ind w:left="720" w:hanging="720"/>
      </w:pPr>
      <w:r>
        <w:rPr>
          <w:sz w:val="22"/>
          <w:szCs w:val="22"/>
        </w:rPr>
        <w:t>Southwark Council (2024) Early Help. Available at: https://www.southwark.gov.uk/children-and-families/childrens-social-care/early-help (Accessed: 24 July 2026).</w:t>
      </w:r>
    </w:p>
    <w:sectPr w:rsidR="00C20D9F">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C39AA" w14:textId="77777777" w:rsidR="00F045E1" w:rsidRDefault="00F045E1">
      <w:r>
        <w:separator/>
      </w:r>
    </w:p>
  </w:endnote>
  <w:endnote w:type="continuationSeparator" w:id="0">
    <w:p w14:paraId="4EBA1306" w14:textId="77777777" w:rsidR="00F045E1" w:rsidRDefault="00F04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BA85E" w14:textId="77777777" w:rsidR="00C20D9F" w:rsidRDefault="00000000">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7D5DA6">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7D5DA6">
      <w:rPr>
        <w:noProof/>
        <w:sz w:val="18"/>
        <w:szCs w:val="18"/>
      </w:rPr>
      <w:t>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0BC2E" w14:textId="77777777" w:rsidR="00F045E1" w:rsidRDefault="00F045E1">
      <w:r>
        <w:separator/>
      </w:r>
    </w:p>
  </w:footnote>
  <w:footnote w:type="continuationSeparator" w:id="0">
    <w:p w14:paraId="54B24109" w14:textId="77777777" w:rsidR="00F045E1" w:rsidRDefault="00F045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882C4" w14:textId="1FD5481F" w:rsidR="00C20D9F" w:rsidRDefault="00C20D9F">
    <w:pPr>
      <w:jc w:val="right"/>
      <w:rPr>
        <w:color w:val="666666"/>
        <w:sz w:val="18"/>
        <w:szCs w:val="18"/>
      </w:rPr>
    </w:pPr>
  </w:p>
  <w:p w14:paraId="3062E17D" w14:textId="77777777" w:rsidR="00784781" w:rsidRDefault="00784781">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7B06AC"/>
    <w:multiLevelType w:val="hybridMultilevel"/>
    <w:tmpl w:val="5E925D90"/>
    <w:lvl w:ilvl="0" w:tplc="D60AD25A">
      <w:start w:val="1"/>
      <w:numFmt w:val="bullet"/>
      <w:lvlText w:val="●"/>
      <w:lvlJc w:val="left"/>
      <w:pPr>
        <w:ind w:left="720" w:hanging="360"/>
      </w:pPr>
    </w:lvl>
    <w:lvl w:ilvl="1" w:tplc="88849B0C">
      <w:start w:val="1"/>
      <w:numFmt w:val="bullet"/>
      <w:lvlText w:val="○"/>
      <w:lvlJc w:val="left"/>
      <w:pPr>
        <w:ind w:left="1440" w:hanging="360"/>
      </w:pPr>
    </w:lvl>
    <w:lvl w:ilvl="2" w:tplc="9BE8B3C6">
      <w:start w:val="1"/>
      <w:numFmt w:val="bullet"/>
      <w:lvlText w:val="■"/>
      <w:lvlJc w:val="left"/>
      <w:pPr>
        <w:ind w:left="2160" w:hanging="360"/>
      </w:pPr>
    </w:lvl>
    <w:lvl w:ilvl="3" w:tplc="45DEB592">
      <w:start w:val="1"/>
      <w:numFmt w:val="bullet"/>
      <w:lvlText w:val="●"/>
      <w:lvlJc w:val="left"/>
      <w:pPr>
        <w:ind w:left="2880" w:hanging="360"/>
      </w:pPr>
    </w:lvl>
    <w:lvl w:ilvl="4" w:tplc="450E760A">
      <w:start w:val="1"/>
      <w:numFmt w:val="bullet"/>
      <w:lvlText w:val="○"/>
      <w:lvlJc w:val="left"/>
      <w:pPr>
        <w:ind w:left="3600" w:hanging="360"/>
      </w:pPr>
    </w:lvl>
    <w:lvl w:ilvl="5" w:tplc="BBAAFD44">
      <w:start w:val="1"/>
      <w:numFmt w:val="bullet"/>
      <w:lvlText w:val="■"/>
      <w:lvlJc w:val="left"/>
      <w:pPr>
        <w:ind w:left="4320" w:hanging="360"/>
      </w:pPr>
    </w:lvl>
    <w:lvl w:ilvl="6" w:tplc="AA180624">
      <w:start w:val="1"/>
      <w:numFmt w:val="bullet"/>
      <w:lvlText w:val="●"/>
      <w:lvlJc w:val="left"/>
      <w:pPr>
        <w:ind w:left="5040" w:hanging="360"/>
      </w:pPr>
    </w:lvl>
    <w:lvl w:ilvl="7" w:tplc="FABCB8D6">
      <w:start w:val="1"/>
      <w:numFmt w:val="bullet"/>
      <w:lvlText w:val="●"/>
      <w:lvlJc w:val="left"/>
      <w:pPr>
        <w:ind w:left="5760" w:hanging="360"/>
      </w:pPr>
    </w:lvl>
    <w:lvl w:ilvl="8" w:tplc="5AF0098A">
      <w:start w:val="1"/>
      <w:numFmt w:val="bullet"/>
      <w:lvlText w:val="●"/>
      <w:lvlJc w:val="left"/>
      <w:pPr>
        <w:ind w:left="6480" w:hanging="360"/>
      </w:pPr>
    </w:lvl>
  </w:abstractNum>
  <w:num w:numId="1" w16cid:durableId="139041754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D9F"/>
    <w:rsid w:val="001C009A"/>
    <w:rsid w:val="0044798B"/>
    <w:rsid w:val="00784781"/>
    <w:rsid w:val="007D5DA6"/>
    <w:rsid w:val="00C20D9F"/>
    <w:rsid w:val="00CB1EA2"/>
    <w:rsid w:val="00F045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FF034"/>
  <w15:docId w15:val="{83464BC4-AC89-42DD-9CD2-E285C298D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784781"/>
    <w:pPr>
      <w:tabs>
        <w:tab w:val="center" w:pos="4513"/>
        <w:tab w:val="right" w:pos="9026"/>
      </w:tabs>
    </w:pPr>
  </w:style>
  <w:style w:type="character" w:customStyle="1" w:styleId="HeaderChar">
    <w:name w:val="Header Char"/>
    <w:basedOn w:val="DefaultParagraphFont"/>
    <w:link w:val="Header"/>
    <w:uiPriority w:val="99"/>
    <w:rsid w:val="00784781"/>
  </w:style>
  <w:style w:type="paragraph" w:styleId="Footer">
    <w:name w:val="footer"/>
    <w:basedOn w:val="Normal"/>
    <w:link w:val="FooterChar"/>
    <w:uiPriority w:val="99"/>
    <w:unhideWhenUsed/>
    <w:rsid w:val="00784781"/>
    <w:pPr>
      <w:tabs>
        <w:tab w:val="center" w:pos="4513"/>
        <w:tab w:val="right" w:pos="9026"/>
      </w:tabs>
    </w:pPr>
  </w:style>
  <w:style w:type="character" w:customStyle="1" w:styleId="FooterChar">
    <w:name w:val="Footer Char"/>
    <w:basedOn w:val="DefaultParagraphFont"/>
    <w:link w:val="Footer"/>
    <w:uiPriority w:val="99"/>
    <w:rsid w:val="00784781"/>
  </w:style>
  <w:style w:type="paragraph" w:styleId="TOCHeading">
    <w:name w:val="TOC Heading"/>
    <w:basedOn w:val="Heading1"/>
    <w:next w:val="Normal"/>
    <w:uiPriority w:val="39"/>
    <w:unhideWhenUsed/>
    <w:qFormat/>
    <w:rsid w:val="00784781"/>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784781"/>
    <w:pPr>
      <w:spacing w:after="100"/>
    </w:pPr>
  </w:style>
  <w:style w:type="paragraph" w:styleId="TOC2">
    <w:name w:val="toc 2"/>
    <w:basedOn w:val="Normal"/>
    <w:next w:val="Normal"/>
    <w:autoRedefine/>
    <w:uiPriority w:val="39"/>
    <w:unhideWhenUsed/>
    <w:rsid w:val="00784781"/>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E77E1-585D-4993-B93E-8EB003B99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2256</Words>
  <Characters>13834</Characters>
  <Application>Microsoft Office Word</Application>
  <DocSecurity>0</DocSecurity>
  <Lines>245</Lines>
  <Paragraphs>48</Paragraphs>
  <ScaleCrop>false</ScaleCrop>
  <Company/>
  <LinksUpToDate>false</LinksUpToDate>
  <CharactersWithSpaces>16052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anon</cp:lastModifiedBy>
  <cp:revision>4</cp:revision>
  <dcterms:created xsi:type="dcterms:W3CDTF">2026-07-28T13:08:00Z</dcterms:created>
  <dcterms:modified xsi:type="dcterms:W3CDTF">2026-07-28T14:43:00Z</dcterms:modified>
</cp:coreProperties>
</file>