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86935" w14:textId="77777777" w:rsidR="00FD42AB" w:rsidRDefault="00FD42AB"/>
    <w:p w14:paraId="39D8F2DE" w14:textId="77777777" w:rsidR="00FD42AB" w:rsidRDefault="00FD42AB"/>
    <w:p w14:paraId="52E9F59B" w14:textId="77777777" w:rsidR="00FD42AB" w:rsidRDefault="006A5B80">
      <w:r>
        <w:rPr>
          <w:noProof/>
        </w:rPr>
        <w:drawing>
          <wp:anchor distT="0" distB="0" distL="114300" distR="114300" simplePos="0" relativeHeight="251659264" behindDoc="0" locked="0" layoutInCell="1" allowOverlap="1" wp14:anchorId="281933C1" wp14:editId="69E34156">
            <wp:simplePos x="0" y="0"/>
            <wp:positionH relativeFrom="column">
              <wp:posOffset>-152403</wp:posOffset>
            </wp:positionH>
            <wp:positionV relativeFrom="paragraph">
              <wp:posOffset>0</wp:posOffset>
            </wp:positionV>
            <wp:extent cx="2965289" cy="996952"/>
            <wp:effectExtent l="0" t="0" r="6511" b="0"/>
            <wp:wrapSquare wrapText="bothSides"/>
            <wp:docPr id="1289611309" name="Pictur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965289" cy="996952"/>
                    </a:xfrm>
                    <a:prstGeom prst="rect">
                      <a:avLst/>
                    </a:prstGeom>
                    <a:noFill/>
                    <a:ln>
                      <a:noFill/>
                      <a:prstDash/>
                    </a:ln>
                  </pic:spPr>
                </pic:pic>
              </a:graphicData>
            </a:graphic>
          </wp:anchor>
        </w:drawing>
      </w:r>
    </w:p>
    <w:p w14:paraId="748015AB" w14:textId="77777777" w:rsidR="00FD42AB" w:rsidRDefault="00FD42AB"/>
    <w:p w14:paraId="70CC4392" w14:textId="77777777" w:rsidR="00FD42AB" w:rsidRDefault="00FD42AB"/>
    <w:p w14:paraId="67491B04" w14:textId="77777777" w:rsidR="00FD42AB" w:rsidRDefault="00FD42AB"/>
    <w:p w14:paraId="7A9E66B4" w14:textId="77777777" w:rsidR="00FD42AB" w:rsidRDefault="00FD42AB"/>
    <w:p w14:paraId="29D70A11" w14:textId="77777777" w:rsidR="00FD42AB" w:rsidRDefault="00FD42AB"/>
    <w:tbl>
      <w:tblPr>
        <w:tblW w:w="9987" w:type="dxa"/>
        <w:tblCellMar>
          <w:left w:w="10" w:type="dxa"/>
          <w:right w:w="10" w:type="dxa"/>
        </w:tblCellMar>
        <w:tblLook w:val="04A0" w:firstRow="1" w:lastRow="0" w:firstColumn="1" w:lastColumn="0" w:noHBand="0" w:noVBand="1"/>
      </w:tblPr>
      <w:tblGrid>
        <w:gridCol w:w="3281"/>
        <w:gridCol w:w="6706"/>
      </w:tblGrid>
      <w:tr w:rsidR="00FD42AB" w14:paraId="746D7842" w14:textId="77777777">
        <w:tblPrEx>
          <w:tblCellMar>
            <w:top w:w="0" w:type="dxa"/>
            <w:bottom w:w="0" w:type="dxa"/>
          </w:tblCellMar>
        </w:tblPrEx>
        <w:trPr>
          <w:trHeight w:val="1050"/>
        </w:trPr>
        <w:tc>
          <w:tcPr>
            <w:tcW w:w="32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A9FFA0" w14:textId="77777777" w:rsidR="00FD42AB" w:rsidRDefault="006A5B80">
            <w:pPr>
              <w:spacing w:after="0" w:line="276" w:lineRule="auto"/>
              <w:jc w:val="center"/>
              <w:rPr>
                <w:rFonts w:eastAsia="Times New Roman"/>
                <w:sz w:val="40"/>
                <w:szCs w:val="40"/>
                <w:lang w:eastAsia="zh-CN"/>
              </w:rPr>
            </w:pPr>
            <w:r>
              <w:rPr>
                <w:rFonts w:eastAsia="Times New Roman"/>
                <w:sz w:val="40"/>
                <w:szCs w:val="40"/>
                <w:lang w:eastAsia="zh-CN"/>
              </w:rPr>
              <w:t>Student Name:</w:t>
            </w:r>
          </w:p>
        </w:tc>
        <w:tc>
          <w:tcPr>
            <w:tcW w:w="67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C0619C" w14:textId="77777777" w:rsidR="00FD42AB" w:rsidRDefault="006A5B80">
            <w:pPr>
              <w:spacing w:after="0" w:line="240" w:lineRule="auto"/>
              <w:rPr>
                <w:rFonts w:eastAsia="Times New Roman"/>
                <w:sz w:val="40"/>
                <w:szCs w:val="40"/>
                <w:lang w:eastAsia="zh-CN"/>
              </w:rPr>
            </w:pPr>
            <w:r>
              <w:rPr>
                <w:rFonts w:eastAsia="Times New Roman"/>
                <w:sz w:val="40"/>
                <w:szCs w:val="40"/>
                <w:lang w:eastAsia="zh-CN"/>
              </w:rPr>
              <w:t xml:space="preserve">                      Natasha Evans</w:t>
            </w:r>
          </w:p>
        </w:tc>
      </w:tr>
      <w:tr w:rsidR="00FD42AB" w14:paraId="67A30B2F" w14:textId="77777777">
        <w:tblPrEx>
          <w:tblCellMar>
            <w:top w:w="0" w:type="dxa"/>
            <w:bottom w:w="0" w:type="dxa"/>
          </w:tblCellMar>
        </w:tblPrEx>
        <w:trPr>
          <w:trHeight w:val="1068"/>
        </w:trPr>
        <w:tc>
          <w:tcPr>
            <w:tcW w:w="32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AB6CF8" w14:textId="77777777" w:rsidR="00FD42AB" w:rsidRDefault="006A5B80">
            <w:pPr>
              <w:spacing w:after="0" w:line="240" w:lineRule="auto"/>
              <w:jc w:val="center"/>
              <w:rPr>
                <w:rFonts w:eastAsia="Times New Roman"/>
                <w:sz w:val="40"/>
                <w:szCs w:val="40"/>
                <w:lang w:eastAsia="zh-CN"/>
              </w:rPr>
            </w:pPr>
            <w:r>
              <w:rPr>
                <w:rFonts w:eastAsia="Times New Roman"/>
                <w:sz w:val="40"/>
                <w:szCs w:val="40"/>
                <w:lang w:eastAsia="zh-CN"/>
              </w:rPr>
              <w:t>Student Number:</w:t>
            </w:r>
          </w:p>
        </w:tc>
        <w:tc>
          <w:tcPr>
            <w:tcW w:w="67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803CA3" w14:textId="77777777" w:rsidR="00FD42AB" w:rsidRDefault="006A5B80">
            <w:pPr>
              <w:spacing w:after="0" w:line="240" w:lineRule="auto"/>
              <w:jc w:val="center"/>
              <w:rPr>
                <w:rFonts w:eastAsia="Times New Roman"/>
                <w:sz w:val="40"/>
                <w:szCs w:val="40"/>
                <w:lang w:eastAsia="zh-CN"/>
              </w:rPr>
            </w:pPr>
            <w:r>
              <w:rPr>
                <w:rFonts w:eastAsia="Times New Roman"/>
                <w:sz w:val="40"/>
                <w:szCs w:val="40"/>
                <w:lang w:eastAsia="zh-CN"/>
              </w:rPr>
              <w:t>2116387</w:t>
            </w:r>
          </w:p>
        </w:tc>
      </w:tr>
      <w:tr w:rsidR="00FD42AB" w14:paraId="457CA595" w14:textId="77777777">
        <w:tblPrEx>
          <w:tblCellMar>
            <w:top w:w="0" w:type="dxa"/>
            <w:bottom w:w="0" w:type="dxa"/>
          </w:tblCellMar>
        </w:tblPrEx>
        <w:trPr>
          <w:trHeight w:val="688"/>
        </w:trPr>
        <w:tc>
          <w:tcPr>
            <w:tcW w:w="32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F0FF56" w14:textId="77777777" w:rsidR="00FD42AB" w:rsidRDefault="006A5B80">
            <w:pPr>
              <w:spacing w:after="0" w:line="240" w:lineRule="auto"/>
              <w:jc w:val="center"/>
              <w:rPr>
                <w:rFonts w:eastAsia="Times New Roman"/>
                <w:sz w:val="40"/>
                <w:szCs w:val="40"/>
                <w:lang w:eastAsia="zh-CN"/>
              </w:rPr>
            </w:pPr>
            <w:r>
              <w:rPr>
                <w:rFonts w:eastAsia="Times New Roman"/>
                <w:sz w:val="40"/>
                <w:szCs w:val="40"/>
                <w:lang w:eastAsia="zh-CN"/>
              </w:rPr>
              <w:t>Module No:</w:t>
            </w:r>
          </w:p>
        </w:tc>
        <w:tc>
          <w:tcPr>
            <w:tcW w:w="67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806A58" w14:textId="77777777" w:rsidR="00FD42AB" w:rsidRDefault="006A5B80">
            <w:pPr>
              <w:spacing w:after="0" w:line="240" w:lineRule="auto"/>
              <w:jc w:val="center"/>
              <w:rPr>
                <w:rFonts w:eastAsia="Times New Roman"/>
                <w:sz w:val="40"/>
                <w:szCs w:val="40"/>
                <w:lang w:eastAsia="zh-CN"/>
              </w:rPr>
            </w:pPr>
            <w:r>
              <w:rPr>
                <w:rFonts w:eastAsia="Times New Roman"/>
                <w:sz w:val="40"/>
                <w:szCs w:val="40"/>
                <w:lang w:eastAsia="zh-CN"/>
              </w:rPr>
              <w:t>BMSK 6013</w:t>
            </w:r>
          </w:p>
        </w:tc>
      </w:tr>
      <w:tr w:rsidR="00FD42AB" w14:paraId="5CFE7465" w14:textId="77777777">
        <w:tblPrEx>
          <w:tblCellMar>
            <w:top w:w="0" w:type="dxa"/>
            <w:bottom w:w="0" w:type="dxa"/>
          </w:tblCellMar>
        </w:tblPrEx>
        <w:trPr>
          <w:trHeight w:val="630"/>
        </w:trPr>
        <w:tc>
          <w:tcPr>
            <w:tcW w:w="32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E92962" w14:textId="77777777" w:rsidR="00FD42AB" w:rsidRDefault="006A5B80">
            <w:pPr>
              <w:spacing w:after="0" w:line="240" w:lineRule="auto"/>
              <w:jc w:val="center"/>
              <w:rPr>
                <w:rFonts w:eastAsia="Times New Roman"/>
                <w:sz w:val="40"/>
                <w:szCs w:val="40"/>
                <w:lang w:eastAsia="zh-CN"/>
              </w:rPr>
            </w:pPr>
            <w:r>
              <w:rPr>
                <w:rFonts w:eastAsia="Times New Roman"/>
                <w:sz w:val="40"/>
                <w:szCs w:val="40"/>
                <w:lang w:eastAsia="zh-CN"/>
              </w:rPr>
              <w:t>Module Title:</w:t>
            </w:r>
          </w:p>
        </w:tc>
        <w:tc>
          <w:tcPr>
            <w:tcW w:w="67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E56FCA" w14:textId="77777777" w:rsidR="00FD42AB" w:rsidRDefault="006A5B80">
            <w:pPr>
              <w:spacing w:after="0" w:line="240" w:lineRule="auto"/>
              <w:jc w:val="center"/>
            </w:pPr>
            <w:r>
              <w:rPr>
                <w:rFonts w:ascii="Arial" w:hAnsi="Arial" w:cs="Arial"/>
                <w:b/>
              </w:rPr>
              <w:t>Developing Strategy for Organisational Performance</w:t>
            </w:r>
          </w:p>
        </w:tc>
      </w:tr>
    </w:tbl>
    <w:p w14:paraId="28C422A1" w14:textId="77777777" w:rsidR="00FD42AB" w:rsidRDefault="00FD42AB"/>
    <w:p w14:paraId="07714F76" w14:textId="77777777" w:rsidR="00FD42AB" w:rsidRDefault="00FD42AB"/>
    <w:p w14:paraId="21021499" w14:textId="77777777" w:rsidR="00FD42AB" w:rsidRDefault="00FD42AB"/>
    <w:p w14:paraId="67DCE3EF" w14:textId="77777777" w:rsidR="00FD42AB" w:rsidRDefault="00FD42AB"/>
    <w:p w14:paraId="20212410" w14:textId="77777777" w:rsidR="00FD42AB" w:rsidRDefault="006A5B80">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3271444B" w14:textId="77777777" w:rsidR="00FD42AB" w:rsidRDefault="006A5B80">
      <w:pPr>
        <w:spacing w:before="120" w:after="120" w:line="360" w:lineRule="auto"/>
        <w:rPr>
          <w:rFonts w:ascii="Tahoma" w:hAnsi="Tahoma" w:cs="Tahoma"/>
          <w:color w:val="000000"/>
          <w:sz w:val="24"/>
          <w:szCs w:val="24"/>
        </w:rPr>
      </w:pPr>
      <w:r>
        <w:rPr>
          <w:rFonts w:ascii="Tahoma" w:hAnsi="Tahoma" w:cs="Tahoma"/>
          <w:color w:val="000000"/>
          <w:sz w:val="24"/>
          <w:szCs w:val="24"/>
        </w:rPr>
        <w:t xml:space="preserve">By the act of </w:t>
      </w:r>
      <w:r>
        <w:rPr>
          <w:rFonts w:ascii="Tahoma" w:hAnsi="Tahoma" w:cs="Tahoma"/>
          <w:color w:val="000000"/>
          <w:sz w:val="24"/>
          <w:szCs w:val="24"/>
        </w:rPr>
        <w:t>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E55B9DA" w14:textId="77777777" w:rsidR="00FD42AB" w:rsidRDefault="006A5B80">
      <w:pPr>
        <w:spacing w:before="120" w:after="120" w:line="360" w:lineRule="auto"/>
        <w:rPr>
          <w:rFonts w:ascii="Tahoma" w:hAnsi="Tahoma" w:cs="Tahoma"/>
          <w:color w:val="000000"/>
          <w:sz w:val="24"/>
          <w:szCs w:val="24"/>
        </w:rPr>
      </w:pPr>
      <w:r>
        <w:rPr>
          <w:rFonts w:ascii="Tahoma" w:hAnsi="Tahoma" w:cs="Tahoma"/>
          <w:color w:val="000000"/>
          <w:sz w:val="24"/>
          <w:szCs w:val="24"/>
        </w:rPr>
        <w:t xml:space="preserve">Attention is drawn to the plagiarism and unfair </w:t>
      </w:r>
      <w:r>
        <w:rPr>
          <w:rFonts w:ascii="Tahoma" w:hAnsi="Tahoma" w:cs="Tahoma"/>
          <w:color w:val="000000"/>
          <w:sz w:val="24"/>
          <w:szCs w:val="24"/>
        </w:rPr>
        <w:t>practice policies of UWTSD.</w:t>
      </w:r>
    </w:p>
    <w:p w14:paraId="79C7BA68" w14:textId="77777777" w:rsidR="00FD42AB" w:rsidRDefault="00FD42AB"/>
    <w:p w14:paraId="7E471C4B" w14:textId="77777777" w:rsidR="00FD42AB" w:rsidRDefault="00FD42AB"/>
    <w:p w14:paraId="09155479" w14:textId="77777777" w:rsidR="00FD42AB" w:rsidRDefault="00FD42AB"/>
    <w:p w14:paraId="125656BD" w14:textId="77777777" w:rsidR="00FD42AB" w:rsidRDefault="006A5B80">
      <w:pPr>
        <w:pStyle w:val="TOCHeading"/>
        <w:outlineLvl w:val="9"/>
      </w:pPr>
      <w:r>
        <w:lastRenderedPageBreak/>
        <w:t>Contents</w:t>
      </w:r>
    </w:p>
    <w:p w14:paraId="154A4DA8" w14:textId="77777777" w:rsidR="00FD42AB" w:rsidRDefault="006A5B80">
      <w:pPr>
        <w:pStyle w:val="TOC2"/>
        <w:tabs>
          <w:tab w:val="right" w:leader="dot" w:pos="9016"/>
        </w:tabs>
      </w:pPr>
      <w:r>
        <w:rPr>
          <w:rFonts w:ascii="Aptos Display" w:eastAsia="Times New Roman" w:hAnsi="Aptos Display"/>
          <w:color w:val="0F4761"/>
          <w:kern w:val="0"/>
          <w:sz w:val="32"/>
          <w:szCs w:val="32"/>
          <w:lang w:eastAsia="en-GB"/>
        </w:rPr>
        <w:fldChar w:fldCharType="begin"/>
      </w:r>
      <w:r>
        <w:instrText xml:space="preserve"> TOC \o "1-3" \u \h </w:instrText>
      </w:r>
      <w:r>
        <w:rPr>
          <w:rFonts w:ascii="Aptos Display" w:eastAsia="Times New Roman" w:hAnsi="Aptos Display"/>
          <w:color w:val="0F4761"/>
          <w:kern w:val="0"/>
          <w:sz w:val="32"/>
          <w:szCs w:val="32"/>
          <w:lang w:eastAsia="en-GB"/>
        </w:rPr>
        <w:fldChar w:fldCharType="separate"/>
      </w:r>
      <w:hyperlink r:id="rId7" w:history="1">
        <w:r>
          <w:rPr>
            <w:rStyle w:val="Hyperlink"/>
          </w:rPr>
          <w:t>Introduction</w:t>
        </w:r>
        <w:r>
          <w:tab/>
          <w:t>3</w:t>
        </w:r>
      </w:hyperlink>
    </w:p>
    <w:p w14:paraId="5E91D3F6" w14:textId="77777777" w:rsidR="00FD42AB" w:rsidRDefault="006A5B80">
      <w:pPr>
        <w:pStyle w:val="TOC2"/>
        <w:tabs>
          <w:tab w:val="right" w:leader="dot" w:pos="9016"/>
        </w:tabs>
      </w:pPr>
      <w:hyperlink r:id="rId8" w:history="1">
        <w:r>
          <w:rPr>
            <w:rStyle w:val="Hyperlink"/>
            <w:b/>
            <w:bCs/>
          </w:rPr>
          <w:t>Organisational Environment Analysis</w:t>
        </w:r>
        <w:r>
          <w:tab/>
          <w:t>3</w:t>
        </w:r>
      </w:hyperlink>
    </w:p>
    <w:p w14:paraId="1B7D6B79" w14:textId="77777777" w:rsidR="00FD42AB" w:rsidRDefault="006A5B80">
      <w:pPr>
        <w:pStyle w:val="TOC3"/>
        <w:tabs>
          <w:tab w:val="right" w:leader="dot" w:pos="9016"/>
        </w:tabs>
      </w:pPr>
      <w:hyperlink r:id="rId9" w:history="1">
        <w:r>
          <w:rPr>
            <w:rStyle w:val="Hyperlink"/>
          </w:rPr>
          <w:t>SWOT Analysis</w:t>
        </w:r>
        <w:r>
          <w:tab/>
          <w:t>3</w:t>
        </w:r>
      </w:hyperlink>
    </w:p>
    <w:p w14:paraId="3590B209" w14:textId="77777777" w:rsidR="00FD42AB" w:rsidRDefault="006A5B80">
      <w:pPr>
        <w:pStyle w:val="TOC3"/>
        <w:tabs>
          <w:tab w:val="right" w:leader="dot" w:pos="9016"/>
        </w:tabs>
      </w:pPr>
      <w:hyperlink r:id="rId10" w:history="1">
        <w:r>
          <w:rPr>
            <w:rStyle w:val="Hyperlink"/>
          </w:rPr>
          <w:t>PESTLE Analysis</w:t>
        </w:r>
        <w:r>
          <w:tab/>
          <w:t>4</w:t>
        </w:r>
      </w:hyperlink>
    </w:p>
    <w:p w14:paraId="0B0ADC23" w14:textId="77777777" w:rsidR="00FD42AB" w:rsidRDefault="006A5B80">
      <w:pPr>
        <w:pStyle w:val="TOC3"/>
        <w:tabs>
          <w:tab w:val="right" w:leader="dot" w:pos="9016"/>
        </w:tabs>
      </w:pPr>
      <w:hyperlink r:id="rId11" w:history="1">
        <w:r>
          <w:rPr>
            <w:rStyle w:val="Hyperlink"/>
          </w:rPr>
          <w:t>Stake holder Expectations</w:t>
        </w:r>
        <w:r>
          <w:tab/>
          <w:t>6</w:t>
        </w:r>
      </w:hyperlink>
    </w:p>
    <w:p w14:paraId="3AABEE87" w14:textId="77777777" w:rsidR="00FD42AB" w:rsidRDefault="006A5B80">
      <w:pPr>
        <w:pStyle w:val="TOC2"/>
        <w:tabs>
          <w:tab w:val="right" w:leader="dot" w:pos="9016"/>
        </w:tabs>
      </w:pPr>
      <w:hyperlink r:id="rId12" w:history="1">
        <w:r>
          <w:rPr>
            <w:rStyle w:val="Hyperlink"/>
          </w:rPr>
          <w:t>Change Management</w:t>
        </w:r>
        <w:r>
          <w:tab/>
          <w:t>6</w:t>
        </w:r>
      </w:hyperlink>
    </w:p>
    <w:p w14:paraId="70EA7347" w14:textId="77777777" w:rsidR="00FD42AB" w:rsidRDefault="006A5B80">
      <w:pPr>
        <w:pStyle w:val="TOC3"/>
        <w:tabs>
          <w:tab w:val="right" w:leader="dot" w:pos="9016"/>
        </w:tabs>
      </w:pPr>
      <w:hyperlink r:id="rId13" w:history="1">
        <w:r>
          <w:rPr>
            <w:rStyle w:val="Hyperlink"/>
          </w:rPr>
          <w:t>Change Management Strategies</w:t>
        </w:r>
        <w:r>
          <w:tab/>
          <w:t>6</w:t>
        </w:r>
      </w:hyperlink>
    </w:p>
    <w:p w14:paraId="6D555A82" w14:textId="77777777" w:rsidR="00FD42AB" w:rsidRDefault="006A5B80">
      <w:pPr>
        <w:pStyle w:val="TOC3"/>
        <w:tabs>
          <w:tab w:val="right" w:leader="dot" w:pos="9016"/>
        </w:tabs>
      </w:pPr>
      <w:hyperlink r:id="rId14" w:history="1">
        <w:r>
          <w:rPr>
            <w:rStyle w:val="Hyperlink"/>
          </w:rPr>
          <w:t>Application of Change Theories</w:t>
        </w:r>
        <w:r>
          <w:tab/>
          <w:t>7</w:t>
        </w:r>
      </w:hyperlink>
    </w:p>
    <w:p w14:paraId="7E7E26D5" w14:textId="77777777" w:rsidR="00FD42AB" w:rsidRDefault="006A5B80">
      <w:pPr>
        <w:pStyle w:val="TOC2"/>
        <w:tabs>
          <w:tab w:val="right" w:leader="dot" w:pos="9016"/>
        </w:tabs>
      </w:pPr>
      <w:hyperlink r:id="rId15" w:history="1">
        <w:r>
          <w:rPr>
            <w:rStyle w:val="Hyperlink"/>
            <w:b/>
            <w:bCs/>
          </w:rPr>
          <w:t>Critical Appraisal of Current Strategy</w:t>
        </w:r>
        <w:r>
          <w:tab/>
          <w:t>8</w:t>
        </w:r>
      </w:hyperlink>
    </w:p>
    <w:p w14:paraId="48A4B217" w14:textId="77777777" w:rsidR="00FD42AB" w:rsidRDefault="006A5B80">
      <w:pPr>
        <w:pStyle w:val="TOC3"/>
        <w:tabs>
          <w:tab w:val="right" w:leader="dot" w:pos="9016"/>
        </w:tabs>
      </w:pPr>
      <w:hyperlink r:id="rId16" w:history="1">
        <w:r>
          <w:rPr>
            <w:rStyle w:val="Hyperlink"/>
          </w:rPr>
          <w:t>Overview of Current Strategic Direction</w:t>
        </w:r>
        <w:r>
          <w:tab/>
          <w:t>8</w:t>
        </w:r>
      </w:hyperlink>
    </w:p>
    <w:p w14:paraId="7150E7CE" w14:textId="77777777" w:rsidR="00FD42AB" w:rsidRDefault="006A5B80">
      <w:pPr>
        <w:pStyle w:val="TOC3"/>
        <w:tabs>
          <w:tab w:val="right" w:leader="dot" w:pos="9016"/>
        </w:tabs>
      </w:pPr>
      <w:hyperlink r:id="rId17" w:history="1">
        <w:r>
          <w:rPr>
            <w:rStyle w:val="Hyperlink"/>
          </w:rPr>
          <w:t>Strengths and Strategic Alignment</w:t>
        </w:r>
        <w:r>
          <w:tab/>
          <w:t>8</w:t>
        </w:r>
      </w:hyperlink>
    </w:p>
    <w:p w14:paraId="47D9C6AB" w14:textId="77777777" w:rsidR="00FD42AB" w:rsidRDefault="006A5B80">
      <w:pPr>
        <w:pStyle w:val="TOC3"/>
        <w:tabs>
          <w:tab w:val="right" w:leader="dot" w:pos="9016"/>
        </w:tabs>
      </w:pPr>
      <w:hyperlink r:id="rId18" w:history="1">
        <w:r>
          <w:rPr>
            <w:rStyle w:val="Hyperlink"/>
          </w:rPr>
          <w:t>Strategic Challenges</w:t>
        </w:r>
        <w:r>
          <w:tab/>
          <w:t>8</w:t>
        </w:r>
      </w:hyperlink>
    </w:p>
    <w:p w14:paraId="08A75947" w14:textId="77777777" w:rsidR="00FD42AB" w:rsidRDefault="006A5B80">
      <w:pPr>
        <w:pStyle w:val="TOC3"/>
        <w:tabs>
          <w:tab w:val="right" w:leader="dot" w:pos="9016"/>
        </w:tabs>
      </w:pPr>
      <w:hyperlink r:id="rId19" w:history="1">
        <w:r>
          <w:rPr>
            <w:rStyle w:val="Hyperlink"/>
          </w:rPr>
          <w:t>Opportunities for Improvement</w:t>
        </w:r>
        <w:r>
          <w:tab/>
          <w:t>9</w:t>
        </w:r>
      </w:hyperlink>
    </w:p>
    <w:p w14:paraId="1718B364" w14:textId="77777777" w:rsidR="00FD42AB" w:rsidRDefault="006A5B80">
      <w:pPr>
        <w:pStyle w:val="TOC2"/>
        <w:tabs>
          <w:tab w:val="right" w:leader="dot" w:pos="9016"/>
        </w:tabs>
      </w:pPr>
      <w:hyperlink r:id="rId20" w:history="1">
        <w:r>
          <w:rPr>
            <w:rStyle w:val="Hyperlink"/>
          </w:rPr>
          <w:t>Proposed Strategy</w:t>
        </w:r>
        <w:r>
          <w:tab/>
          <w:t>9</w:t>
        </w:r>
      </w:hyperlink>
    </w:p>
    <w:p w14:paraId="29A6B874" w14:textId="77777777" w:rsidR="00FD42AB" w:rsidRDefault="006A5B80">
      <w:pPr>
        <w:pStyle w:val="TOC3"/>
        <w:tabs>
          <w:tab w:val="right" w:leader="dot" w:pos="9016"/>
        </w:tabs>
      </w:pPr>
      <w:hyperlink r:id="rId21" w:history="1">
        <w:r>
          <w:rPr>
            <w:rStyle w:val="Hyperlink"/>
          </w:rPr>
          <w:t>Vision and Objectives</w:t>
        </w:r>
        <w:r>
          <w:tab/>
          <w:t>9</w:t>
        </w:r>
      </w:hyperlink>
    </w:p>
    <w:p w14:paraId="7BFF0BA9" w14:textId="77777777" w:rsidR="00FD42AB" w:rsidRDefault="006A5B80">
      <w:pPr>
        <w:pStyle w:val="TOC3"/>
        <w:tabs>
          <w:tab w:val="right" w:leader="dot" w:pos="9016"/>
        </w:tabs>
      </w:pPr>
      <w:hyperlink r:id="rId22" w:history="1">
        <w:r>
          <w:rPr>
            <w:rStyle w:val="Hyperlink"/>
          </w:rPr>
          <w:t>Stakeholder Engagement</w:t>
        </w:r>
        <w:r>
          <w:tab/>
          <w:t>10</w:t>
        </w:r>
      </w:hyperlink>
    </w:p>
    <w:p w14:paraId="026F4437" w14:textId="77777777" w:rsidR="00FD42AB" w:rsidRDefault="006A5B80">
      <w:pPr>
        <w:pStyle w:val="TOC2"/>
        <w:tabs>
          <w:tab w:val="right" w:leader="dot" w:pos="9016"/>
        </w:tabs>
      </w:pPr>
      <w:hyperlink r:id="rId23" w:history="1">
        <w:r>
          <w:rPr>
            <w:rStyle w:val="Hyperlink"/>
          </w:rPr>
          <w:t>Conclusion</w:t>
        </w:r>
        <w:r>
          <w:tab/>
          <w:t>10</w:t>
        </w:r>
      </w:hyperlink>
    </w:p>
    <w:p w14:paraId="0198A22A" w14:textId="77777777" w:rsidR="00FD42AB" w:rsidRDefault="006A5B80">
      <w:r>
        <w:fldChar w:fldCharType="end"/>
      </w:r>
    </w:p>
    <w:p w14:paraId="5791D0DE" w14:textId="77777777" w:rsidR="00FD42AB" w:rsidRDefault="00FD42AB"/>
    <w:p w14:paraId="1006BA8C" w14:textId="77777777" w:rsidR="00FD42AB" w:rsidRDefault="00FD42AB"/>
    <w:p w14:paraId="6D2F54CA" w14:textId="77777777" w:rsidR="00FD42AB" w:rsidRDefault="00FD42AB"/>
    <w:p w14:paraId="4BD4B19C" w14:textId="77777777" w:rsidR="00FD42AB" w:rsidRDefault="00FD42AB"/>
    <w:p w14:paraId="39AE7AA0" w14:textId="77777777" w:rsidR="00FD42AB" w:rsidRDefault="00FD42AB"/>
    <w:p w14:paraId="75A31481" w14:textId="77777777" w:rsidR="00FD42AB" w:rsidRDefault="00FD42AB"/>
    <w:p w14:paraId="0C56848A" w14:textId="77777777" w:rsidR="00FD42AB" w:rsidRDefault="00FD42AB"/>
    <w:p w14:paraId="6E27565B" w14:textId="77777777" w:rsidR="00FD42AB" w:rsidRDefault="00FD42AB"/>
    <w:p w14:paraId="7628D20C" w14:textId="77777777" w:rsidR="00FD42AB" w:rsidRDefault="00FD42AB"/>
    <w:p w14:paraId="170F1345" w14:textId="77777777" w:rsidR="00FD42AB" w:rsidRDefault="00FD42AB"/>
    <w:p w14:paraId="3862E9C0" w14:textId="77777777" w:rsidR="00FD42AB" w:rsidRDefault="00FD42AB"/>
    <w:p w14:paraId="45AE409E" w14:textId="77777777" w:rsidR="00FD42AB" w:rsidRDefault="00FD42AB"/>
    <w:p w14:paraId="48F1CD62" w14:textId="77777777" w:rsidR="00FD42AB" w:rsidRDefault="00FD42AB"/>
    <w:p w14:paraId="7F60F639" w14:textId="77777777" w:rsidR="00FD42AB" w:rsidRDefault="006A5B80">
      <w:pPr>
        <w:pStyle w:val="Heading2"/>
      </w:pPr>
      <w:bookmarkStart w:id="0" w:name="_Toc223352294"/>
      <w:r>
        <w:lastRenderedPageBreak/>
        <w:t>Introduction</w:t>
      </w:r>
      <w:bookmarkEnd w:id="0"/>
    </w:p>
    <w:p w14:paraId="45D2EFCD" w14:textId="77777777" w:rsidR="00FD42AB" w:rsidRDefault="006A5B80">
      <w:pPr>
        <w:rPr>
          <w:rFonts w:ascii="Aptos Display" w:hAnsi="Aptos Display"/>
          <w:sz w:val="24"/>
          <w:szCs w:val="24"/>
        </w:rPr>
      </w:pPr>
      <w:r>
        <w:rPr>
          <w:rFonts w:ascii="Aptos Display" w:hAnsi="Aptos Display"/>
          <w:sz w:val="24"/>
          <w:szCs w:val="24"/>
        </w:rPr>
        <w:t xml:space="preserve">This </w:t>
      </w:r>
      <w:r>
        <w:rPr>
          <w:rFonts w:ascii="Aptos Display" w:hAnsi="Aptos Display"/>
          <w:sz w:val="24"/>
          <w:szCs w:val="24"/>
        </w:rPr>
        <w:t>assignment critically evaluates the proposed relocation of services within a care home setting, from the perspective of the Administrative Lead, with a particular focus on change management approaches and strategic direction. It explores the relevance of Kotter’s 8-Step Change Model and Lewin’s Change Management Model in guiding organisational change within a residential care environment. These frameworks will support the effective management of key factors such as staff engagement, communication processes,</w:t>
      </w:r>
      <w:r>
        <w:rPr>
          <w:rFonts w:ascii="Aptos Display" w:hAnsi="Aptos Display"/>
          <w:sz w:val="24"/>
          <w:szCs w:val="24"/>
        </w:rPr>
        <w:t xml:space="preserve"> operational adjustments, and continuity of resident care during the transition. Clear timelines for planning, resource allocation, and implementation will be established to ensure a smooth and well-coordinated relocation process. The assignment also examines the care home’s current strategic direction, assessing its alignment with sector priorities such as person-centred care, regulatory compliance, quality improvement, workforce stability, and operational efficiency. It identifies existing strengths while</w:t>
      </w:r>
      <w:r>
        <w:rPr>
          <w:rFonts w:ascii="Aptos Display" w:hAnsi="Aptos Display"/>
          <w:sz w:val="24"/>
          <w:szCs w:val="24"/>
        </w:rPr>
        <w:t xml:space="preserve"> highlighting challenges and areas for development within the organisation. Finally, the proposed relocation strategy is critically appraised, with particular attention given to the clarity of vision, stakeholder engagement (including residents, families, and staff), risk management, resource planning, and structured implementation timelines to ensure minimal disruption and the maintenance of high-quality care standards throughout the transition.</w:t>
      </w:r>
    </w:p>
    <w:p w14:paraId="4846787E" w14:textId="77777777" w:rsidR="00FD42AB" w:rsidRDefault="00FD42AB">
      <w:pPr>
        <w:pStyle w:val="Heading2"/>
      </w:pPr>
    </w:p>
    <w:p w14:paraId="52895EA0" w14:textId="77777777" w:rsidR="00FD42AB" w:rsidRDefault="006A5B80">
      <w:pPr>
        <w:pStyle w:val="Heading2"/>
        <w:rPr>
          <w:b/>
          <w:bCs/>
        </w:rPr>
      </w:pPr>
      <w:bookmarkStart w:id="1" w:name="_Toc223352295"/>
      <w:r>
        <w:rPr>
          <w:b/>
          <w:bCs/>
        </w:rPr>
        <w:t>Organisational Environment Analysis</w:t>
      </w:r>
      <w:bookmarkEnd w:id="1"/>
    </w:p>
    <w:p w14:paraId="7B000CB1" w14:textId="77777777" w:rsidR="00FD42AB" w:rsidRDefault="006A5B80">
      <w:pPr>
        <w:rPr>
          <w:rFonts w:ascii="Aptos Display" w:hAnsi="Aptos Display"/>
          <w:sz w:val="24"/>
          <w:szCs w:val="24"/>
        </w:rPr>
      </w:pPr>
      <w:r>
        <w:rPr>
          <w:rFonts w:ascii="Aptos Display" w:hAnsi="Aptos Display"/>
          <w:sz w:val="24"/>
          <w:szCs w:val="24"/>
        </w:rPr>
        <w:t xml:space="preserve">From an Administrative Lead perspective, the SWOT analysis highlights that </w:t>
      </w:r>
      <w:proofErr w:type="spellStart"/>
      <w:r>
        <w:rPr>
          <w:rFonts w:ascii="Aptos Display" w:hAnsi="Aptos Display"/>
          <w:sz w:val="24"/>
          <w:szCs w:val="24"/>
        </w:rPr>
        <w:t>Ivolve</w:t>
      </w:r>
      <w:proofErr w:type="spellEnd"/>
      <w:r>
        <w:rPr>
          <w:rFonts w:ascii="Aptos Display" w:hAnsi="Aptos Display"/>
          <w:sz w:val="24"/>
          <w:szCs w:val="24"/>
        </w:rPr>
        <w:t xml:space="preserve"> Care &amp; Support benefits from a strong person-centred care ethos, an established national presence, and structured quality governance systems that support regulatory compliance and consistent service delivery. However, operational complexity and workforce pressures, including variable staff experiences and retention challenges, present ongoing internal weaknesses. Externally, increasing demand for specialist adult social care and opportunities for digital innovation and partnership working create pote</w:t>
      </w:r>
      <w:r>
        <w:rPr>
          <w:rFonts w:ascii="Aptos Display" w:hAnsi="Aptos Display"/>
          <w:sz w:val="24"/>
          <w:szCs w:val="24"/>
        </w:rPr>
        <w:t>ntial for service growth and improvement. At the same time, regulatory changes, funding constraints, workforce shortages, and reputational risks remain significant threats that require proactive strategic planning and strong administrative oversight to maintain quality and sustainability.</w:t>
      </w:r>
    </w:p>
    <w:p w14:paraId="4BF3EA12" w14:textId="77777777" w:rsidR="00FD42AB" w:rsidRDefault="006A5B80">
      <w:pPr>
        <w:pStyle w:val="Heading3"/>
      </w:pPr>
      <w:r>
        <w:t xml:space="preserve"> </w:t>
      </w:r>
      <w:bookmarkStart w:id="2" w:name="_Toc223352296"/>
      <w:r>
        <w:t>SWOT Analysis</w:t>
      </w:r>
      <w:bookmarkEnd w:id="2"/>
      <w:r>
        <w:t xml:space="preserve"> </w:t>
      </w:r>
    </w:p>
    <w:p w14:paraId="67679379" w14:textId="77777777" w:rsidR="00FD42AB" w:rsidRDefault="006A5B80">
      <w:pPr>
        <w:rPr>
          <w:u w:val="single"/>
        </w:rPr>
      </w:pPr>
      <w:r>
        <w:rPr>
          <w:u w:val="single"/>
        </w:rPr>
        <w:t xml:space="preserve">Strengths </w:t>
      </w:r>
    </w:p>
    <w:p w14:paraId="0B91681F" w14:textId="77777777" w:rsidR="00FD42AB" w:rsidRDefault="006A5B80">
      <w:proofErr w:type="spellStart"/>
      <w:r>
        <w:rPr>
          <w:u w:val="single"/>
        </w:rPr>
        <w:t>I</w:t>
      </w:r>
      <w:r>
        <w:rPr>
          <w:rFonts w:ascii="Aptos Display" w:hAnsi="Aptos Display"/>
          <w:sz w:val="24"/>
          <w:szCs w:val="24"/>
        </w:rPr>
        <w:t>volve</w:t>
      </w:r>
      <w:proofErr w:type="spellEnd"/>
      <w:r>
        <w:rPr>
          <w:rFonts w:ascii="Aptos Display" w:hAnsi="Aptos Display"/>
          <w:sz w:val="24"/>
          <w:szCs w:val="24"/>
        </w:rPr>
        <w:t xml:space="preserve"> Care &amp; Support adopts a dynamic, person-centred care philosophy through its “Strive” model, which prioritises enabling individuals to lead fulfilling lives in a home-like environment, thereby supporting improved resident outcomes and satisfaction (</w:t>
      </w:r>
      <w:proofErr w:type="spellStart"/>
      <w:r>
        <w:rPr>
          <w:rFonts w:ascii="Aptos Display" w:hAnsi="Aptos Display"/>
          <w:sz w:val="24"/>
          <w:szCs w:val="24"/>
        </w:rPr>
        <w:t>Ivolve</w:t>
      </w:r>
      <w:proofErr w:type="spellEnd"/>
      <w:r>
        <w:rPr>
          <w:rFonts w:ascii="Aptos Display" w:hAnsi="Aptos Display"/>
          <w:sz w:val="24"/>
          <w:szCs w:val="24"/>
        </w:rPr>
        <w:t xml:space="preserve"> care and support, n.d.). As one of the UK’s established adult social care providers, with hundreds of services and thousands of staff, </w:t>
      </w:r>
      <w:proofErr w:type="spellStart"/>
      <w:r>
        <w:rPr>
          <w:rFonts w:ascii="Aptos Display" w:hAnsi="Aptos Display"/>
          <w:sz w:val="24"/>
          <w:szCs w:val="24"/>
        </w:rPr>
        <w:t>Ivolve</w:t>
      </w:r>
      <w:proofErr w:type="spellEnd"/>
      <w:r>
        <w:rPr>
          <w:rFonts w:ascii="Aptos Display" w:hAnsi="Aptos Display"/>
          <w:sz w:val="24"/>
          <w:szCs w:val="24"/>
        </w:rPr>
        <w:t xml:space="preserve"> brings extensive operational experience and a wide-reaching care network (WILSON, May 2025). The organisation</w:t>
      </w:r>
      <w:r>
        <w:rPr>
          <w:rFonts w:ascii="Aptos Display" w:hAnsi="Aptos Display"/>
          <w:sz w:val="24"/>
          <w:szCs w:val="24"/>
        </w:rPr>
        <w:t xml:space="preserve"> maintains a robust quality and governance framework, supported by systems such as Nourish, which emphasises safety, consistency, personalised planning, and continuous improvement to meet regulatory standards. </w:t>
      </w:r>
      <w:proofErr w:type="spellStart"/>
      <w:r>
        <w:rPr>
          <w:rFonts w:ascii="Aptos Display" w:hAnsi="Aptos Display"/>
          <w:sz w:val="24"/>
          <w:szCs w:val="24"/>
        </w:rPr>
        <w:t>Ivolve’s</w:t>
      </w:r>
      <w:proofErr w:type="spellEnd"/>
      <w:r>
        <w:rPr>
          <w:rFonts w:ascii="Aptos Display" w:hAnsi="Aptos Display"/>
          <w:sz w:val="24"/>
          <w:szCs w:val="24"/>
        </w:rPr>
        <w:t xml:space="preserve"> values-driven culture, grounded in principles of kindness, resilience, and proactivity, fosters </w:t>
      </w:r>
      <w:r>
        <w:rPr>
          <w:rFonts w:ascii="Aptos Display" w:hAnsi="Aptos Display"/>
          <w:sz w:val="24"/>
          <w:szCs w:val="24"/>
        </w:rPr>
        <w:lastRenderedPageBreak/>
        <w:t>staff commitment and morale, promoting consistent care delivery. Additionally, the provider is recognised for its focus on employee development, offering training opportunities and positive workpla</w:t>
      </w:r>
      <w:r>
        <w:rPr>
          <w:rFonts w:ascii="Aptos Display" w:hAnsi="Aptos Display"/>
          <w:sz w:val="24"/>
          <w:szCs w:val="24"/>
        </w:rPr>
        <w:t>ce initiatives that enhance workforce skills and retention.</w:t>
      </w:r>
    </w:p>
    <w:p w14:paraId="64541499" w14:textId="77777777" w:rsidR="00FD42AB" w:rsidRDefault="006A5B80">
      <w:pPr>
        <w:rPr>
          <w:rFonts w:ascii="Aptos Display" w:hAnsi="Aptos Display"/>
          <w:sz w:val="24"/>
          <w:szCs w:val="24"/>
          <w:u w:val="single"/>
        </w:rPr>
      </w:pPr>
      <w:r>
        <w:rPr>
          <w:rFonts w:ascii="Aptos Display" w:hAnsi="Aptos Display"/>
          <w:sz w:val="24"/>
          <w:szCs w:val="24"/>
          <w:u w:val="single"/>
        </w:rPr>
        <w:t>Weaknesses</w:t>
      </w:r>
    </w:p>
    <w:p w14:paraId="08A71949" w14:textId="77777777" w:rsidR="00FD42AB" w:rsidRDefault="006A5B80">
      <w:r>
        <w:rPr>
          <w:rFonts w:ascii="Aptos Display" w:hAnsi="Aptos Display"/>
          <w:sz w:val="24"/>
          <w:szCs w:val="24"/>
        </w:rPr>
        <w:t>Online employee feedback indicates mixed experiences, with variability in management effectiveness, pay and benefits, and workload, which can negatively impact staff morale and retention. Additionally, external reviews containing highly negative accounts of specific services pose a risk to public trust and stakeholder confidence. The organisation’s operational complexity, managing a large and diverse network of services including residential care, supported living, and complex needs provision, further incre</w:t>
      </w:r>
      <w:r>
        <w:rPr>
          <w:rFonts w:ascii="Aptos Display" w:hAnsi="Aptos Display"/>
          <w:sz w:val="24"/>
          <w:szCs w:val="24"/>
        </w:rPr>
        <w:t>ases administrative demands and may reduce responsiveness if strong central coordination is not maintained (Baxter, 18 Nov 2023)</w:t>
      </w:r>
    </w:p>
    <w:p w14:paraId="0D81C7FC" w14:textId="77777777" w:rsidR="00FD42AB" w:rsidRDefault="006A5B80">
      <w:pPr>
        <w:rPr>
          <w:u w:val="single"/>
        </w:rPr>
      </w:pPr>
      <w:r>
        <w:rPr>
          <w:u w:val="single"/>
        </w:rPr>
        <w:t xml:space="preserve">Opportunities </w:t>
      </w:r>
    </w:p>
    <w:p w14:paraId="46E1C671" w14:textId="77777777" w:rsidR="00FD42AB" w:rsidRDefault="006A5B80">
      <w:r>
        <w:rPr>
          <w:rFonts w:ascii="Aptos Display" w:hAnsi="Aptos Display"/>
          <w:sz w:val="24"/>
          <w:szCs w:val="24"/>
        </w:rPr>
        <w:t xml:space="preserve">The growing demand for specialised care, driven by an increasing UK population with complex needs such as learning disabilities and neurological conditions, provides opportunities to expand services and develop targeted care programmes (Spivey, 2026). In addition, the adoption of innovative digital systems, including enhanced electronic records and staffing solutions, has the potential to increase operational efficiency, reduce administrative burden, and support the delivery of high-quality, person-centred </w:t>
      </w:r>
      <w:r>
        <w:rPr>
          <w:rFonts w:ascii="Aptos Display" w:hAnsi="Aptos Display"/>
          <w:sz w:val="24"/>
          <w:szCs w:val="24"/>
        </w:rPr>
        <w:t>care (Evidence, 2023). Strengthening partnerships with local authorities, Integrated Care Systems, healthcare providers, and families can further improve service integration and enhance organisational reputation. Finally, investment in workforce development through targeted training and improved remuneration structures can bolster recruitment and retention, particularly in roles that are traditionally hard to fill.</w:t>
      </w:r>
    </w:p>
    <w:p w14:paraId="5E86CA38" w14:textId="77777777" w:rsidR="00FD42AB" w:rsidRDefault="006A5B80">
      <w:pPr>
        <w:rPr>
          <w:u w:val="single"/>
        </w:rPr>
      </w:pPr>
      <w:r>
        <w:rPr>
          <w:u w:val="single"/>
        </w:rPr>
        <w:t xml:space="preserve">Threats </w:t>
      </w:r>
    </w:p>
    <w:p w14:paraId="7408B922" w14:textId="77777777" w:rsidR="00FD42AB" w:rsidRDefault="006A5B80">
      <w:pPr>
        <w:rPr>
          <w:rFonts w:ascii="Aptos Display" w:hAnsi="Aptos Display"/>
          <w:sz w:val="24"/>
          <w:szCs w:val="24"/>
        </w:rPr>
      </w:pPr>
      <w:r>
        <w:rPr>
          <w:rFonts w:ascii="Aptos Display" w:hAnsi="Aptos Display"/>
          <w:sz w:val="24"/>
          <w:szCs w:val="24"/>
        </w:rPr>
        <w:t>Like much of the adult social care sector, ongoing staffing pressures, including recruitment difficulties, retention challenges, and wider workforce shortages, may affect service continuity and the overall quality of care provided. In addition, evolving regulatory standards from bodies such as the Care Quality Commission, alongside increasingly stringent compliance requirements, can lead to higher operational costs and may require adjustments to existing systems and processes. The organisation also operates</w:t>
      </w:r>
      <w:r>
        <w:rPr>
          <w:rFonts w:ascii="Aptos Display" w:hAnsi="Aptos Display"/>
          <w:sz w:val="24"/>
          <w:szCs w:val="24"/>
        </w:rPr>
        <w:t xml:space="preserve"> within a competitive marketplace, where alternative care models, including home-based services, may restrict growth opportunities or necessitate clear strategic differentiation. Furthermore, negative incidents or public critiques, such as reports of poor care in specific locations, have the potential to significantly damage organisational reputation and erode stakeholder trust if not managed proactively and transparently.</w:t>
      </w:r>
    </w:p>
    <w:p w14:paraId="0DB331AF" w14:textId="77777777" w:rsidR="00FD42AB" w:rsidRDefault="006A5B80">
      <w:pPr>
        <w:pStyle w:val="Heading3"/>
      </w:pPr>
      <w:r>
        <w:t xml:space="preserve"> </w:t>
      </w:r>
      <w:bookmarkStart w:id="3" w:name="_Toc223352297"/>
      <w:r>
        <w:t>PESTLE Analysis</w:t>
      </w:r>
      <w:bookmarkEnd w:id="3"/>
    </w:p>
    <w:p w14:paraId="2E85C271" w14:textId="77777777" w:rsidR="00FD42AB" w:rsidRDefault="006A5B80">
      <w:pPr>
        <w:rPr>
          <w:rFonts w:ascii="Aptos Display" w:hAnsi="Aptos Display"/>
          <w:sz w:val="24"/>
          <w:szCs w:val="24"/>
        </w:rPr>
      </w:pPr>
      <w:r>
        <w:rPr>
          <w:rFonts w:ascii="Aptos Display" w:hAnsi="Aptos Display"/>
          <w:sz w:val="24"/>
          <w:szCs w:val="24"/>
        </w:rPr>
        <w:t xml:space="preserve">From an Administrative Lead perspective, the PESTLE analysis demonstrates that </w:t>
      </w:r>
      <w:proofErr w:type="spellStart"/>
      <w:r>
        <w:rPr>
          <w:rFonts w:ascii="Aptos Display" w:hAnsi="Aptos Display"/>
          <w:sz w:val="24"/>
          <w:szCs w:val="24"/>
        </w:rPr>
        <w:t>Ivolve</w:t>
      </w:r>
      <w:proofErr w:type="spellEnd"/>
      <w:r>
        <w:rPr>
          <w:rFonts w:ascii="Aptos Display" w:hAnsi="Aptos Display"/>
          <w:sz w:val="24"/>
          <w:szCs w:val="24"/>
        </w:rPr>
        <w:t xml:space="preserve"> Care &amp; Support operates within a complex and highly regulated external environment. Political and legal factors, particularly government policy and CQC regulations, significantly influence compliance requirements and operational standards. Economic pressures such as funding </w:t>
      </w:r>
      <w:r>
        <w:rPr>
          <w:rFonts w:ascii="Aptos Display" w:hAnsi="Aptos Display"/>
          <w:sz w:val="24"/>
          <w:szCs w:val="24"/>
        </w:rPr>
        <w:lastRenderedPageBreak/>
        <w:t>constraints, inflation, and rising staffing costs impact financial planning and resource allocation. Social factors, including increasing demand for specialist care and higher family expectations, require a continued focus on pers</w:t>
      </w:r>
      <w:r>
        <w:rPr>
          <w:rFonts w:ascii="Aptos Display" w:hAnsi="Aptos Display"/>
          <w:sz w:val="24"/>
          <w:szCs w:val="24"/>
        </w:rPr>
        <w:t>on-centred service delivery and workforce stability. Technological advancements offer opportunities to improve efficiency and care quality, while environmental considerations highlight the importance of sustainability and cost management. Overall, effective administrative leadership is essential to navigate these external influences while maintaining high standards of care and organisational stability.</w:t>
      </w:r>
    </w:p>
    <w:p w14:paraId="5C8147E9" w14:textId="77777777" w:rsidR="00FD42AB" w:rsidRDefault="006A5B80">
      <w:pPr>
        <w:rPr>
          <w:rFonts w:ascii="Aptos Display" w:hAnsi="Aptos Display"/>
          <w:sz w:val="24"/>
          <w:szCs w:val="24"/>
        </w:rPr>
      </w:pPr>
      <w:r>
        <w:rPr>
          <w:rFonts w:ascii="Aptos Display" w:hAnsi="Aptos Display"/>
          <w:sz w:val="24"/>
          <w:szCs w:val="24"/>
        </w:rPr>
        <w:t xml:space="preserve">Political factors - </w:t>
      </w:r>
      <w:proofErr w:type="spellStart"/>
      <w:r>
        <w:rPr>
          <w:rFonts w:ascii="Aptos Display" w:hAnsi="Aptos Display"/>
          <w:sz w:val="24"/>
          <w:szCs w:val="24"/>
        </w:rPr>
        <w:t>Ivolve</w:t>
      </w:r>
      <w:proofErr w:type="spellEnd"/>
      <w:r>
        <w:rPr>
          <w:rFonts w:ascii="Aptos Display" w:hAnsi="Aptos Display"/>
          <w:sz w:val="24"/>
          <w:szCs w:val="24"/>
        </w:rPr>
        <w:t xml:space="preserve"> operates within a highly regulated environment shaped by UK government social care policies and local authority commissioning frameworks. Changes in government funding, social care reform, and Integrated Care System structures directly impact service provision, placement availability, and financial sustainability. As an Administrative Lead, ensuring compliance with Care Quality Commission standards and local authority contractual requirements is a key operational priority.</w:t>
      </w:r>
    </w:p>
    <w:p w14:paraId="66B08DD5" w14:textId="77777777" w:rsidR="00FD42AB" w:rsidRDefault="006A5B80">
      <w:pPr>
        <w:rPr>
          <w:rFonts w:ascii="Aptos Display" w:hAnsi="Aptos Display"/>
          <w:sz w:val="24"/>
          <w:szCs w:val="24"/>
        </w:rPr>
      </w:pPr>
      <w:proofErr w:type="spellStart"/>
      <w:r>
        <w:rPr>
          <w:rFonts w:ascii="Aptos Display" w:hAnsi="Aptos Display"/>
          <w:sz w:val="24"/>
          <w:szCs w:val="24"/>
        </w:rPr>
        <w:t>Economical</w:t>
      </w:r>
      <w:proofErr w:type="spellEnd"/>
      <w:r>
        <w:rPr>
          <w:rFonts w:ascii="Aptos Display" w:hAnsi="Aptos Display"/>
          <w:sz w:val="24"/>
          <w:szCs w:val="24"/>
        </w:rPr>
        <w:t xml:space="preserve"> factors- The adult social care sector faces financial pressures from inflation, rising energy costs, and increased staffing expenses, including National Living Wage adjustments. Funding constraints from local authorities can limit available resources, affecting staffing ratios and service development. Effective budget monitoring, cost control, and resource allocation are therefore critical administrative responsibilities.</w:t>
      </w:r>
    </w:p>
    <w:p w14:paraId="1E3E1C91" w14:textId="77777777" w:rsidR="00FD42AB" w:rsidRDefault="006A5B80">
      <w:pPr>
        <w:rPr>
          <w:rFonts w:ascii="Aptos Display" w:hAnsi="Aptos Display"/>
          <w:sz w:val="24"/>
          <w:szCs w:val="24"/>
        </w:rPr>
      </w:pPr>
      <w:r>
        <w:rPr>
          <w:rFonts w:ascii="Aptos Display" w:hAnsi="Aptos Display"/>
          <w:sz w:val="24"/>
          <w:szCs w:val="24"/>
        </w:rPr>
        <w:t>Social factors - There is growing demand for specialist services due to an ageing population and increasing prevalence of complex needs, learning disabilities, and mental health conditions. Families increasingly expect high-quality, person-centred, transparent care. Workforce expectations have also shifted, with greater emphasis on wellbeing, flexibility, and career progression. As an Administrative Lead, maintaining staff morale and supporting resident and family engagement is essential.</w:t>
      </w:r>
    </w:p>
    <w:p w14:paraId="4FDAA7A3" w14:textId="77777777" w:rsidR="00FD42AB" w:rsidRDefault="006A5B80">
      <w:pPr>
        <w:rPr>
          <w:rFonts w:ascii="Aptos Display" w:hAnsi="Aptos Display"/>
          <w:sz w:val="24"/>
          <w:szCs w:val="24"/>
        </w:rPr>
      </w:pPr>
      <w:r>
        <w:rPr>
          <w:rFonts w:ascii="Aptos Display" w:hAnsi="Aptos Display"/>
          <w:sz w:val="24"/>
          <w:szCs w:val="24"/>
        </w:rPr>
        <w:t xml:space="preserve">Technology factors - Digital care planning systems, electronic medication records, and compliance tracking tools are becoming standard within care settings. Technology enhances efficiency, </w:t>
      </w:r>
      <w:r>
        <w:rPr>
          <w:rFonts w:ascii="Aptos Display" w:hAnsi="Aptos Display"/>
          <w:sz w:val="24"/>
          <w:szCs w:val="24"/>
        </w:rPr>
        <w:t>documentation accuracy, and audit readiness but requires ongoing staff training and investment. Supporting digital transformation while ensuring data protection compliance is a key responsibility.</w:t>
      </w:r>
    </w:p>
    <w:p w14:paraId="125E0490" w14:textId="77777777" w:rsidR="00FD42AB" w:rsidRDefault="006A5B80">
      <w:r>
        <w:rPr>
          <w:rFonts w:ascii="Aptos Display" w:hAnsi="Aptos Display"/>
          <w:sz w:val="24"/>
          <w:szCs w:val="24"/>
        </w:rPr>
        <w:t xml:space="preserve">Legal factors – </w:t>
      </w:r>
      <w:proofErr w:type="spellStart"/>
      <w:r>
        <w:rPr>
          <w:rFonts w:ascii="Aptos Display" w:hAnsi="Aptos Display"/>
          <w:sz w:val="24"/>
          <w:szCs w:val="24"/>
        </w:rPr>
        <w:t>Ivolve</w:t>
      </w:r>
      <w:proofErr w:type="spellEnd"/>
      <w:r>
        <w:rPr>
          <w:rFonts w:ascii="Aptos Display" w:hAnsi="Aptos Display"/>
          <w:sz w:val="24"/>
          <w:szCs w:val="24"/>
        </w:rPr>
        <w:t xml:space="preserve"> must comply with </w:t>
      </w:r>
      <w:r>
        <w:rPr>
          <w:rFonts w:ascii="Aptos Display" w:hAnsi="Aptos Display"/>
          <w:sz w:val="24"/>
          <w:szCs w:val="24"/>
        </w:rPr>
        <w:t>legislation including the Health and Social Care Act, Mental Capacity Act, safeguarding laws, employment legislation, and data protection regulations. Regular inspections and audits require robust record-keeping and policy adherence. Failure to meet legal standards can result in enforcement action or reputational damage. (2026, n.d.)</w:t>
      </w:r>
    </w:p>
    <w:p w14:paraId="3BE1D4D1" w14:textId="77777777" w:rsidR="00FD42AB" w:rsidRDefault="006A5B80">
      <w:pPr>
        <w:rPr>
          <w:rFonts w:ascii="Aptos Display" w:hAnsi="Aptos Display"/>
          <w:sz w:val="24"/>
          <w:szCs w:val="24"/>
        </w:rPr>
      </w:pPr>
      <w:r>
        <w:rPr>
          <w:rFonts w:ascii="Aptos Display" w:hAnsi="Aptos Display"/>
          <w:sz w:val="24"/>
          <w:szCs w:val="24"/>
        </w:rPr>
        <w:t xml:space="preserve">Environmental factors- Care providers face increasing expectations around sustainability, including energy efficiency, waste reduction, and environmentally responsible procurement. Rising energy costs also directly affect operational budgets. Administratively, monitoring utilities, supplier contracts, and sustainability initiatives contributes to long-term efficiency and corporate responsibility. </w:t>
      </w:r>
    </w:p>
    <w:p w14:paraId="61AE1ADC" w14:textId="77777777" w:rsidR="00FD42AB" w:rsidRDefault="00FD42AB">
      <w:pPr>
        <w:rPr>
          <w:rFonts w:ascii="Aptos Display" w:hAnsi="Aptos Display"/>
          <w:sz w:val="24"/>
          <w:szCs w:val="24"/>
        </w:rPr>
      </w:pPr>
    </w:p>
    <w:p w14:paraId="6F4947F4" w14:textId="77777777" w:rsidR="00FD42AB" w:rsidRDefault="00FD42AB">
      <w:pPr>
        <w:rPr>
          <w:rFonts w:ascii="Aptos Display" w:hAnsi="Aptos Display"/>
          <w:sz w:val="24"/>
          <w:szCs w:val="24"/>
        </w:rPr>
      </w:pPr>
    </w:p>
    <w:p w14:paraId="695A5A44" w14:textId="77777777" w:rsidR="00FD42AB" w:rsidRDefault="00FD42AB">
      <w:pPr>
        <w:rPr>
          <w:rFonts w:ascii="Aptos Display" w:hAnsi="Aptos Display"/>
          <w:sz w:val="24"/>
          <w:szCs w:val="24"/>
        </w:rPr>
      </w:pPr>
    </w:p>
    <w:p w14:paraId="4A45E202" w14:textId="77777777" w:rsidR="00FD42AB" w:rsidRDefault="006A5B80">
      <w:pPr>
        <w:pStyle w:val="Heading3"/>
      </w:pPr>
      <w:bookmarkStart w:id="4" w:name="_Toc223352298"/>
      <w:r>
        <w:t>Stake holder Expectations</w:t>
      </w:r>
      <w:bookmarkEnd w:id="4"/>
    </w:p>
    <w:p w14:paraId="75FC3181" w14:textId="77777777" w:rsidR="00FD42AB" w:rsidRDefault="006A5B80">
      <w:pPr>
        <w:rPr>
          <w:rFonts w:ascii="Aptos Display" w:hAnsi="Aptos Display"/>
          <w:sz w:val="24"/>
          <w:szCs w:val="24"/>
        </w:rPr>
      </w:pPr>
      <w:proofErr w:type="spellStart"/>
      <w:r>
        <w:rPr>
          <w:rFonts w:ascii="Aptos Display" w:hAnsi="Aptos Display"/>
          <w:sz w:val="24"/>
          <w:szCs w:val="24"/>
        </w:rPr>
        <w:t>Ivolve</w:t>
      </w:r>
      <w:proofErr w:type="spellEnd"/>
      <w:r>
        <w:rPr>
          <w:rFonts w:ascii="Aptos Display" w:hAnsi="Aptos Display"/>
          <w:sz w:val="24"/>
          <w:szCs w:val="24"/>
        </w:rPr>
        <w:t xml:space="preserve"> Care &amp; Support, like many care providers, faces challenges in managing the diverse expectations of stakeholders during service changes or relocations. Kotter’s eight-step change model offers a structured framework for managing such organisational change and can help address stakeholder concerns effectively throughout any transition. Goals such as maintaining high-quality resident care, clear communication, and seamless service delivery align closely with the model’s focus on engaging stakeholders at every </w:t>
      </w:r>
      <w:r>
        <w:rPr>
          <w:rFonts w:ascii="Aptos Display" w:hAnsi="Aptos Display"/>
          <w:sz w:val="24"/>
          <w:szCs w:val="24"/>
        </w:rPr>
        <w:t>stage. The initial steps creating a sense of urgency, forming a guiding coalition, and developing a clear vision and strategy are particularly important for establishing a foundation that meets stakeholders’ expectations for transparency, involvement, and minimal disruption.</w:t>
      </w:r>
    </w:p>
    <w:p w14:paraId="67040657" w14:textId="77777777" w:rsidR="00FD42AB" w:rsidRDefault="006A5B80">
      <w:r>
        <w:rPr>
          <w:rFonts w:ascii="Aptos Display" w:hAnsi="Aptos Display"/>
          <w:sz w:val="24"/>
          <w:szCs w:val="24"/>
        </w:rPr>
        <w:t xml:space="preserve">Key stakeholders in a care home relocation or service adjustment include residents, their families, frontline care staff, administrative personnel, and local health and social care partners. For residents and families, continuity of care and regular updates are top priorities (KPMG, 2011). In similar transitions, organisations have successfully used resident-centred communication strategies to build trust and reduce anxiety. Applying Kotter’s model, </w:t>
      </w:r>
      <w:proofErr w:type="spellStart"/>
      <w:r>
        <w:rPr>
          <w:rFonts w:ascii="Aptos Display" w:hAnsi="Aptos Display"/>
          <w:sz w:val="24"/>
          <w:szCs w:val="24"/>
        </w:rPr>
        <w:t>Ivolve</w:t>
      </w:r>
      <w:proofErr w:type="spellEnd"/>
      <w:r>
        <w:rPr>
          <w:rFonts w:ascii="Aptos Display" w:hAnsi="Aptos Display"/>
          <w:sz w:val="24"/>
          <w:szCs w:val="24"/>
        </w:rPr>
        <w:t xml:space="preserve"> can address these concerns by fostering open communication and securing early buy-in from residents, families, and staff.</w:t>
      </w:r>
    </w:p>
    <w:p w14:paraId="207427C6" w14:textId="77777777" w:rsidR="00FD42AB" w:rsidRDefault="006A5B80">
      <w:r>
        <w:rPr>
          <w:rFonts w:ascii="Aptos Display" w:hAnsi="Aptos Display"/>
          <w:sz w:val="24"/>
          <w:szCs w:val="24"/>
        </w:rPr>
        <w:t xml:space="preserve">For care and support staff, understanding how changes affect their roles while maintaining care standards is essential. Kotter’s sixth step, “generating short-term wins,” can reinforce positive attitudes and demonstrate progress, helping to reduce resistance and boost morale (Kotter, 1996).  Following the example of Birmingham Children’s Hospital, engaging employees through meetings and collaborative decision-making empowers them throughout the transition. By applying structured change management practices </w:t>
      </w:r>
      <w:r>
        <w:rPr>
          <w:rFonts w:ascii="Aptos Display" w:hAnsi="Aptos Display"/>
          <w:sz w:val="24"/>
          <w:szCs w:val="24"/>
        </w:rPr>
        <w:t xml:space="preserve">while actively considering stakeholder expectations, </w:t>
      </w:r>
      <w:proofErr w:type="spellStart"/>
      <w:r>
        <w:rPr>
          <w:rFonts w:ascii="Aptos Display" w:hAnsi="Aptos Display"/>
          <w:sz w:val="24"/>
          <w:szCs w:val="24"/>
        </w:rPr>
        <w:t>Ivolve</w:t>
      </w:r>
      <w:proofErr w:type="spellEnd"/>
      <w:r>
        <w:rPr>
          <w:rFonts w:ascii="Aptos Display" w:hAnsi="Aptos Display"/>
          <w:sz w:val="24"/>
          <w:szCs w:val="24"/>
        </w:rPr>
        <w:t xml:space="preserve"> Care &amp; Support can ensure smooth, well-managed transitions that preserve service quality and stakeholder confidence.</w:t>
      </w:r>
    </w:p>
    <w:p w14:paraId="2326AD8D" w14:textId="77777777" w:rsidR="00FD42AB" w:rsidRDefault="00FD42AB"/>
    <w:p w14:paraId="1DDCACCD" w14:textId="77777777" w:rsidR="00FD42AB" w:rsidRDefault="006A5B80">
      <w:pPr>
        <w:pStyle w:val="Heading2"/>
      </w:pPr>
      <w:bookmarkStart w:id="5" w:name="_Toc223352299"/>
      <w:r>
        <w:t>Change Management</w:t>
      </w:r>
      <w:bookmarkEnd w:id="5"/>
    </w:p>
    <w:p w14:paraId="35DDFF41" w14:textId="77777777" w:rsidR="00FD42AB" w:rsidRDefault="006A5B80">
      <w:pPr>
        <w:pStyle w:val="Heading3"/>
      </w:pPr>
      <w:bookmarkStart w:id="6" w:name="_Toc223352300"/>
      <w:r>
        <w:t>Change Management Strategies</w:t>
      </w:r>
      <w:bookmarkEnd w:id="6"/>
    </w:p>
    <w:p w14:paraId="20961EBB" w14:textId="77777777" w:rsidR="00FD42AB" w:rsidRDefault="006A5B80">
      <w:r>
        <w:rPr>
          <w:rFonts w:ascii="Aptos Display" w:hAnsi="Aptos Display"/>
          <w:sz w:val="24"/>
          <w:szCs w:val="24"/>
        </w:rPr>
        <w:t xml:space="preserve">A key element of any service transition at </w:t>
      </w:r>
      <w:proofErr w:type="spellStart"/>
      <w:r>
        <w:rPr>
          <w:rFonts w:ascii="Aptos Display" w:hAnsi="Aptos Display"/>
          <w:sz w:val="24"/>
          <w:szCs w:val="24"/>
        </w:rPr>
        <w:t>Ivolve</w:t>
      </w:r>
      <w:proofErr w:type="spellEnd"/>
      <w:r>
        <w:rPr>
          <w:rFonts w:ascii="Aptos Display" w:hAnsi="Aptos Display"/>
          <w:sz w:val="24"/>
          <w:szCs w:val="24"/>
        </w:rPr>
        <w:t xml:space="preserve"> Care &amp; Support is effective change management. </w:t>
      </w:r>
      <w:proofErr w:type="gramStart"/>
      <w:r>
        <w:rPr>
          <w:rFonts w:ascii="Aptos Display" w:hAnsi="Aptos Display"/>
          <w:sz w:val="24"/>
          <w:szCs w:val="24"/>
        </w:rPr>
        <w:t>Similar to</w:t>
      </w:r>
      <w:proofErr w:type="gramEnd"/>
      <w:r>
        <w:rPr>
          <w:rFonts w:ascii="Aptos Display" w:hAnsi="Aptos Display"/>
          <w:sz w:val="24"/>
          <w:szCs w:val="24"/>
        </w:rPr>
        <w:t xml:space="preserve"> Kotter’s approach, successful management of change involves establishing a clear vision, promoting stakeholder engagement, and maintaining open communication with staff through regular briefings and Q&amp;A sessions. Comparable challenges have been observed in other care settings, such as Birmingham Children’s Hospital, where staff concerns around changes to work routines and roles created resistance (Grocott, n.d.). By adopting strategies such as</w:t>
      </w:r>
      <w:r>
        <w:rPr>
          <w:rFonts w:ascii="Aptos Display" w:hAnsi="Aptos Display"/>
          <w:sz w:val="24"/>
          <w:szCs w:val="24"/>
        </w:rPr>
        <w:t xml:space="preserve"> town hall meetings and involving employees in decision-making, organisations were able to reduce opposition and improve morale. Applying these methods within </w:t>
      </w:r>
      <w:proofErr w:type="spellStart"/>
      <w:r>
        <w:rPr>
          <w:rFonts w:ascii="Aptos Display" w:hAnsi="Aptos Display"/>
          <w:sz w:val="24"/>
          <w:szCs w:val="24"/>
        </w:rPr>
        <w:t>ivolve</w:t>
      </w:r>
      <w:proofErr w:type="spellEnd"/>
      <w:r>
        <w:rPr>
          <w:rFonts w:ascii="Aptos Display" w:hAnsi="Aptos Display"/>
          <w:sz w:val="24"/>
          <w:szCs w:val="24"/>
        </w:rPr>
        <w:t xml:space="preserve"> Care &amp; Support can strengthen staff engagement, foster a supportive workplace culture, and ensure smoother transitions during relocations or operational changes in the care home environment.</w:t>
      </w:r>
    </w:p>
    <w:p w14:paraId="3A25B5AA" w14:textId="77777777" w:rsidR="00FD42AB" w:rsidRDefault="00FD42AB">
      <w:pPr>
        <w:rPr>
          <w:rFonts w:ascii="Aptos Display" w:hAnsi="Aptos Display"/>
          <w:sz w:val="24"/>
          <w:szCs w:val="24"/>
        </w:rPr>
      </w:pPr>
    </w:p>
    <w:p w14:paraId="53B70A68" w14:textId="77777777" w:rsidR="00FD42AB" w:rsidRDefault="006A5B80">
      <w:pPr>
        <w:pStyle w:val="Heading3"/>
      </w:pPr>
      <w:bookmarkStart w:id="7" w:name="_Toc223352301"/>
      <w:r>
        <w:t>Application of Change Theories</w:t>
      </w:r>
      <w:bookmarkEnd w:id="7"/>
    </w:p>
    <w:p w14:paraId="301714D8" w14:textId="77777777" w:rsidR="00FD42AB" w:rsidRDefault="006A5B80">
      <w:pPr>
        <w:pStyle w:val="Heading4"/>
      </w:pPr>
      <w:r>
        <w:t>Kotter’s 8-Step Model</w:t>
      </w:r>
    </w:p>
    <w:p w14:paraId="00876CE0" w14:textId="77777777" w:rsidR="00FD42AB" w:rsidRDefault="006A5B80">
      <w:r>
        <w:rPr>
          <w:rFonts w:ascii="Aptos Display" w:hAnsi="Aptos Display"/>
          <w:sz w:val="24"/>
          <w:szCs w:val="24"/>
        </w:rPr>
        <w:t>In the healthcare sector, Kotter’s methodology is widely recognised for guiding large-scale organisational change. Research indicates that a key component of Kotter’s approach focusing on staff engagement significantly enhances buy-in and reduces resistance. For example, applied Kotter’s framework to support a hospital’s transition to a patient-centred care model, concentrating on building a steering coalition to unite administrative and clinical staff around shared objectives. Clear, consistent communicati</w:t>
      </w:r>
      <w:r>
        <w:rPr>
          <w:rFonts w:ascii="Aptos Display" w:hAnsi="Aptos Display"/>
          <w:sz w:val="24"/>
          <w:szCs w:val="24"/>
        </w:rPr>
        <w:t>on across all levels was critical in reducing opposition and aligning staff with organisational goals, a strategy directly relevant to similar transitions. (</w:t>
      </w:r>
      <w:proofErr w:type="spellStart"/>
      <w:r>
        <w:rPr>
          <w:rFonts w:ascii="Aptos Display" w:hAnsi="Aptos Display"/>
          <w:sz w:val="24"/>
          <w:szCs w:val="24"/>
        </w:rPr>
        <w:t>Aravopoulou</w:t>
      </w:r>
      <w:proofErr w:type="spellEnd"/>
      <w:r>
        <w:rPr>
          <w:rFonts w:ascii="Aptos Display" w:hAnsi="Aptos Display"/>
          <w:sz w:val="24"/>
          <w:szCs w:val="24"/>
        </w:rPr>
        <w:t>, 2020)</w:t>
      </w:r>
    </w:p>
    <w:p w14:paraId="66688F03" w14:textId="77777777" w:rsidR="00FD42AB" w:rsidRDefault="006A5B80">
      <w:r>
        <w:rPr>
          <w:rFonts w:ascii="Aptos Display" w:hAnsi="Aptos Display"/>
          <w:sz w:val="24"/>
          <w:szCs w:val="24"/>
        </w:rPr>
        <w:t>Similarly, (Baloh, 2018) utilised Kotter’s model when restructuring nurse workflows within a hospital network. The “Generate Short-Term Wins” stage proved particularly effective in sustaining momentum and boosting morale. Comparable early successes, such as the timely and efficient relocation of key equipment, can help foster staff confidence and enthusiasm during organisational changes, demonstrating the practical applicability of Kotter’s framework in healthcare environments.</w:t>
      </w:r>
    </w:p>
    <w:p w14:paraId="5443446D" w14:textId="77777777" w:rsidR="00FD42AB" w:rsidRDefault="00FD42AB"/>
    <w:p w14:paraId="33A4E2D7" w14:textId="77777777" w:rsidR="00FD42AB" w:rsidRDefault="006A5B80">
      <w:pPr>
        <w:pStyle w:val="Heading4"/>
      </w:pPr>
      <w:r>
        <w:t>Lewin’s Change Model</w:t>
      </w:r>
    </w:p>
    <w:p w14:paraId="579F1265" w14:textId="77777777" w:rsidR="00FD42AB" w:rsidRDefault="006A5B80">
      <w:r>
        <w:rPr>
          <w:rFonts w:ascii="Aptos Display" w:hAnsi="Aptos Display"/>
          <w:sz w:val="24"/>
          <w:szCs w:val="24"/>
        </w:rPr>
        <w:t>Lewin’s model is frequently applied in care home and social care settings where structured, incremental changes are required. For example, (Shirey, 2013</w:t>
      </w:r>
      <w:proofErr w:type="gramStart"/>
      <w:r>
        <w:rPr>
          <w:rFonts w:ascii="Aptos Display" w:hAnsi="Aptos Display"/>
          <w:sz w:val="24"/>
          <w:szCs w:val="24"/>
        </w:rPr>
        <w:t>)  used</w:t>
      </w:r>
      <w:proofErr w:type="gramEnd"/>
      <w:r>
        <w:rPr>
          <w:rFonts w:ascii="Aptos Display" w:hAnsi="Aptos Display"/>
          <w:sz w:val="24"/>
          <w:szCs w:val="24"/>
        </w:rPr>
        <w:t xml:space="preserve"> Lewin’s Unfreeze–Change–Refreeze framework to shift a hospital’s organisational culture toward a more team-based approach to patient care. In a care home context, the Unfreeze phase is crucial for preparing staff for operational and emotional aspects of service changes, raising awareness, and building readiness for new ways of working. A well-managed Change phase then ensures that staff adopt new practices effectively, supporting long-term improvements in care delivery and operational efficiency.</w:t>
      </w:r>
    </w:p>
    <w:p w14:paraId="0C9180B1" w14:textId="77777777" w:rsidR="00FD42AB" w:rsidRDefault="006A5B80">
      <w:r>
        <w:rPr>
          <w:rFonts w:ascii="Aptos Display" w:hAnsi="Aptos Display"/>
          <w:sz w:val="24"/>
          <w:szCs w:val="24"/>
        </w:rPr>
        <w:t>Similarly, (Cummings, 2016) applied Lewin’s model to optimise hospital operations. During the Unfreeze phase, staff were provided with training on the benefits of new procedures, and ongoing support was offered throughout the Refreeze phase to ensure that changes were fully embedded. These strategies are directly applicable to care home transitions, where preparing staff and reinforcing new practices are essential to achieving sustainable, long-term improvements in both resident care and organisational proc</w:t>
      </w:r>
      <w:r>
        <w:rPr>
          <w:rFonts w:ascii="Aptos Display" w:hAnsi="Aptos Display"/>
          <w:sz w:val="24"/>
          <w:szCs w:val="24"/>
        </w:rPr>
        <w:t>esses.</w:t>
      </w:r>
    </w:p>
    <w:p w14:paraId="4502AB2A" w14:textId="77777777" w:rsidR="00FD42AB" w:rsidRDefault="00FD42AB"/>
    <w:p w14:paraId="126D5230" w14:textId="77777777" w:rsidR="00FD42AB" w:rsidRDefault="00FD42AB"/>
    <w:p w14:paraId="06F6AC72" w14:textId="77777777" w:rsidR="00FD42AB" w:rsidRDefault="00FD42AB"/>
    <w:p w14:paraId="40423CF3" w14:textId="77777777" w:rsidR="00FD42AB" w:rsidRDefault="006A5B80">
      <w:pPr>
        <w:pStyle w:val="Heading2"/>
        <w:rPr>
          <w:b/>
          <w:bCs/>
        </w:rPr>
      </w:pPr>
      <w:r>
        <w:rPr>
          <w:b/>
          <w:bCs/>
        </w:rPr>
        <w:t xml:space="preserve"> </w:t>
      </w:r>
      <w:bookmarkStart w:id="8" w:name="_Toc223352302"/>
      <w:r>
        <w:rPr>
          <w:b/>
          <w:bCs/>
        </w:rPr>
        <w:t>Critical Appraisal of Current Strategy</w:t>
      </w:r>
      <w:bookmarkEnd w:id="8"/>
    </w:p>
    <w:p w14:paraId="4828FE35" w14:textId="77777777" w:rsidR="00FD42AB" w:rsidRDefault="006A5B80">
      <w:pPr>
        <w:rPr>
          <w:rFonts w:ascii="Aptos Display" w:hAnsi="Aptos Display"/>
          <w:sz w:val="24"/>
          <w:szCs w:val="24"/>
        </w:rPr>
      </w:pPr>
      <w:proofErr w:type="spellStart"/>
      <w:r>
        <w:rPr>
          <w:rFonts w:ascii="Aptos Display" w:hAnsi="Aptos Display"/>
          <w:sz w:val="24"/>
          <w:szCs w:val="24"/>
        </w:rPr>
        <w:t>Ivolve</w:t>
      </w:r>
      <w:proofErr w:type="spellEnd"/>
      <w:r>
        <w:rPr>
          <w:rFonts w:ascii="Aptos Display" w:hAnsi="Aptos Display"/>
          <w:sz w:val="24"/>
          <w:szCs w:val="24"/>
        </w:rPr>
        <w:t xml:space="preserve"> Care &amp; Support’s strategic plan reflects a commitment to delivering high-quality, person-centred care, promoting operational efficiency, and integrating digital innovations to support care delivery. The organisation faces challenges such as budgetary constraints, </w:t>
      </w:r>
      <w:r>
        <w:rPr>
          <w:rFonts w:ascii="Aptos Display" w:hAnsi="Aptos Display"/>
          <w:sz w:val="24"/>
          <w:szCs w:val="24"/>
        </w:rPr>
        <w:lastRenderedPageBreak/>
        <w:t xml:space="preserve">workforce availability, accessibility for residents with complex needs, and sustainability considerations. This review critically examines how well </w:t>
      </w:r>
      <w:proofErr w:type="spellStart"/>
      <w:r>
        <w:rPr>
          <w:rFonts w:ascii="Aptos Display" w:hAnsi="Aptos Display"/>
          <w:sz w:val="24"/>
          <w:szCs w:val="24"/>
        </w:rPr>
        <w:t>Ivolve’s</w:t>
      </w:r>
      <w:proofErr w:type="spellEnd"/>
      <w:r>
        <w:rPr>
          <w:rFonts w:ascii="Aptos Display" w:hAnsi="Aptos Display"/>
          <w:sz w:val="24"/>
          <w:szCs w:val="24"/>
        </w:rPr>
        <w:t xml:space="preserve"> strategic initiatives align with broader sector goals, highlighting both strengths and are</w:t>
      </w:r>
      <w:r>
        <w:rPr>
          <w:rFonts w:ascii="Aptos Display" w:hAnsi="Aptos Display"/>
          <w:sz w:val="24"/>
          <w:szCs w:val="24"/>
        </w:rPr>
        <w:t>as for improvement. It also identifies opportunities to enhance the care home’s contribution to improving resident outcomes, staff development, and overall service quality within the adult social care sector.</w:t>
      </w:r>
    </w:p>
    <w:p w14:paraId="67AD1F7A" w14:textId="77777777" w:rsidR="00FD42AB" w:rsidRDefault="006A5B80">
      <w:pPr>
        <w:pStyle w:val="Heading3"/>
      </w:pPr>
      <w:bookmarkStart w:id="9" w:name="_Toc223352303"/>
      <w:r>
        <w:t>Overview of Current Strategic Direction</w:t>
      </w:r>
      <w:bookmarkEnd w:id="9"/>
    </w:p>
    <w:p w14:paraId="779D7E8F" w14:textId="77777777" w:rsidR="00FD42AB" w:rsidRDefault="006A5B80">
      <w:pPr>
        <w:rPr>
          <w:rFonts w:ascii="Aptos Display" w:hAnsi="Aptos Display"/>
          <w:sz w:val="24"/>
          <w:szCs w:val="24"/>
        </w:rPr>
      </w:pPr>
      <w:proofErr w:type="spellStart"/>
      <w:r>
        <w:rPr>
          <w:rFonts w:ascii="Aptos Display" w:hAnsi="Aptos Display"/>
          <w:sz w:val="24"/>
          <w:szCs w:val="24"/>
        </w:rPr>
        <w:t>Ivolve</w:t>
      </w:r>
      <w:proofErr w:type="spellEnd"/>
      <w:r>
        <w:rPr>
          <w:rFonts w:ascii="Aptos Display" w:hAnsi="Aptos Display"/>
          <w:sz w:val="24"/>
          <w:szCs w:val="24"/>
        </w:rPr>
        <w:t xml:space="preserve"> Care &amp; Support is focused on delivering high-quality, person-centred care that prioritises residents’ wellbeing and </w:t>
      </w:r>
      <w:r>
        <w:rPr>
          <w:rFonts w:ascii="Aptos Display" w:hAnsi="Aptos Display"/>
          <w:sz w:val="24"/>
          <w:szCs w:val="24"/>
        </w:rPr>
        <w:t>independence while maintaining operational efficiency and regulatory compliance. The organisation places strong emphasis on digital innovation, including electronic care records and management systems, to improve service delivery, reduce administrative workload, and support staff in delivering consistent, personalised care.</w:t>
      </w:r>
    </w:p>
    <w:p w14:paraId="700D1BB9" w14:textId="77777777" w:rsidR="00FD42AB" w:rsidRDefault="006A5B80">
      <w:r>
        <w:rPr>
          <w:rFonts w:ascii="Aptos Display" w:hAnsi="Aptos Display"/>
          <w:sz w:val="24"/>
          <w:szCs w:val="24"/>
        </w:rPr>
        <w:t>Key strategic priorities also include workforce development, ensuring staff are well-trained, motivated, and supported, and sustainability, by managing resources efficiently and integrating environmentally responsible practices. The care home’s strategy aims to align operational objectives with broader sector goals, such as enhancing resident outcomes, supporting families, and meeting regulatory standards set by bodies like the Care Quality Commission (CQC). (2026, n.d.)</w:t>
      </w:r>
    </w:p>
    <w:p w14:paraId="41ED7813" w14:textId="77777777" w:rsidR="00FD42AB" w:rsidRDefault="006A5B80">
      <w:r>
        <w:rPr>
          <w:rFonts w:ascii="Aptos Display" w:hAnsi="Aptos Display"/>
          <w:sz w:val="24"/>
          <w:szCs w:val="24"/>
        </w:rPr>
        <w:t xml:space="preserve">Challenges such as budgetary constraints, staff retention, accessibility for residents with complex needs, and maintaining high service standards across multiple sites remain central to the organisation’s planning. By addressing these challenges, </w:t>
      </w:r>
      <w:proofErr w:type="spellStart"/>
      <w:r>
        <w:rPr>
          <w:rFonts w:ascii="Aptos Display" w:hAnsi="Aptos Display"/>
          <w:sz w:val="24"/>
          <w:szCs w:val="24"/>
        </w:rPr>
        <w:t>ivolve</w:t>
      </w:r>
      <w:proofErr w:type="spellEnd"/>
      <w:r>
        <w:rPr>
          <w:rFonts w:ascii="Aptos Display" w:hAnsi="Aptos Display"/>
          <w:sz w:val="24"/>
          <w:szCs w:val="24"/>
        </w:rPr>
        <w:t xml:space="preserve"> seeks to strengthen its services, improve staff satisfaction, and deliver long-term, sustainable care in line with its core values of kindness, resilience, and proactivity. (</w:t>
      </w:r>
      <w:proofErr w:type="spellStart"/>
      <w:r>
        <w:rPr>
          <w:rFonts w:ascii="Aptos Display" w:hAnsi="Aptos Display"/>
          <w:sz w:val="24"/>
          <w:szCs w:val="24"/>
        </w:rPr>
        <w:t>Ivolve</w:t>
      </w:r>
      <w:proofErr w:type="spellEnd"/>
      <w:r>
        <w:rPr>
          <w:rFonts w:ascii="Aptos Display" w:hAnsi="Aptos Display"/>
          <w:sz w:val="24"/>
          <w:szCs w:val="24"/>
        </w:rPr>
        <w:t xml:space="preserve"> care and support, n.d.)</w:t>
      </w:r>
    </w:p>
    <w:p w14:paraId="4E245215" w14:textId="77777777" w:rsidR="00FD42AB" w:rsidRDefault="00FD42AB"/>
    <w:p w14:paraId="626DE005" w14:textId="77777777" w:rsidR="00FD42AB" w:rsidRDefault="006A5B80">
      <w:pPr>
        <w:pStyle w:val="Heading3"/>
      </w:pPr>
      <w:bookmarkStart w:id="10" w:name="_Toc223352304"/>
      <w:r>
        <w:t>Strengths and Strategic Alignment</w:t>
      </w:r>
      <w:bookmarkEnd w:id="10"/>
    </w:p>
    <w:p w14:paraId="2C380B57" w14:textId="77777777" w:rsidR="00FD42AB" w:rsidRDefault="006A5B80">
      <w:proofErr w:type="spellStart"/>
      <w:r>
        <w:t>Ivolve</w:t>
      </w:r>
      <w:proofErr w:type="spellEnd"/>
      <w:r>
        <w:t xml:space="preserve"> Care &amp; Support’s strategy demonstrates a strong commitment to delivering high-quality, person-centred care, aligning with broader adult social care goals of enhancing resident outcomes and satisfaction (England, 2023). The care home aims to provide tailored support that meets the diverse needs of residents by applying evidence-based practices, a core component of quality improvement standards in social care (Health, 2023).</w:t>
      </w:r>
    </w:p>
    <w:p w14:paraId="7D17D52E" w14:textId="77777777" w:rsidR="00FD42AB" w:rsidRDefault="006A5B80">
      <w:pPr>
        <w:pStyle w:val="Heading3"/>
      </w:pPr>
      <w:bookmarkStart w:id="11" w:name="_Toc223352305"/>
      <w:r>
        <w:t>Strategic Challenges</w:t>
      </w:r>
      <w:bookmarkEnd w:id="11"/>
    </w:p>
    <w:p w14:paraId="165A37FB" w14:textId="77777777" w:rsidR="00FD42AB" w:rsidRDefault="006A5B80">
      <w:pPr>
        <w:rPr>
          <w:rFonts w:ascii="Aptos Display" w:hAnsi="Aptos Display"/>
          <w:sz w:val="24"/>
          <w:szCs w:val="24"/>
        </w:rPr>
      </w:pPr>
      <w:proofErr w:type="spellStart"/>
      <w:r>
        <w:rPr>
          <w:rFonts w:ascii="Aptos Display" w:hAnsi="Aptos Display"/>
          <w:sz w:val="24"/>
          <w:szCs w:val="24"/>
        </w:rPr>
        <w:t>Ivolve</w:t>
      </w:r>
      <w:proofErr w:type="spellEnd"/>
      <w:r>
        <w:rPr>
          <w:rFonts w:ascii="Aptos Display" w:hAnsi="Aptos Display"/>
          <w:sz w:val="24"/>
          <w:szCs w:val="24"/>
        </w:rPr>
        <w:t xml:space="preserve"> Care &amp; Support faces several strategic challenges that must be addressed to maintain high-quality, person-centred care. Accessibility is a key concern, as the care home must ensure that all residents, including those with complex physical, cognitive, or sensory needs, can safely and comfortably access services, activities, and therapies despite infrastructure or resource limitations. Staff retention and morale also remain critical, with recruitment and maintaining a motivated workforce essential for consis</w:t>
      </w:r>
      <w:r>
        <w:rPr>
          <w:rFonts w:ascii="Aptos Display" w:hAnsi="Aptos Display"/>
          <w:sz w:val="24"/>
          <w:szCs w:val="24"/>
        </w:rPr>
        <w:t xml:space="preserve">tent care delivery. Workforce pressures, such as workload, pay, career development opportunities, and the emotional demands of care, require ongoing attention through professional development, recognition, and wellbeing initiatives. Finally, sustainability presents both financial and environmental challenges. Balancing budgetary constraints with the need to maintain care standards, while implementing environmentally responsible practices such as energy efficiency and waste </w:t>
      </w:r>
      <w:r>
        <w:rPr>
          <w:rFonts w:ascii="Aptos Display" w:hAnsi="Aptos Display"/>
          <w:sz w:val="24"/>
          <w:szCs w:val="24"/>
        </w:rPr>
        <w:lastRenderedPageBreak/>
        <w:t>reduction, is essential for ensuri</w:t>
      </w:r>
      <w:r>
        <w:rPr>
          <w:rFonts w:ascii="Aptos Display" w:hAnsi="Aptos Display"/>
          <w:sz w:val="24"/>
          <w:szCs w:val="24"/>
        </w:rPr>
        <w:t>ng the long-term viability and quality of care provided by the organisation.</w:t>
      </w:r>
    </w:p>
    <w:p w14:paraId="1E224BD0" w14:textId="77777777" w:rsidR="00FD42AB" w:rsidRDefault="006A5B80">
      <w:pPr>
        <w:pStyle w:val="Heading3"/>
      </w:pPr>
      <w:bookmarkStart w:id="12" w:name="_Toc223352306"/>
      <w:r>
        <w:t>Opportunities for Improvement</w:t>
      </w:r>
      <w:bookmarkEnd w:id="12"/>
    </w:p>
    <w:p w14:paraId="24C323CF" w14:textId="77777777" w:rsidR="00FD42AB" w:rsidRDefault="006A5B80">
      <w:pPr>
        <w:rPr>
          <w:rFonts w:ascii="Aptos Display" w:hAnsi="Aptos Display"/>
          <w:sz w:val="24"/>
          <w:szCs w:val="24"/>
        </w:rPr>
      </w:pPr>
      <w:proofErr w:type="spellStart"/>
      <w:r>
        <w:rPr>
          <w:rFonts w:ascii="Aptos Display" w:hAnsi="Aptos Display"/>
          <w:sz w:val="24"/>
          <w:szCs w:val="24"/>
        </w:rPr>
        <w:t>Ivolve</w:t>
      </w:r>
      <w:proofErr w:type="spellEnd"/>
      <w:r>
        <w:rPr>
          <w:rFonts w:ascii="Aptos Display" w:hAnsi="Aptos Display"/>
          <w:sz w:val="24"/>
          <w:szCs w:val="24"/>
        </w:rPr>
        <w:t xml:space="preserve"> Care &amp; Support has several opportunities to enhance its strategic performance and service delivery. Investing in staff development through targeted training, professional development, and career progression can improve workforce retention, boost morale, and ensure consistent, high-quality, person-centred care. Strengthening community partnerships with local healthcare providers, social services, voluntary organisations, and residents’ families can enhance service integration, broaden access to specialist s</w:t>
      </w:r>
      <w:r>
        <w:rPr>
          <w:rFonts w:ascii="Aptos Display" w:hAnsi="Aptos Display"/>
          <w:sz w:val="24"/>
          <w:szCs w:val="24"/>
        </w:rPr>
        <w:t>upport, and provide enrichment opportunities for residents, while also reinforcing the care home’s reputation as a trusted provider. In addition, implementing sustainability initiatives, such as energy-efficient systems, waste reduction strategies, and responsible procurement, can reduce operational costs, support environmental responsibilities, and demonstrate a long-term commitment to sustainable, high-quality care.</w:t>
      </w:r>
    </w:p>
    <w:p w14:paraId="6D418D58" w14:textId="77777777" w:rsidR="00FD42AB" w:rsidRDefault="006A5B80">
      <w:pPr>
        <w:pStyle w:val="Heading2"/>
      </w:pPr>
      <w:bookmarkStart w:id="13" w:name="_Toc223352307"/>
      <w:r>
        <w:t>Proposed Strategy</w:t>
      </w:r>
      <w:bookmarkEnd w:id="13"/>
    </w:p>
    <w:p w14:paraId="06D85E4F" w14:textId="77777777" w:rsidR="00FD42AB" w:rsidRDefault="006A5B80">
      <w:pPr>
        <w:rPr>
          <w:rFonts w:ascii="Aptos Display" w:hAnsi="Aptos Display"/>
          <w:sz w:val="24"/>
          <w:szCs w:val="24"/>
        </w:rPr>
      </w:pPr>
      <w:r>
        <w:rPr>
          <w:rFonts w:ascii="Aptos Display" w:hAnsi="Aptos Display"/>
          <w:sz w:val="24"/>
          <w:szCs w:val="24"/>
        </w:rPr>
        <w:t>Successfully implementing service changes in a care home, such as relocating departments or introducing new operational processes, requires a carefully planned approach. This review considers six key elements to assess the depth and clarity of the proposed strategy: the vision and objectives, stakeholder engagement, risk management, resource allocation, implementation timeline, and evaluation methods. Each component is evaluated to determine the potential effectiveness of the strategy in managing change whi</w:t>
      </w:r>
      <w:r>
        <w:rPr>
          <w:rFonts w:ascii="Aptos Display" w:hAnsi="Aptos Display"/>
          <w:sz w:val="24"/>
          <w:szCs w:val="24"/>
        </w:rPr>
        <w:t>le maintaining high-quality, person-centred care within the care home environment.</w:t>
      </w:r>
    </w:p>
    <w:p w14:paraId="35A6C18F" w14:textId="77777777" w:rsidR="00FD42AB" w:rsidRDefault="006A5B80">
      <w:pPr>
        <w:pStyle w:val="Heading3"/>
      </w:pPr>
      <w:bookmarkStart w:id="14" w:name="_Toc223352308"/>
      <w:r>
        <w:t>Vision and Objectives</w:t>
      </w:r>
      <w:bookmarkEnd w:id="14"/>
    </w:p>
    <w:p w14:paraId="595C6204" w14:textId="77777777" w:rsidR="00FD42AB" w:rsidRDefault="006A5B80">
      <w:r>
        <w:rPr>
          <w:rFonts w:ascii="Aptos Display" w:hAnsi="Aptos Display"/>
          <w:sz w:val="24"/>
          <w:szCs w:val="24"/>
        </w:rPr>
        <w:t>A clear vision and well-defined goals are essential for any strategic plan, and this is particularly true in the adult social care sector, where the primary focus is on improving resident outcomes. The effectiveness of a strategy can be assessed by how well it addresses the specific needs of residents and staff during changes, such as service relocations or operational improvements, while maintaining a long-term perspective. A detailed plan should highlight benefits related to accessibility, service efficie</w:t>
      </w:r>
      <w:r>
        <w:rPr>
          <w:rFonts w:ascii="Aptos Display" w:hAnsi="Aptos Display"/>
          <w:sz w:val="24"/>
          <w:szCs w:val="24"/>
        </w:rPr>
        <w:t>ncy, and quality of care, ensuring that objectives align with broader sector priorities and consider the needs of residents, families, and care staff. Clarity can be further enhanced by applying SMART goals specific, measurable, achievable, relevant, and time-bound allowing stakeholders to understand and track the intended outcomes of the strategy (Pfeffer, 2006).</w:t>
      </w:r>
    </w:p>
    <w:p w14:paraId="48290FD7" w14:textId="77777777" w:rsidR="00FD42AB" w:rsidRDefault="006A5B80">
      <w:pPr>
        <w:pStyle w:val="Heading3"/>
      </w:pPr>
      <w:bookmarkStart w:id="15" w:name="_Toc223352309"/>
      <w:r>
        <w:t>Stakeholder Engagement</w:t>
      </w:r>
      <w:bookmarkEnd w:id="15"/>
    </w:p>
    <w:p w14:paraId="6A518385" w14:textId="77777777" w:rsidR="00FD42AB" w:rsidRDefault="006A5B80">
      <w:r>
        <w:rPr>
          <w:rFonts w:ascii="Aptos Display" w:hAnsi="Aptos Display"/>
          <w:sz w:val="24"/>
          <w:szCs w:val="24"/>
        </w:rPr>
        <w:t xml:space="preserve">Stakeholder engagement is a critical component of effective change management in care home environments, where multiple parties including residents, their families, care staff, administrative personnel, and local community partners are involved (Kotter J. P., 2008). Meaningful participation requires identifying these key stakeholders and understanding their needs, expectations, and concerns, which should be reflected in the change management plan (Kotter </w:t>
      </w:r>
      <w:proofErr w:type="gramStart"/>
      <w:r>
        <w:rPr>
          <w:rFonts w:ascii="Aptos Display" w:hAnsi="Aptos Display"/>
          <w:sz w:val="24"/>
          <w:szCs w:val="24"/>
        </w:rPr>
        <w:t>J. ,</w:t>
      </w:r>
      <w:proofErr w:type="gramEnd"/>
      <w:r>
        <w:rPr>
          <w:rFonts w:ascii="Aptos Display" w:hAnsi="Aptos Display"/>
          <w:sz w:val="24"/>
          <w:szCs w:val="24"/>
        </w:rPr>
        <w:t xml:space="preserve"> 1996). In addition, a comprehensive communication strategy that clearly outlines the timing and methods of consultation, as well as accessible feedback channels, </w:t>
      </w:r>
      <w:r>
        <w:rPr>
          <w:rFonts w:ascii="Aptos Display" w:hAnsi="Aptos Display"/>
          <w:sz w:val="24"/>
          <w:szCs w:val="24"/>
        </w:rPr>
        <w:lastRenderedPageBreak/>
        <w:t>helps ensure that stakeholders views are acknowledged and addressed, providing transparency and clarity throughout the process (Cameron, 2019)</w:t>
      </w:r>
    </w:p>
    <w:p w14:paraId="542F6C0B" w14:textId="77777777" w:rsidR="00FD42AB" w:rsidRDefault="00FD42AB"/>
    <w:p w14:paraId="3A50BCF6" w14:textId="77777777" w:rsidR="00FD42AB" w:rsidRDefault="006A5B80">
      <w:pPr>
        <w:pStyle w:val="Heading2"/>
      </w:pPr>
      <w:r>
        <w:t xml:space="preserve"> </w:t>
      </w:r>
      <w:bookmarkStart w:id="16" w:name="_Toc223352310"/>
      <w:r>
        <w:t>Conclusion</w:t>
      </w:r>
      <w:bookmarkEnd w:id="16"/>
    </w:p>
    <w:p w14:paraId="466DF079" w14:textId="77777777" w:rsidR="00FD42AB" w:rsidRDefault="006A5B80">
      <w:pPr>
        <w:rPr>
          <w:rFonts w:ascii="Aptos Display" w:hAnsi="Aptos Display"/>
          <w:sz w:val="24"/>
          <w:szCs w:val="24"/>
        </w:rPr>
      </w:pPr>
      <w:r>
        <w:rPr>
          <w:rFonts w:ascii="Aptos Display" w:hAnsi="Aptos Display"/>
          <w:sz w:val="24"/>
          <w:szCs w:val="24"/>
        </w:rPr>
        <w:t xml:space="preserve">In conclusion, </w:t>
      </w:r>
      <w:proofErr w:type="spellStart"/>
      <w:r>
        <w:rPr>
          <w:rFonts w:ascii="Aptos Display" w:hAnsi="Aptos Display"/>
          <w:sz w:val="24"/>
          <w:szCs w:val="24"/>
        </w:rPr>
        <w:t>Ivolve</w:t>
      </w:r>
      <w:proofErr w:type="spellEnd"/>
      <w:r>
        <w:rPr>
          <w:rFonts w:ascii="Aptos Display" w:hAnsi="Aptos Display"/>
          <w:sz w:val="24"/>
          <w:szCs w:val="24"/>
        </w:rPr>
        <w:t xml:space="preserve"> Care &amp; Support demonstrates a strong strategic commitment to delivering high-quality, person-centred care while embracing operational efficiency, workforce development, and sustainability. The organisation faces challenges typical of the adult social care sector, including accessibility for residents with complex needs, staff retention and morale, and balancing financial and environmental sustainability. However, there are clear opportunities for improvement through targeted staff development, streng</w:t>
      </w:r>
      <w:r>
        <w:rPr>
          <w:rFonts w:ascii="Aptos Display" w:hAnsi="Aptos Display"/>
          <w:sz w:val="24"/>
          <w:szCs w:val="24"/>
        </w:rPr>
        <w:t>thened community partnerships, and implementation of sustainability initiatives.</w:t>
      </w:r>
    </w:p>
    <w:p w14:paraId="02AF3A43" w14:textId="77777777" w:rsidR="00FD42AB" w:rsidRDefault="006A5B80">
      <w:pPr>
        <w:rPr>
          <w:rFonts w:ascii="Aptos Display" w:hAnsi="Aptos Display"/>
          <w:sz w:val="24"/>
          <w:szCs w:val="24"/>
        </w:rPr>
      </w:pPr>
      <w:r>
        <w:rPr>
          <w:rFonts w:ascii="Aptos Display" w:hAnsi="Aptos Display"/>
          <w:sz w:val="24"/>
          <w:szCs w:val="24"/>
        </w:rPr>
        <w:t>Effective change management is critical to the success of any operational transition or service enhancement. Both Kotter’s eight-step model and Lewin’s Unfreeze–Change–Refreeze framework provide practical, evidence-based approaches for guiding staff, engaging stakeholders, and embedding new practices. Applying these models within the care home setting ensures that residents, families, and staff are supported throughout the process, while promoting staff confidence, collaboration, and adherence to high stand</w:t>
      </w:r>
      <w:r>
        <w:rPr>
          <w:rFonts w:ascii="Aptos Display" w:hAnsi="Aptos Display"/>
          <w:sz w:val="24"/>
          <w:szCs w:val="24"/>
        </w:rPr>
        <w:t>ards of care.</w:t>
      </w:r>
    </w:p>
    <w:p w14:paraId="175AC9D3" w14:textId="77777777" w:rsidR="00FD42AB" w:rsidRDefault="006A5B80">
      <w:pPr>
        <w:rPr>
          <w:rFonts w:ascii="Aptos Display" w:hAnsi="Aptos Display"/>
          <w:sz w:val="24"/>
          <w:szCs w:val="24"/>
        </w:rPr>
      </w:pPr>
      <w:r>
        <w:rPr>
          <w:rFonts w:ascii="Aptos Display" w:hAnsi="Aptos Display"/>
          <w:sz w:val="24"/>
          <w:szCs w:val="24"/>
        </w:rPr>
        <w:t xml:space="preserve">Overall, by combining a strategic focus on person-centred care with structured change management and proactive stakeholder engagement, </w:t>
      </w:r>
      <w:proofErr w:type="spellStart"/>
      <w:r>
        <w:rPr>
          <w:rFonts w:ascii="Aptos Display" w:hAnsi="Aptos Display"/>
          <w:sz w:val="24"/>
          <w:szCs w:val="24"/>
        </w:rPr>
        <w:t>Ivolve</w:t>
      </w:r>
      <w:proofErr w:type="spellEnd"/>
      <w:r>
        <w:rPr>
          <w:rFonts w:ascii="Aptos Display" w:hAnsi="Aptos Display"/>
          <w:sz w:val="24"/>
          <w:szCs w:val="24"/>
        </w:rPr>
        <w:t xml:space="preserve"> Care &amp; Support is well-positioned to enhance resident outcomes, strengthen workforce capability, and ensure sustainable, long-term growth within the adult social care sector.</w:t>
      </w:r>
    </w:p>
    <w:p w14:paraId="10FD60F3" w14:textId="77777777" w:rsidR="00FD42AB" w:rsidRDefault="00FD42AB">
      <w:pPr>
        <w:pStyle w:val="Heading1"/>
      </w:pPr>
    </w:p>
    <w:p w14:paraId="637D04B8" w14:textId="77777777" w:rsidR="00FD42AB" w:rsidRDefault="00FD42AB"/>
    <w:p w14:paraId="4E2AFAC2" w14:textId="77777777" w:rsidR="00FD42AB" w:rsidRDefault="00FD42AB"/>
    <w:p w14:paraId="61E2BE3D" w14:textId="77777777" w:rsidR="00FD42AB" w:rsidRDefault="00FD42AB"/>
    <w:p w14:paraId="52A91B3A" w14:textId="77777777" w:rsidR="00FD42AB" w:rsidRDefault="00FD42AB"/>
    <w:p w14:paraId="3C865D95" w14:textId="77777777" w:rsidR="00FD42AB" w:rsidRDefault="006A5B80">
      <w:pPr>
        <w:pStyle w:val="Heading1"/>
      </w:pPr>
      <w:r>
        <w:t>References</w:t>
      </w:r>
    </w:p>
    <w:p w14:paraId="09C0EAFC" w14:textId="77777777" w:rsidR="00FD42AB" w:rsidRDefault="006A5B80">
      <w:pPr>
        <w:pStyle w:val="Bibliography"/>
        <w:ind w:left="720" w:hanging="720"/>
      </w:pPr>
      <w:r>
        <w:t xml:space="preserve">2026, C. Q. (n.d.). </w:t>
      </w:r>
      <w:r>
        <w:rPr>
          <w:i/>
          <w:iCs/>
        </w:rPr>
        <w:t>Care Quality Commission 2026</w:t>
      </w:r>
      <w:r>
        <w:t xml:space="preserve">. </w:t>
      </w:r>
      <w:r>
        <w:t>Retrieved from https://www.cqc.org.uk/guidance-providers/regulations-enforcement/legislation</w:t>
      </w:r>
    </w:p>
    <w:p w14:paraId="49036E75" w14:textId="77777777" w:rsidR="00FD42AB" w:rsidRDefault="006A5B80">
      <w:pPr>
        <w:pStyle w:val="Bibliography"/>
        <w:ind w:left="720" w:hanging="720"/>
      </w:pPr>
      <w:r>
        <w:t xml:space="preserve">Aravopoulou, E. M. (2020). Application of Kotter’s 8-step change model in healthcare. Journal of Healthcare Management and </w:t>
      </w:r>
      <w:proofErr w:type="gramStart"/>
      <w:r>
        <w:t>Practice,.</w:t>
      </w:r>
      <w:proofErr w:type="gramEnd"/>
      <w:r>
        <w:t xml:space="preserve"> </w:t>
      </w:r>
      <w:r>
        <w:rPr>
          <w:i/>
          <w:iCs/>
        </w:rPr>
        <w:t xml:space="preserve">Application of Kotter’s 8-step change model in healthcare. Journal of Healthcare Management and </w:t>
      </w:r>
      <w:proofErr w:type="gramStart"/>
      <w:r>
        <w:rPr>
          <w:i/>
          <w:iCs/>
        </w:rPr>
        <w:t>Practice,</w:t>
      </w:r>
      <w:r>
        <w:t>,</w:t>
      </w:r>
      <w:proofErr w:type="gramEnd"/>
      <w:r>
        <w:t xml:space="preserve"> 134-145.</w:t>
      </w:r>
    </w:p>
    <w:p w14:paraId="23B15F17" w14:textId="77777777" w:rsidR="00FD42AB" w:rsidRDefault="006A5B80">
      <w:pPr>
        <w:pStyle w:val="Bibliography"/>
        <w:ind w:left="720" w:hanging="720"/>
      </w:pPr>
      <w:r>
        <w:t xml:space="preserve">Baloh, J. Z. (2018). Implementing change in healthcare: Evidence-based practices for redesigning nursing workflows. </w:t>
      </w:r>
      <w:r>
        <w:rPr>
          <w:i/>
          <w:iCs/>
        </w:rPr>
        <w:t>Health Services Research</w:t>
      </w:r>
      <w:r>
        <w:t>, 2847-2863.</w:t>
      </w:r>
    </w:p>
    <w:p w14:paraId="6699AE00" w14:textId="77777777" w:rsidR="00FD42AB" w:rsidRDefault="006A5B80">
      <w:pPr>
        <w:pStyle w:val="Bibliography"/>
        <w:ind w:left="720" w:hanging="720"/>
      </w:pPr>
      <w:r>
        <w:t>Baxter, V. (18 Nov 2023). Multi-disciplinary support for families with complex needs and children on the edge of care in the UK: a mixed methods evaluation. 307 - 325.</w:t>
      </w:r>
    </w:p>
    <w:p w14:paraId="30B51C21" w14:textId="77777777" w:rsidR="00FD42AB" w:rsidRDefault="006A5B80">
      <w:pPr>
        <w:pStyle w:val="Bibliography"/>
        <w:ind w:left="720" w:hanging="720"/>
      </w:pPr>
      <w:r>
        <w:lastRenderedPageBreak/>
        <w:t xml:space="preserve">Cameron, E. &amp;. (2019). </w:t>
      </w:r>
      <w:r>
        <w:rPr>
          <w:i/>
          <w:iCs/>
        </w:rPr>
        <w:t>Making sense of change management - A complete guide to the models, tools, and techniques of organizational change.</w:t>
      </w:r>
      <w:r>
        <w:t xml:space="preserve"> </w:t>
      </w:r>
    </w:p>
    <w:p w14:paraId="2F04E792" w14:textId="77777777" w:rsidR="00FD42AB" w:rsidRDefault="006A5B80">
      <w:pPr>
        <w:pStyle w:val="Bibliography"/>
        <w:ind w:left="720" w:hanging="720"/>
      </w:pPr>
      <w:r>
        <w:t xml:space="preserve">Cummings, G. G. (2016). Using Lewin's change theory to guide the implementation of new practices in healthcare settings. </w:t>
      </w:r>
      <w:r>
        <w:rPr>
          <w:i/>
          <w:iCs/>
        </w:rPr>
        <w:t>Healthcare Change Management</w:t>
      </w:r>
      <w:r>
        <w:t>, 389-397.</w:t>
      </w:r>
    </w:p>
    <w:p w14:paraId="6A348DC0" w14:textId="77777777" w:rsidR="00FD42AB" w:rsidRDefault="006A5B80">
      <w:pPr>
        <w:pStyle w:val="Bibliography"/>
        <w:ind w:left="720" w:hanging="720"/>
      </w:pPr>
      <w:r>
        <w:t xml:space="preserve">England, N. (2023). Quality improvement in the NHS. </w:t>
      </w:r>
      <w:r>
        <w:rPr>
          <w:i/>
          <w:iCs/>
        </w:rPr>
        <w:t>Patient-centred care</w:t>
      </w:r>
      <w:r>
        <w:t>.</w:t>
      </w:r>
    </w:p>
    <w:p w14:paraId="7D2EE40D" w14:textId="77777777" w:rsidR="00FD42AB" w:rsidRDefault="006A5B80">
      <w:pPr>
        <w:pStyle w:val="Bibliography"/>
        <w:ind w:left="720" w:hanging="720"/>
      </w:pPr>
      <w:r>
        <w:t xml:space="preserve">Evidence, N. (2023, </w:t>
      </w:r>
      <w:proofErr w:type="spellStart"/>
      <w:r>
        <w:t>june</w:t>
      </w:r>
      <w:proofErr w:type="spellEnd"/>
      <w:r>
        <w:t xml:space="preserve">). </w:t>
      </w:r>
      <w:r>
        <w:rPr>
          <w:i/>
          <w:iCs/>
        </w:rPr>
        <w:t>Digital technology in the NHS: reducing staff pressures, improving care</w:t>
      </w:r>
      <w:r>
        <w:t>. Retrieved from https://evidence.nihr.ac.uk/collection/digital-technology-in-the-nhs-reducing-staff-pressures-improving-care/</w:t>
      </w:r>
    </w:p>
    <w:p w14:paraId="0AEFB6BE" w14:textId="77777777" w:rsidR="00FD42AB" w:rsidRDefault="006A5B80">
      <w:pPr>
        <w:pStyle w:val="Bibliography"/>
        <w:ind w:left="720" w:hanging="720"/>
      </w:pPr>
      <w:r>
        <w:t xml:space="preserve">Grocott, P. &amp;. (n.d.). </w:t>
      </w:r>
      <w:r>
        <w:rPr>
          <w:i/>
          <w:iCs/>
        </w:rPr>
        <w:t>Integrated care in practice: The Birmingham Children’s Hospital experience</w:t>
      </w:r>
      <w:proofErr w:type="gramStart"/>
      <w:r>
        <w:rPr>
          <w:i/>
          <w:iCs/>
        </w:rPr>
        <w:t xml:space="preserve">. </w:t>
      </w:r>
      <w:r>
        <w:t>.</w:t>
      </w:r>
      <w:proofErr w:type="gramEnd"/>
      <w:r>
        <w:t xml:space="preserve"> Retrieved from Grocott, A., &amp; McSherry, W. (2018). The Patient Experience: Informing Practice through Identification of Meaningful Communication from the Patient's Perspective. Healthcare (Basel, Switzerland), 6(1), 26. https://doi.org/10.3390/healthcare6010026</w:t>
      </w:r>
    </w:p>
    <w:p w14:paraId="29425FC8" w14:textId="77777777" w:rsidR="00FD42AB" w:rsidRDefault="006A5B80">
      <w:pPr>
        <w:pStyle w:val="Bibliography"/>
        <w:ind w:left="720" w:hanging="720"/>
      </w:pPr>
      <w:r>
        <w:t xml:space="preserve">Health, D. o. (2023). Evidence-based practices in physiotherapy for improving patient outcomes. </w:t>
      </w:r>
      <w:r>
        <w:rPr>
          <w:i/>
          <w:iCs/>
        </w:rPr>
        <w:t>Evidence-based practices in physiotherapy for improving patient outcomes</w:t>
      </w:r>
      <w:r>
        <w:t>.</w:t>
      </w:r>
    </w:p>
    <w:p w14:paraId="72613D71" w14:textId="77777777" w:rsidR="00FD42AB" w:rsidRDefault="006A5B80">
      <w:pPr>
        <w:pStyle w:val="Bibliography"/>
        <w:ind w:left="720" w:hanging="720"/>
      </w:pPr>
      <w:proofErr w:type="spellStart"/>
      <w:r>
        <w:rPr>
          <w:i/>
          <w:iCs/>
        </w:rPr>
        <w:t>Ivolve</w:t>
      </w:r>
      <w:proofErr w:type="spellEnd"/>
      <w:r>
        <w:rPr>
          <w:i/>
          <w:iCs/>
        </w:rPr>
        <w:t xml:space="preserve"> care and support</w:t>
      </w:r>
      <w:r>
        <w:t xml:space="preserve">. (n.d.). Retrieved from </w:t>
      </w:r>
      <w:proofErr w:type="spellStart"/>
      <w:r>
        <w:t>ivolve</w:t>
      </w:r>
      <w:proofErr w:type="spellEnd"/>
      <w:r>
        <w:t xml:space="preserve"> care and support: https://ivolve.care/</w:t>
      </w:r>
    </w:p>
    <w:p w14:paraId="177F0453" w14:textId="77777777" w:rsidR="00FD42AB" w:rsidRDefault="006A5B80">
      <w:pPr>
        <w:pStyle w:val="Bibliography"/>
        <w:ind w:left="720" w:hanging="720"/>
      </w:pPr>
      <w:r>
        <w:t xml:space="preserve">Kotter, J. (1996). Harvard Business Review Press. </w:t>
      </w:r>
      <w:r>
        <w:rPr>
          <w:i/>
          <w:iCs/>
        </w:rPr>
        <w:t>Leading change.</w:t>
      </w:r>
      <w:r>
        <w:t xml:space="preserve"> </w:t>
      </w:r>
    </w:p>
    <w:p w14:paraId="7ED5A9C2" w14:textId="77777777" w:rsidR="00FD42AB" w:rsidRDefault="006A5B80">
      <w:pPr>
        <w:pStyle w:val="Bibliography"/>
        <w:ind w:left="720" w:hanging="720"/>
      </w:pPr>
      <w:r>
        <w:t>Kotter, J. P. (2008). Choosing strategies for change. Harvard Business Review. 130-139.</w:t>
      </w:r>
    </w:p>
    <w:p w14:paraId="65DE6DDC" w14:textId="77777777" w:rsidR="00FD42AB" w:rsidRDefault="006A5B80">
      <w:pPr>
        <w:pStyle w:val="Bibliography"/>
        <w:ind w:left="720" w:hanging="720"/>
      </w:pPr>
      <w:r>
        <w:t xml:space="preserve">KPMG. (2011). </w:t>
      </w:r>
      <w:r>
        <w:rPr>
          <w:i/>
          <w:iCs/>
        </w:rPr>
        <w:t>Best practices in healthcare relocations</w:t>
      </w:r>
      <w:r>
        <w:t xml:space="preserve">. Retrieved from Lessons from Northern Ireland and Yorkshire. KPMG Health Practice.: https://www.kpmg.com/healthcare-relocation-best-practices </w:t>
      </w:r>
    </w:p>
    <w:p w14:paraId="212990D4" w14:textId="77777777" w:rsidR="00FD42AB" w:rsidRDefault="006A5B80">
      <w:pPr>
        <w:pStyle w:val="Bibliography"/>
        <w:ind w:left="720" w:hanging="720"/>
      </w:pPr>
      <w:r>
        <w:t xml:space="preserve">Pfeffer, J. &amp;. (2006). Hard facts, dangerous half-truths, and total nonsense: Profiting from evidence-based management. </w:t>
      </w:r>
      <w:r>
        <w:rPr>
          <w:i/>
          <w:iCs/>
        </w:rPr>
        <w:t>Harvard Business Review Press.</w:t>
      </w:r>
      <w:r>
        <w:t xml:space="preserve"> </w:t>
      </w:r>
    </w:p>
    <w:p w14:paraId="52A5CAD0" w14:textId="77777777" w:rsidR="00FD42AB" w:rsidRDefault="006A5B80">
      <w:pPr>
        <w:pStyle w:val="Bibliography"/>
        <w:ind w:left="720" w:hanging="720"/>
      </w:pPr>
      <w:r>
        <w:t xml:space="preserve">Shirey, M. R. (2013). Lewin’s theory of planned change as a strategic resource for implementing change. </w:t>
      </w:r>
      <w:r>
        <w:rPr>
          <w:i/>
          <w:iCs/>
        </w:rPr>
        <w:t xml:space="preserve">Nursing </w:t>
      </w:r>
      <w:proofErr w:type="gramStart"/>
      <w:r>
        <w:rPr>
          <w:i/>
          <w:iCs/>
        </w:rPr>
        <w:t xml:space="preserve">management </w:t>
      </w:r>
      <w:r>
        <w:t>,</w:t>
      </w:r>
      <w:proofErr w:type="gramEnd"/>
      <w:r>
        <w:t xml:space="preserve"> 45-51.</w:t>
      </w:r>
    </w:p>
    <w:p w14:paraId="3D627770" w14:textId="77777777" w:rsidR="00FD42AB" w:rsidRDefault="006A5B80">
      <w:pPr>
        <w:pStyle w:val="Bibliography"/>
        <w:ind w:left="720" w:hanging="720"/>
      </w:pPr>
      <w:r>
        <w:t xml:space="preserve">Spivey, M. (2026). </w:t>
      </w:r>
      <w:r>
        <w:rPr>
          <w:i/>
          <w:iCs/>
        </w:rPr>
        <w:t>Education care plans to be reserved for most complex SEND cases by 2035.</w:t>
      </w:r>
      <w:r>
        <w:t xml:space="preserve"> </w:t>
      </w:r>
      <w:proofErr w:type="spellStart"/>
      <w:r>
        <w:t>bbc</w:t>
      </w:r>
      <w:proofErr w:type="spellEnd"/>
      <w:r>
        <w:t xml:space="preserve"> news.</w:t>
      </w:r>
    </w:p>
    <w:p w14:paraId="058CD06B" w14:textId="77777777" w:rsidR="00FD42AB" w:rsidRDefault="006A5B80">
      <w:pPr>
        <w:pStyle w:val="Bibliography"/>
        <w:ind w:left="720" w:hanging="720"/>
      </w:pPr>
      <w:r>
        <w:t xml:space="preserve">WILSON, K. (May 2025). best places to </w:t>
      </w:r>
      <w:proofErr w:type="gramStart"/>
      <w:r>
        <w:t>work .</w:t>
      </w:r>
      <w:proofErr w:type="gramEnd"/>
      <w:r>
        <w:t xml:space="preserve"> </w:t>
      </w:r>
      <w:r>
        <w:rPr>
          <w:i/>
          <w:iCs/>
        </w:rPr>
        <w:t xml:space="preserve">the </w:t>
      </w:r>
      <w:proofErr w:type="gramStart"/>
      <w:r>
        <w:rPr>
          <w:i/>
          <w:iCs/>
        </w:rPr>
        <w:t xml:space="preserve">times </w:t>
      </w:r>
      <w:r>
        <w:t>.</w:t>
      </w:r>
      <w:proofErr w:type="gramEnd"/>
    </w:p>
    <w:p w14:paraId="06244C5A" w14:textId="77777777" w:rsidR="00FD42AB" w:rsidRDefault="00FD42AB"/>
    <w:p w14:paraId="3991C401" w14:textId="77777777" w:rsidR="00FD42AB" w:rsidRDefault="00FD42AB"/>
    <w:sectPr w:rsidR="00FD42A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BF7436" w14:textId="77777777" w:rsidR="006A5B80" w:rsidRDefault="006A5B80">
      <w:pPr>
        <w:spacing w:after="0" w:line="240" w:lineRule="auto"/>
      </w:pPr>
      <w:r>
        <w:separator/>
      </w:r>
    </w:p>
  </w:endnote>
  <w:endnote w:type="continuationSeparator" w:id="0">
    <w:p w14:paraId="49C7511B" w14:textId="77777777" w:rsidR="006A5B80" w:rsidRDefault="006A5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85FF66" w14:textId="77777777" w:rsidR="006A5B80" w:rsidRDefault="006A5B80">
      <w:pPr>
        <w:spacing w:after="0" w:line="240" w:lineRule="auto"/>
      </w:pPr>
      <w:r>
        <w:rPr>
          <w:color w:val="000000"/>
        </w:rPr>
        <w:separator/>
      </w:r>
    </w:p>
  </w:footnote>
  <w:footnote w:type="continuationSeparator" w:id="0">
    <w:p w14:paraId="7BF9E7B4" w14:textId="77777777" w:rsidR="006A5B80" w:rsidRDefault="006A5B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D42AB"/>
    <w:rsid w:val="006A5B80"/>
    <w:rsid w:val="00A52EC8"/>
    <w:rsid w:val="00FD42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9A248"/>
  <w15:docId w15:val="{253B4BB8-C701-4FBA-A861-73F08013E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Heading">
    <w:name w:val="TOC Heading"/>
    <w:basedOn w:val="Heading1"/>
    <w:next w:val="Normal"/>
    <w:pPr>
      <w:suppressAutoHyphens w:val="0"/>
      <w:spacing w:before="240" w:after="0" w:line="254" w:lineRule="auto"/>
    </w:pPr>
    <w:rPr>
      <w:kern w:val="0"/>
      <w:sz w:val="32"/>
      <w:szCs w:val="32"/>
      <w:lang w:eastAsia="en-GB"/>
    </w:r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 w:type="character" w:styleId="Hyperlink">
    <w:name w:val="Hyperlink"/>
    <w:basedOn w:val="DefaultParagraphFont"/>
    <w:rPr>
      <w:color w:val="467886"/>
      <w:u w:val="single"/>
    </w:rPr>
  </w:style>
  <w:style w:type="paragraph" w:styleId="NormalWeb">
    <w:name w:val="Normal (Web)"/>
    <w:basedOn w:val="Normal"/>
    <w:rPr>
      <w:rFonts w:ascii="Times New Roman" w:hAnsi="Times New Roman"/>
      <w:sz w:val="24"/>
      <w:szCs w:val="24"/>
    </w:rPr>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_Toc223352295" TargetMode="External"/><Relationship Id="rId13" Type="http://schemas.openxmlformats.org/officeDocument/2006/relationships/hyperlink" Target="#_Toc223352300" TargetMode="External"/><Relationship Id="rId18" Type="http://schemas.openxmlformats.org/officeDocument/2006/relationships/hyperlink" Target="#_Toc223352305" TargetMode="External"/><Relationship Id="rId3" Type="http://schemas.openxmlformats.org/officeDocument/2006/relationships/webSettings" Target="webSettings.xml"/><Relationship Id="rId21" Type="http://schemas.openxmlformats.org/officeDocument/2006/relationships/hyperlink" Target="#_Toc223352308" TargetMode="External"/><Relationship Id="rId7" Type="http://schemas.openxmlformats.org/officeDocument/2006/relationships/hyperlink" Target="#_Toc223352294" TargetMode="External"/><Relationship Id="rId12" Type="http://schemas.openxmlformats.org/officeDocument/2006/relationships/hyperlink" Target="#_Toc223352299" TargetMode="External"/><Relationship Id="rId17" Type="http://schemas.openxmlformats.org/officeDocument/2006/relationships/hyperlink" Target="#_Toc223352304"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_Toc223352303" TargetMode="External"/><Relationship Id="rId20" Type="http://schemas.openxmlformats.org/officeDocument/2006/relationships/hyperlink" Target="#_Toc223352307"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_Toc223352298"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_Toc223352302" TargetMode="External"/><Relationship Id="rId23" Type="http://schemas.openxmlformats.org/officeDocument/2006/relationships/hyperlink" Target="#_Toc223352310" TargetMode="External"/><Relationship Id="rId10" Type="http://schemas.openxmlformats.org/officeDocument/2006/relationships/hyperlink" Target="#_Toc223352297" TargetMode="External"/><Relationship Id="rId19" Type="http://schemas.openxmlformats.org/officeDocument/2006/relationships/hyperlink" Target="#_Toc223352306" TargetMode="External"/><Relationship Id="rId4" Type="http://schemas.openxmlformats.org/officeDocument/2006/relationships/footnotes" Target="footnotes.xml"/><Relationship Id="rId9" Type="http://schemas.openxmlformats.org/officeDocument/2006/relationships/hyperlink" Target="#_Toc223352296" TargetMode="External"/><Relationship Id="rId14" Type="http://schemas.openxmlformats.org/officeDocument/2006/relationships/hyperlink" Target="#_Toc223352301" TargetMode="External"/><Relationship Id="rId22" Type="http://schemas.openxmlformats.org/officeDocument/2006/relationships/hyperlink" Target="#_Toc22335230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3552</Words>
  <Characters>24057</Characters>
  <Application>Microsoft Office Word</Application>
  <DocSecurity>0</DocSecurity>
  <Lines>413</Lines>
  <Paragraphs>105</Paragraphs>
  <ScaleCrop>false</ScaleCrop>
  <Company>University of Wales Trinity Saint David</Company>
  <LinksUpToDate>false</LinksUpToDate>
  <CharactersWithSpaces>27538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Evans</dc:creator>
  <dc:description/>
  <cp:lastModifiedBy>Andrew Maund</cp:lastModifiedBy>
  <cp:revision>2</cp:revision>
  <dcterms:created xsi:type="dcterms:W3CDTF">2026-03-02T14:13:00Z</dcterms:created>
  <dcterms:modified xsi:type="dcterms:W3CDTF">2026-03-02T14:13:00Z</dcterms:modified>
</cp:coreProperties>
</file>