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1820CA" w:rsidRDefault="00FE49C9">
      <w:pPr>
        <w:rPr>
          <w:rFonts w:ascii="Calibri" w:eastAsia="Calibri" w:hAnsi="Calibri" w:cs="Calibri"/>
          <w:b/>
          <w:i/>
          <w:sz w:val="28"/>
          <w:szCs w:val="28"/>
        </w:rPr>
      </w:pPr>
      <w:r>
        <w:rPr>
          <w:rFonts w:ascii="Calibri" w:eastAsia="Calibri" w:hAnsi="Calibri" w:cs="Calibri"/>
          <w:b/>
          <w:i/>
          <w:sz w:val="28"/>
          <w:szCs w:val="28"/>
        </w:rPr>
        <w:t>Using the psychological evidence on prejudice and discrimination as a framework, critically discuss how government education policy relevant to an education setting of your choice could use psychological theories of prejudice and discrimination to combat p</w:t>
      </w:r>
      <w:r>
        <w:rPr>
          <w:rFonts w:ascii="Calibri" w:eastAsia="Calibri" w:hAnsi="Calibri" w:cs="Calibri"/>
          <w:b/>
          <w:i/>
          <w:sz w:val="28"/>
          <w:szCs w:val="28"/>
        </w:rPr>
        <w:t>rejudice and discrimination at policy level.</w:t>
      </w:r>
    </w:p>
    <w:p w14:paraId="00000002" w14:textId="77777777" w:rsidR="001820CA" w:rsidRDefault="001820CA">
      <w:pPr>
        <w:widowControl w:val="0"/>
        <w:rPr>
          <w:rFonts w:ascii="Calibri" w:eastAsia="Calibri" w:hAnsi="Calibri" w:cs="Calibri"/>
          <w:sz w:val="24"/>
          <w:szCs w:val="24"/>
          <w:shd w:val="clear" w:color="auto" w:fill="EAD1DC"/>
        </w:rPr>
      </w:pPr>
    </w:p>
    <w:p w14:paraId="00000003" w14:textId="77777777" w:rsidR="001820CA" w:rsidRDefault="00FE49C9">
      <w:pPr>
        <w:spacing w:after="160"/>
        <w:jc w:val="center"/>
        <w:rPr>
          <w:rFonts w:ascii="Calibri" w:eastAsia="Calibri" w:hAnsi="Calibri" w:cs="Calibri"/>
          <w:sz w:val="24"/>
          <w:szCs w:val="24"/>
          <w:shd w:val="clear" w:color="auto" w:fill="EAD1DC"/>
        </w:rPr>
      </w:pPr>
      <w:r>
        <w:rPr>
          <w:rFonts w:ascii="Calibri" w:eastAsia="Calibri" w:hAnsi="Calibri" w:cs="Calibri"/>
          <w:i/>
          <w:sz w:val="24"/>
          <w:szCs w:val="24"/>
        </w:rPr>
        <w:t>Educational change is technically simple but socially complex (Fullan, 2016, p.67).</w:t>
      </w:r>
    </w:p>
    <w:p w14:paraId="00000004" w14:textId="77777777" w:rsidR="001820CA" w:rsidRDefault="00FE49C9">
      <w:pPr>
        <w:widowControl w:val="0"/>
        <w:rPr>
          <w:rFonts w:ascii="Calibri" w:eastAsia="Calibri" w:hAnsi="Calibri" w:cs="Calibri"/>
          <w:sz w:val="24"/>
          <w:szCs w:val="24"/>
        </w:rPr>
      </w:pPr>
      <w:r>
        <w:rPr>
          <w:rFonts w:ascii="Calibri" w:eastAsia="Calibri" w:hAnsi="Calibri" w:cs="Calibri"/>
          <w:sz w:val="24"/>
          <w:szCs w:val="24"/>
        </w:rPr>
        <w:t>Educational policy is the amalgam of policies, processes and laws which drive the behaviours and actions of educational organi</w:t>
      </w:r>
      <w:r>
        <w:rPr>
          <w:rFonts w:ascii="Calibri" w:eastAsia="Calibri" w:hAnsi="Calibri" w:cs="Calibri"/>
          <w:sz w:val="24"/>
          <w:szCs w:val="24"/>
        </w:rPr>
        <w:t xml:space="preserve">sations, with the intention of achieving national goals. The international education landscape is littered with examples of reform related policy tensions (Kuiper and Berkvens, 2013; Sinnema 2015; Fullan, 2016; </w:t>
      </w:r>
      <w:r>
        <w:rPr>
          <w:rFonts w:ascii="Calibri" w:eastAsia="Calibri" w:hAnsi="Calibri" w:cs="Calibri"/>
          <w:sz w:val="24"/>
          <w:szCs w:val="24"/>
          <w:highlight w:val="white"/>
        </w:rPr>
        <w:t xml:space="preserve">Fullan and Hargreaves, 2016; </w:t>
      </w:r>
      <w:r>
        <w:rPr>
          <w:rFonts w:ascii="Calibri" w:eastAsia="Calibri" w:hAnsi="Calibri" w:cs="Calibri"/>
          <w:sz w:val="24"/>
          <w:szCs w:val="24"/>
        </w:rPr>
        <w:t>Pak Tee Ng, 2017</w:t>
      </w:r>
      <w:r>
        <w:rPr>
          <w:rFonts w:ascii="Calibri" w:eastAsia="Calibri" w:hAnsi="Calibri" w:cs="Calibri"/>
          <w:sz w:val="24"/>
          <w:szCs w:val="24"/>
        </w:rPr>
        <w:t>; Newton, 2020). One such recurring tension, particular to curriculum, is the level at which key decisions about what-to-teach and how-to-teach are made. There are numerous examples of curricula that have been implemented through both tight regulation, usu</w:t>
      </w:r>
      <w:r>
        <w:rPr>
          <w:rFonts w:ascii="Calibri" w:eastAsia="Calibri" w:hAnsi="Calibri" w:cs="Calibri"/>
          <w:sz w:val="24"/>
          <w:szCs w:val="24"/>
        </w:rPr>
        <w:t xml:space="preserve">ally at the governmental level, as well as the recent global reform de rigueur which seeks greater autonomy for practitioners (Caroll et al, 2007; Nieveen &amp; Kuiper, 2012; Sinnema 2015; Prendergast and Treacy, 2017; Priestley et al, 2021). When it comes to </w:t>
      </w:r>
      <w:r>
        <w:rPr>
          <w:rFonts w:ascii="Calibri" w:eastAsia="Calibri" w:hAnsi="Calibri" w:cs="Calibri"/>
          <w:sz w:val="24"/>
          <w:szCs w:val="24"/>
        </w:rPr>
        <w:t>Curriculum for Wales, the preponderance of such key decisions will now sit within schools themselves. It is the matching of strategic alignment with tactical empowerment, a paradoxical concept that is the crux of considerations regarding education reform a</w:t>
      </w:r>
      <w:r>
        <w:rPr>
          <w:rFonts w:ascii="Calibri" w:eastAsia="Calibri" w:hAnsi="Calibri" w:cs="Calibri"/>
          <w:sz w:val="24"/>
          <w:szCs w:val="24"/>
        </w:rPr>
        <w:t xml:space="preserve">nd curriculum realisation (Pak Tee Ng, 2017). It is important to note at this juncture that any references to curriculum, within Wales’ reform context, represents a composite of elements which include curriculum purposes (the why), pedagogy (the how), the </w:t>
      </w:r>
      <w:r>
        <w:rPr>
          <w:rFonts w:ascii="Calibri" w:eastAsia="Calibri" w:hAnsi="Calibri" w:cs="Calibri"/>
          <w:sz w:val="24"/>
          <w:szCs w:val="24"/>
        </w:rPr>
        <w:t>content and assessment (the what). ‘Curriculum includes all the learning experiences and assessment activities planned in pursuit of agreed purposes of education’ (Donaldson, 2015, p113). Each component will provide varying degrees of freedom upon which te</w:t>
      </w:r>
      <w:r>
        <w:rPr>
          <w:rFonts w:ascii="Calibri" w:eastAsia="Calibri" w:hAnsi="Calibri" w:cs="Calibri"/>
          <w:sz w:val="24"/>
          <w:szCs w:val="24"/>
        </w:rPr>
        <w:t xml:space="preserve">achers will base their decisions. As such, it is by design that Curriculum for Wales (CfW) intends to focus upon realisation through the ambitious concept of subsidiarity. </w:t>
      </w:r>
    </w:p>
    <w:p w14:paraId="00000005" w14:textId="77777777" w:rsidR="001820CA" w:rsidRDefault="001820CA">
      <w:pPr>
        <w:widowControl w:val="0"/>
        <w:rPr>
          <w:rFonts w:ascii="Calibri" w:eastAsia="Calibri" w:hAnsi="Calibri" w:cs="Calibri"/>
          <w:sz w:val="24"/>
          <w:szCs w:val="24"/>
        </w:rPr>
      </w:pPr>
    </w:p>
    <w:p w14:paraId="00000006" w14:textId="77777777" w:rsidR="001820CA" w:rsidRDefault="00FE49C9">
      <w:pPr>
        <w:widowControl w:val="0"/>
        <w:rPr>
          <w:rFonts w:ascii="Calibri" w:eastAsia="Calibri" w:hAnsi="Calibri" w:cs="Calibri"/>
          <w:sz w:val="24"/>
          <w:szCs w:val="24"/>
        </w:rPr>
      </w:pPr>
      <w:r>
        <w:rPr>
          <w:rFonts w:ascii="Calibri" w:eastAsia="Calibri" w:hAnsi="Calibri" w:cs="Calibri"/>
          <w:sz w:val="24"/>
          <w:szCs w:val="24"/>
        </w:rPr>
        <w:t>The extent to which this ambition of this subsidiarity has been both articulated a</w:t>
      </w:r>
      <w:r>
        <w:rPr>
          <w:rFonts w:ascii="Calibri" w:eastAsia="Calibri" w:hAnsi="Calibri" w:cs="Calibri"/>
          <w:sz w:val="24"/>
          <w:szCs w:val="24"/>
        </w:rPr>
        <w:t>nd applied during the development of CfW, is a complex but meaningful process involving stakeholders from every facet of the system. Subsidiarity, as a policy driver in Wales, should be considered through the lens of three interwoven themes: autonomy, agen</w:t>
      </w:r>
      <w:r>
        <w:rPr>
          <w:rFonts w:ascii="Calibri" w:eastAsia="Calibri" w:hAnsi="Calibri" w:cs="Calibri"/>
          <w:sz w:val="24"/>
          <w:szCs w:val="24"/>
        </w:rPr>
        <w:t>cy and trust (Donaldson, 2015; Welsh Government, 2019; Sinnema, 2017; OECD, 2017; 2018). As such, the challenges of realising CfW, as with any curriculum, are educational, sociological and philosophical. As Fullan (2016) alludes, the infrastructure and pro</w:t>
      </w:r>
      <w:r>
        <w:rPr>
          <w:rFonts w:ascii="Calibri" w:eastAsia="Calibri" w:hAnsi="Calibri" w:cs="Calibri"/>
          <w:sz w:val="24"/>
          <w:szCs w:val="24"/>
        </w:rPr>
        <w:t>cesses of reform may be relatively straightforward in principle and design but become far less so, when it comes to implementation. Inevitably, realising the new curriculum through s</w:t>
      </w:r>
      <w:r>
        <w:rPr>
          <w:rFonts w:ascii="Calibri" w:eastAsia="Calibri" w:hAnsi="Calibri" w:cs="Calibri"/>
          <w:i/>
          <w:sz w:val="24"/>
          <w:szCs w:val="24"/>
        </w:rPr>
        <w:t xml:space="preserve">ubsidiarity </w:t>
      </w:r>
      <w:r>
        <w:rPr>
          <w:rFonts w:ascii="Calibri" w:eastAsia="Calibri" w:hAnsi="Calibri" w:cs="Calibri"/>
          <w:sz w:val="24"/>
          <w:szCs w:val="24"/>
        </w:rPr>
        <w:t>will ultimately result in increased pressures and expectations</w:t>
      </w:r>
      <w:r>
        <w:rPr>
          <w:rFonts w:ascii="Calibri" w:eastAsia="Calibri" w:hAnsi="Calibri" w:cs="Calibri"/>
          <w:sz w:val="24"/>
          <w:szCs w:val="24"/>
        </w:rPr>
        <w:t xml:space="preserve"> of curriculum decision making upon those charged with leading learning in classrooms - Wales’ teaching professionals.  These increased freedoms are contrary to the current heavily prescribed curriculum content and is </w:t>
      </w:r>
    </w:p>
    <w:p w14:paraId="00000007" w14:textId="77777777" w:rsidR="001820CA" w:rsidRDefault="00FE49C9">
      <w:pPr>
        <w:spacing w:before="240" w:after="240"/>
        <w:rPr>
          <w:rFonts w:ascii="Calibri" w:eastAsia="Calibri" w:hAnsi="Calibri" w:cs="Calibri"/>
          <w:sz w:val="24"/>
          <w:szCs w:val="24"/>
        </w:rPr>
      </w:pPr>
      <w:r>
        <w:rPr>
          <w:rFonts w:ascii="Calibri" w:eastAsia="Calibri" w:hAnsi="Calibri" w:cs="Calibri"/>
          <w:i/>
          <w:sz w:val="24"/>
          <w:szCs w:val="24"/>
        </w:rPr>
        <w:lastRenderedPageBreak/>
        <w:t>‘a significant shift given several de</w:t>
      </w:r>
      <w:r>
        <w:rPr>
          <w:rFonts w:ascii="Calibri" w:eastAsia="Calibri" w:hAnsi="Calibri" w:cs="Calibri"/>
          <w:i/>
          <w:sz w:val="24"/>
          <w:szCs w:val="24"/>
        </w:rPr>
        <w:t>cades of policies that worked to de-professionalise teachers by taking agency away from them and replacing it with prescriptive curricula and oppressive regimes of testing and inspection.’</w:t>
      </w:r>
      <w:r>
        <w:rPr>
          <w:rFonts w:ascii="Calibri" w:eastAsia="Calibri" w:hAnsi="Calibri" w:cs="Calibri"/>
          <w:sz w:val="24"/>
          <w:szCs w:val="24"/>
        </w:rPr>
        <w:t xml:space="preserve"> </w:t>
      </w:r>
    </w:p>
    <w:p w14:paraId="00000008" w14:textId="77777777" w:rsidR="001820CA" w:rsidRDefault="00FE49C9">
      <w:pPr>
        <w:spacing w:before="240" w:after="240"/>
        <w:ind w:left="4320"/>
        <w:rPr>
          <w:rFonts w:ascii="Calibri" w:eastAsia="Calibri" w:hAnsi="Calibri" w:cs="Calibri"/>
          <w:sz w:val="24"/>
          <w:szCs w:val="24"/>
        </w:rPr>
      </w:pPr>
      <w:r>
        <w:rPr>
          <w:rFonts w:ascii="Calibri" w:eastAsia="Calibri" w:hAnsi="Calibri" w:cs="Calibri"/>
          <w:sz w:val="24"/>
          <w:szCs w:val="24"/>
        </w:rPr>
        <w:t>(Priestley, Biesta and Robinson, 2012, p.6)</w:t>
      </w:r>
    </w:p>
    <w:p w14:paraId="00000009"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However, freedoms and </w:t>
      </w:r>
      <w:r>
        <w:rPr>
          <w:rFonts w:ascii="Calibri" w:eastAsia="Calibri" w:hAnsi="Calibri" w:cs="Calibri"/>
          <w:sz w:val="24"/>
          <w:szCs w:val="24"/>
        </w:rPr>
        <w:t>the relaxation of subject boundaries are not without their potential hazards for teachers and learners alike. ‘The weakening of the classification and framing of school knowledge usually also entails a change in the relationship between the teacher and the</w:t>
      </w:r>
      <w:r>
        <w:rPr>
          <w:rFonts w:ascii="Calibri" w:eastAsia="Calibri" w:hAnsi="Calibri" w:cs="Calibri"/>
          <w:sz w:val="24"/>
          <w:szCs w:val="24"/>
        </w:rPr>
        <w:t xml:space="preserve"> learner’ (Power, Taylor and Newton, 2020). Arguing against curricular freedoms, Hirsch, (2016, p.8) posits that ‘our assumptions about how children learn have led to instruction that is far from child-centred, and that perpetuates inequality among childre</w:t>
      </w:r>
      <w:r>
        <w:rPr>
          <w:rFonts w:ascii="Calibri" w:eastAsia="Calibri" w:hAnsi="Calibri" w:cs="Calibri"/>
          <w:sz w:val="24"/>
          <w:szCs w:val="24"/>
        </w:rPr>
        <w:t xml:space="preserve">n from different backgrounds’. Whilst CfW puts learners and more specifically, its four purposes at the heart of its ambitions, it is far from the liberal child-led curriculum that (Hirsch, 2016) argues vehemently against. The four purposes are: </w:t>
      </w:r>
    </w:p>
    <w:p w14:paraId="0000000A" w14:textId="77777777" w:rsidR="001820CA" w:rsidRDefault="00FE49C9">
      <w:pPr>
        <w:spacing w:before="240" w:after="240"/>
        <w:rPr>
          <w:rFonts w:ascii="Calibri" w:eastAsia="Calibri" w:hAnsi="Calibri" w:cs="Calibri"/>
          <w:i/>
          <w:sz w:val="24"/>
          <w:szCs w:val="24"/>
        </w:rPr>
      </w:pPr>
      <w:r>
        <w:rPr>
          <w:rFonts w:ascii="Calibri" w:eastAsia="Calibri" w:hAnsi="Calibri" w:cs="Calibri"/>
          <w:i/>
          <w:sz w:val="24"/>
          <w:szCs w:val="24"/>
        </w:rPr>
        <w:t>‘ambitiou</w:t>
      </w:r>
      <w:r>
        <w:rPr>
          <w:rFonts w:ascii="Calibri" w:eastAsia="Calibri" w:hAnsi="Calibri" w:cs="Calibri"/>
          <w:i/>
          <w:sz w:val="24"/>
          <w:szCs w:val="24"/>
        </w:rPr>
        <w:t>s capable learners are ready to learn throughout their lives; healthy confident individuals who are ready to lead fulfilling lives as valued members of society; enterprising, creative contributors who are ready to play a full part in life and work; and eth</w:t>
      </w:r>
      <w:r>
        <w:rPr>
          <w:rFonts w:ascii="Calibri" w:eastAsia="Calibri" w:hAnsi="Calibri" w:cs="Calibri"/>
          <w:i/>
          <w:sz w:val="24"/>
          <w:szCs w:val="24"/>
        </w:rPr>
        <w:t xml:space="preserve">ically informed citizens who are ready to be citizens of Wales and the world.’ </w:t>
      </w:r>
    </w:p>
    <w:p w14:paraId="0000000B" w14:textId="77777777" w:rsidR="001820CA" w:rsidRDefault="00FE49C9">
      <w:pPr>
        <w:spacing w:before="240" w:after="240"/>
        <w:ind w:left="5760"/>
        <w:rPr>
          <w:rFonts w:ascii="Calibri" w:eastAsia="Calibri" w:hAnsi="Calibri" w:cs="Calibri"/>
          <w:i/>
          <w:sz w:val="24"/>
          <w:szCs w:val="24"/>
        </w:rPr>
      </w:pPr>
      <w:r>
        <w:rPr>
          <w:rFonts w:ascii="Calibri" w:eastAsia="Calibri" w:hAnsi="Calibri" w:cs="Calibri"/>
          <w:i/>
          <w:sz w:val="24"/>
          <w:szCs w:val="24"/>
        </w:rPr>
        <w:t xml:space="preserve">(Curriculum for Wales, 2020) </w:t>
      </w:r>
    </w:p>
    <w:p w14:paraId="0000000C"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Needless to say, these purposes are mainly dispositional in the context of the learner, alongside an over-arching set of knowledge based concepts </w:t>
      </w:r>
      <w:r>
        <w:rPr>
          <w:rFonts w:ascii="Calibri" w:eastAsia="Calibri" w:hAnsi="Calibri" w:cs="Calibri"/>
          <w:sz w:val="24"/>
          <w:szCs w:val="24"/>
        </w:rPr>
        <w:t>which themselves are divided across six Areas of Learning and Experience (AoLE). Below each of the concepts there are a series of descriptors which broadly map the required learning. This is in stark contrast to the detailed year on year content prescripti</w:t>
      </w:r>
      <w:r>
        <w:rPr>
          <w:rFonts w:ascii="Calibri" w:eastAsia="Calibri" w:hAnsi="Calibri" w:cs="Calibri"/>
          <w:sz w:val="24"/>
          <w:szCs w:val="24"/>
        </w:rPr>
        <w:t>on of the current documentation. It could be argued that the forthcoming education policy in Wales, will indeed perpetuate inequality for disadvantaged learners. Given that the curriculum content relies heavily upon teachers’ input at both the national fra</w:t>
      </w:r>
      <w:r>
        <w:rPr>
          <w:rFonts w:ascii="Calibri" w:eastAsia="Calibri" w:hAnsi="Calibri" w:cs="Calibri"/>
          <w:sz w:val="24"/>
          <w:szCs w:val="24"/>
        </w:rPr>
        <w:t>mework level and the local school level, there is the potential for teacher based bias, prejudices and discrimination to negatively impact the decisions regarding curriculum content. This discussion critically evaluates CfW policy against several psycholog</w:t>
      </w:r>
      <w:r>
        <w:rPr>
          <w:rFonts w:ascii="Calibri" w:eastAsia="Calibri" w:hAnsi="Calibri" w:cs="Calibri"/>
          <w:sz w:val="24"/>
          <w:szCs w:val="24"/>
        </w:rPr>
        <w:t xml:space="preserve">ical theories, in the context of racial prejudice and discrimitation. </w:t>
      </w:r>
    </w:p>
    <w:p w14:paraId="0000000D"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Wales has over one hundred and sixty thousand citizens identifying as </w:t>
      </w:r>
      <w:r>
        <w:rPr>
          <w:rFonts w:ascii="Calibri" w:eastAsia="Calibri" w:hAnsi="Calibri" w:cs="Calibri"/>
          <w:sz w:val="24"/>
          <w:szCs w:val="24"/>
          <w:highlight w:val="white"/>
        </w:rPr>
        <w:t>Asian, Black, Mixed, Multiple ethnic group or Other ethnic group’ (Welsh Government, 2019); over thirty three thous</w:t>
      </w:r>
      <w:r>
        <w:rPr>
          <w:rFonts w:ascii="Calibri" w:eastAsia="Calibri" w:hAnsi="Calibri" w:cs="Calibri"/>
          <w:sz w:val="24"/>
          <w:szCs w:val="24"/>
          <w:highlight w:val="white"/>
        </w:rPr>
        <w:t xml:space="preserve">and registered teachers; and an ‘education workforce that does not adequately reflect the ethnically diverse profile’ (Williams, 2021, p.4). It could be strongly argued that there are potential risks of exacerbating inequalities </w:t>
      </w:r>
      <w:r>
        <w:rPr>
          <w:rFonts w:ascii="Calibri" w:eastAsia="Calibri" w:hAnsi="Calibri" w:cs="Calibri"/>
          <w:sz w:val="24"/>
          <w:szCs w:val="24"/>
        </w:rPr>
        <w:t>involving disadvantaged and</w:t>
      </w:r>
      <w:r>
        <w:rPr>
          <w:rFonts w:ascii="Calibri" w:eastAsia="Calibri" w:hAnsi="Calibri" w:cs="Calibri"/>
          <w:sz w:val="24"/>
          <w:szCs w:val="24"/>
        </w:rPr>
        <w:t xml:space="preserve"> minority learners, as an outcome of systemic inconsistencies driven by prejudice and discrimination. </w:t>
      </w:r>
    </w:p>
    <w:p w14:paraId="0000000E"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lastRenderedPageBreak/>
        <w:t>For purposes of clarity in this discussion, prejudice ‘is generally the way one thinks or feels about a particular person or group. Discrimination is act</w:t>
      </w:r>
      <w:r>
        <w:rPr>
          <w:rFonts w:ascii="Calibri" w:eastAsia="Calibri" w:hAnsi="Calibri" w:cs="Calibri"/>
          <w:sz w:val="24"/>
          <w:szCs w:val="24"/>
        </w:rPr>
        <w:t>ing on that negative prejudice’ (Allport, 1979, p.1). Gilbert, Fiske and Lindzey (1998, p.357) throw further light upon the concepts surrounding prejudice, by asserting that ‘stereotypes are the most cognitive component, prejudice as the most affective com</w:t>
      </w:r>
      <w:r>
        <w:rPr>
          <w:rFonts w:ascii="Calibri" w:eastAsia="Calibri" w:hAnsi="Calibri" w:cs="Calibri"/>
          <w:sz w:val="24"/>
          <w:szCs w:val="24"/>
        </w:rPr>
        <w:t>ponent and discrimantion as the most behavioural component.’ Having recognised the importance of a curriculum that meets the diverse needs of a multicultural Wales, the Welsh Government commissioned a review of Black, Asian and Minority Ethinic (BAME) dive</w:t>
      </w:r>
      <w:r>
        <w:rPr>
          <w:rFonts w:ascii="Calibri" w:eastAsia="Calibri" w:hAnsi="Calibri" w:cs="Calibri"/>
          <w:sz w:val="24"/>
          <w:szCs w:val="24"/>
        </w:rPr>
        <w:t>rsity in the curriculum and, ‘to advise on and improve the teaching of themes and experiences relating to Black, Asian and Minority Ethnic communities across all parts of the school curriculum’ (p.4). Despite the report findings establishing that:</w:t>
      </w:r>
    </w:p>
    <w:p w14:paraId="0000000F" w14:textId="77777777" w:rsidR="001820CA" w:rsidRDefault="00FE49C9">
      <w:pPr>
        <w:spacing w:before="240" w:after="240"/>
        <w:rPr>
          <w:rFonts w:ascii="Calibri" w:eastAsia="Calibri" w:hAnsi="Calibri" w:cs="Calibri"/>
          <w:i/>
          <w:sz w:val="24"/>
          <w:szCs w:val="24"/>
        </w:rPr>
      </w:pPr>
      <w:r>
        <w:rPr>
          <w:rFonts w:ascii="Calibri" w:eastAsia="Calibri" w:hAnsi="Calibri" w:cs="Calibri"/>
          <w:i/>
          <w:sz w:val="24"/>
          <w:szCs w:val="24"/>
        </w:rPr>
        <w:t>‘The Cur</w:t>
      </w:r>
      <w:r>
        <w:rPr>
          <w:rFonts w:ascii="Calibri" w:eastAsia="Calibri" w:hAnsi="Calibri" w:cs="Calibri"/>
          <w:i/>
          <w:sz w:val="24"/>
          <w:szCs w:val="24"/>
        </w:rPr>
        <w:t>riculum for Wales provides opportunities to embed these perspectives across the curriculum and each of the Areas of Learning and Experience, with Diversity being a cross cutting theme’ (.p.9);</w:t>
      </w:r>
    </w:p>
    <w:p w14:paraId="00000010" w14:textId="77777777" w:rsidR="001820CA" w:rsidRDefault="00FE49C9">
      <w:pPr>
        <w:spacing w:before="240" w:after="240"/>
        <w:rPr>
          <w:rFonts w:ascii="Calibri" w:eastAsia="Calibri" w:hAnsi="Calibri" w:cs="Calibri"/>
          <w:i/>
          <w:sz w:val="24"/>
          <w:szCs w:val="24"/>
        </w:rPr>
      </w:pPr>
      <w:r>
        <w:rPr>
          <w:rFonts w:ascii="Calibri" w:eastAsia="Calibri" w:hAnsi="Calibri" w:cs="Calibri"/>
          <w:i/>
          <w:sz w:val="24"/>
          <w:szCs w:val="24"/>
        </w:rPr>
        <w:t>and</w:t>
      </w:r>
    </w:p>
    <w:p w14:paraId="00000011" w14:textId="77777777" w:rsidR="001820CA" w:rsidRDefault="00FE49C9">
      <w:pPr>
        <w:spacing w:before="240" w:after="240"/>
        <w:rPr>
          <w:rFonts w:ascii="Calibri" w:eastAsia="Calibri" w:hAnsi="Calibri" w:cs="Calibri"/>
          <w:i/>
          <w:sz w:val="24"/>
          <w:szCs w:val="24"/>
        </w:rPr>
      </w:pPr>
      <w:r>
        <w:rPr>
          <w:rFonts w:ascii="Calibri" w:eastAsia="Calibri" w:hAnsi="Calibri" w:cs="Calibri"/>
          <w:i/>
          <w:sz w:val="24"/>
          <w:szCs w:val="24"/>
        </w:rPr>
        <w:t>‘Schools are not doing enough to enable curriculum planning</w:t>
      </w:r>
      <w:r>
        <w:rPr>
          <w:rFonts w:ascii="Calibri" w:eastAsia="Calibri" w:hAnsi="Calibri" w:cs="Calibri"/>
          <w:i/>
          <w:sz w:val="24"/>
          <w:szCs w:val="24"/>
        </w:rPr>
        <w:t xml:space="preserve">, curriculum development and inter-disciplinary work on this thematic’ (p.9); </w:t>
      </w:r>
    </w:p>
    <w:p w14:paraId="00000012"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the Curriculum and Assessment Bill (Wales) rejected the need for ‘diversity, including Black and People of Colour History’ to be included in the primary legislation of the Curri</w:t>
      </w:r>
      <w:r>
        <w:rPr>
          <w:rFonts w:ascii="Calibri" w:eastAsia="Calibri" w:hAnsi="Calibri" w:cs="Calibri"/>
          <w:sz w:val="24"/>
          <w:szCs w:val="24"/>
        </w:rPr>
        <w:t>culum and Assessment Act, be that in the Humanities Area of Learning and Experience (AoLE) or even as a cross-cutting theme across all the AoLE (Dauncey, 2021). Arguably, the rejection is in keeping with CfW policy direction to date, ensuring there is flex</w:t>
      </w:r>
      <w:r>
        <w:rPr>
          <w:rFonts w:ascii="Calibri" w:eastAsia="Calibri" w:hAnsi="Calibri" w:cs="Calibri"/>
          <w:sz w:val="24"/>
          <w:szCs w:val="24"/>
        </w:rPr>
        <w:t xml:space="preserve">ibility and future-proofing via minimal prescription on the face of the bill, and ‘such content would already be mandatory through the statutory guidance that will be issued to support each of the AoLEs’ (p.4). However, this leaves space for practitioners </w:t>
      </w:r>
      <w:r>
        <w:rPr>
          <w:rFonts w:ascii="Calibri" w:eastAsia="Calibri" w:hAnsi="Calibri" w:cs="Calibri"/>
          <w:sz w:val="24"/>
          <w:szCs w:val="24"/>
        </w:rPr>
        <w:t>across more than sixteen hundred schools in Wales, arguably free to determine the specifics of content which will undoubtedly be open to prejudice and discrimination, as ‘the less prescriptive nature of the Curriculum for Wales may not produce the necessar</w:t>
      </w:r>
      <w:r>
        <w:rPr>
          <w:rFonts w:ascii="Calibri" w:eastAsia="Calibri" w:hAnsi="Calibri" w:cs="Calibri"/>
          <w:sz w:val="24"/>
          <w:szCs w:val="24"/>
        </w:rPr>
        <w:t xml:space="preserve">y change consistently across all schools and settings’ </w:t>
      </w:r>
      <w:r>
        <w:rPr>
          <w:rFonts w:ascii="Calibri" w:eastAsia="Calibri" w:hAnsi="Calibri" w:cs="Calibri"/>
          <w:sz w:val="24"/>
          <w:szCs w:val="24"/>
          <w:highlight w:val="white"/>
        </w:rPr>
        <w:t xml:space="preserve">(Williams, 2021, </w:t>
      </w:r>
      <w:r>
        <w:rPr>
          <w:rFonts w:ascii="Calibri" w:eastAsia="Calibri" w:hAnsi="Calibri" w:cs="Calibri"/>
          <w:sz w:val="24"/>
          <w:szCs w:val="24"/>
        </w:rPr>
        <w:t xml:space="preserve">p.8).  </w:t>
      </w:r>
    </w:p>
    <w:p w14:paraId="00000013" w14:textId="77777777" w:rsidR="001820CA" w:rsidRDefault="00FE49C9">
      <w:pPr>
        <w:spacing w:before="240" w:after="240"/>
        <w:rPr>
          <w:rFonts w:ascii="Calibri" w:eastAsia="Calibri" w:hAnsi="Calibri" w:cs="Calibri"/>
          <w:i/>
          <w:sz w:val="24"/>
          <w:szCs w:val="24"/>
        </w:rPr>
      </w:pPr>
      <w:r>
        <w:rPr>
          <w:rFonts w:ascii="Calibri" w:eastAsia="Calibri" w:hAnsi="Calibri" w:cs="Calibri"/>
          <w:i/>
          <w:sz w:val="24"/>
          <w:szCs w:val="24"/>
        </w:rPr>
        <w:t>‘Prejudice and discrimination can affect people’s opportunities, their social resources, self-worth and motivation, and their engagement with wider society… Consequently, estab</w:t>
      </w:r>
      <w:r>
        <w:rPr>
          <w:rFonts w:ascii="Calibri" w:eastAsia="Calibri" w:hAnsi="Calibri" w:cs="Calibri"/>
          <w:i/>
          <w:sz w:val="24"/>
          <w:szCs w:val="24"/>
        </w:rPr>
        <w:t xml:space="preserve">lishing, promoting and sustaining equality and human rights depends on understanding how people make sense of and apply these concepts in their everyday lives’ </w:t>
      </w:r>
    </w:p>
    <w:p w14:paraId="00000014" w14:textId="77777777" w:rsidR="001820CA" w:rsidRDefault="00FE49C9">
      <w:pPr>
        <w:spacing w:before="240" w:after="240"/>
        <w:ind w:left="6480"/>
        <w:rPr>
          <w:rFonts w:ascii="Calibri" w:eastAsia="Calibri" w:hAnsi="Calibri" w:cs="Calibri"/>
          <w:i/>
          <w:sz w:val="24"/>
          <w:szCs w:val="24"/>
        </w:rPr>
      </w:pPr>
      <w:r>
        <w:rPr>
          <w:rFonts w:ascii="Calibri" w:eastAsia="Calibri" w:hAnsi="Calibri" w:cs="Calibri"/>
          <w:i/>
          <w:sz w:val="24"/>
          <w:szCs w:val="24"/>
        </w:rPr>
        <w:t xml:space="preserve">(Abrams, 2010, p.6). </w:t>
      </w:r>
    </w:p>
    <w:p w14:paraId="00000015"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If we are to reduce prejudice, Abrams (2010), posits that the social psyc</w:t>
      </w:r>
      <w:r>
        <w:rPr>
          <w:rFonts w:ascii="Calibri" w:eastAsia="Calibri" w:hAnsi="Calibri" w:cs="Calibri"/>
          <w:sz w:val="24"/>
          <w:szCs w:val="24"/>
        </w:rPr>
        <w:t xml:space="preserve">hology research literature establishes four areas that we need to understand. These being an overarching </w:t>
      </w:r>
      <w:r>
        <w:rPr>
          <w:rFonts w:ascii="Calibri" w:eastAsia="Calibri" w:hAnsi="Calibri" w:cs="Calibri"/>
          <w:sz w:val="24"/>
          <w:szCs w:val="24"/>
        </w:rPr>
        <w:lastRenderedPageBreak/>
        <w:t>intergroup context; the psychological bases for prejudice; manifestations of prejudice; and the effect of experience (p.3). In an attempt to explore ho</w:t>
      </w:r>
      <w:r>
        <w:rPr>
          <w:rFonts w:ascii="Calibri" w:eastAsia="Calibri" w:hAnsi="Calibri" w:cs="Calibri"/>
          <w:sz w:val="24"/>
          <w:szCs w:val="24"/>
        </w:rPr>
        <w:t>w Wales’ policy development may learn and benefit from psychological theory, these areas will be broadly explored through the lens of Welsh Government’s multicultural policy direction in relation to CfW. As difficult as it is to consider any of the purpose</w:t>
      </w:r>
      <w:r>
        <w:rPr>
          <w:rFonts w:ascii="Calibri" w:eastAsia="Calibri" w:hAnsi="Calibri" w:cs="Calibri"/>
          <w:sz w:val="24"/>
          <w:szCs w:val="24"/>
        </w:rPr>
        <w:t>s or AoLE as being discrete of the others, in my experience as a former curriculum policy maker and head teacher, the dispositions related to becoming ethical informed citizens and the academic concepts underpinning the  Humanities AoLE are of particular r</w:t>
      </w:r>
      <w:r>
        <w:rPr>
          <w:rFonts w:ascii="Calibri" w:eastAsia="Calibri" w:hAnsi="Calibri" w:cs="Calibri"/>
          <w:sz w:val="24"/>
          <w:szCs w:val="24"/>
        </w:rPr>
        <w:t>elevance to this discussion. This is echoed in the vision statement set out in the Williams (2021) review, where it states that:</w:t>
      </w:r>
    </w:p>
    <w:p w14:paraId="00000016" w14:textId="77777777" w:rsidR="001820CA" w:rsidRDefault="00FE49C9">
      <w:pPr>
        <w:spacing w:before="240" w:after="240"/>
        <w:rPr>
          <w:rFonts w:ascii="Calibri" w:eastAsia="Calibri" w:hAnsi="Calibri" w:cs="Calibri"/>
          <w:i/>
          <w:sz w:val="24"/>
          <w:szCs w:val="24"/>
        </w:rPr>
      </w:pPr>
      <w:r>
        <w:rPr>
          <w:rFonts w:ascii="Calibri" w:eastAsia="Calibri" w:hAnsi="Calibri" w:cs="Calibri"/>
          <w:i/>
          <w:sz w:val="24"/>
          <w:szCs w:val="24"/>
          <w:highlight w:val="white"/>
        </w:rPr>
        <w:t>Our vision is that every learner, as ‘ethical and informed citizens of Wales and the world’, should explore the diverse experiences and contributions of Black, Asian and minority ethnic peoples in Wales, past and present.</w:t>
      </w:r>
      <w:r>
        <w:rPr>
          <w:rFonts w:ascii="Calibri" w:eastAsia="Calibri" w:hAnsi="Calibri" w:cs="Calibri"/>
          <w:i/>
          <w:sz w:val="24"/>
          <w:szCs w:val="24"/>
        </w:rPr>
        <w:t xml:space="preserve">  </w:t>
      </w:r>
    </w:p>
    <w:p w14:paraId="00000017" w14:textId="77777777" w:rsidR="001820CA" w:rsidRDefault="00FE49C9">
      <w:pPr>
        <w:spacing w:before="240" w:after="240"/>
        <w:ind w:left="5760" w:firstLine="720"/>
        <w:rPr>
          <w:rFonts w:ascii="Calibri" w:eastAsia="Calibri" w:hAnsi="Calibri" w:cs="Calibri"/>
          <w:sz w:val="24"/>
          <w:szCs w:val="24"/>
        </w:rPr>
      </w:pPr>
      <w:r>
        <w:rPr>
          <w:rFonts w:ascii="Calibri" w:eastAsia="Calibri" w:hAnsi="Calibri" w:cs="Calibri"/>
          <w:i/>
          <w:sz w:val="24"/>
          <w:szCs w:val="24"/>
        </w:rPr>
        <w:t>(Williams, 2021, p.7)</w:t>
      </w:r>
    </w:p>
    <w:p w14:paraId="00000018"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It continues to assert that in order to achieve this vision, every teacher in Wales must: be able to build curricula that reflects the BAME communities in and across learning disciples; and is supported in understanding the origins an</w:t>
      </w:r>
      <w:r>
        <w:rPr>
          <w:rFonts w:ascii="Calibri" w:eastAsia="Calibri" w:hAnsi="Calibri" w:cs="Calibri"/>
          <w:sz w:val="24"/>
          <w:szCs w:val="24"/>
        </w:rPr>
        <w:t xml:space="preserve">d manifestations of racism (p.7). ‘The negative feelings and beliefs that underlie contemporary forms of prejudice may be rooted in either individual processes (such as cognitive and motivational biases and socialization) or intergroup processes’ (Dovidio </w:t>
      </w:r>
      <w:r>
        <w:rPr>
          <w:rFonts w:ascii="Calibri" w:eastAsia="Calibri" w:hAnsi="Calibri" w:cs="Calibri"/>
          <w:sz w:val="24"/>
          <w:szCs w:val="24"/>
        </w:rPr>
        <w:t>and Gaertner, 1999, p.101). Given the extensive knowledge base and complexity in findings regarding group prejudices and discriminatory behaviours, be they ingroup, outgroup or intergroup, it is not difficult to see the challenges facing the development an</w:t>
      </w:r>
      <w:r>
        <w:rPr>
          <w:rFonts w:ascii="Calibri" w:eastAsia="Calibri" w:hAnsi="Calibri" w:cs="Calibri"/>
          <w:sz w:val="24"/>
          <w:szCs w:val="24"/>
        </w:rPr>
        <w:t>d application of effective social policy. However, despite such complexities for policy makers, Bobo (1999, p.447), advises avoidance of traditionally ‘antagonistic’ and ‘mutually exclusive’ models of racial prejudice as they are based in ‘false opposition</w:t>
      </w:r>
      <w:r>
        <w:rPr>
          <w:rFonts w:ascii="Calibri" w:eastAsia="Calibri" w:hAnsi="Calibri" w:cs="Calibri"/>
          <w:sz w:val="24"/>
          <w:szCs w:val="24"/>
        </w:rPr>
        <w:t>s of interests versus ideology, of rationality versus irrationality, of microsocial versus macrosocial approaches’.</w:t>
      </w:r>
    </w:p>
    <w:p w14:paraId="00000019"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There is a considerable body of research indicating that it is often fear, along with the perception of threat, which leads to intergroup pr</w:t>
      </w:r>
      <w:r>
        <w:rPr>
          <w:rFonts w:ascii="Calibri" w:eastAsia="Calibri" w:hAnsi="Calibri" w:cs="Calibri"/>
          <w:sz w:val="24"/>
          <w:szCs w:val="24"/>
        </w:rPr>
        <w:t>ejudice and discriminatory behaviours. All groups have their own accepted normative values, beliefs and behaviours which are often influenced by the social context in which the groups find themselves. These ingroup norms drive behaviours of  groups’ member</w:t>
      </w:r>
      <w:r>
        <w:rPr>
          <w:rFonts w:ascii="Calibri" w:eastAsia="Calibri" w:hAnsi="Calibri" w:cs="Calibri"/>
          <w:sz w:val="24"/>
          <w:szCs w:val="24"/>
        </w:rPr>
        <w:t>ship, with prejudices being covert and or subtle. Stephan and Stephan (2000), drew together a variety of research studies to present their Integrated Threat Theory, outlining the four basic threat premises that drive prejudice. These are realistic threats,</w:t>
      </w:r>
      <w:r>
        <w:rPr>
          <w:rFonts w:ascii="Calibri" w:eastAsia="Calibri" w:hAnsi="Calibri" w:cs="Calibri"/>
          <w:sz w:val="24"/>
          <w:szCs w:val="24"/>
        </w:rPr>
        <w:t xml:space="preserve"> symbolic threats, intergroup anxiety and negative stereotyping. It is widely posited that a lack of contact between groups can be a significant driver for the resultant behaviours associated with the four threat types (Pettigrew and Meertens, 1995; Dovidi</w:t>
      </w:r>
      <w:r>
        <w:rPr>
          <w:rFonts w:ascii="Calibri" w:eastAsia="Calibri" w:hAnsi="Calibri" w:cs="Calibri"/>
          <w:sz w:val="24"/>
          <w:szCs w:val="24"/>
        </w:rPr>
        <w:t xml:space="preserve">o and Gaertner, 1999; Stephan and Stephan, 2000; Bobo, 2002; Tajfell and Turner, 2004; Abrams and Christian, 2007; Hardin and Banaji, 2010; Kite and Whitley, 2016; Perry et </w:t>
      </w:r>
      <w:r>
        <w:rPr>
          <w:rFonts w:ascii="Calibri" w:eastAsia="Calibri" w:hAnsi="Calibri" w:cs="Calibri"/>
          <w:sz w:val="24"/>
          <w:szCs w:val="24"/>
        </w:rPr>
        <w:lastRenderedPageBreak/>
        <w:t xml:space="preserve">al, 2017). It is alongside the recommendations to enrich the multicultural content </w:t>
      </w:r>
      <w:r>
        <w:rPr>
          <w:rFonts w:ascii="Calibri" w:eastAsia="Calibri" w:hAnsi="Calibri" w:cs="Calibri"/>
          <w:sz w:val="24"/>
          <w:szCs w:val="24"/>
        </w:rPr>
        <w:t xml:space="preserve">of CfW, that Williams (2021) also seeks to promote intergroup and intercommunity opportunities.  </w:t>
      </w:r>
    </w:p>
    <w:p w14:paraId="0000001A"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Williams (2021), is not the first report for education policy makers in recent years, which attempts to: use a multi-tiered approach to reducing prejudice and</w:t>
      </w:r>
      <w:r>
        <w:rPr>
          <w:rFonts w:ascii="Calibri" w:eastAsia="Calibri" w:hAnsi="Calibri" w:cs="Calibri"/>
          <w:sz w:val="24"/>
          <w:szCs w:val="24"/>
        </w:rPr>
        <w:t xml:space="preserve"> discrimination in education and communities; promote opportunties to build intergroup dependency; and address the shortcomings of curriculum through advocating changes to diversity and multicultural content. Brentnall (2017), previously presented an uncan</w:t>
      </w:r>
      <w:r>
        <w:rPr>
          <w:rFonts w:ascii="Calibri" w:eastAsia="Calibri" w:hAnsi="Calibri" w:cs="Calibri"/>
          <w:sz w:val="24"/>
          <w:szCs w:val="24"/>
        </w:rPr>
        <w:t>nily similar set of practical recommendations, aimed at reducing the negative implications of intergroup prejudice upon BAME academic engagement and achievement, in Wales’ schools. He asserts that more should be done across the tiers of school, local autho</w:t>
      </w:r>
      <w:r>
        <w:rPr>
          <w:rFonts w:ascii="Calibri" w:eastAsia="Calibri" w:hAnsi="Calibri" w:cs="Calibri"/>
          <w:sz w:val="24"/>
          <w:szCs w:val="24"/>
        </w:rPr>
        <w:t>rity (LA) and government levels, increasing contact between groups, through a number of elements which included: teacher training; increase of BAME representation in the teaching workforce; increasing engagement and community voice; equality planning in sc</w:t>
      </w:r>
      <w:r>
        <w:rPr>
          <w:rFonts w:ascii="Calibri" w:eastAsia="Calibri" w:hAnsi="Calibri" w:cs="Calibri"/>
          <w:sz w:val="24"/>
          <w:szCs w:val="24"/>
        </w:rPr>
        <w:t>hools; improved curriculum and resourcing, which goes beyond the narrow foci of slavery, colonialism and human rights; pupil and wider social interventions; and support programmes for families. There is no shortage of evidence supporting the principles beh</w:t>
      </w:r>
      <w:r>
        <w:rPr>
          <w:rFonts w:ascii="Calibri" w:eastAsia="Calibri" w:hAnsi="Calibri" w:cs="Calibri"/>
          <w:sz w:val="24"/>
          <w:szCs w:val="24"/>
        </w:rPr>
        <w:t>ind a number of the Brentnall (2017) and Williams (2021) recommendations, where they seek to reduce intergroup bias through providing cause for collaboration and positive group interdependence.  (Allport, 1954; Sherif, 1966; Brewer and Miller, 1984; Gaertn</w:t>
      </w:r>
      <w:r>
        <w:rPr>
          <w:rFonts w:ascii="Calibri" w:eastAsia="Calibri" w:hAnsi="Calibri" w:cs="Calibri"/>
          <w:sz w:val="24"/>
          <w:szCs w:val="24"/>
        </w:rPr>
        <w:t xml:space="preserve">er et al, 1990; Pettigrew and Meertens, 1995; Gaertner et al, 1996; Brewer, 1996; Gaertner et al, 1999; Turner et al, 2007;). </w:t>
      </w:r>
    </w:p>
    <w:p w14:paraId="0000001B"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Interestingly, both sets of report recommendations advocate solutions based upon greater school, policy and BAME community intera</w:t>
      </w:r>
      <w:r>
        <w:rPr>
          <w:rFonts w:ascii="Calibri" w:eastAsia="Calibri" w:hAnsi="Calibri" w:cs="Calibri"/>
          <w:sz w:val="24"/>
          <w:szCs w:val="24"/>
        </w:rPr>
        <w:t>ction. Putting these recommendations into policy in an effort to practice in an attempt to reduce intergroup bias is consistent with numerous study findings, where it was demonstrated that intergroup contact reduces both implicit and explicit prejudices. I</w:t>
      </w:r>
      <w:r>
        <w:rPr>
          <w:rFonts w:ascii="Calibri" w:eastAsia="Calibri" w:hAnsi="Calibri" w:cs="Calibri"/>
          <w:sz w:val="24"/>
          <w:szCs w:val="24"/>
        </w:rPr>
        <w:t>n support of this, Dovidio and Gaertner (1999, p.103), found that ‘cooperation is effective for reducing subsequent intergroup bias when the task is completed successfully.’ Notable for policy, is Hardin and Banaji’s (2010), caveat that ‘intergroup contact</w:t>
      </w:r>
      <w:r>
        <w:rPr>
          <w:rFonts w:ascii="Calibri" w:eastAsia="Calibri" w:hAnsi="Calibri" w:cs="Calibri"/>
          <w:sz w:val="24"/>
          <w:szCs w:val="24"/>
        </w:rPr>
        <w:t xml:space="preserve"> doesn't always have purely positive outcomes’ (p.14), most notably this can occur where there is long standing stability in social hierarchies and social organisation such as, ‘blacks and whites in Chicago, and Christians and Muslims in Lebanon’ (p.15). N</w:t>
      </w:r>
      <w:r>
        <w:rPr>
          <w:rFonts w:ascii="Calibri" w:eastAsia="Calibri" w:hAnsi="Calibri" w:cs="Calibri"/>
          <w:sz w:val="24"/>
          <w:szCs w:val="24"/>
        </w:rPr>
        <w:t xml:space="preserve">o doubt, important considerations when it comes to planning and implementing interventions and support programmes for intergroup relations in Wales’ long standing and ethnically diverse communities, such as those in the larger city regions.    </w:t>
      </w:r>
    </w:p>
    <w:p w14:paraId="0000001C"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Tajfel and </w:t>
      </w:r>
      <w:r>
        <w:rPr>
          <w:rFonts w:ascii="Calibri" w:eastAsia="Calibri" w:hAnsi="Calibri" w:cs="Calibri"/>
          <w:sz w:val="24"/>
          <w:szCs w:val="24"/>
        </w:rPr>
        <w:t>Turner’s (1979), Social Identity Theory established that not only do individuals categorize groups as a whole but they also categorise themselves and others as individuals, within and outside of those groups - ingroups and outgroups. It is in this way that</w:t>
      </w:r>
      <w:r>
        <w:rPr>
          <w:rFonts w:ascii="Calibri" w:eastAsia="Calibri" w:hAnsi="Calibri" w:cs="Calibri"/>
          <w:sz w:val="24"/>
          <w:szCs w:val="24"/>
        </w:rPr>
        <w:t xml:space="preserve"> individuals are able to relate and compare themselves, and others, as representative of the groups to which they belong. Individuals can conceptualise the ingroup that they belong to as being part of themselves, thus any bias in favour of the group in fac</w:t>
      </w:r>
      <w:r>
        <w:rPr>
          <w:rFonts w:ascii="Calibri" w:eastAsia="Calibri" w:hAnsi="Calibri" w:cs="Calibri"/>
          <w:sz w:val="24"/>
          <w:szCs w:val="24"/>
        </w:rPr>
        <w:t xml:space="preserve">t psychologically favours </w:t>
      </w:r>
      <w:r>
        <w:rPr>
          <w:rFonts w:ascii="Calibri" w:eastAsia="Calibri" w:hAnsi="Calibri" w:cs="Calibri"/>
          <w:sz w:val="24"/>
          <w:szCs w:val="24"/>
        </w:rPr>
        <w:lastRenderedPageBreak/>
        <w:t xml:space="preserve">themselves too. The inverse is also true with any negativity directed towards the group being </w:t>
      </w:r>
      <w:r>
        <w:rPr>
          <w:rFonts w:ascii="Calibri" w:eastAsia="Calibri" w:hAnsi="Calibri" w:cs="Calibri"/>
          <w:i/>
          <w:sz w:val="24"/>
          <w:szCs w:val="24"/>
        </w:rPr>
        <w:t>taken personally</w:t>
      </w:r>
      <w:r>
        <w:rPr>
          <w:rFonts w:ascii="Calibri" w:eastAsia="Calibri" w:hAnsi="Calibri" w:cs="Calibri"/>
          <w:sz w:val="24"/>
          <w:szCs w:val="24"/>
        </w:rPr>
        <w:t xml:space="preserve"> by the individual on behalf of the group. Individuals will even favour anonymous members of the ingroup over those they</w:t>
      </w:r>
      <w:r>
        <w:rPr>
          <w:rFonts w:ascii="Calibri" w:eastAsia="Calibri" w:hAnsi="Calibri" w:cs="Calibri"/>
          <w:sz w:val="24"/>
          <w:szCs w:val="24"/>
        </w:rPr>
        <w:t xml:space="preserve"> perceive to be in the outgroup. A wealth of research shows that in accordance with the minimal group paradigm, that such categorisation alone is enough to establish discriminatory behaviours towards an outgroup. (Tajfell and Turner, 1979; Abrams, 2010: Ki</w:t>
      </w:r>
      <w:r>
        <w:rPr>
          <w:rFonts w:ascii="Calibri" w:eastAsia="Calibri" w:hAnsi="Calibri" w:cs="Calibri"/>
          <w:sz w:val="24"/>
          <w:szCs w:val="24"/>
        </w:rPr>
        <w:t>te and Whitley, 2016). As such, this provides for a potentially useful perspective with which policy makers should determine the membership of policy task-and-finish groups, stakeholder forums and steering committees. This appreciation of ingroup bias coul</w:t>
      </w:r>
      <w:r>
        <w:rPr>
          <w:rFonts w:ascii="Calibri" w:eastAsia="Calibri" w:hAnsi="Calibri" w:cs="Calibri"/>
          <w:sz w:val="24"/>
          <w:szCs w:val="24"/>
        </w:rPr>
        <w:t xml:space="preserve">d also be further beneficial as a consideration when policy makers are required to critically examine and apply the findings and recommendations from any such advisory groups. This is not a lesson for government alone, and would no doubt have benefits for </w:t>
      </w:r>
      <w:r>
        <w:rPr>
          <w:rFonts w:ascii="Calibri" w:eastAsia="Calibri" w:hAnsi="Calibri" w:cs="Calibri"/>
          <w:sz w:val="24"/>
          <w:szCs w:val="24"/>
        </w:rPr>
        <w:t>group composition and evaluation of the work of year group or departmental teacher teams,  school community stakeholder groups and even school governing bodies. However, it is important to note that categorisation, attachment to a group and the resultant b</w:t>
      </w:r>
      <w:r>
        <w:rPr>
          <w:rFonts w:ascii="Calibri" w:eastAsia="Calibri" w:hAnsi="Calibri" w:cs="Calibri"/>
          <w:sz w:val="24"/>
          <w:szCs w:val="24"/>
        </w:rPr>
        <w:t>ias toward any ingroup, does not automatically predetermine negativity toward the outgroup (Allport, 1954; Brewer 1999; 2000). In support of this concept, (Perry et al 2017, p.8) were able to demonstrate ‘that in-group favoritism, but not out-group hostili</w:t>
      </w:r>
      <w:r>
        <w:rPr>
          <w:rFonts w:ascii="Calibri" w:eastAsia="Calibri" w:hAnsi="Calibri" w:cs="Calibri"/>
          <w:sz w:val="24"/>
          <w:szCs w:val="24"/>
        </w:rPr>
        <w:t xml:space="preserve">ty, was more strongly associated with discrimination in a policy domain.’  </w:t>
      </w:r>
    </w:p>
    <w:p w14:paraId="0000001D"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There is no shortage of psychological theory and findings in support of both reports’ recommendations to Welsh Government policy developers. The repetition of the same fundamental </w:t>
      </w:r>
      <w:r>
        <w:rPr>
          <w:rFonts w:ascii="Calibri" w:eastAsia="Calibri" w:hAnsi="Calibri" w:cs="Calibri"/>
          <w:sz w:val="24"/>
          <w:szCs w:val="24"/>
        </w:rPr>
        <w:t>themes in both reports, followed by the subsequent rejection of the recommendations from the Williams (2021) report, for multicultural curriculum content to be included in primary legislation, could raise concerns regarding an inability or even an unwillin</w:t>
      </w:r>
      <w:r>
        <w:rPr>
          <w:rFonts w:ascii="Calibri" w:eastAsia="Calibri" w:hAnsi="Calibri" w:cs="Calibri"/>
          <w:sz w:val="24"/>
          <w:szCs w:val="24"/>
        </w:rPr>
        <w:t>gness to act. Whilst taking care to not conflate the intent of policy makers, to maintain fidelity of curriculum design in policy and legislation, with any form of prejudice - it would be prudent to raise concerns. When reflecting on the propensity of educ</w:t>
      </w:r>
      <w:r>
        <w:rPr>
          <w:rFonts w:ascii="Calibri" w:eastAsia="Calibri" w:hAnsi="Calibri" w:cs="Calibri"/>
          <w:sz w:val="24"/>
          <w:szCs w:val="24"/>
        </w:rPr>
        <w:t>ation reforms to either ignore or omit tackling racism, (Car, 2006), asks ‘is this latent and less than stringent institutional response merely wilful neglect, systemic dysfunctionality, a contrived, intricate web of inequitable power relations or rather t</w:t>
      </w:r>
      <w:r>
        <w:rPr>
          <w:rFonts w:ascii="Calibri" w:eastAsia="Calibri" w:hAnsi="Calibri" w:cs="Calibri"/>
          <w:sz w:val="24"/>
          <w:szCs w:val="24"/>
        </w:rPr>
        <w:t xml:space="preserve">he fomenting of ingrained racist interests? (p.298). </w:t>
      </w:r>
    </w:p>
    <w:p w14:paraId="0000001E"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The essence of Car’s (2016) question gives regard to the manifestatons of prejudice and discrimination, which have been categorised across psychological theories as being broadly ‘classified into two di</w:t>
      </w:r>
      <w:r>
        <w:rPr>
          <w:rFonts w:ascii="Calibri" w:eastAsia="Calibri" w:hAnsi="Calibri" w:cs="Calibri"/>
          <w:sz w:val="24"/>
          <w:szCs w:val="24"/>
        </w:rPr>
        <w:t xml:space="preserve">stinct types: overt or direct, and subtle, unconscious or automatic’ (Al Ramiah et al, 2010, p. 85). Unlike blatant or explicit discrimination, which are seen to be intentional and direct, subtle discrimination is often unintentional and </w:t>
      </w:r>
      <w:r>
        <w:rPr>
          <w:rFonts w:ascii="Calibri" w:eastAsia="Calibri" w:hAnsi="Calibri" w:cs="Calibri"/>
          <w:sz w:val="24"/>
          <w:szCs w:val="24"/>
          <w:highlight w:val="white"/>
        </w:rPr>
        <w:t>unconsciously</w:t>
      </w:r>
      <w:r>
        <w:rPr>
          <w:rFonts w:ascii="Calibri" w:eastAsia="Calibri" w:hAnsi="Calibri" w:cs="Calibri"/>
          <w:sz w:val="24"/>
          <w:szCs w:val="24"/>
        </w:rPr>
        <w:t xml:space="preserve"> impl</w:t>
      </w:r>
      <w:r>
        <w:rPr>
          <w:rFonts w:ascii="Calibri" w:eastAsia="Calibri" w:hAnsi="Calibri" w:cs="Calibri"/>
          <w:sz w:val="24"/>
          <w:szCs w:val="24"/>
        </w:rPr>
        <w:t>icit in nature. As the more explicit prejudice and discriminatory behaviours in society have largely reduced, no doubt due to the pressures from becoming less legally and socially acceptable, psychological research has shifted its focus over time towards t</w:t>
      </w:r>
      <w:r>
        <w:rPr>
          <w:rFonts w:ascii="Calibri" w:eastAsia="Calibri" w:hAnsi="Calibri" w:cs="Calibri"/>
          <w:sz w:val="24"/>
          <w:szCs w:val="24"/>
        </w:rPr>
        <w:t xml:space="preserve">he more subtle and even implicit prejudices. (Hardin and Banaji, 2010; Kite and Whitely, 2016, Colella and King, 2018). It is this action of refocusing from explicit to implicit prejudice and </w:t>
      </w:r>
      <w:r>
        <w:rPr>
          <w:rFonts w:ascii="Calibri" w:eastAsia="Calibri" w:hAnsi="Calibri" w:cs="Calibri"/>
          <w:sz w:val="24"/>
          <w:szCs w:val="24"/>
        </w:rPr>
        <w:lastRenderedPageBreak/>
        <w:t>discrimination, that now needs to be firmly embeded and actioned</w:t>
      </w:r>
      <w:r>
        <w:rPr>
          <w:rFonts w:ascii="Calibri" w:eastAsia="Calibri" w:hAnsi="Calibri" w:cs="Calibri"/>
          <w:sz w:val="24"/>
          <w:szCs w:val="24"/>
        </w:rPr>
        <w:t xml:space="preserve"> in our education institutions, securing increasingly mulicultural government policy which drives mulitcultural school-level curriucla and practice.  </w:t>
      </w:r>
    </w:p>
    <w:p w14:paraId="0000001F" w14:textId="77777777" w:rsidR="001820CA" w:rsidRDefault="00FE49C9">
      <w:pPr>
        <w:spacing w:before="240" w:after="240"/>
        <w:rPr>
          <w:rFonts w:ascii="Calibri" w:eastAsia="Calibri" w:hAnsi="Calibri" w:cs="Calibri"/>
          <w:i/>
          <w:sz w:val="24"/>
          <w:szCs w:val="24"/>
        </w:rPr>
      </w:pPr>
      <w:r>
        <w:rPr>
          <w:rFonts w:ascii="Calibri" w:eastAsia="Calibri" w:hAnsi="Calibri" w:cs="Calibri"/>
          <w:i/>
          <w:sz w:val="24"/>
          <w:szCs w:val="24"/>
        </w:rPr>
        <w:t>‘The existence of implicit prejudice would be of little practical consequence if it were an unreliable pr</w:t>
      </w:r>
      <w:r>
        <w:rPr>
          <w:rFonts w:ascii="Calibri" w:eastAsia="Calibri" w:hAnsi="Calibri" w:cs="Calibri"/>
          <w:i/>
          <w:sz w:val="24"/>
          <w:szCs w:val="24"/>
        </w:rPr>
        <w:t>edictor of social judgment and behavior, particularly given the growing interest in its potential economic, labor, legal, and policy implications’ (Hardin and Banaji, 2010, p.8).</w:t>
      </w:r>
    </w:p>
    <w:p w14:paraId="00000020"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‘Multicultural education has been transformed, refocused, reconceptualized, a</w:t>
      </w:r>
      <w:r>
        <w:rPr>
          <w:rFonts w:ascii="Calibri" w:eastAsia="Calibri" w:hAnsi="Calibri" w:cs="Calibri"/>
          <w:sz w:val="24"/>
          <w:szCs w:val="24"/>
        </w:rPr>
        <w:t>nd in a constant state of evolution both in theory and in practice’, since its inception in the nineteen sixties (Gorski and Covert, 2000). Reflecting upon the enormity of establishing meaningful and effective multicultural education, may give rise to bett</w:t>
      </w:r>
      <w:r>
        <w:rPr>
          <w:rFonts w:ascii="Calibri" w:eastAsia="Calibri" w:hAnsi="Calibri" w:cs="Calibri"/>
          <w:sz w:val="24"/>
          <w:szCs w:val="24"/>
        </w:rPr>
        <w:t>er understand the challenges facing such ambition. The conceptual variables are vast and include: the lack of an agreed scholarly or practical definition; the range of international national, regional and local contexts; the balance of knowledge and dispos</w:t>
      </w:r>
      <w:r>
        <w:rPr>
          <w:rFonts w:ascii="Calibri" w:eastAsia="Calibri" w:hAnsi="Calibri" w:cs="Calibri"/>
          <w:sz w:val="24"/>
          <w:szCs w:val="24"/>
        </w:rPr>
        <w:t xml:space="preserve">itions we want learners to possess; the specifics of content and pedagogy; systemic and school level accountability; funding and resources; its place within wider societal transformation. One such example of the challenges facing policy makers is provided </w:t>
      </w:r>
      <w:r>
        <w:rPr>
          <w:rFonts w:ascii="Calibri" w:eastAsia="Calibri" w:hAnsi="Calibri" w:cs="Calibri"/>
          <w:sz w:val="24"/>
          <w:szCs w:val="24"/>
        </w:rPr>
        <w:t>by Cross, Mungadi and Rouhani</w:t>
      </w:r>
      <w:r>
        <w:rPr>
          <w:rFonts w:ascii="Calibri" w:eastAsia="Calibri" w:hAnsi="Calibri" w:cs="Calibri"/>
          <w:sz w:val="24"/>
          <w:szCs w:val="24"/>
          <w:highlight w:val="white"/>
        </w:rPr>
        <w:t xml:space="preserve"> </w:t>
      </w:r>
      <w:r>
        <w:rPr>
          <w:rFonts w:ascii="Calibri" w:eastAsia="Calibri" w:hAnsi="Calibri" w:cs="Calibri"/>
          <w:sz w:val="24"/>
          <w:szCs w:val="24"/>
        </w:rPr>
        <w:t>(2002) provide one such example from South Africa, where post-apartheid education policy intent was based upon successful realisation of curricula though diversity and multiculturalism. The government worked with the wide rang</w:t>
      </w:r>
      <w:r>
        <w:rPr>
          <w:rFonts w:ascii="Calibri" w:eastAsia="Calibri" w:hAnsi="Calibri" w:cs="Calibri"/>
          <w:sz w:val="24"/>
          <w:szCs w:val="24"/>
        </w:rPr>
        <w:t>e of stakeholders to develop ‘</w:t>
      </w:r>
      <w:r>
        <w:rPr>
          <w:rFonts w:ascii="Calibri" w:eastAsia="Calibri" w:hAnsi="Calibri" w:cs="Calibri"/>
          <w:i/>
          <w:sz w:val="24"/>
          <w:szCs w:val="24"/>
        </w:rPr>
        <w:t xml:space="preserve">policies and mechanisms aimed at redressing the legacy of a racially and ethnically fragmented, dysfunctional and unequal education inherited from apartheid’ (p.171). </w:t>
      </w:r>
      <w:r>
        <w:rPr>
          <w:rFonts w:ascii="Calibri" w:eastAsia="Calibri" w:hAnsi="Calibri" w:cs="Calibri"/>
          <w:sz w:val="24"/>
          <w:szCs w:val="24"/>
        </w:rPr>
        <w:t>The study concludes by revealing five important aspects for</w:t>
      </w:r>
      <w:r>
        <w:rPr>
          <w:rFonts w:ascii="Calibri" w:eastAsia="Calibri" w:hAnsi="Calibri" w:cs="Calibri"/>
          <w:sz w:val="24"/>
          <w:szCs w:val="24"/>
        </w:rPr>
        <w:t xml:space="preserve"> policy success in South Africa that no doubt, based on previously discussed psychological theories, also contain valuable counsel for Wales’ curriculum policy: </w:t>
      </w:r>
    </w:p>
    <w:p w14:paraId="00000021" w14:textId="77777777" w:rsidR="001820CA" w:rsidRDefault="00FE49C9">
      <w:pPr>
        <w:spacing w:before="240" w:after="240"/>
        <w:rPr>
          <w:rFonts w:ascii="Calibri" w:eastAsia="Calibri" w:hAnsi="Calibri" w:cs="Calibri"/>
          <w:i/>
          <w:sz w:val="24"/>
          <w:szCs w:val="24"/>
        </w:rPr>
      </w:pPr>
      <w:r>
        <w:rPr>
          <w:rFonts w:ascii="Calibri" w:eastAsia="Calibri" w:hAnsi="Calibri" w:cs="Calibri"/>
          <w:i/>
          <w:sz w:val="24"/>
          <w:szCs w:val="24"/>
        </w:rPr>
        <w:t>‘(i) commitment to making policies clear and simple; (ii) commitment to mobilising available r</w:t>
      </w:r>
      <w:r>
        <w:rPr>
          <w:rFonts w:ascii="Calibri" w:eastAsia="Calibri" w:hAnsi="Calibri" w:cs="Calibri"/>
          <w:i/>
          <w:sz w:val="24"/>
          <w:szCs w:val="24"/>
        </w:rPr>
        <w:t>esources to policy goals (iii) commitment to intervening in areas of inefficiencies and crisis; (iv) commitment to crafting strategies and not just symbols; and (v) commitment to speaking of policy as what happens and not just text (p.185).</w:t>
      </w:r>
    </w:p>
    <w:p w14:paraId="00000022"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Despite being a</w:t>
      </w:r>
      <w:r>
        <w:rPr>
          <w:rFonts w:ascii="Calibri" w:eastAsia="Calibri" w:hAnsi="Calibri" w:cs="Calibri"/>
          <w:sz w:val="24"/>
          <w:szCs w:val="24"/>
        </w:rPr>
        <w:t xml:space="preserve"> relatively small nation, Wales’ education system consists of a multitude of organisations, which require greater coherence if policy goals are to be achieved. Each exists with its own nuanced purposes and set of normative behaviours. If there is to be a c</w:t>
      </w:r>
      <w:r>
        <w:rPr>
          <w:rFonts w:ascii="Calibri" w:eastAsia="Calibri" w:hAnsi="Calibri" w:cs="Calibri"/>
          <w:sz w:val="24"/>
          <w:szCs w:val="24"/>
        </w:rPr>
        <w:t>ontinued systemic countering of prejudice and reduction of discriminatory behaviours, implicit or otherwise, arguably any chance of success will be largely due to central policy and legislation supported by research findings and evidence. However, governme</w:t>
      </w:r>
      <w:r>
        <w:rPr>
          <w:rFonts w:ascii="Calibri" w:eastAsia="Calibri" w:hAnsi="Calibri" w:cs="Calibri"/>
          <w:sz w:val="24"/>
          <w:szCs w:val="24"/>
        </w:rPr>
        <w:t>nt policy development is fallible and open to interpretation and prejudice, as with any social-constructivist processes. This is not to say that individual policy makers are overtly or consciously perpetuating prejudice, but it would be remiss not to consi</w:t>
      </w:r>
      <w:r>
        <w:rPr>
          <w:rFonts w:ascii="Calibri" w:eastAsia="Calibri" w:hAnsi="Calibri" w:cs="Calibri"/>
          <w:sz w:val="24"/>
          <w:szCs w:val="24"/>
        </w:rPr>
        <w:t xml:space="preserve">der the fact that the government’s policy protocols, processes and behaviours may be flawed. We must be </w:t>
      </w:r>
      <w:r>
        <w:rPr>
          <w:rFonts w:ascii="Calibri" w:eastAsia="Calibri" w:hAnsi="Calibri" w:cs="Calibri"/>
          <w:sz w:val="24"/>
          <w:szCs w:val="24"/>
        </w:rPr>
        <w:lastRenderedPageBreak/>
        <w:t>mindful to ‘differentiate between institutional racism as outcome and cause, recognising the agential overt and unwitting practices of individuals but n</w:t>
      </w:r>
      <w:r>
        <w:rPr>
          <w:rFonts w:ascii="Calibri" w:eastAsia="Calibri" w:hAnsi="Calibri" w:cs="Calibri"/>
          <w:sz w:val="24"/>
          <w:szCs w:val="24"/>
        </w:rPr>
        <w:t>ot the interacting causal structural conditions’ (Phillips, 2017, p.174). Phillip’s (2017), whilst reviewing institutional racism in the police force alongside links with inequalities of ethnic education, advocates social cohesion as the driver for a three</w:t>
      </w:r>
      <w:r>
        <w:rPr>
          <w:rFonts w:ascii="Calibri" w:eastAsia="Calibri" w:hAnsi="Calibri" w:cs="Calibri"/>
          <w:sz w:val="24"/>
          <w:szCs w:val="24"/>
        </w:rPr>
        <w:t>-tiered framework. The education specific recommendations include: micro - enhancing conceptual and theoretical understanding of individuals, meso - scrutiny of routines and practices to ensure ‘racial proofing’ against the requirements of legislation e.g.</w:t>
      </w:r>
      <w:r>
        <w:rPr>
          <w:rFonts w:ascii="Calibri" w:eastAsia="Calibri" w:hAnsi="Calibri" w:cs="Calibri"/>
          <w:sz w:val="24"/>
          <w:szCs w:val="24"/>
        </w:rPr>
        <w:t xml:space="preserve"> curriculum, behaviour management, uniform and delivery of learning; and at the macro level - reduce parental school choice to allow for better distribution of ability and advantage-disadvantage in school intakes (p.187). It concludes with the proposal tha</w:t>
      </w:r>
      <w:r>
        <w:rPr>
          <w:rFonts w:ascii="Calibri" w:eastAsia="Calibri" w:hAnsi="Calibri" w:cs="Calibri"/>
          <w:sz w:val="24"/>
          <w:szCs w:val="24"/>
        </w:rPr>
        <w:t>t there should be an increase in ‘police legitimacy in minority ethic areas’ and in doing so it draws not only on intergroup theory of psychological research, reiterates the principles behind Brentnall (2107) and Williams’ (2021) reviews but most important</w:t>
      </w:r>
      <w:r>
        <w:rPr>
          <w:rFonts w:ascii="Calibri" w:eastAsia="Calibri" w:hAnsi="Calibri" w:cs="Calibri"/>
          <w:sz w:val="24"/>
          <w:szCs w:val="24"/>
        </w:rPr>
        <w:t xml:space="preserve">ly, serves as a number of potential lessons for education policy makers in Wales. </w:t>
      </w:r>
    </w:p>
    <w:p w14:paraId="00000023"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Currently, amidst the reforms, education policy makers in Wales have the opportunity and the means to educate and confront the teaching profession, learners and the wider sc</w:t>
      </w:r>
      <w:r>
        <w:rPr>
          <w:rFonts w:ascii="Calibri" w:eastAsia="Calibri" w:hAnsi="Calibri" w:cs="Calibri"/>
          <w:sz w:val="24"/>
          <w:szCs w:val="24"/>
        </w:rPr>
        <w:t>hool communities when it comes to ensuring CfW is a genuine multicultural reflection of Wales’ society; through teaching the knowledge, understanding and behaviours associated with tackling systemic prejudice and discrimination. At this point in the discus</w:t>
      </w:r>
      <w:r>
        <w:rPr>
          <w:rFonts w:ascii="Calibri" w:eastAsia="Calibri" w:hAnsi="Calibri" w:cs="Calibri"/>
          <w:sz w:val="24"/>
          <w:szCs w:val="24"/>
        </w:rPr>
        <w:t xml:space="preserve">sion, it is becoming evident of the value in more collaborative approaches between research, policy and practice, when tackling prejudice in education. Nevertheless, Whitty (2006) offers a warning to fellow researchers that whilst they must </w:t>
      </w:r>
    </w:p>
    <w:p w14:paraId="00000024" w14:textId="77777777" w:rsidR="001820CA" w:rsidRDefault="00FE49C9">
      <w:pPr>
        <w:spacing w:before="240" w:after="240"/>
        <w:rPr>
          <w:rFonts w:ascii="Calibri" w:eastAsia="Calibri" w:hAnsi="Calibri" w:cs="Calibri"/>
          <w:sz w:val="24"/>
          <w:szCs w:val="24"/>
        </w:rPr>
      </w:pPr>
      <w:r>
        <w:rPr>
          <w:rFonts w:ascii="Calibri" w:eastAsia="Calibri" w:hAnsi="Calibri" w:cs="Calibri"/>
          <w:i/>
          <w:sz w:val="24"/>
          <w:szCs w:val="24"/>
        </w:rPr>
        <w:t>‘prepared to c</w:t>
      </w:r>
      <w:r>
        <w:rPr>
          <w:rFonts w:ascii="Calibri" w:eastAsia="Calibri" w:hAnsi="Calibri" w:cs="Calibri"/>
          <w:i/>
          <w:sz w:val="24"/>
          <w:szCs w:val="24"/>
        </w:rPr>
        <w:t>ontribute to evidence-informed policy and practice, we must beware of inadvertently accepting the assumptions underlying them and allowing inappropriate assumptions, on the part of Ministers and others, to define our field.’</w:t>
      </w:r>
      <w:r>
        <w:rPr>
          <w:rFonts w:ascii="Calibri" w:eastAsia="Calibri" w:hAnsi="Calibri" w:cs="Calibri"/>
          <w:sz w:val="24"/>
          <w:szCs w:val="24"/>
        </w:rPr>
        <w:t xml:space="preserve"> (p.162)</w:t>
      </w:r>
    </w:p>
    <w:p w14:paraId="00000025" w14:textId="77777777" w:rsidR="001820CA" w:rsidRDefault="00FE49C9">
      <w:pPr>
        <w:spacing w:before="240" w:after="240"/>
        <w:rPr>
          <w:rFonts w:ascii="Calibri" w:eastAsia="Calibri" w:hAnsi="Calibri" w:cs="Calibri"/>
          <w:i/>
          <w:sz w:val="24"/>
          <w:szCs w:val="24"/>
        </w:rPr>
      </w:pPr>
      <w:r>
        <w:rPr>
          <w:rFonts w:ascii="Calibri" w:eastAsia="Calibri" w:hAnsi="Calibri" w:cs="Calibri"/>
          <w:sz w:val="24"/>
          <w:szCs w:val="24"/>
        </w:rPr>
        <w:t>CfW refers to the ambit</w:t>
      </w:r>
      <w:r>
        <w:rPr>
          <w:rFonts w:ascii="Calibri" w:eastAsia="Calibri" w:hAnsi="Calibri" w:cs="Calibri"/>
          <w:sz w:val="24"/>
          <w:szCs w:val="24"/>
        </w:rPr>
        <w:t>ion of diversity and multiculturalism, yet there is no agreed pan-Wales definition as to what it means in the education context and perhaps the answers for policy lie elsewhere. Multiculturalism is only one of four mechanisms that Kite and Whitely (2016, p</w:t>
      </w:r>
      <w:r>
        <w:rPr>
          <w:rFonts w:ascii="Calibri" w:eastAsia="Calibri" w:hAnsi="Calibri" w:cs="Calibri"/>
          <w:sz w:val="24"/>
          <w:szCs w:val="24"/>
        </w:rPr>
        <w:t>.561) advocate for moving towards ‘nonprejudice’. These mechanisms being: Color- blindness - self-regulation and suppression of social awareness, assimilationism - the extreme version of colour-blindness whereby the majority culture is adopted by the minor</w:t>
      </w:r>
      <w:r>
        <w:rPr>
          <w:rFonts w:ascii="Calibri" w:eastAsia="Calibri" w:hAnsi="Calibri" w:cs="Calibri"/>
          <w:sz w:val="24"/>
          <w:szCs w:val="24"/>
        </w:rPr>
        <w:t xml:space="preserve">ities; multiculturalism - the recognition and preservation of cultural identities, and polyculturalism - recognising there is no ‘pure culture’. Polyculturalism is similar to multiculturalism but aims to highlight that. </w:t>
      </w:r>
    </w:p>
    <w:p w14:paraId="00000026" w14:textId="77777777" w:rsidR="001820CA" w:rsidRDefault="00FE49C9">
      <w:pPr>
        <w:spacing w:before="240" w:after="240"/>
        <w:rPr>
          <w:rFonts w:ascii="Calibri" w:eastAsia="Calibri" w:hAnsi="Calibri" w:cs="Calibri"/>
          <w:i/>
          <w:sz w:val="24"/>
          <w:szCs w:val="24"/>
        </w:rPr>
      </w:pPr>
      <w:r>
        <w:rPr>
          <w:rFonts w:ascii="Calibri" w:eastAsia="Calibri" w:hAnsi="Calibri" w:cs="Calibri"/>
          <w:i/>
          <w:sz w:val="24"/>
          <w:szCs w:val="24"/>
        </w:rPr>
        <w:t>‘Culture is not determined by one’s</w:t>
      </w:r>
      <w:r>
        <w:rPr>
          <w:rFonts w:ascii="Calibri" w:eastAsia="Calibri" w:hAnsi="Calibri" w:cs="Calibri"/>
          <w:i/>
          <w:sz w:val="24"/>
          <w:szCs w:val="24"/>
        </w:rPr>
        <w:t xml:space="preserve"> race or nationality and, within a country or a particular racial/ethnic group, there can be many cultural and subcultural groups because throughout history and into the present, cultures have interacted with and shared knowledge, customs, and other cultur</w:t>
      </w:r>
      <w:r>
        <w:rPr>
          <w:rFonts w:ascii="Calibri" w:eastAsia="Calibri" w:hAnsi="Calibri" w:cs="Calibri"/>
          <w:i/>
          <w:sz w:val="24"/>
          <w:szCs w:val="24"/>
        </w:rPr>
        <w:t>al goods with one another.’</w:t>
      </w:r>
    </w:p>
    <w:p w14:paraId="00000027" w14:textId="77777777" w:rsidR="001820CA" w:rsidRDefault="00FE49C9">
      <w:pPr>
        <w:spacing w:before="240" w:after="240"/>
        <w:ind w:left="2880" w:firstLine="720"/>
        <w:rPr>
          <w:rFonts w:ascii="Calibri" w:eastAsia="Calibri" w:hAnsi="Calibri" w:cs="Calibri"/>
          <w:sz w:val="24"/>
          <w:szCs w:val="24"/>
        </w:rPr>
      </w:pPr>
      <w:r>
        <w:rPr>
          <w:rFonts w:ascii="Calibri" w:eastAsia="Calibri" w:hAnsi="Calibri" w:cs="Calibri"/>
          <w:sz w:val="24"/>
          <w:szCs w:val="24"/>
        </w:rPr>
        <w:lastRenderedPageBreak/>
        <w:t xml:space="preserve">    (Keith, 2011 cited in Kite and Whitely, 2016, p.565)</w:t>
      </w:r>
    </w:p>
    <w:p w14:paraId="00000028"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In this definition of polyculturalism, there is potentially an option for CfW policy direction as the conceptual ideals resonate closely with those concepts behind the CfW</w:t>
      </w:r>
      <w:r>
        <w:rPr>
          <w:rFonts w:ascii="Calibri" w:eastAsia="Calibri" w:hAnsi="Calibri" w:cs="Calibri"/>
          <w:sz w:val="24"/>
          <w:szCs w:val="24"/>
        </w:rPr>
        <w:t xml:space="preserve"> paradigm. This includes moving away from the traditional siloed approaches of organising learning and deliberate efforts to establish and explore authentic links within and between learning. As a means of going beyond content and pedagogy, CfW also embrac</w:t>
      </w:r>
      <w:r>
        <w:rPr>
          <w:rFonts w:ascii="Calibri" w:eastAsia="Calibri" w:hAnsi="Calibri" w:cs="Calibri"/>
          <w:sz w:val="24"/>
          <w:szCs w:val="24"/>
        </w:rPr>
        <w:t xml:space="preserve">es the theme of ‘cynefin’. Whilst it directly translates into English as meaning habit, in the context of CfW, it looks to play on a wider meaning of cynefin to include an individual’s and group’s </w:t>
      </w:r>
      <w:r>
        <w:rPr>
          <w:rFonts w:ascii="Calibri" w:eastAsia="Calibri" w:hAnsi="Calibri" w:cs="Calibri"/>
          <w:i/>
          <w:sz w:val="24"/>
          <w:szCs w:val="24"/>
        </w:rPr>
        <w:t>sense of place</w:t>
      </w:r>
      <w:r>
        <w:rPr>
          <w:rFonts w:ascii="Calibri" w:eastAsia="Calibri" w:hAnsi="Calibri" w:cs="Calibri"/>
          <w:sz w:val="24"/>
          <w:szCs w:val="24"/>
        </w:rPr>
        <w:t xml:space="preserve"> and history, which in turn influences though</w:t>
      </w:r>
      <w:r>
        <w:rPr>
          <w:rFonts w:ascii="Calibri" w:eastAsia="Calibri" w:hAnsi="Calibri" w:cs="Calibri"/>
          <w:sz w:val="24"/>
          <w:szCs w:val="24"/>
        </w:rPr>
        <w:t xml:space="preserve">ts and decisions in ways we cannot fully understand.  Honing in on cynefin and reinforcing a potential argument for a more polycultural approach within curriculum, Williams (2021), presents that cynefin is </w:t>
      </w:r>
    </w:p>
    <w:p w14:paraId="00000029" w14:textId="77777777" w:rsidR="001820CA" w:rsidRDefault="00FE49C9">
      <w:pPr>
        <w:spacing w:before="240" w:after="240"/>
        <w:rPr>
          <w:rFonts w:ascii="Calibri" w:eastAsia="Calibri" w:hAnsi="Calibri" w:cs="Calibri"/>
          <w:sz w:val="24"/>
          <w:szCs w:val="24"/>
          <w:shd w:val="clear" w:color="auto" w:fill="F9CB9C"/>
        </w:rPr>
      </w:pPr>
      <w:r>
        <w:rPr>
          <w:rFonts w:ascii="Calibri" w:eastAsia="Calibri" w:hAnsi="Calibri" w:cs="Calibri"/>
          <w:i/>
          <w:sz w:val="24"/>
          <w:szCs w:val="24"/>
        </w:rPr>
        <w:t>‘a concept that helps pupils’ to explore, make co</w:t>
      </w:r>
      <w:r>
        <w:rPr>
          <w:rFonts w:ascii="Calibri" w:eastAsia="Calibri" w:hAnsi="Calibri" w:cs="Calibri"/>
          <w:i/>
          <w:sz w:val="24"/>
          <w:szCs w:val="24"/>
        </w:rPr>
        <w:t xml:space="preserve">nnections and develop understanding of themselves within a modern, diverse and inclusive society. This cynefin is not simply local but provides a foundation for a national and international citizenship’. </w:t>
      </w:r>
    </w:p>
    <w:p w14:paraId="0000002A"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CfW has, and must, continue to be shaped through the processes of inclusivity and subsidiarity, where education stakeholders and those in our schools have and will directly influence the </w:t>
      </w:r>
      <w:r>
        <w:rPr>
          <w:rFonts w:ascii="Calibri" w:eastAsia="Calibri" w:hAnsi="Calibri" w:cs="Calibri"/>
          <w:i/>
          <w:sz w:val="24"/>
          <w:szCs w:val="24"/>
        </w:rPr>
        <w:t>how</w:t>
      </w:r>
      <w:r>
        <w:rPr>
          <w:rFonts w:ascii="Calibri" w:eastAsia="Calibri" w:hAnsi="Calibri" w:cs="Calibri"/>
          <w:sz w:val="24"/>
          <w:szCs w:val="24"/>
        </w:rPr>
        <w:t xml:space="preserve"> and </w:t>
      </w:r>
      <w:r>
        <w:rPr>
          <w:rFonts w:ascii="Calibri" w:eastAsia="Calibri" w:hAnsi="Calibri" w:cs="Calibri"/>
          <w:i/>
          <w:sz w:val="24"/>
          <w:szCs w:val="24"/>
        </w:rPr>
        <w:t>what</w:t>
      </w:r>
      <w:r>
        <w:rPr>
          <w:rFonts w:ascii="Calibri" w:eastAsia="Calibri" w:hAnsi="Calibri" w:cs="Calibri"/>
          <w:sz w:val="24"/>
          <w:szCs w:val="24"/>
        </w:rPr>
        <w:t xml:space="preserve"> within national policy. In the process of this discussio</w:t>
      </w:r>
      <w:r>
        <w:rPr>
          <w:rFonts w:ascii="Calibri" w:eastAsia="Calibri" w:hAnsi="Calibri" w:cs="Calibri"/>
          <w:sz w:val="24"/>
          <w:szCs w:val="24"/>
        </w:rPr>
        <w:t>n on the shortcomings and strengths of the emerging CfW policy through a lense of psychological theory and study, there are a number of recurring themes that have arisen. As we seek to tackle racism and increase understanding of diversity through CfW, poli</w:t>
      </w:r>
      <w:r>
        <w:rPr>
          <w:rFonts w:ascii="Calibri" w:eastAsia="Calibri" w:hAnsi="Calibri" w:cs="Calibri"/>
          <w:sz w:val="24"/>
          <w:szCs w:val="24"/>
        </w:rPr>
        <w:t>cy makers would do well to look for the lessons within these themes and: work collaboratively across Wales’ education strata i.e. the micro - individuals, the meso - organisations and groups, and the macro - national policy (Thijs and Van den Akker’s, 2009</w:t>
      </w:r>
      <w:r>
        <w:rPr>
          <w:rFonts w:ascii="Calibri" w:eastAsia="Calibri" w:hAnsi="Calibri" w:cs="Calibri"/>
          <w:sz w:val="24"/>
          <w:szCs w:val="24"/>
        </w:rPr>
        <w:t>); better understand and develop a strategic approach to employ intergroup dependency and social identity theories; ensure a consistent and coherent national approach to teacher training and professional development; consider how polyculturalism looks beyo</w:t>
      </w:r>
      <w:r>
        <w:rPr>
          <w:rFonts w:ascii="Calibri" w:eastAsia="Calibri" w:hAnsi="Calibri" w:cs="Calibri"/>
          <w:sz w:val="24"/>
          <w:szCs w:val="24"/>
        </w:rPr>
        <w:t xml:space="preserve">nd multicultural protection and tolerances, identifying and celebrating diverse links and relationships; and further their own understanding of institutional racism. The shift between explicit to more implicit forms of racism should be integrated into the </w:t>
      </w:r>
      <w:r>
        <w:rPr>
          <w:rFonts w:ascii="Calibri" w:eastAsia="Calibri" w:hAnsi="Calibri" w:cs="Calibri"/>
          <w:sz w:val="24"/>
          <w:szCs w:val="24"/>
        </w:rPr>
        <w:t xml:space="preserve">fabric of their operations, their policies and actions. In doing so policy makers should appreciate that   </w:t>
      </w:r>
    </w:p>
    <w:p w14:paraId="0000002B" w14:textId="77777777" w:rsidR="001820CA" w:rsidRDefault="00FE49C9">
      <w:pPr>
        <w:spacing w:before="240" w:after="240"/>
        <w:rPr>
          <w:rFonts w:ascii="Calibri" w:eastAsia="Calibri" w:hAnsi="Calibri" w:cs="Calibri"/>
          <w:i/>
          <w:sz w:val="24"/>
          <w:szCs w:val="24"/>
        </w:rPr>
      </w:pPr>
      <w:r>
        <w:rPr>
          <w:rFonts w:ascii="Calibri" w:eastAsia="Calibri" w:hAnsi="Calibri" w:cs="Calibri"/>
          <w:i/>
          <w:sz w:val="24"/>
          <w:szCs w:val="24"/>
        </w:rPr>
        <w:t>‘Education alone cannot put to right the systemic racial inequality that is evidenced and experienced in all social policy fields across Wales but i</w:t>
      </w:r>
      <w:r>
        <w:rPr>
          <w:rFonts w:ascii="Calibri" w:eastAsia="Calibri" w:hAnsi="Calibri" w:cs="Calibri"/>
          <w:i/>
          <w:sz w:val="24"/>
          <w:szCs w:val="24"/>
        </w:rPr>
        <w:t xml:space="preserve">t is a significant arena of change and critical in building the ethical and informed citizens of the future’ </w:t>
      </w:r>
    </w:p>
    <w:p w14:paraId="0000002C" w14:textId="77777777" w:rsidR="001820CA" w:rsidRDefault="00FE49C9">
      <w:pPr>
        <w:spacing w:before="240" w:after="240"/>
        <w:ind w:left="5760" w:firstLine="720"/>
        <w:rPr>
          <w:rFonts w:ascii="Calibri" w:eastAsia="Calibri" w:hAnsi="Calibri" w:cs="Calibri"/>
          <w:sz w:val="24"/>
          <w:szCs w:val="24"/>
        </w:rPr>
      </w:pPr>
      <w:r>
        <w:rPr>
          <w:rFonts w:ascii="Calibri" w:eastAsia="Calibri" w:hAnsi="Calibri" w:cs="Calibri"/>
          <w:sz w:val="24"/>
          <w:szCs w:val="24"/>
        </w:rPr>
        <w:t>(Williams, 2021, p.68).</w:t>
      </w:r>
    </w:p>
    <w:p w14:paraId="0000002D" w14:textId="77777777" w:rsidR="001820CA" w:rsidRDefault="00FE49C9">
      <w:pPr>
        <w:spacing w:before="240" w:after="240"/>
        <w:rPr>
          <w:rFonts w:ascii="Calibri" w:eastAsia="Calibri" w:hAnsi="Calibri" w:cs="Calibri"/>
          <w:sz w:val="24"/>
          <w:szCs w:val="24"/>
          <w:shd w:val="clear" w:color="auto" w:fill="F9CB9C"/>
        </w:rPr>
      </w:pPr>
      <w:r>
        <w:rPr>
          <w:rFonts w:ascii="Calibri" w:eastAsia="Calibri" w:hAnsi="Calibri" w:cs="Calibri"/>
          <w:sz w:val="24"/>
          <w:szCs w:val="24"/>
        </w:rPr>
        <w:t>Overly prescriptive policy which is developed in isolation will gain little traction in addressing Wales’ as a composite o</w:t>
      </w:r>
      <w:r>
        <w:rPr>
          <w:rFonts w:ascii="Calibri" w:eastAsia="Calibri" w:hAnsi="Calibri" w:cs="Calibri"/>
          <w:sz w:val="24"/>
          <w:szCs w:val="24"/>
        </w:rPr>
        <w:t xml:space="preserve">f diverse communities and a nation of complex needs. This complexity presents a strong case for the autonomy, agency and trust being placed into our </w:t>
      </w:r>
      <w:r>
        <w:rPr>
          <w:rFonts w:ascii="Calibri" w:eastAsia="Calibri" w:hAnsi="Calibri" w:cs="Calibri"/>
          <w:sz w:val="24"/>
          <w:szCs w:val="24"/>
        </w:rPr>
        <w:lastRenderedPageBreak/>
        <w:t xml:space="preserve">professional workforce and school communities. However, such freedoms are accompanied by responsibilities, </w:t>
      </w:r>
      <w:r>
        <w:rPr>
          <w:rFonts w:ascii="Calibri" w:eastAsia="Calibri" w:hAnsi="Calibri" w:cs="Calibri"/>
          <w:sz w:val="24"/>
          <w:szCs w:val="24"/>
        </w:rPr>
        <w:t>particularly if we are to reflect upon one of the lessons from Cross, Mungadi and Rouhani</w:t>
      </w:r>
      <w:r>
        <w:rPr>
          <w:rFonts w:ascii="Calibri" w:eastAsia="Calibri" w:hAnsi="Calibri" w:cs="Calibri"/>
          <w:sz w:val="24"/>
          <w:szCs w:val="24"/>
          <w:highlight w:val="white"/>
        </w:rPr>
        <w:t xml:space="preserve"> </w:t>
      </w:r>
      <w:r>
        <w:rPr>
          <w:rFonts w:ascii="Calibri" w:eastAsia="Calibri" w:hAnsi="Calibri" w:cs="Calibri"/>
          <w:sz w:val="24"/>
          <w:szCs w:val="24"/>
        </w:rPr>
        <w:t>(2002), in ensuring policy both reflects what should happen and what is happening beyond just words in a document. Curriculum for Wales’ has the means to ensure it is</w:t>
      </w:r>
      <w:r>
        <w:rPr>
          <w:rFonts w:ascii="Calibri" w:eastAsia="Calibri" w:hAnsi="Calibri" w:cs="Calibri"/>
          <w:sz w:val="24"/>
          <w:szCs w:val="24"/>
        </w:rPr>
        <w:t xml:space="preserve"> a purposeful tool for tackling prejudice and discrimination, in schools and society at large, through: the four purposes and developing ethically informed citizens; learning about and across the Humanities and Health &amp; Wellbeing AoLE; addressing the cross</w:t>
      </w:r>
      <w:r>
        <w:rPr>
          <w:rFonts w:ascii="Calibri" w:eastAsia="Calibri" w:hAnsi="Calibri" w:cs="Calibri"/>
          <w:sz w:val="24"/>
          <w:szCs w:val="24"/>
        </w:rPr>
        <w:t xml:space="preserve"> cutting theme of the United Nations Convention on the Rights of the Child; and identifying the potential for celebrating identity, culture, inclusivity and diversity through the concept of </w:t>
      </w:r>
      <w:r>
        <w:rPr>
          <w:rFonts w:ascii="Calibri" w:eastAsia="Calibri" w:hAnsi="Calibri" w:cs="Calibri"/>
          <w:i/>
          <w:sz w:val="24"/>
          <w:szCs w:val="24"/>
        </w:rPr>
        <w:t>cynefin</w:t>
      </w:r>
      <w:r>
        <w:rPr>
          <w:rFonts w:ascii="Calibri" w:eastAsia="Calibri" w:hAnsi="Calibri" w:cs="Calibri"/>
          <w:sz w:val="24"/>
          <w:szCs w:val="24"/>
        </w:rPr>
        <w:t>. More work needs to be done to explore the psychological f</w:t>
      </w:r>
      <w:r>
        <w:rPr>
          <w:rFonts w:ascii="Calibri" w:eastAsia="Calibri" w:hAnsi="Calibri" w:cs="Calibri"/>
          <w:sz w:val="24"/>
          <w:szCs w:val="24"/>
        </w:rPr>
        <w:t xml:space="preserve">rameworks and theories as mechanisms for curriculum realisation. The strong case for greater collaboration between policy makers, researchers and practitioners. Afterall, it appears that we as ‘educators know how to create islands of change but not how to </w:t>
      </w:r>
      <w:r>
        <w:rPr>
          <w:rFonts w:ascii="Calibri" w:eastAsia="Calibri" w:hAnsi="Calibri" w:cs="Calibri"/>
          <w:sz w:val="24"/>
          <w:szCs w:val="24"/>
        </w:rPr>
        <w:t>construct archipelagos or build entire continents of them’ (Hargreaves and Goodson, 2006, p.4).</w:t>
      </w:r>
    </w:p>
    <w:p w14:paraId="0000002E" w14:textId="77777777" w:rsidR="001820CA" w:rsidRDefault="00FE49C9">
      <w:pPr>
        <w:spacing w:before="240" w:after="240"/>
        <w:rPr>
          <w:rFonts w:ascii="Calibri" w:eastAsia="Calibri" w:hAnsi="Calibri" w:cs="Calibri"/>
          <w:color w:val="292829"/>
          <w:sz w:val="24"/>
          <w:szCs w:val="24"/>
          <w:shd w:val="clear" w:color="auto" w:fill="F9CB9C"/>
        </w:rPr>
      </w:pPr>
      <w:r>
        <w:rPr>
          <w:rFonts w:ascii="Calibri" w:eastAsia="Calibri" w:hAnsi="Calibri" w:cs="Calibri"/>
          <w:color w:val="292829"/>
          <w:sz w:val="24"/>
          <w:szCs w:val="24"/>
          <w:shd w:val="clear" w:color="auto" w:fill="F9CB9C"/>
        </w:rPr>
        <w:t xml:space="preserve"> </w:t>
      </w:r>
    </w:p>
    <w:p w14:paraId="0000002F" w14:textId="77777777" w:rsidR="001820CA" w:rsidRDefault="001820CA">
      <w:pPr>
        <w:spacing w:before="240" w:after="240"/>
        <w:rPr>
          <w:rFonts w:ascii="Calibri" w:eastAsia="Calibri" w:hAnsi="Calibri" w:cs="Calibri"/>
          <w:color w:val="292829"/>
          <w:sz w:val="24"/>
          <w:szCs w:val="24"/>
        </w:rPr>
      </w:pPr>
    </w:p>
    <w:p w14:paraId="00000030" w14:textId="77777777" w:rsidR="001820CA" w:rsidRDefault="001820CA">
      <w:pPr>
        <w:spacing w:before="240" w:after="240"/>
        <w:rPr>
          <w:rFonts w:ascii="Calibri" w:eastAsia="Calibri" w:hAnsi="Calibri" w:cs="Calibri"/>
          <w:color w:val="292829"/>
          <w:sz w:val="24"/>
          <w:szCs w:val="24"/>
        </w:rPr>
      </w:pPr>
    </w:p>
    <w:p w14:paraId="00000031" w14:textId="77777777" w:rsidR="001820CA" w:rsidRDefault="001820CA">
      <w:pPr>
        <w:spacing w:before="240" w:after="240"/>
        <w:rPr>
          <w:rFonts w:ascii="Calibri" w:eastAsia="Calibri" w:hAnsi="Calibri" w:cs="Calibri"/>
          <w:color w:val="292829"/>
          <w:sz w:val="24"/>
          <w:szCs w:val="24"/>
        </w:rPr>
      </w:pPr>
    </w:p>
    <w:p w14:paraId="00000032" w14:textId="77777777" w:rsidR="001820CA" w:rsidRDefault="001820CA">
      <w:pPr>
        <w:spacing w:before="240" w:after="240"/>
        <w:rPr>
          <w:rFonts w:ascii="Calibri" w:eastAsia="Calibri" w:hAnsi="Calibri" w:cs="Calibri"/>
          <w:color w:val="292829"/>
          <w:sz w:val="24"/>
          <w:szCs w:val="24"/>
        </w:rPr>
      </w:pPr>
    </w:p>
    <w:p w14:paraId="00000033" w14:textId="77777777" w:rsidR="001820CA" w:rsidRDefault="001820CA">
      <w:pPr>
        <w:spacing w:before="240" w:after="240"/>
        <w:rPr>
          <w:rFonts w:ascii="Calibri" w:eastAsia="Calibri" w:hAnsi="Calibri" w:cs="Calibri"/>
          <w:color w:val="292829"/>
          <w:sz w:val="24"/>
          <w:szCs w:val="24"/>
        </w:rPr>
      </w:pPr>
    </w:p>
    <w:p w14:paraId="00000034" w14:textId="77777777" w:rsidR="001820CA" w:rsidRDefault="001820CA">
      <w:pPr>
        <w:spacing w:before="240" w:after="240"/>
        <w:rPr>
          <w:rFonts w:ascii="Calibri" w:eastAsia="Calibri" w:hAnsi="Calibri" w:cs="Calibri"/>
          <w:color w:val="292829"/>
          <w:sz w:val="24"/>
          <w:szCs w:val="24"/>
        </w:rPr>
      </w:pPr>
    </w:p>
    <w:p w14:paraId="00000035" w14:textId="77777777" w:rsidR="001820CA" w:rsidRDefault="001820CA">
      <w:pPr>
        <w:spacing w:before="240" w:after="240"/>
        <w:rPr>
          <w:rFonts w:ascii="Calibri" w:eastAsia="Calibri" w:hAnsi="Calibri" w:cs="Calibri"/>
          <w:color w:val="292829"/>
          <w:sz w:val="24"/>
          <w:szCs w:val="24"/>
        </w:rPr>
      </w:pPr>
    </w:p>
    <w:p w14:paraId="00000036" w14:textId="77777777" w:rsidR="001820CA" w:rsidRDefault="001820CA">
      <w:pPr>
        <w:spacing w:before="240" w:after="240"/>
        <w:rPr>
          <w:rFonts w:ascii="Calibri" w:eastAsia="Calibri" w:hAnsi="Calibri" w:cs="Calibri"/>
          <w:color w:val="292829"/>
          <w:sz w:val="24"/>
          <w:szCs w:val="24"/>
        </w:rPr>
      </w:pPr>
    </w:p>
    <w:p w14:paraId="00000037" w14:textId="77777777" w:rsidR="001820CA" w:rsidRDefault="001820CA">
      <w:pPr>
        <w:spacing w:before="240" w:after="240"/>
        <w:rPr>
          <w:rFonts w:ascii="Calibri" w:eastAsia="Calibri" w:hAnsi="Calibri" w:cs="Calibri"/>
          <w:color w:val="292829"/>
          <w:sz w:val="24"/>
          <w:szCs w:val="24"/>
        </w:rPr>
      </w:pPr>
    </w:p>
    <w:p w14:paraId="00000038" w14:textId="77777777" w:rsidR="001820CA" w:rsidRDefault="001820CA">
      <w:pPr>
        <w:spacing w:before="240" w:after="240"/>
        <w:rPr>
          <w:rFonts w:ascii="Calibri" w:eastAsia="Calibri" w:hAnsi="Calibri" w:cs="Calibri"/>
          <w:color w:val="292829"/>
          <w:sz w:val="24"/>
          <w:szCs w:val="24"/>
        </w:rPr>
      </w:pPr>
    </w:p>
    <w:p w14:paraId="00000039" w14:textId="77777777" w:rsidR="001820CA" w:rsidRDefault="001820CA">
      <w:pPr>
        <w:spacing w:before="240" w:after="240"/>
        <w:rPr>
          <w:rFonts w:ascii="Calibri" w:eastAsia="Calibri" w:hAnsi="Calibri" w:cs="Calibri"/>
          <w:color w:val="292829"/>
          <w:sz w:val="24"/>
          <w:szCs w:val="24"/>
        </w:rPr>
      </w:pPr>
    </w:p>
    <w:p w14:paraId="0000003A" w14:textId="77777777" w:rsidR="001820CA" w:rsidRDefault="001820CA">
      <w:pPr>
        <w:spacing w:before="240" w:after="240"/>
        <w:rPr>
          <w:rFonts w:ascii="Calibri" w:eastAsia="Calibri" w:hAnsi="Calibri" w:cs="Calibri"/>
          <w:color w:val="292829"/>
          <w:sz w:val="24"/>
          <w:szCs w:val="24"/>
        </w:rPr>
      </w:pPr>
    </w:p>
    <w:p w14:paraId="0000003B" w14:textId="77777777" w:rsidR="001820CA" w:rsidRDefault="001820CA">
      <w:pPr>
        <w:spacing w:before="240" w:after="240"/>
        <w:rPr>
          <w:rFonts w:ascii="Calibri" w:eastAsia="Calibri" w:hAnsi="Calibri" w:cs="Calibri"/>
          <w:color w:val="292829"/>
          <w:sz w:val="24"/>
          <w:szCs w:val="24"/>
        </w:rPr>
      </w:pPr>
    </w:p>
    <w:p w14:paraId="0000003C" w14:textId="77777777" w:rsidR="001820CA" w:rsidRDefault="001820CA">
      <w:pPr>
        <w:spacing w:before="240" w:after="240"/>
        <w:rPr>
          <w:rFonts w:ascii="Calibri" w:eastAsia="Calibri" w:hAnsi="Calibri" w:cs="Calibri"/>
          <w:color w:val="292829"/>
          <w:sz w:val="24"/>
          <w:szCs w:val="24"/>
          <w:shd w:val="clear" w:color="auto" w:fill="D0E0E3"/>
        </w:rPr>
      </w:pPr>
    </w:p>
    <w:p w14:paraId="0000003D" w14:textId="77777777" w:rsidR="001820CA" w:rsidRDefault="001820CA">
      <w:pPr>
        <w:spacing w:before="240" w:after="240"/>
        <w:rPr>
          <w:rFonts w:ascii="Calibri" w:eastAsia="Calibri" w:hAnsi="Calibri" w:cs="Calibri"/>
          <w:sz w:val="24"/>
          <w:szCs w:val="24"/>
          <w:shd w:val="clear" w:color="auto" w:fill="D9EAD3"/>
        </w:rPr>
      </w:pPr>
    </w:p>
    <w:p w14:paraId="0000003E" w14:textId="77777777" w:rsidR="001820CA" w:rsidRDefault="00FE49C9">
      <w:pPr>
        <w:spacing w:before="240" w:after="240"/>
        <w:rPr>
          <w:rFonts w:ascii="Calibri" w:eastAsia="Calibri" w:hAnsi="Calibri" w:cs="Calibri"/>
          <w:sz w:val="24"/>
          <w:szCs w:val="24"/>
        </w:rPr>
      </w:pPr>
      <w:r>
        <w:rPr>
          <w:rFonts w:ascii="Calibri" w:eastAsia="Calibri" w:hAnsi="Calibri" w:cs="Calibri"/>
          <w:b/>
          <w:sz w:val="28"/>
          <w:szCs w:val="28"/>
        </w:rPr>
        <w:lastRenderedPageBreak/>
        <w:t>REFERENCES</w:t>
      </w:r>
      <w:r>
        <w:rPr>
          <w:rFonts w:ascii="Calibri" w:eastAsia="Calibri" w:hAnsi="Calibri" w:cs="Calibri"/>
          <w:sz w:val="24"/>
          <w:szCs w:val="24"/>
          <w:shd w:val="clear" w:color="auto" w:fill="D9EAD3"/>
        </w:rPr>
        <w:t xml:space="preserve"> </w:t>
      </w:r>
    </w:p>
    <w:p w14:paraId="0000003F"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Abrams, Dominic (2010) Processes of prejudices: Theory, evidence and intervention. report. Equalities and Human Rights Commission</w:t>
      </w:r>
    </w:p>
    <w:p w14:paraId="00000040"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Abrams, D., Hogg, M. &amp; Marques, J. (2005) The Social Psychology of Inclusion and Exclusion.</w:t>
      </w:r>
    </w:p>
    <w:p w14:paraId="00000041" w14:textId="77777777" w:rsidR="001820CA" w:rsidRDefault="00FE49C9">
      <w:pPr>
        <w:rPr>
          <w:rFonts w:ascii="Calibri" w:eastAsia="Calibri" w:hAnsi="Calibri" w:cs="Calibri"/>
          <w:sz w:val="24"/>
          <w:szCs w:val="24"/>
        </w:rPr>
      </w:pPr>
      <w:r>
        <w:rPr>
          <w:rFonts w:ascii="Calibri" w:eastAsia="Calibri" w:hAnsi="Calibri" w:cs="Calibri"/>
          <w:sz w:val="24"/>
          <w:szCs w:val="24"/>
        </w:rPr>
        <w:t>Abrams, D., Christian, J.N., &amp; Gor</w:t>
      </w:r>
      <w:r>
        <w:rPr>
          <w:rFonts w:ascii="Calibri" w:eastAsia="Calibri" w:hAnsi="Calibri" w:cs="Calibri"/>
          <w:sz w:val="24"/>
          <w:szCs w:val="24"/>
        </w:rPr>
        <w:t xml:space="preserve">don, D. (2009) Multidisciplinary Handbook of Social Exclusion Research. 10.1002/9780470773178. </w:t>
      </w:r>
    </w:p>
    <w:p w14:paraId="00000042" w14:textId="77777777" w:rsidR="001820CA" w:rsidRDefault="001820CA">
      <w:pPr>
        <w:rPr>
          <w:rFonts w:ascii="Calibri" w:eastAsia="Calibri" w:hAnsi="Calibri" w:cs="Calibri"/>
          <w:sz w:val="24"/>
          <w:szCs w:val="24"/>
        </w:rPr>
      </w:pPr>
    </w:p>
    <w:p w14:paraId="00000043" w14:textId="77777777" w:rsidR="001820CA" w:rsidRDefault="00FE49C9">
      <w:pPr>
        <w:rPr>
          <w:rFonts w:ascii="Calibri" w:eastAsia="Calibri" w:hAnsi="Calibri" w:cs="Calibri"/>
          <w:sz w:val="24"/>
          <w:szCs w:val="24"/>
        </w:rPr>
      </w:pPr>
      <w:r>
        <w:rPr>
          <w:rFonts w:ascii="Calibri" w:eastAsia="Calibri" w:hAnsi="Calibri" w:cs="Calibri"/>
          <w:sz w:val="24"/>
          <w:szCs w:val="24"/>
        </w:rPr>
        <w:t xml:space="preserve">Allport, G. W. (1979) </w:t>
      </w:r>
      <w:r>
        <w:rPr>
          <w:rFonts w:ascii="Calibri" w:eastAsia="Calibri" w:hAnsi="Calibri" w:cs="Calibri"/>
          <w:i/>
          <w:sz w:val="24"/>
          <w:szCs w:val="24"/>
        </w:rPr>
        <w:t>The Nature of Prejudice</w:t>
      </w:r>
      <w:r>
        <w:rPr>
          <w:rFonts w:ascii="Calibri" w:eastAsia="Calibri" w:hAnsi="Calibri" w:cs="Calibri"/>
          <w:sz w:val="24"/>
          <w:szCs w:val="24"/>
        </w:rPr>
        <w:t xml:space="preserve">. Reading, MA: Addison-Wesley. </w:t>
      </w:r>
    </w:p>
    <w:p w14:paraId="00000044"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Al Ramiah, A., Hewstone, M., Dovidio, J.F. &amp; Penner, L.A. (2010) ‘The social psych</w:t>
      </w:r>
      <w:r>
        <w:rPr>
          <w:rFonts w:ascii="Calibri" w:eastAsia="Calibri" w:hAnsi="Calibri" w:cs="Calibri"/>
          <w:sz w:val="24"/>
          <w:szCs w:val="24"/>
        </w:rPr>
        <w:t xml:space="preserve">ology of discrimination: theory, measurement and consequences’ in: L. Bond, F. McGinnity and H. Russell (eds.), </w:t>
      </w:r>
      <w:r>
        <w:rPr>
          <w:rFonts w:ascii="Calibri" w:eastAsia="Calibri" w:hAnsi="Calibri" w:cs="Calibri"/>
          <w:i/>
          <w:sz w:val="24"/>
          <w:szCs w:val="24"/>
        </w:rPr>
        <w:t>Making Equality Count: Irish and International Approaches to Measuring Discrimination</w:t>
      </w:r>
      <w:r>
        <w:rPr>
          <w:rFonts w:ascii="Calibri" w:eastAsia="Calibri" w:hAnsi="Calibri" w:cs="Calibri"/>
          <w:sz w:val="24"/>
          <w:szCs w:val="24"/>
        </w:rPr>
        <w:t>. Dublin: Liffey Press.</w:t>
      </w:r>
    </w:p>
    <w:p w14:paraId="00000045" w14:textId="77777777" w:rsidR="001820CA" w:rsidRDefault="00FE49C9">
      <w:pPr>
        <w:spacing w:before="240" w:after="240"/>
        <w:rPr>
          <w:rFonts w:ascii="Calibri" w:eastAsia="Calibri" w:hAnsi="Calibri" w:cs="Calibri"/>
          <w:b/>
          <w:sz w:val="24"/>
          <w:szCs w:val="24"/>
        </w:rPr>
      </w:pPr>
      <w:r>
        <w:rPr>
          <w:rFonts w:ascii="Calibri" w:eastAsia="Calibri" w:hAnsi="Calibri" w:cs="Calibri"/>
          <w:sz w:val="24"/>
          <w:szCs w:val="24"/>
        </w:rPr>
        <w:t>Bobo, Lawrence. (2002) Prejudice as</w:t>
      </w:r>
      <w:r>
        <w:rPr>
          <w:rFonts w:ascii="Calibri" w:eastAsia="Calibri" w:hAnsi="Calibri" w:cs="Calibri"/>
          <w:sz w:val="24"/>
          <w:szCs w:val="24"/>
        </w:rPr>
        <w:t xml:space="preserve"> Group Position: Microfoundations of a Sociological Approach to Racism and Race Relations. Journal of Social Issues. 55. 445-472. 10.1111/0022-4537.00127.</w:t>
      </w:r>
      <w:r>
        <w:rPr>
          <w:rFonts w:ascii="Calibri" w:eastAsia="Calibri" w:hAnsi="Calibri" w:cs="Calibri"/>
          <w:b/>
          <w:sz w:val="24"/>
          <w:szCs w:val="24"/>
        </w:rPr>
        <w:t xml:space="preserve"> </w:t>
      </w:r>
    </w:p>
    <w:p w14:paraId="00000046" w14:textId="77777777" w:rsidR="001820CA" w:rsidRDefault="00FE49C9">
      <w:pPr>
        <w:spacing w:before="240" w:after="240"/>
        <w:rPr>
          <w:rFonts w:ascii="Calibri" w:eastAsia="Calibri" w:hAnsi="Calibri" w:cs="Calibri"/>
          <w:color w:val="2E414F"/>
          <w:sz w:val="24"/>
          <w:szCs w:val="24"/>
        </w:rPr>
      </w:pPr>
      <w:r>
        <w:rPr>
          <w:rFonts w:ascii="Calibri" w:eastAsia="Calibri" w:hAnsi="Calibri" w:cs="Calibri"/>
          <w:sz w:val="24"/>
          <w:szCs w:val="24"/>
        </w:rPr>
        <w:t>Brentnall, J. (2017) Promoting engagement and academic achievement for black and mixed-ethnicity pup</w:t>
      </w:r>
      <w:r>
        <w:rPr>
          <w:rFonts w:ascii="Calibri" w:eastAsia="Calibri" w:hAnsi="Calibri" w:cs="Calibri"/>
          <w:sz w:val="24"/>
          <w:szCs w:val="24"/>
        </w:rPr>
        <w:t xml:space="preserve">ils in Wales. Welsh Government. Available at: </w:t>
      </w:r>
      <w:hyperlink r:id="rId6">
        <w:r>
          <w:rPr>
            <w:rFonts w:ascii="Calibri" w:eastAsia="Calibri" w:hAnsi="Calibri" w:cs="Calibri"/>
            <w:sz w:val="24"/>
            <w:szCs w:val="24"/>
            <w:u w:val="single"/>
          </w:rPr>
          <w:t>http://dera.ioe.ac.uk/id/eprint/28399</w:t>
        </w:r>
      </w:hyperlink>
      <w:r>
        <w:rPr>
          <w:rFonts w:ascii="Calibri" w:eastAsia="Calibri" w:hAnsi="Calibri" w:cs="Calibri"/>
          <w:sz w:val="24"/>
          <w:szCs w:val="24"/>
        </w:rPr>
        <w:t xml:space="preserve"> [Accessed 04 January 2021].</w:t>
      </w:r>
    </w:p>
    <w:p w14:paraId="00000047" w14:textId="77777777" w:rsidR="001820CA" w:rsidRDefault="00FE49C9">
      <w:pPr>
        <w:spacing w:before="240" w:after="240"/>
        <w:rPr>
          <w:rFonts w:ascii="Calibri" w:eastAsia="Calibri" w:hAnsi="Calibri" w:cs="Calibri"/>
          <w:color w:val="2E414F"/>
          <w:sz w:val="24"/>
          <w:szCs w:val="24"/>
        </w:rPr>
      </w:pPr>
      <w:r>
        <w:rPr>
          <w:rFonts w:ascii="Calibri" w:eastAsia="Calibri" w:hAnsi="Calibri" w:cs="Calibri"/>
          <w:color w:val="2E414F"/>
          <w:sz w:val="24"/>
          <w:szCs w:val="24"/>
        </w:rPr>
        <w:t>Brewer</w:t>
      </w:r>
      <w:r>
        <w:rPr>
          <w:rFonts w:ascii="Calibri" w:eastAsia="Calibri" w:hAnsi="Calibri" w:cs="Calibri"/>
          <w:color w:val="2E414F"/>
          <w:sz w:val="24"/>
          <w:szCs w:val="24"/>
        </w:rPr>
        <w:t>, M., &amp; Miller, N. (1984) Beyond the Contact Hypothesis: Theoretical Perspectives on Desegregation.</w:t>
      </w:r>
    </w:p>
    <w:p w14:paraId="00000048" w14:textId="77777777" w:rsidR="001820CA" w:rsidRDefault="00FE49C9">
      <w:pPr>
        <w:spacing w:before="240" w:after="240"/>
        <w:rPr>
          <w:rFonts w:ascii="Calibri" w:eastAsia="Calibri" w:hAnsi="Calibri" w:cs="Calibri"/>
          <w:color w:val="2E414F"/>
          <w:sz w:val="24"/>
          <w:szCs w:val="24"/>
        </w:rPr>
      </w:pPr>
      <w:r>
        <w:rPr>
          <w:rFonts w:ascii="Calibri" w:eastAsia="Calibri" w:hAnsi="Calibri" w:cs="Calibri"/>
          <w:sz w:val="24"/>
          <w:szCs w:val="24"/>
        </w:rPr>
        <w:t>Brewer, M.B. (1996) When contact is not enough: Social identity and intergroup cooperation, International Journal of Intercultural Relations, Volume 20: Iss</w:t>
      </w:r>
      <w:r>
        <w:rPr>
          <w:rFonts w:ascii="Calibri" w:eastAsia="Calibri" w:hAnsi="Calibri" w:cs="Calibri"/>
          <w:sz w:val="24"/>
          <w:szCs w:val="24"/>
        </w:rPr>
        <w:t xml:space="preserve">ues 3–4. Pages 291-303. </w:t>
      </w:r>
      <w:hyperlink r:id="rId7">
        <w:r>
          <w:rPr>
            <w:rFonts w:ascii="Calibri" w:eastAsia="Calibri" w:hAnsi="Calibri" w:cs="Calibri"/>
            <w:color w:val="1155CC"/>
            <w:sz w:val="24"/>
            <w:szCs w:val="24"/>
            <w:u w:val="single"/>
          </w:rPr>
          <w:t>https://doi.org/10.1016/0147-1767(96)00020-X</w:t>
        </w:r>
      </w:hyperlink>
      <w:r>
        <w:rPr>
          <w:rFonts w:ascii="Calibri" w:eastAsia="Calibri" w:hAnsi="Calibri" w:cs="Calibri"/>
          <w:sz w:val="24"/>
          <w:szCs w:val="24"/>
        </w:rPr>
        <w:t xml:space="preserve"> [Accessed 19 June 2021]</w:t>
      </w:r>
    </w:p>
    <w:p w14:paraId="00000049" w14:textId="77777777" w:rsidR="001820CA" w:rsidRDefault="00FE49C9">
      <w:pPr>
        <w:spacing w:before="240" w:after="240"/>
        <w:rPr>
          <w:rFonts w:ascii="Calibri" w:eastAsia="Calibri" w:hAnsi="Calibri" w:cs="Calibri"/>
          <w:color w:val="333333"/>
          <w:sz w:val="24"/>
          <w:szCs w:val="24"/>
        </w:rPr>
      </w:pPr>
      <w:r>
        <w:rPr>
          <w:rFonts w:ascii="Calibri" w:eastAsia="Calibri" w:hAnsi="Calibri" w:cs="Calibri"/>
          <w:color w:val="333333"/>
          <w:sz w:val="24"/>
          <w:szCs w:val="24"/>
        </w:rPr>
        <w:t xml:space="preserve">Brewer, M. B. (1999) The psychology of prejudice: Ingroup love or outgroup hate? </w:t>
      </w:r>
      <w:r>
        <w:rPr>
          <w:rFonts w:ascii="Calibri" w:eastAsia="Calibri" w:hAnsi="Calibri" w:cs="Calibri"/>
          <w:i/>
          <w:color w:val="333333"/>
          <w:sz w:val="24"/>
          <w:szCs w:val="24"/>
        </w:rPr>
        <w:t xml:space="preserve">Journal of Social </w:t>
      </w:r>
      <w:r>
        <w:rPr>
          <w:rFonts w:ascii="Calibri" w:eastAsia="Calibri" w:hAnsi="Calibri" w:cs="Calibri"/>
          <w:i/>
          <w:color w:val="333333"/>
          <w:sz w:val="24"/>
          <w:szCs w:val="24"/>
        </w:rPr>
        <w:t xml:space="preserve">Issues, 55, </w:t>
      </w:r>
      <w:r>
        <w:rPr>
          <w:rFonts w:ascii="Calibri" w:eastAsia="Calibri" w:hAnsi="Calibri" w:cs="Calibri"/>
          <w:color w:val="333333"/>
          <w:sz w:val="24"/>
          <w:szCs w:val="24"/>
        </w:rPr>
        <w:t>429–444.</w:t>
      </w:r>
    </w:p>
    <w:p w14:paraId="0000004A" w14:textId="77777777" w:rsidR="001820CA" w:rsidRDefault="00FE49C9">
      <w:pPr>
        <w:spacing w:before="240" w:after="240"/>
        <w:rPr>
          <w:rFonts w:ascii="Calibri" w:eastAsia="Calibri" w:hAnsi="Calibri" w:cs="Calibri"/>
          <w:color w:val="2E414F"/>
          <w:sz w:val="24"/>
          <w:szCs w:val="24"/>
        </w:rPr>
      </w:pPr>
      <w:r>
        <w:rPr>
          <w:rFonts w:ascii="Calibri" w:eastAsia="Calibri" w:hAnsi="Calibri" w:cs="Calibri"/>
          <w:color w:val="333333"/>
          <w:sz w:val="24"/>
          <w:szCs w:val="24"/>
        </w:rPr>
        <w:t xml:space="preserve">Brewer, M. B. (2000) Superodinate goals versus superordinate identity as bases of intergroup cooperation. In D. Capozza &amp; R. Brown (Eds.), </w:t>
      </w:r>
      <w:r>
        <w:rPr>
          <w:rFonts w:ascii="Calibri" w:eastAsia="Calibri" w:hAnsi="Calibri" w:cs="Calibri"/>
          <w:i/>
          <w:color w:val="333333"/>
          <w:sz w:val="24"/>
          <w:szCs w:val="24"/>
        </w:rPr>
        <w:t>Social identity processes: Trends in theory and research</w:t>
      </w:r>
      <w:r>
        <w:rPr>
          <w:rFonts w:ascii="Calibri" w:eastAsia="Calibri" w:hAnsi="Calibri" w:cs="Calibri"/>
          <w:color w:val="333333"/>
          <w:sz w:val="24"/>
          <w:szCs w:val="24"/>
        </w:rPr>
        <w:t xml:space="preserve"> (pp. 117–132). Sage Publications Ltd.</w:t>
      </w:r>
    </w:p>
    <w:p w14:paraId="0000004B"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C</w:t>
      </w:r>
      <w:r>
        <w:rPr>
          <w:rFonts w:ascii="Calibri" w:eastAsia="Calibri" w:hAnsi="Calibri" w:cs="Calibri"/>
          <w:sz w:val="24"/>
          <w:szCs w:val="24"/>
        </w:rPr>
        <w:t>arr, P. (2006) Social Justice and Whiteness in Education: Color-blind Policymaking and Racism. Journal for Critical Educational Policy Studies. 4.</w:t>
      </w:r>
    </w:p>
    <w:p w14:paraId="0000004C" w14:textId="77777777" w:rsidR="001820CA" w:rsidRDefault="00FE49C9">
      <w:pPr>
        <w:spacing w:before="240" w:after="240"/>
        <w:rPr>
          <w:rFonts w:ascii="Calibri" w:eastAsia="Calibri" w:hAnsi="Calibri" w:cs="Calibri"/>
          <w:color w:val="292829"/>
          <w:sz w:val="24"/>
          <w:szCs w:val="24"/>
        </w:rPr>
      </w:pPr>
      <w:r>
        <w:rPr>
          <w:rFonts w:ascii="Calibri" w:eastAsia="Calibri" w:hAnsi="Calibri" w:cs="Calibri"/>
          <w:sz w:val="24"/>
          <w:szCs w:val="24"/>
        </w:rPr>
        <w:t>Carroll</w:t>
      </w:r>
      <w:r>
        <w:rPr>
          <w:rFonts w:ascii="Calibri" w:eastAsia="Calibri" w:hAnsi="Calibri" w:cs="Calibri"/>
          <w:sz w:val="24"/>
          <w:szCs w:val="24"/>
        </w:rPr>
        <w:t xml:space="preserve">, C., Patterson, M., Wood S., Booth, A., Rick, J. &amp; Balain, S. (2007) A conceptual framework for implementation fidelity </w:t>
      </w:r>
    </w:p>
    <w:p w14:paraId="0000004D" w14:textId="77777777" w:rsidR="001820CA" w:rsidRDefault="00FE49C9">
      <w:pPr>
        <w:spacing w:before="240" w:after="240"/>
        <w:rPr>
          <w:rFonts w:ascii="Calibri" w:eastAsia="Calibri" w:hAnsi="Calibri" w:cs="Calibri"/>
          <w:color w:val="292829"/>
          <w:sz w:val="24"/>
          <w:szCs w:val="24"/>
        </w:rPr>
      </w:pPr>
      <w:r>
        <w:rPr>
          <w:rFonts w:ascii="Calibri" w:eastAsia="Calibri" w:hAnsi="Calibri" w:cs="Calibri"/>
          <w:color w:val="333333"/>
          <w:sz w:val="24"/>
          <w:szCs w:val="24"/>
        </w:rPr>
        <w:lastRenderedPageBreak/>
        <w:t xml:space="preserve">Cross, M., Mungadi, R. &amp; Rouhani, S. (2002) From Policy to Practice: Curriculum reform in South African education, Comparative Education, 38:2, 171-187, DOI: </w:t>
      </w:r>
      <w:hyperlink r:id="rId8">
        <w:r>
          <w:rPr>
            <w:rFonts w:ascii="Calibri" w:eastAsia="Calibri" w:hAnsi="Calibri" w:cs="Calibri"/>
            <w:color w:val="333333"/>
            <w:sz w:val="24"/>
            <w:szCs w:val="24"/>
            <w:u w:val="single"/>
          </w:rPr>
          <w:t>10.1080/03050060220140566</w:t>
        </w:r>
      </w:hyperlink>
    </w:p>
    <w:p w14:paraId="0000004E" w14:textId="77777777" w:rsidR="001820CA" w:rsidRDefault="00FE49C9">
      <w:pPr>
        <w:spacing w:before="240" w:after="240"/>
        <w:rPr>
          <w:rFonts w:ascii="Calibri" w:eastAsia="Calibri" w:hAnsi="Calibri" w:cs="Calibri"/>
          <w:sz w:val="24"/>
          <w:szCs w:val="24"/>
        </w:rPr>
      </w:pPr>
      <w:r>
        <w:rPr>
          <w:rFonts w:ascii="Calibri" w:eastAsia="Calibri" w:hAnsi="Calibri" w:cs="Calibri"/>
          <w:color w:val="292829"/>
          <w:sz w:val="24"/>
          <w:szCs w:val="24"/>
        </w:rPr>
        <w:t>Colella, A.</w:t>
      </w:r>
      <w:r>
        <w:rPr>
          <w:rFonts w:ascii="Calibri" w:eastAsia="Calibri" w:hAnsi="Calibri" w:cs="Calibri"/>
          <w:color w:val="292829"/>
          <w:sz w:val="24"/>
          <w:szCs w:val="24"/>
        </w:rPr>
        <w:t>J. &amp; King, E.B.. (2015) The Oxford handbook of workplace discrimination. 10.1093/oxfordhb/9780199363643.001.0001.</w:t>
      </w:r>
    </w:p>
    <w:p w14:paraId="0000004F"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Dauncey, M. (2021) Curriculum and Assessment (Wales) Bill: Bill Summary (Stage 2): Welsh Parliament. </w:t>
      </w:r>
    </w:p>
    <w:p w14:paraId="00000050"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Donaldson, G. (2015) </w:t>
      </w:r>
      <w:r>
        <w:rPr>
          <w:rFonts w:ascii="Calibri" w:eastAsia="Calibri" w:hAnsi="Calibri" w:cs="Calibri"/>
          <w:i/>
          <w:sz w:val="24"/>
          <w:szCs w:val="24"/>
        </w:rPr>
        <w:t>Successful Futures</w:t>
      </w:r>
      <w:r>
        <w:rPr>
          <w:rFonts w:ascii="Calibri" w:eastAsia="Calibri" w:hAnsi="Calibri" w:cs="Calibri"/>
          <w:sz w:val="24"/>
          <w:szCs w:val="24"/>
        </w:rPr>
        <w:t>,</w:t>
      </w:r>
      <w:r>
        <w:rPr>
          <w:rFonts w:ascii="Calibri" w:eastAsia="Calibri" w:hAnsi="Calibri" w:cs="Calibri"/>
          <w:sz w:val="24"/>
          <w:szCs w:val="24"/>
        </w:rPr>
        <w:t xml:space="preserve"> Cardiff: Welsh Government.</w:t>
      </w:r>
    </w:p>
    <w:p w14:paraId="00000051" w14:textId="77777777" w:rsidR="001820CA" w:rsidRDefault="00FE49C9">
      <w:pPr>
        <w:spacing w:before="240" w:after="240"/>
        <w:rPr>
          <w:rFonts w:ascii="Calibri" w:eastAsia="Calibri" w:hAnsi="Calibri" w:cs="Calibri"/>
          <w:color w:val="1155CC"/>
          <w:sz w:val="24"/>
          <w:szCs w:val="24"/>
        </w:rPr>
      </w:pPr>
      <w:r>
        <w:rPr>
          <w:rFonts w:ascii="Calibri" w:eastAsia="Calibri" w:hAnsi="Calibri" w:cs="Calibri"/>
          <w:sz w:val="24"/>
          <w:szCs w:val="24"/>
        </w:rPr>
        <w:t xml:space="preserve">Dovidio, J. F., &amp; Gaertner, S. L. (1999a) ‘Reducing Prejudice: Combating Intergroup Biases’, </w:t>
      </w:r>
      <w:r>
        <w:rPr>
          <w:rFonts w:ascii="Calibri" w:eastAsia="Calibri" w:hAnsi="Calibri" w:cs="Calibri"/>
          <w:i/>
          <w:sz w:val="24"/>
          <w:szCs w:val="24"/>
        </w:rPr>
        <w:t>Current Directions in Psychological Science</w:t>
      </w:r>
      <w:r>
        <w:rPr>
          <w:rFonts w:ascii="Calibri" w:eastAsia="Calibri" w:hAnsi="Calibri" w:cs="Calibri"/>
          <w:sz w:val="24"/>
          <w:szCs w:val="24"/>
        </w:rPr>
        <w:t xml:space="preserve">, 8(4), pp. 101-105. DOI: </w:t>
      </w:r>
      <w:hyperlink r:id="rId9">
        <w:r>
          <w:rPr>
            <w:rFonts w:ascii="Calibri" w:eastAsia="Calibri" w:hAnsi="Calibri" w:cs="Calibri"/>
            <w:color w:val="1155CC"/>
            <w:sz w:val="24"/>
            <w:szCs w:val="24"/>
          </w:rPr>
          <w:t>https</w:t>
        </w:r>
        <w:r>
          <w:rPr>
            <w:rFonts w:ascii="Calibri" w:eastAsia="Calibri" w:hAnsi="Calibri" w:cs="Calibri"/>
            <w:color w:val="1155CC"/>
            <w:sz w:val="24"/>
            <w:szCs w:val="24"/>
          </w:rPr>
          <w:t>://doi.org/10.1111/1467-8721.00024</w:t>
        </w:r>
      </w:hyperlink>
      <w:r>
        <w:rPr>
          <w:rFonts w:ascii="Calibri" w:eastAsia="Calibri" w:hAnsi="Calibri" w:cs="Calibri"/>
          <w:color w:val="1155CC"/>
          <w:sz w:val="24"/>
          <w:szCs w:val="24"/>
        </w:rPr>
        <w:t xml:space="preserve">  </w:t>
      </w:r>
    </w:p>
    <w:p w14:paraId="00000052"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Fullan, M. (2016) </w:t>
      </w:r>
      <w:r>
        <w:rPr>
          <w:rFonts w:ascii="Calibri" w:eastAsia="Calibri" w:hAnsi="Calibri" w:cs="Calibri"/>
          <w:i/>
          <w:sz w:val="24"/>
          <w:szCs w:val="24"/>
        </w:rPr>
        <w:t>The New Meaning of Educational Change, Fifth Edition</w:t>
      </w:r>
      <w:r>
        <w:rPr>
          <w:rFonts w:ascii="Calibri" w:eastAsia="Calibri" w:hAnsi="Calibri" w:cs="Calibri"/>
          <w:sz w:val="24"/>
          <w:szCs w:val="24"/>
        </w:rPr>
        <w:t>, Teachers College Press.</w:t>
      </w:r>
    </w:p>
    <w:p w14:paraId="00000053" w14:textId="77777777" w:rsidR="001820CA" w:rsidRDefault="00FE49C9">
      <w:pPr>
        <w:rPr>
          <w:rFonts w:ascii="Calibri" w:eastAsia="Calibri" w:hAnsi="Calibri" w:cs="Calibri"/>
          <w:sz w:val="24"/>
          <w:szCs w:val="24"/>
        </w:rPr>
      </w:pPr>
      <w:r>
        <w:rPr>
          <w:rFonts w:ascii="Calibri" w:eastAsia="Calibri" w:hAnsi="Calibri" w:cs="Calibri"/>
          <w:sz w:val="24"/>
          <w:szCs w:val="24"/>
        </w:rPr>
        <w:t>Fullan, M. &amp; Hargreaves, A. (2016) Bringing the profession back in: Call to action. Oxford, OH: Learning Forward.</w:t>
      </w:r>
    </w:p>
    <w:p w14:paraId="00000054"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Gaertner,</w:t>
      </w:r>
      <w:r>
        <w:rPr>
          <w:rFonts w:ascii="Calibri" w:eastAsia="Calibri" w:hAnsi="Calibri" w:cs="Calibri"/>
          <w:sz w:val="24"/>
          <w:szCs w:val="24"/>
        </w:rPr>
        <w:t xml:space="preserve"> S. L., Mann, J. A., Dovidio, J. F., Murrell, A. J., &amp; Pomare, M. (1990) How does cooperation reduce intergroup bias? </w:t>
      </w:r>
      <w:r>
        <w:rPr>
          <w:rFonts w:ascii="Calibri" w:eastAsia="Calibri" w:hAnsi="Calibri" w:cs="Calibri"/>
          <w:i/>
          <w:sz w:val="24"/>
          <w:szCs w:val="24"/>
        </w:rPr>
        <w:t xml:space="preserve">Journal of Per- sonality and Social Psychology, 59, </w:t>
      </w:r>
      <w:r>
        <w:rPr>
          <w:rFonts w:ascii="Calibri" w:eastAsia="Calibri" w:hAnsi="Calibri" w:cs="Calibri"/>
          <w:sz w:val="24"/>
          <w:szCs w:val="24"/>
        </w:rPr>
        <w:t>692-704.</w:t>
      </w:r>
    </w:p>
    <w:p w14:paraId="00000055" w14:textId="77777777" w:rsidR="001820CA" w:rsidRDefault="00FE49C9">
      <w:pPr>
        <w:spacing w:before="240" w:after="240"/>
        <w:rPr>
          <w:rFonts w:ascii="Calibri" w:eastAsia="Calibri" w:hAnsi="Calibri" w:cs="Calibri"/>
          <w:sz w:val="24"/>
          <w:szCs w:val="24"/>
        </w:rPr>
      </w:pPr>
      <w:r>
        <w:rPr>
          <w:rFonts w:ascii="Calibri" w:eastAsia="Calibri" w:hAnsi="Calibri" w:cs="Calibri"/>
          <w:color w:val="333333"/>
          <w:sz w:val="24"/>
          <w:szCs w:val="24"/>
        </w:rPr>
        <w:t>Gaertner, S. L., Dovidio, J. F., Rust, M. C., Nier, J. A., Banker, B. S., War</w:t>
      </w:r>
      <w:r>
        <w:rPr>
          <w:rFonts w:ascii="Calibri" w:eastAsia="Calibri" w:hAnsi="Calibri" w:cs="Calibri"/>
          <w:color w:val="333333"/>
          <w:sz w:val="24"/>
          <w:szCs w:val="24"/>
        </w:rPr>
        <w:t xml:space="preserve">d, C. M., Mottola, G. R., &amp; Houlette, M. (1999b) Reducing intergroup bias: Elements of intergroup cooperation. </w:t>
      </w:r>
      <w:r>
        <w:rPr>
          <w:rFonts w:ascii="Calibri" w:eastAsia="Calibri" w:hAnsi="Calibri" w:cs="Calibri"/>
          <w:i/>
          <w:color w:val="333333"/>
          <w:sz w:val="24"/>
          <w:szCs w:val="24"/>
        </w:rPr>
        <w:t>Journal of Personality and Social Psychology, 76</w:t>
      </w:r>
      <w:r>
        <w:rPr>
          <w:rFonts w:ascii="Calibri" w:eastAsia="Calibri" w:hAnsi="Calibri" w:cs="Calibri"/>
          <w:color w:val="333333"/>
          <w:sz w:val="24"/>
          <w:szCs w:val="24"/>
        </w:rPr>
        <w:t xml:space="preserve">(3), 388–402. </w:t>
      </w:r>
      <w:hyperlink r:id="rId10">
        <w:r>
          <w:rPr>
            <w:rFonts w:ascii="Calibri" w:eastAsia="Calibri" w:hAnsi="Calibri" w:cs="Calibri"/>
            <w:color w:val="2C72B7"/>
            <w:sz w:val="24"/>
            <w:szCs w:val="24"/>
          </w:rPr>
          <w:t>https://doi.org/10.1037/0022-3514.76.3.388</w:t>
        </w:r>
      </w:hyperlink>
    </w:p>
    <w:p w14:paraId="00000056"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Gilbert, D. T., Fiske, S. T. &amp; Lindzey, G. (1998) </w:t>
      </w:r>
      <w:r>
        <w:rPr>
          <w:rFonts w:ascii="Calibri" w:eastAsia="Calibri" w:hAnsi="Calibri" w:cs="Calibri"/>
          <w:i/>
          <w:sz w:val="24"/>
          <w:szCs w:val="24"/>
        </w:rPr>
        <w:t>The handbook of social psychology</w:t>
      </w:r>
      <w:r>
        <w:rPr>
          <w:rFonts w:ascii="Calibri" w:eastAsia="Calibri" w:hAnsi="Calibri" w:cs="Calibri"/>
          <w:sz w:val="24"/>
          <w:szCs w:val="24"/>
        </w:rPr>
        <w:t>. Boston, McGraw-Hill.</w:t>
      </w:r>
    </w:p>
    <w:p w14:paraId="00000057"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Gorski, P. C., &amp; Covert, B. (2000) </w:t>
      </w:r>
      <w:r>
        <w:rPr>
          <w:rFonts w:ascii="Calibri" w:eastAsia="Calibri" w:hAnsi="Calibri" w:cs="Calibri"/>
          <w:sz w:val="24"/>
          <w:szCs w:val="24"/>
        </w:rPr>
        <w:t xml:space="preserve">A working definition of multicultural education. </w:t>
      </w:r>
      <w:r>
        <w:rPr>
          <w:rFonts w:ascii="Calibri" w:eastAsia="Calibri" w:hAnsi="Calibri" w:cs="Calibri"/>
          <w:i/>
          <w:sz w:val="24"/>
          <w:szCs w:val="24"/>
        </w:rPr>
        <w:t>Multicultural Pavilion</w:t>
      </w:r>
      <w:r>
        <w:rPr>
          <w:rFonts w:ascii="Calibri" w:eastAsia="Calibri" w:hAnsi="Calibri" w:cs="Calibri"/>
          <w:sz w:val="24"/>
          <w:szCs w:val="24"/>
        </w:rPr>
        <w:t xml:space="preserve">. </w:t>
      </w:r>
    </w:p>
    <w:p w14:paraId="00000058"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Hardin, C., &amp; Banaji, M.(2013) Implicit Prejudice 1 THE NATURE OF IMPLICIT PREJUDICE: IMPLICATIONS FOR PERSONAL AND PUBLIC POLICY. The Behavioral Foundations of Public Policy. </w:t>
      </w:r>
    </w:p>
    <w:p w14:paraId="00000059" w14:textId="77777777" w:rsidR="001820CA" w:rsidRDefault="00FE49C9">
      <w:pPr>
        <w:rPr>
          <w:rFonts w:ascii="Calibri" w:eastAsia="Calibri" w:hAnsi="Calibri" w:cs="Calibri"/>
          <w:sz w:val="24"/>
          <w:szCs w:val="24"/>
        </w:rPr>
      </w:pPr>
      <w:r>
        <w:rPr>
          <w:rFonts w:ascii="Calibri" w:eastAsia="Calibri" w:hAnsi="Calibri" w:cs="Calibri"/>
          <w:sz w:val="24"/>
          <w:szCs w:val="24"/>
        </w:rPr>
        <w:t>Hargr</w:t>
      </w:r>
      <w:r>
        <w:rPr>
          <w:rFonts w:ascii="Calibri" w:eastAsia="Calibri" w:hAnsi="Calibri" w:cs="Calibri"/>
          <w:sz w:val="24"/>
          <w:szCs w:val="24"/>
        </w:rPr>
        <w:t xml:space="preserve">eaves, A. &amp; Goodson, I. (2006) Educational Change Over Time? The Sustainability and Non-sustainability of Three Decades of Secondary School Change and Continuity. </w:t>
      </w:r>
      <w:r>
        <w:rPr>
          <w:rFonts w:ascii="Calibri" w:eastAsia="Calibri" w:hAnsi="Calibri" w:cs="Calibri"/>
          <w:sz w:val="24"/>
          <w:szCs w:val="24"/>
        </w:rPr>
        <w:lastRenderedPageBreak/>
        <w:t xml:space="preserve">Educational Administration Quarterly - EDUC ADMIN QUART. 42. 3-41. 10.1177/0013161X05277975. </w:t>
      </w:r>
    </w:p>
    <w:p w14:paraId="0000005A" w14:textId="77777777" w:rsidR="001820CA" w:rsidRDefault="001820CA">
      <w:pPr>
        <w:rPr>
          <w:rFonts w:ascii="Calibri" w:eastAsia="Calibri" w:hAnsi="Calibri" w:cs="Calibri"/>
          <w:sz w:val="24"/>
          <w:szCs w:val="24"/>
        </w:rPr>
      </w:pPr>
    </w:p>
    <w:p w14:paraId="0000005B" w14:textId="77777777" w:rsidR="001820CA" w:rsidRDefault="00FE49C9">
      <w:pPr>
        <w:rPr>
          <w:rFonts w:ascii="Calibri" w:eastAsia="Calibri" w:hAnsi="Calibri" w:cs="Calibri"/>
          <w:sz w:val="24"/>
          <w:szCs w:val="24"/>
        </w:rPr>
      </w:pPr>
      <w:r>
        <w:rPr>
          <w:rFonts w:ascii="Calibri" w:eastAsia="Calibri" w:hAnsi="Calibri" w:cs="Calibri"/>
          <w:sz w:val="24"/>
          <w:szCs w:val="24"/>
        </w:rPr>
        <w:t>Hirsch, E. D. (2016) Why Knowledge Matters: Rescuing Our Children From Failed Educational Theories. Harvard Education Press.</w:t>
      </w:r>
    </w:p>
    <w:p w14:paraId="0000005C"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Kite, M. E. &amp; Whitley, B. E. Jr. (2016) </w:t>
      </w:r>
      <w:r>
        <w:rPr>
          <w:rFonts w:ascii="Calibri" w:eastAsia="Calibri" w:hAnsi="Calibri" w:cs="Calibri"/>
          <w:i/>
          <w:sz w:val="24"/>
          <w:szCs w:val="24"/>
        </w:rPr>
        <w:t>Psychology of Prejudice and Discrimination</w:t>
      </w:r>
      <w:r>
        <w:rPr>
          <w:rFonts w:ascii="Calibri" w:eastAsia="Calibri" w:hAnsi="Calibri" w:cs="Calibri"/>
          <w:sz w:val="24"/>
          <w:szCs w:val="24"/>
        </w:rPr>
        <w:t>. Abingdon: Routledge.</w:t>
      </w:r>
    </w:p>
    <w:p w14:paraId="0000005D"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Kuiper, W., &amp; Berkvens, </w:t>
      </w:r>
      <w:r>
        <w:rPr>
          <w:rFonts w:ascii="Calibri" w:eastAsia="Calibri" w:hAnsi="Calibri" w:cs="Calibri"/>
          <w:sz w:val="24"/>
          <w:szCs w:val="24"/>
        </w:rPr>
        <w:t>J. (Eds.) Balancing curriculum regulation and freedom across Europe. CIDREE Yearbook 2013. Enschede, the Netherlands: SLO.</w:t>
      </w:r>
    </w:p>
    <w:p w14:paraId="0000005E" w14:textId="77777777" w:rsidR="001820CA" w:rsidRDefault="00FE49C9">
      <w:pPr>
        <w:rPr>
          <w:rFonts w:ascii="Calibri" w:eastAsia="Calibri" w:hAnsi="Calibri" w:cs="Calibri"/>
          <w:sz w:val="24"/>
          <w:szCs w:val="24"/>
        </w:rPr>
      </w:pPr>
      <w:r>
        <w:rPr>
          <w:rFonts w:ascii="Calibri" w:eastAsia="Calibri" w:hAnsi="Calibri" w:cs="Calibri"/>
          <w:sz w:val="24"/>
          <w:szCs w:val="24"/>
        </w:rPr>
        <w:t>Newton, N. (2020) The rationale for subsidiarity as a principle applied within curriculum reform and its unintended consequences. The</w:t>
      </w:r>
      <w:r>
        <w:rPr>
          <w:rFonts w:ascii="Calibri" w:eastAsia="Calibri" w:hAnsi="Calibri" w:cs="Calibri"/>
          <w:sz w:val="24"/>
          <w:szCs w:val="24"/>
        </w:rPr>
        <w:t xml:space="preserve"> Curriculum Journal, 31: 215-230. </w:t>
      </w:r>
      <w:hyperlink r:id="rId11">
        <w:r>
          <w:rPr>
            <w:rFonts w:ascii="Calibri" w:eastAsia="Calibri" w:hAnsi="Calibri" w:cs="Calibri"/>
            <w:color w:val="1155CC"/>
            <w:sz w:val="24"/>
            <w:szCs w:val="24"/>
            <w:u w:val="single"/>
          </w:rPr>
          <w:t>https://doi.org/10.1002/curj.37</w:t>
        </w:r>
      </w:hyperlink>
    </w:p>
    <w:p w14:paraId="0000005F" w14:textId="77777777" w:rsidR="001820CA" w:rsidRDefault="00FE49C9">
      <w:pPr>
        <w:spacing w:before="240" w:after="240"/>
        <w:rPr>
          <w:rFonts w:ascii="Calibri" w:eastAsia="Calibri" w:hAnsi="Calibri" w:cs="Calibri"/>
          <w:i/>
          <w:sz w:val="24"/>
          <w:szCs w:val="24"/>
        </w:rPr>
      </w:pPr>
      <w:r>
        <w:rPr>
          <w:rFonts w:ascii="Calibri" w:eastAsia="Calibri" w:hAnsi="Calibri" w:cs="Calibri"/>
          <w:sz w:val="24"/>
          <w:szCs w:val="24"/>
        </w:rPr>
        <w:t xml:space="preserve">Nieveen N., Kuiper W. (2012) </w:t>
      </w:r>
      <w:r>
        <w:rPr>
          <w:rFonts w:ascii="Calibri" w:eastAsia="Calibri" w:hAnsi="Calibri" w:cs="Calibri"/>
          <w:i/>
          <w:sz w:val="24"/>
          <w:szCs w:val="24"/>
        </w:rPr>
        <w:t>Balancing Curriculum Freedom and Regulation in the Netherlands. EERJ</w:t>
      </w:r>
    </w:p>
    <w:p w14:paraId="00000060" w14:textId="77777777" w:rsidR="001820CA" w:rsidRDefault="00FE49C9">
      <w:pPr>
        <w:rPr>
          <w:rFonts w:ascii="Calibri" w:eastAsia="Calibri" w:hAnsi="Calibri" w:cs="Calibri"/>
          <w:sz w:val="24"/>
          <w:szCs w:val="24"/>
        </w:rPr>
      </w:pPr>
      <w:r>
        <w:rPr>
          <w:rFonts w:ascii="Calibri" w:eastAsia="Calibri" w:hAnsi="Calibri" w:cs="Calibri"/>
          <w:sz w:val="24"/>
          <w:szCs w:val="24"/>
        </w:rPr>
        <w:t xml:space="preserve">OECD. (2017) </w:t>
      </w:r>
      <w:r>
        <w:rPr>
          <w:rFonts w:ascii="Calibri" w:eastAsia="Calibri" w:hAnsi="Calibri" w:cs="Calibri"/>
          <w:i/>
          <w:sz w:val="24"/>
          <w:szCs w:val="24"/>
        </w:rPr>
        <w:t>The Welsh Education Reform J</w:t>
      </w:r>
      <w:r>
        <w:rPr>
          <w:rFonts w:ascii="Calibri" w:eastAsia="Calibri" w:hAnsi="Calibri" w:cs="Calibri"/>
          <w:i/>
          <w:sz w:val="24"/>
          <w:szCs w:val="24"/>
        </w:rPr>
        <w:t>ourney: A Rapid Policy Assessment</w:t>
      </w:r>
      <w:r>
        <w:rPr>
          <w:rFonts w:ascii="Calibri" w:eastAsia="Calibri" w:hAnsi="Calibri" w:cs="Calibri"/>
          <w:sz w:val="24"/>
          <w:szCs w:val="24"/>
        </w:rPr>
        <w:t>, Implementing Education Policies, Paris: OECD Publishing.</w:t>
      </w:r>
    </w:p>
    <w:p w14:paraId="00000061"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 xml:space="preserve">OECD. (2018) </w:t>
      </w:r>
      <w:r>
        <w:rPr>
          <w:rFonts w:ascii="Calibri" w:eastAsia="Calibri" w:hAnsi="Calibri" w:cs="Calibri"/>
          <w:i/>
          <w:sz w:val="24"/>
          <w:szCs w:val="24"/>
        </w:rPr>
        <w:t>Developing Schools as Learning Organisations in Wales</w:t>
      </w:r>
      <w:r>
        <w:rPr>
          <w:rFonts w:ascii="Calibri" w:eastAsia="Calibri" w:hAnsi="Calibri" w:cs="Calibri"/>
          <w:sz w:val="24"/>
          <w:szCs w:val="24"/>
        </w:rPr>
        <w:t xml:space="preserve">, Implementing Education Policies, Paris: OECD Publishing. </w:t>
      </w:r>
    </w:p>
    <w:p w14:paraId="00000062"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Pak</w:t>
      </w:r>
      <w:r>
        <w:rPr>
          <w:rFonts w:ascii="Calibri" w:eastAsia="Calibri" w:hAnsi="Calibri" w:cs="Calibri"/>
          <w:sz w:val="24"/>
          <w:szCs w:val="24"/>
        </w:rPr>
        <w:t xml:space="preserve"> Tee Ng (2017) Learning from Singapore : The Power of Paradoxes. Routledge</w:t>
      </w:r>
    </w:p>
    <w:p w14:paraId="00000063" w14:textId="77777777" w:rsidR="001820CA" w:rsidRDefault="00FE49C9">
      <w:pPr>
        <w:spacing w:before="240" w:after="240"/>
        <w:rPr>
          <w:rFonts w:ascii="Calibri" w:eastAsia="Calibri" w:hAnsi="Calibri" w:cs="Calibri"/>
          <w:color w:val="333333"/>
          <w:sz w:val="24"/>
          <w:szCs w:val="24"/>
        </w:rPr>
      </w:pPr>
      <w:r>
        <w:rPr>
          <w:rFonts w:ascii="Calibri" w:eastAsia="Calibri" w:hAnsi="Calibri" w:cs="Calibri"/>
          <w:sz w:val="24"/>
          <w:szCs w:val="24"/>
        </w:rPr>
        <w:t>Perry, R., Priest, N., Paradies, Y. &amp; Barlow, F.K. (2017) Barriers to Multiculturalism: In-Group Favoritism and Out-Group Hostility Are Independently Associated With Policy Oppositi</w:t>
      </w:r>
      <w:r>
        <w:rPr>
          <w:rFonts w:ascii="Calibri" w:eastAsia="Calibri" w:hAnsi="Calibri" w:cs="Calibri"/>
          <w:sz w:val="24"/>
          <w:szCs w:val="24"/>
        </w:rPr>
        <w:t>on. Social Psychological and Personality Science. 9. 194855061770316. 10.1177/1948550617703169.</w:t>
      </w:r>
    </w:p>
    <w:p w14:paraId="00000064"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Pettigrew, Thomas &amp; Meertens, Roel. (1995) Subtle and Blatant Prejudice in Western Europe. European Journal of Social Psychology. 25. 57 - 75. 10.1002/ejsp.2420</w:t>
      </w:r>
      <w:r>
        <w:rPr>
          <w:rFonts w:ascii="Calibri" w:eastAsia="Calibri" w:hAnsi="Calibri" w:cs="Calibri"/>
          <w:sz w:val="24"/>
          <w:szCs w:val="24"/>
        </w:rPr>
        <w:t>250106.</w:t>
      </w:r>
    </w:p>
    <w:p w14:paraId="00000065" w14:textId="77777777" w:rsidR="001820CA" w:rsidRDefault="00FE49C9">
      <w:pPr>
        <w:spacing w:before="240" w:after="240"/>
        <w:rPr>
          <w:rFonts w:ascii="Calibri" w:eastAsia="Calibri" w:hAnsi="Calibri" w:cs="Calibri"/>
          <w:color w:val="0000FF"/>
          <w:sz w:val="24"/>
          <w:szCs w:val="24"/>
        </w:rPr>
      </w:pPr>
      <w:r>
        <w:rPr>
          <w:rFonts w:ascii="Calibri" w:eastAsia="Calibri" w:hAnsi="Calibri" w:cs="Calibri"/>
          <w:color w:val="333333"/>
          <w:sz w:val="24"/>
          <w:szCs w:val="24"/>
        </w:rPr>
        <w:t xml:space="preserve">Phillips, C. (2011) </w:t>
      </w:r>
      <w:r>
        <w:rPr>
          <w:rFonts w:ascii="Calibri" w:eastAsia="Calibri" w:hAnsi="Calibri" w:cs="Calibri"/>
          <w:i/>
          <w:color w:val="333333"/>
          <w:sz w:val="24"/>
          <w:szCs w:val="24"/>
        </w:rPr>
        <w:t xml:space="preserve">Institutional racism and ethnic inequalities: an expanded multilevel framework. </w:t>
      </w:r>
      <w:r>
        <w:rPr>
          <w:rFonts w:ascii="Calibri" w:eastAsia="Calibri" w:hAnsi="Calibri" w:cs="Calibri"/>
          <w:i/>
          <w:color w:val="0000FF"/>
          <w:sz w:val="24"/>
          <w:szCs w:val="24"/>
        </w:rPr>
        <w:t>Journal of social policy</w:t>
      </w:r>
      <w:r>
        <w:rPr>
          <w:rFonts w:ascii="Calibri" w:eastAsia="Calibri" w:hAnsi="Calibri" w:cs="Calibri"/>
          <w:color w:val="333333"/>
          <w:sz w:val="24"/>
          <w:szCs w:val="24"/>
        </w:rPr>
        <w:t xml:space="preserve">, 40 (01). pp. 173-192. DOI: </w:t>
      </w:r>
      <w:r>
        <w:rPr>
          <w:rFonts w:ascii="Calibri" w:eastAsia="Calibri" w:hAnsi="Calibri" w:cs="Calibri"/>
          <w:color w:val="0000FF"/>
          <w:sz w:val="24"/>
          <w:szCs w:val="24"/>
        </w:rPr>
        <w:t>10.1017/S0047279410000565</w:t>
      </w:r>
    </w:p>
    <w:p w14:paraId="00000066"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t>Prendergast, M. &amp; Treacy, P. (2017) Curriculum reform in Irish second</w:t>
      </w:r>
      <w:r>
        <w:rPr>
          <w:rFonts w:ascii="Calibri" w:eastAsia="Calibri" w:hAnsi="Calibri" w:cs="Calibri"/>
          <w:sz w:val="24"/>
          <w:szCs w:val="24"/>
        </w:rPr>
        <w:t xml:space="preserve">ary schools (7) (PDF) Journal of Curriculum Studies Curriculum reform in Irish secondary schools – a focus on algebra. Available from: </w:t>
      </w:r>
      <w:hyperlink r:id="rId12">
        <w:r>
          <w:rPr>
            <w:rFonts w:ascii="Calibri" w:eastAsia="Calibri" w:hAnsi="Calibri" w:cs="Calibri"/>
            <w:color w:val="1155CC"/>
            <w:sz w:val="24"/>
            <w:szCs w:val="24"/>
            <w:u w:val="single"/>
          </w:rPr>
          <w:t>https://www.researchgate.net/publication/315997835_Journal_of_Curriculum_Studies_Curriculum_reform_in_Irish_secondary_schools_-_a_focus_on_algebra</w:t>
        </w:r>
      </w:hyperlink>
      <w:r>
        <w:rPr>
          <w:rFonts w:ascii="Calibri" w:eastAsia="Calibri" w:hAnsi="Calibri" w:cs="Calibri"/>
          <w:sz w:val="24"/>
          <w:szCs w:val="24"/>
        </w:rPr>
        <w:t xml:space="preserve"> [accessed May 04 2021].</w:t>
      </w:r>
    </w:p>
    <w:p w14:paraId="00000067" w14:textId="77777777" w:rsidR="001820CA" w:rsidRDefault="00FE49C9">
      <w:pPr>
        <w:spacing w:before="240" w:after="240"/>
        <w:rPr>
          <w:rFonts w:ascii="Calibri" w:eastAsia="Calibri" w:hAnsi="Calibri" w:cs="Calibri"/>
          <w:sz w:val="24"/>
          <w:szCs w:val="24"/>
        </w:rPr>
      </w:pPr>
      <w:r>
        <w:rPr>
          <w:rFonts w:ascii="Calibri" w:eastAsia="Calibri" w:hAnsi="Calibri" w:cs="Calibri"/>
          <w:sz w:val="24"/>
          <w:szCs w:val="24"/>
        </w:rPr>
        <w:lastRenderedPageBreak/>
        <w:t>Priestley, M., Biesta, G.J.J., S. &amp; Robi</w:t>
      </w:r>
      <w:r>
        <w:rPr>
          <w:rFonts w:ascii="Calibri" w:eastAsia="Calibri" w:hAnsi="Calibri" w:cs="Calibri"/>
          <w:sz w:val="24"/>
          <w:szCs w:val="24"/>
        </w:rPr>
        <w:t>nson, S. (2012) Teachers as agents of change: An exploration of the concept of teacher agency Working paper no. 1, Teacher Agency and Curriculum Change</w:t>
      </w:r>
    </w:p>
    <w:p w14:paraId="00000068" w14:textId="77777777" w:rsidR="001820CA" w:rsidRDefault="00FE49C9">
      <w:pPr>
        <w:rPr>
          <w:rFonts w:ascii="Calibri" w:eastAsia="Calibri" w:hAnsi="Calibri" w:cs="Calibri"/>
          <w:sz w:val="24"/>
          <w:szCs w:val="24"/>
        </w:rPr>
      </w:pPr>
      <w:r>
        <w:rPr>
          <w:rFonts w:ascii="Calibri" w:eastAsia="Calibri" w:hAnsi="Calibri" w:cs="Calibri"/>
          <w:sz w:val="24"/>
          <w:szCs w:val="24"/>
        </w:rPr>
        <w:t>Priestley</w:t>
      </w:r>
      <w:r>
        <w:rPr>
          <w:rFonts w:ascii="Calibri" w:eastAsia="Calibri" w:hAnsi="Calibri" w:cs="Calibri"/>
          <w:sz w:val="24"/>
          <w:szCs w:val="24"/>
        </w:rPr>
        <w:t xml:space="preserve">, Mark &amp; Alvunger, Daniel &amp; Philippou, Stavroula &amp; Soini, Tiina. (2021) Curriculum making in Europe: policy and practice within and across diverse contexts. </w:t>
      </w:r>
    </w:p>
    <w:p w14:paraId="00000069" w14:textId="77777777" w:rsidR="001820CA" w:rsidRDefault="001820CA">
      <w:pPr>
        <w:rPr>
          <w:rFonts w:ascii="Calibri" w:eastAsia="Calibri" w:hAnsi="Calibri" w:cs="Calibri"/>
          <w:sz w:val="24"/>
          <w:szCs w:val="24"/>
        </w:rPr>
      </w:pPr>
    </w:p>
    <w:p w14:paraId="0000006A" w14:textId="77777777" w:rsidR="001820CA" w:rsidRDefault="00FE49C9">
      <w:pPr>
        <w:rPr>
          <w:rFonts w:ascii="Calibri" w:eastAsia="Calibri" w:hAnsi="Calibri" w:cs="Calibri"/>
          <w:sz w:val="24"/>
          <w:szCs w:val="24"/>
        </w:rPr>
      </w:pPr>
      <w:r>
        <w:rPr>
          <w:rFonts w:ascii="Calibri" w:eastAsia="Calibri" w:hAnsi="Calibri" w:cs="Calibri"/>
          <w:sz w:val="24"/>
          <w:szCs w:val="24"/>
        </w:rPr>
        <w:t>Power, S., Newton, N. and Taylor, C. (2020) ‘Successful futures’ for all in Wales? The challenges</w:t>
      </w:r>
      <w:r>
        <w:rPr>
          <w:rFonts w:ascii="Calibri" w:eastAsia="Calibri" w:hAnsi="Calibri" w:cs="Calibri"/>
          <w:sz w:val="24"/>
          <w:szCs w:val="24"/>
        </w:rPr>
        <w:t xml:space="preserve"> of curriculum reform for addressing educational inequalities. The Curriculum Journal, 31: 317-333. </w:t>
      </w:r>
      <w:hyperlink r:id="rId13">
        <w:r>
          <w:rPr>
            <w:rFonts w:ascii="Calibri" w:eastAsia="Calibri" w:hAnsi="Calibri" w:cs="Calibri"/>
            <w:sz w:val="24"/>
            <w:szCs w:val="24"/>
          </w:rPr>
          <w:t>https://doi.org/10.1002/curj.39</w:t>
        </w:r>
      </w:hyperlink>
    </w:p>
    <w:p w14:paraId="0000006B" w14:textId="77777777" w:rsidR="001820CA" w:rsidRDefault="001820CA">
      <w:pPr>
        <w:rPr>
          <w:rFonts w:ascii="Calibri" w:eastAsia="Calibri" w:hAnsi="Calibri" w:cs="Calibri"/>
          <w:i/>
          <w:sz w:val="24"/>
          <w:szCs w:val="24"/>
        </w:rPr>
      </w:pPr>
    </w:p>
    <w:p w14:paraId="0000006C" w14:textId="77777777" w:rsidR="001820CA" w:rsidRDefault="00FE49C9">
      <w:pPr>
        <w:rPr>
          <w:rFonts w:ascii="Calibri" w:eastAsia="Calibri" w:hAnsi="Calibri" w:cs="Calibri"/>
          <w:sz w:val="24"/>
          <w:szCs w:val="24"/>
        </w:rPr>
      </w:pPr>
      <w:r>
        <w:rPr>
          <w:rFonts w:ascii="Calibri" w:eastAsia="Calibri" w:hAnsi="Calibri" w:cs="Calibri"/>
          <w:sz w:val="24"/>
          <w:szCs w:val="24"/>
        </w:rPr>
        <w:t xml:space="preserve">Sherif, M. (1966) </w:t>
      </w:r>
      <w:r>
        <w:rPr>
          <w:rFonts w:ascii="Calibri" w:eastAsia="Calibri" w:hAnsi="Calibri" w:cs="Calibri"/>
          <w:i/>
          <w:sz w:val="24"/>
          <w:szCs w:val="24"/>
        </w:rPr>
        <w:t xml:space="preserve">Group conflict and cooperation: Their social psychology. </w:t>
      </w:r>
      <w:r>
        <w:rPr>
          <w:rFonts w:ascii="Calibri" w:eastAsia="Calibri" w:hAnsi="Calibri" w:cs="Calibri"/>
          <w:sz w:val="24"/>
          <w:szCs w:val="24"/>
        </w:rPr>
        <w:t>London: Routledge and Kegan Paul.</w:t>
      </w:r>
    </w:p>
    <w:p w14:paraId="0000006D" w14:textId="77777777" w:rsidR="001820CA" w:rsidRDefault="001820CA">
      <w:pPr>
        <w:rPr>
          <w:rFonts w:ascii="Calibri" w:eastAsia="Calibri" w:hAnsi="Calibri" w:cs="Calibri"/>
          <w:sz w:val="24"/>
          <w:szCs w:val="24"/>
        </w:rPr>
      </w:pPr>
    </w:p>
    <w:p w14:paraId="0000006E" w14:textId="77777777" w:rsidR="001820CA" w:rsidRDefault="00FE49C9">
      <w:pPr>
        <w:rPr>
          <w:rFonts w:ascii="Calibri" w:eastAsia="Calibri" w:hAnsi="Calibri" w:cs="Calibri"/>
          <w:sz w:val="24"/>
          <w:szCs w:val="24"/>
        </w:rPr>
      </w:pPr>
      <w:r>
        <w:rPr>
          <w:rFonts w:ascii="Calibri" w:eastAsia="Calibri" w:hAnsi="Calibri" w:cs="Calibri"/>
          <w:sz w:val="24"/>
          <w:szCs w:val="24"/>
        </w:rPr>
        <w:t>Sinnema, C. (2015) The Ebb and Flow of Curricular Autonomy: Balance Between Local Freedom and Prescription in National Curriculum cited in The SAGE Handbook of Curr</w:t>
      </w:r>
      <w:r>
        <w:rPr>
          <w:rFonts w:ascii="Calibri" w:eastAsia="Calibri" w:hAnsi="Calibri" w:cs="Calibri"/>
          <w:sz w:val="24"/>
          <w:szCs w:val="24"/>
        </w:rPr>
        <w:t>iculum, Pedagogy and Assessment. Sage Publishing.</w:t>
      </w:r>
    </w:p>
    <w:p w14:paraId="0000006F" w14:textId="77777777" w:rsidR="001820CA" w:rsidRDefault="001820CA">
      <w:pPr>
        <w:rPr>
          <w:rFonts w:ascii="Calibri" w:eastAsia="Calibri" w:hAnsi="Calibri" w:cs="Calibri"/>
          <w:sz w:val="24"/>
          <w:szCs w:val="24"/>
        </w:rPr>
      </w:pPr>
    </w:p>
    <w:p w14:paraId="00000070" w14:textId="77777777" w:rsidR="001820CA" w:rsidRDefault="00FE49C9">
      <w:pPr>
        <w:rPr>
          <w:rFonts w:ascii="Calibri" w:eastAsia="Calibri" w:hAnsi="Calibri" w:cs="Calibri"/>
          <w:sz w:val="24"/>
          <w:szCs w:val="24"/>
        </w:rPr>
      </w:pPr>
      <w:r>
        <w:rPr>
          <w:rFonts w:ascii="Calibri" w:eastAsia="Calibri" w:hAnsi="Calibri" w:cs="Calibri"/>
          <w:sz w:val="24"/>
          <w:szCs w:val="24"/>
        </w:rPr>
        <w:t>Sinnema, C. (2017) Designing a National Curriculum withEnactment in Mind—The New Curriculum for Wales: A Discussion Paper, The University of Auckland</w:t>
      </w:r>
    </w:p>
    <w:p w14:paraId="00000071" w14:textId="77777777" w:rsidR="001820CA" w:rsidRDefault="001820CA">
      <w:pPr>
        <w:rPr>
          <w:rFonts w:ascii="Calibri" w:eastAsia="Calibri" w:hAnsi="Calibri" w:cs="Calibri"/>
          <w:sz w:val="24"/>
          <w:szCs w:val="24"/>
        </w:rPr>
      </w:pPr>
    </w:p>
    <w:p w14:paraId="00000072" w14:textId="77777777" w:rsidR="001820CA" w:rsidRDefault="00FE49C9">
      <w:pPr>
        <w:rPr>
          <w:rFonts w:ascii="Calibri" w:eastAsia="Calibri" w:hAnsi="Calibri" w:cs="Calibri"/>
          <w:sz w:val="24"/>
          <w:szCs w:val="24"/>
        </w:rPr>
      </w:pPr>
      <w:r>
        <w:rPr>
          <w:rFonts w:ascii="Calibri" w:eastAsia="Calibri" w:hAnsi="Calibri" w:cs="Calibri"/>
          <w:sz w:val="24"/>
          <w:szCs w:val="24"/>
        </w:rPr>
        <w:t>Stephan, W. &amp; Stephan, C.W. (2000) An Integrated Threa</w:t>
      </w:r>
      <w:r>
        <w:rPr>
          <w:rFonts w:ascii="Calibri" w:eastAsia="Calibri" w:hAnsi="Calibri" w:cs="Calibri"/>
          <w:sz w:val="24"/>
          <w:szCs w:val="24"/>
        </w:rPr>
        <w:t>t Theory of Prejudice.” In Stuart Oskamp (ed.). Reducing Prejudice and Discrimination. 23-46.</w:t>
      </w:r>
    </w:p>
    <w:p w14:paraId="00000073" w14:textId="77777777" w:rsidR="001820CA" w:rsidRDefault="001820CA">
      <w:pPr>
        <w:rPr>
          <w:rFonts w:ascii="Calibri" w:eastAsia="Calibri" w:hAnsi="Calibri" w:cs="Calibri"/>
          <w:color w:val="231F20"/>
          <w:sz w:val="24"/>
          <w:szCs w:val="24"/>
        </w:rPr>
      </w:pPr>
    </w:p>
    <w:p w14:paraId="00000074" w14:textId="77777777" w:rsidR="001820CA" w:rsidRDefault="00FE49C9">
      <w:pPr>
        <w:rPr>
          <w:rFonts w:ascii="Calibri" w:eastAsia="Calibri" w:hAnsi="Calibri" w:cs="Calibri"/>
          <w:sz w:val="24"/>
          <w:szCs w:val="24"/>
        </w:rPr>
      </w:pPr>
      <w:r>
        <w:rPr>
          <w:rFonts w:ascii="Calibri" w:eastAsia="Calibri" w:hAnsi="Calibri" w:cs="Calibri"/>
          <w:sz w:val="24"/>
          <w:szCs w:val="24"/>
        </w:rPr>
        <w:t xml:space="preserve">Tajfel, H., &amp; Turner, J. C. (1979) ‘An integrative theory of inter-group conflict’. In W. G. Austin &amp; S. Worchel (Eds.), </w:t>
      </w:r>
      <w:r>
        <w:rPr>
          <w:rFonts w:ascii="Calibri" w:eastAsia="Calibri" w:hAnsi="Calibri" w:cs="Calibri"/>
          <w:i/>
          <w:sz w:val="24"/>
          <w:szCs w:val="24"/>
        </w:rPr>
        <w:t>The social psychology of inter-group rel</w:t>
      </w:r>
      <w:r>
        <w:rPr>
          <w:rFonts w:ascii="Calibri" w:eastAsia="Calibri" w:hAnsi="Calibri" w:cs="Calibri"/>
          <w:i/>
          <w:sz w:val="24"/>
          <w:szCs w:val="24"/>
        </w:rPr>
        <w:t>ations</w:t>
      </w:r>
      <w:r>
        <w:rPr>
          <w:rFonts w:ascii="Calibri" w:eastAsia="Calibri" w:hAnsi="Calibri" w:cs="Calibri"/>
          <w:sz w:val="24"/>
          <w:szCs w:val="24"/>
        </w:rPr>
        <w:t xml:space="preserve">, pp. 33–47. Monterey, CA: Brooks/Cole. </w:t>
      </w:r>
    </w:p>
    <w:p w14:paraId="00000075" w14:textId="77777777" w:rsidR="001820CA" w:rsidRDefault="001820CA">
      <w:pPr>
        <w:rPr>
          <w:rFonts w:ascii="Calibri" w:eastAsia="Calibri" w:hAnsi="Calibri" w:cs="Calibri"/>
          <w:color w:val="333333"/>
          <w:sz w:val="24"/>
          <w:szCs w:val="24"/>
        </w:rPr>
      </w:pPr>
    </w:p>
    <w:p w14:paraId="00000076" w14:textId="77777777" w:rsidR="001820CA" w:rsidRDefault="00FE49C9">
      <w:pPr>
        <w:rPr>
          <w:rFonts w:ascii="Calibri" w:eastAsia="Calibri" w:hAnsi="Calibri" w:cs="Calibri"/>
          <w:sz w:val="24"/>
          <w:szCs w:val="24"/>
        </w:rPr>
      </w:pPr>
      <w:r>
        <w:rPr>
          <w:rFonts w:ascii="Calibri" w:eastAsia="Calibri" w:hAnsi="Calibri" w:cs="Calibri"/>
          <w:color w:val="333333"/>
          <w:sz w:val="24"/>
          <w:szCs w:val="24"/>
        </w:rPr>
        <w:t xml:space="preserve">Tajfel, H., &amp; Turner, J. C. (2004) The Social Identity Theory of Intergroup Behavior. In J. T. Jost &amp; J. Sidanius (Eds.), </w:t>
      </w:r>
      <w:r>
        <w:rPr>
          <w:rFonts w:ascii="Calibri" w:eastAsia="Calibri" w:hAnsi="Calibri" w:cs="Calibri"/>
          <w:i/>
          <w:color w:val="333333"/>
          <w:sz w:val="24"/>
          <w:szCs w:val="24"/>
        </w:rPr>
        <w:t>Political psychology: Key readings</w:t>
      </w:r>
      <w:r>
        <w:rPr>
          <w:rFonts w:ascii="Calibri" w:eastAsia="Calibri" w:hAnsi="Calibri" w:cs="Calibri"/>
          <w:color w:val="333333"/>
          <w:sz w:val="24"/>
          <w:szCs w:val="24"/>
        </w:rPr>
        <w:t xml:space="preserve"> (pp. 276–293). Psychology Press. </w:t>
      </w:r>
      <w:hyperlink r:id="rId14">
        <w:r>
          <w:rPr>
            <w:rFonts w:ascii="Calibri" w:eastAsia="Calibri" w:hAnsi="Calibri" w:cs="Calibri"/>
            <w:color w:val="2C72B7"/>
            <w:sz w:val="24"/>
            <w:szCs w:val="24"/>
          </w:rPr>
          <w:t>https://doi.org/10.4324/9780203505984-16</w:t>
        </w:r>
      </w:hyperlink>
    </w:p>
    <w:p w14:paraId="00000077" w14:textId="77777777" w:rsidR="001820CA" w:rsidRDefault="001820CA">
      <w:pPr>
        <w:rPr>
          <w:rFonts w:ascii="Calibri" w:eastAsia="Calibri" w:hAnsi="Calibri" w:cs="Calibri"/>
          <w:color w:val="333333"/>
          <w:sz w:val="24"/>
          <w:szCs w:val="24"/>
        </w:rPr>
      </w:pPr>
    </w:p>
    <w:p w14:paraId="00000078" w14:textId="77777777" w:rsidR="001820CA" w:rsidRDefault="00FE49C9">
      <w:pPr>
        <w:rPr>
          <w:rFonts w:ascii="Calibri" w:eastAsia="Calibri" w:hAnsi="Calibri" w:cs="Calibri"/>
          <w:color w:val="333333"/>
          <w:sz w:val="24"/>
          <w:szCs w:val="24"/>
        </w:rPr>
      </w:pPr>
      <w:r>
        <w:rPr>
          <w:rFonts w:ascii="Calibri" w:eastAsia="Calibri" w:hAnsi="Calibri" w:cs="Calibri"/>
          <w:color w:val="333333"/>
          <w:sz w:val="24"/>
          <w:szCs w:val="24"/>
        </w:rPr>
        <w:t>Turner, R. N., Hewstone, M., &amp; Voci, A. (2007) Reducing explicit and implicit outgroup prejudice via direct and extended contact: The mediating role of self-dis</w:t>
      </w:r>
      <w:r>
        <w:rPr>
          <w:rFonts w:ascii="Calibri" w:eastAsia="Calibri" w:hAnsi="Calibri" w:cs="Calibri"/>
          <w:color w:val="333333"/>
          <w:sz w:val="24"/>
          <w:szCs w:val="24"/>
        </w:rPr>
        <w:t xml:space="preserve">closure and intergroup anxiety. </w:t>
      </w:r>
      <w:r>
        <w:rPr>
          <w:rFonts w:ascii="Calibri" w:eastAsia="Calibri" w:hAnsi="Calibri" w:cs="Calibri"/>
          <w:i/>
          <w:color w:val="333333"/>
          <w:sz w:val="24"/>
          <w:szCs w:val="24"/>
        </w:rPr>
        <w:t>Journal of Personality and Social Psychology, 93</w:t>
      </w:r>
      <w:r>
        <w:rPr>
          <w:rFonts w:ascii="Calibri" w:eastAsia="Calibri" w:hAnsi="Calibri" w:cs="Calibri"/>
          <w:color w:val="333333"/>
          <w:sz w:val="24"/>
          <w:szCs w:val="24"/>
        </w:rPr>
        <w:t xml:space="preserve">(3), 369–388. </w:t>
      </w:r>
    </w:p>
    <w:p w14:paraId="00000079" w14:textId="77777777" w:rsidR="001820CA" w:rsidRDefault="001820CA">
      <w:pPr>
        <w:rPr>
          <w:rFonts w:ascii="Calibri" w:eastAsia="Calibri" w:hAnsi="Calibri" w:cs="Calibri"/>
          <w:color w:val="231F20"/>
          <w:sz w:val="24"/>
          <w:szCs w:val="24"/>
        </w:rPr>
      </w:pPr>
    </w:p>
    <w:p w14:paraId="0000007A" w14:textId="77777777" w:rsidR="001820CA" w:rsidRDefault="00FE49C9">
      <w:pPr>
        <w:rPr>
          <w:rFonts w:ascii="Calibri" w:eastAsia="Calibri" w:hAnsi="Calibri" w:cs="Calibri"/>
          <w:color w:val="231F20"/>
          <w:sz w:val="24"/>
          <w:szCs w:val="24"/>
        </w:rPr>
      </w:pPr>
      <w:r>
        <w:rPr>
          <w:rFonts w:ascii="Calibri" w:eastAsia="Calibri" w:hAnsi="Calibri" w:cs="Calibri"/>
          <w:color w:val="231F20"/>
          <w:sz w:val="24"/>
          <w:szCs w:val="24"/>
        </w:rPr>
        <w:t xml:space="preserve">Welsh Government (2019) </w:t>
      </w:r>
      <w:r>
        <w:rPr>
          <w:rFonts w:ascii="Calibri" w:eastAsia="Calibri" w:hAnsi="Calibri" w:cs="Calibri"/>
          <w:color w:val="1F1F1F"/>
          <w:sz w:val="24"/>
          <w:szCs w:val="24"/>
        </w:rPr>
        <w:t xml:space="preserve">Equality and diversity statistics: 2017 to 2019. </w:t>
      </w:r>
      <w:r>
        <w:rPr>
          <w:rFonts w:ascii="Calibri" w:eastAsia="Calibri" w:hAnsi="Calibri" w:cs="Calibri"/>
          <w:color w:val="231F20"/>
          <w:sz w:val="24"/>
          <w:szCs w:val="24"/>
        </w:rPr>
        <w:t>Cardiff: Welsh Government.</w:t>
      </w:r>
    </w:p>
    <w:p w14:paraId="0000007B" w14:textId="77777777" w:rsidR="001820CA" w:rsidRDefault="001820CA">
      <w:pPr>
        <w:rPr>
          <w:rFonts w:ascii="Calibri" w:eastAsia="Calibri" w:hAnsi="Calibri" w:cs="Calibri"/>
          <w:color w:val="231F20"/>
          <w:sz w:val="24"/>
          <w:szCs w:val="24"/>
        </w:rPr>
      </w:pPr>
    </w:p>
    <w:p w14:paraId="0000007C" w14:textId="77777777" w:rsidR="001820CA" w:rsidRDefault="00FE49C9">
      <w:pPr>
        <w:rPr>
          <w:rFonts w:ascii="Calibri" w:eastAsia="Calibri" w:hAnsi="Calibri" w:cs="Calibri"/>
          <w:color w:val="231F20"/>
          <w:sz w:val="24"/>
          <w:szCs w:val="24"/>
        </w:rPr>
      </w:pPr>
      <w:r>
        <w:rPr>
          <w:rFonts w:ascii="Calibri" w:eastAsia="Calibri" w:hAnsi="Calibri" w:cs="Calibri"/>
          <w:color w:val="231F20"/>
          <w:sz w:val="24"/>
          <w:szCs w:val="24"/>
        </w:rPr>
        <w:t xml:space="preserve">Welsh Government (2020) </w:t>
      </w:r>
      <w:r>
        <w:rPr>
          <w:rFonts w:ascii="Calibri" w:eastAsia="Calibri" w:hAnsi="Calibri" w:cs="Calibri"/>
          <w:color w:val="1F1F1F"/>
          <w:sz w:val="24"/>
          <w:szCs w:val="24"/>
        </w:rPr>
        <w:t xml:space="preserve">Curriculum for Wales. Available from </w:t>
      </w:r>
      <w:hyperlink r:id="rId15">
        <w:r>
          <w:rPr>
            <w:rFonts w:ascii="Calibri" w:eastAsia="Calibri" w:hAnsi="Calibri" w:cs="Calibri"/>
            <w:color w:val="1155CC"/>
            <w:sz w:val="24"/>
            <w:szCs w:val="24"/>
            <w:u w:val="single"/>
          </w:rPr>
          <w:t>https://hwb.gov.wales/curriculum-for-wales</w:t>
        </w:r>
      </w:hyperlink>
      <w:r>
        <w:rPr>
          <w:rFonts w:ascii="Calibri" w:eastAsia="Calibri" w:hAnsi="Calibri" w:cs="Calibri"/>
          <w:color w:val="231F20"/>
          <w:sz w:val="24"/>
          <w:szCs w:val="24"/>
        </w:rPr>
        <w:t xml:space="preserve"> [Accessed 20 June 2021]</w:t>
      </w:r>
    </w:p>
    <w:p w14:paraId="0000007D" w14:textId="77777777" w:rsidR="001820CA" w:rsidRDefault="001820CA">
      <w:pPr>
        <w:rPr>
          <w:rFonts w:ascii="Calibri" w:eastAsia="Calibri" w:hAnsi="Calibri" w:cs="Calibri"/>
          <w:sz w:val="24"/>
          <w:szCs w:val="24"/>
        </w:rPr>
      </w:pPr>
    </w:p>
    <w:p w14:paraId="0000007E" w14:textId="77777777" w:rsidR="001820CA" w:rsidRDefault="00FE49C9">
      <w:pPr>
        <w:rPr>
          <w:rFonts w:ascii="Calibri" w:eastAsia="Calibri" w:hAnsi="Calibri" w:cs="Calibri"/>
          <w:sz w:val="24"/>
          <w:szCs w:val="24"/>
        </w:rPr>
      </w:pPr>
      <w:r>
        <w:rPr>
          <w:rFonts w:ascii="Calibri" w:eastAsia="Calibri" w:hAnsi="Calibri" w:cs="Calibri"/>
          <w:sz w:val="24"/>
          <w:szCs w:val="24"/>
        </w:rPr>
        <w:t>Whitty, G. (2006) Education(al) research and education policy making: is conflict inevita</w:t>
      </w:r>
      <w:r>
        <w:rPr>
          <w:rFonts w:ascii="Calibri" w:eastAsia="Calibri" w:hAnsi="Calibri" w:cs="Calibri"/>
          <w:sz w:val="24"/>
          <w:szCs w:val="24"/>
        </w:rPr>
        <w:t xml:space="preserve">ble?: British Educational Research Journal, Vol. 32, No. 2, April 2006, pp. 159–176. Routledge. </w:t>
      </w:r>
    </w:p>
    <w:p w14:paraId="0000007F" w14:textId="77777777" w:rsidR="001820CA" w:rsidRDefault="001820CA">
      <w:pPr>
        <w:rPr>
          <w:rFonts w:ascii="Calibri" w:eastAsia="Calibri" w:hAnsi="Calibri" w:cs="Calibri"/>
          <w:color w:val="231F20"/>
          <w:sz w:val="24"/>
          <w:szCs w:val="24"/>
        </w:rPr>
      </w:pPr>
    </w:p>
    <w:p w14:paraId="00000080" w14:textId="77777777" w:rsidR="001820CA" w:rsidRDefault="00FE49C9">
      <w:pPr>
        <w:rPr>
          <w:rFonts w:ascii="Calibri" w:eastAsia="Calibri" w:hAnsi="Calibri" w:cs="Calibri"/>
          <w:sz w:val="24"/>
          <w:szCs w:val="24"/>
        </w:rPr>
      </w:pPr>
      <w:r>
        <w:rPr>
          <w:rFonts w:ascii="Calibri" w:eastAsia="Calibri" w:hAnsi="Calibri" w:cs="Calibri"/>
          <w:color w:val="231F20"/>
          <w:sz w:val="24"/>
          <w:szCs w:val="24"/>
        </w:rPr>
        <w:t>Williams, C. (2021)</w:t>
      </w:r>
      <w:r>
        <w:rPr>
          <w:rFonts w:ascii="Calibri" w:eastAsia="Calibri" w:hAnsi="Calibri" w:cs="Calibri"/>
          <w:sz w:val="24"/>
          <w:szCs w:val="24"/>
        </w:rPr>
        <w:t xml:space="preserve"> Black, Asian and Minority Ethnic Communities, Contributions and Cynefin in the New Curriculum Working Group</w:t>
      </w:r>
      <w:r>
        <w:rPr>
          <w:rFonts w:ascii="Calibri" w:eastAsia="Calibri" w:hAnsi="Calibri" w:cs="Calibri"/>
          <w:color w:val="1F1F1F"/>
          <w:sz w:val="24"/>
          <w:szCs w:val="24"/>
        </w:rPr>
        <w:t xml:space="preserve">. A Final Report. </w:t>
      </w:r>
      <w:r>
        <w:rPr>
          <w:rFonts w:ascii="Calibri" w:eastAsia="Calibri" w:hAnsi="Calibri" w:cs="Calibri"/>
          <w:color w:val="231F20"/>
          <w:sz w:val="24"/>
          <w:szCs w:val="24"/>
        </w:rPr>
        <w:t>Cardiff: Wels</w:t>
      </w:r>
      <w:r>
        <w:rPr>
          <w:rFonts w:ascii="Calibri" w:eastAsia="Calibri" w:hAnsi="Calibri" w:cs="Calibri"/>
          <w:color w:val="231F20"/>
          <w:sz w:val="24"/>
          <w:szCs w:val="24"/>
        </w:rPr>
        <w:t>h Government.</w:t>
      </w:r>
    </w:p>
    <w:p w14:paraId="00000081" w14:textId="77777777" w:rsidR="001820CA" w:rsidRDefault="001820CA">
      <w:pPr>
        <w:rPr>
          <w:rFonts w:ascii="Calibri" w:eastAsia="Calibri" w:hAnsi="Calibri" w:cs="Calibri"/>
          <w:sz w:val="24"/>
          <w:szCs w:val="24"/>
        </w:rPr>
      </w:pPr>
    </w:p>
    <w:sectPr w:rsidR="001820CA">
      <w:head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8666FA" w14:textId="77777777" w:rsidR="00FE49C9" w:rsidRDefault="00FE49C9">
      <w:pPr>
        <w:spacing w:line="240" w:lineRule="auto"/>
      </w:pPr>
      <w:r>
        <w:separator/>
      </w:r>
    </w:p>
  </w:endnote>
  <w:endnote w:type="continuationSeparator" w:id="0">
    <w:p w14:paraId="3C353EA7" w14:textId="77777777" w:rsidR="00FE49C9" w:rsidRDefault="00FE49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A1BA49" w14:textId="77777777" w:rsidR="00FE49C9" w:rsidRDefault="00FE49C9">
      <w:pPr>
        <w:spacing w:line="240" w:lineRule="auto"/>
      </w:pPr>
      <w:r>
        <w:separator/>
      </w:r>
    </w:p>
  </w:footnote>
  <w:footnote w:type="continuationSeparator" w:id="0">
    <w:p w14:paraId="74A851E2" w14:textId="77777777" w:rsidR="00FE49C9" w:rsidRDefault="00FE49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82" w14:textId="77777777" w:rsidR="001820CA" w:rsidRDefault="00FE49C9">
    <w:pPr>
      <w:spacing w:after="160" w:line="240" w:lineRule="auto"/>
      <w:rPr>
        <w:rFonts w:ascii="Calibri" w:eastAsia="Calibri" w:hAnsi="Calibri" w:cs="Calibri"/>
        <w:color w:val="B7B7B7"/>
        <w:sz w:val="24"/>
        <w:szCs w:val="24"/>
      </w:rPr>
    </w:pPr>
    <w:r>
      <w:rPr>
        <w:rFonts w:ascii="Calibri" w:eastAsia="Calibri" w:hAnsi="Calibri" w:cs="Calibri"/>
        <w:b/>
        <w:color w:val="B7B7B7"/>
        <w:sz w:val="24"/>
        <w:szCs w:val="24"/>
      </w:rPr>
      <w:t>Component 2</w:t>
    </w:r>
    <w:r>
      <w:rPr>
        <w:rFonts w:ascii="Calibri" w:eastAsia="Calibri" w:hAnsi="Calibri" w:cs="Calibri"/>
        <w:b/>
        <w:color w:val="B7B7B7"/>
        <w:sz w:val="24"/>
        <w:szCs w:val="24"/>
      </w:rPr>
      <w:tab/>
    </w:r>
    <w:r>
      <w:rPr>
        <w:rFonts w:ascii="Calibri" w:eastAsia="Calibri" w:hAnsi="Calibri" w:cs="Calibri"/>
        <w:b/>
        <w:color w:val="B7B7B7"/>
        <w:sz w:val="24"/>
        <w:szCs w:val="24"/>
      </w:rPr>
      <w:tab/>
    </w:r>
    <w:r>
      <w:rPr>
        <w:rFonts w:ascii="Calibri" w:eastAsia="Calibri" w:hAnsi="Calibri" w:cs="Calibri"/>
        <w:b/>
        <w:color w:val="B7B7B7"/>
        <w:sz w:val="24"/>
        <w:szCs w:val="24"/>
      </w:rPr>
      <w:tab/>
    </w:r>
    <w:r>
      <w:rPr>
        <w:rFonts w:ascii="Calibri" w:eastAsia="Calibri" w:hAnsi="Calibri" w:cs="Calibri"/>
        <w:b/>
        <w:color w:val="B7B7B7"/>
        <w:sz w:val="24"/>
        <w:szCs w:val="24"/>
      </w:rPr>
      <w:tab/>
    </w:r>
    <w:r>
      <w:rPr>
        <w:rFonts w:ascii="Calibri" w:eastAsia="Calibri" w:hAnsi="Calibri" w:cs="Calibri"/>
        <w:b/>
        <w:color w:val="B7B7B7"/>
        <w:sz w:val="24"/>
        <w:szCs w:val="24"/>
      </w:rPr>
      <w:tab/>
    </w:r>
    <w:r>
      <w:rPr>
        <w:rFonts w:ascii="Calibri" w:eastAsia="Calibri" w:hAnsi="Calibri" w:cs="Calibri"/>
        <w:b/>
        <w:color w:val="B7B7B7"/>
        <w:sz w:val="24"/>
        <w:szCs w:val="24"/>
      </w:rPr>
      <w:tab/>
    </w:r>
    <w:r>
      <w:rPr>
        <w:rFonts w:ascii="Calibri" w:eastAsia="Calibri" w:hAnsi="Calibri" w:cs="Calibri"/>
        <w:color w:val="B7B7B7"/>
        <w:sz w:val="24"/>
        <w:szCs w:val="24"/>
      </w:rPr>
      <w:tab/>
    </w:r>
    <w:r>
      <w:rPr>
        <w:rFonts w:ascii="Calibri" w:eastAsia="Calibri" w:hAnsi="Calibri" w:cs="Calibri"/>
        <w:color w:val="B7B7B7"/>
        <w:sz w:val="24"/>
        <w:szCs w:val="24"/>
      </w:rPr>
      <w:tab/>
    </w:r>
    <w:r>
      <w:rPr>
        <w:rFonts w:ascii="Calibri" w:eastAsia="Calibri" w:hAnsi="Calibri" w:cs="Calibri"/>
        <w:i/>
        <w:color w:val="B7B7B7"/>
        <w:sz w:val="24"/>
        <w:szCs w:val="24"/>
      </w:rPr>
      <w:t>0550909 Ty Golding</w:t>
    </w:r>
  </w:p>
  <w:p w14:paraId="00000083" w14:textId="77777777" w:rsidR="001820CA" w:rsidRDefault="001820C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0CA"/>
    <w:rsid w:val="001820CA"/>
    <w:rsid w:val="00B07D8D"/>
    <w:rsid w:val="00FE4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40CD0E2B-7525-AB4B-B23C-1C6EEC290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doi.org/10.1080/03050060220140566" TargetMode="External"/><Relationship Id="rId13" Type="http://schemas.openxmlformats.org/officeDocument/2006/relationships/hyperlink" Target="https://doi.org/10.1002/curj.39"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16/0147-1767(96)00020-X" TargetMode="External"/><Relationship Id="rId12" Type="http://schemas.openxmlformats.org/officeDocument/2006/relationships/hyperlink" Target="https://www.researchgate.net/publication/315997835_Journal_of_Curriculum_Studies_Curriculum_reform_in_Irish_secondary_schools_-_a_focus_on_algebra"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dera.ioe.ac.uk/id/eprint/28399" TargetMode="External"/><Relationship Id="rId11" Type="http://schemas.openxmlformats.org/officeDocument/2006/relationships/hyperlink" Target="https://doi.org/10.1002/curj.37" TargetMode="External"/><Relationship Id="rId5" Type="http://schemas.openxmlformats.org/officeDocument/2006/relationships/endnotes" Target="endnotes.xml"/><Relationship Id="rId15" Type="http://schemas.openxmlformats.org/officeDocument/2006/relationships/hyperlink" Target="https://hwb.gov.wales/curriculum-for-wales" TargetMode="External"/><Relationship Id="rId10" Type="http://schemas.openxmlformats.org/officeDocument/2006/relationships/hyperlink" Target="https://psycnet.apa.org/doi/10.1037/0022-3514.76.3.388" TargetMode="External"/><Relationship Id="rId4" Type="http://schemas.openxmlformats.org/officeDocument/2006/relationships/footnotes" Target="footnotes.xml"/><Relationship Id="rId9" Type="http://schemas.openxmlformats.org/officeDocument/2006/relationships/hyperlink" Target="https://doi.org/10.1111%2F1467-8721.00024" TargetMode="External"/><Relationship Id="rId14" Type="http://schemas.openxmlformats.org/officeDocument/2006/relationships/hyperlink" Target="https://psycnet.apa.org/doi/10.4324/9780203505984-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5896</Words>
  <Characters>33609</Characters>
  <Application>Microsoft Office Word</Application>
  <DocSecurity>0</DocSecurity>
  <Lines>280</Lines>
  <Paragraphs>78</Paragraphs>
  <ScaleCrop>false</ScaleCrop>
  <Company/>
  <LinksUpToDate>false</LinksUpToDate>
  <CharactersWithSpaces>39427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 Golding (Ysgol y Ddraig)</cp:lastModifiedBy>
  <cp:revision>2</cp:revision>
  <dcterms:created xsi:type="dcterms:W3CDTF">2021-07-04T10:46:00Z</dcterms:created>
  <dcterms:modified xsi:type="dcterms:W3CDTF">2021-07-04T10:46:00Z</dcterms:modified>
</cp:coreProperties>
</file>