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CCC33" w14:textId="77777777" w:rsidR="002503B9" w:rsidRDefault="00E5793B" w:rsidP="000E21A8">
      <w:pPr>
        <w:rPr>
          <w:b/>
          <w:bCs/>
          <w:sz w:val="32"/>
          <w:szCs w:val="32"/>
        </w:rPr>
      </w:pPr>
      <w:r>
        <w:rPr>
          <w:b/>
          <w:bCs/>
          <w:sz w:val="32"/>
          <w:szCs w:val="32"/>
        </w:rPr>
        <w:t xml:space="preserve">               </w:t>
      </w:r>
    </w:p>
    <w:p w14:paraId="5F4543D7" w14:textId="4D9D69D8" w:rsidR="002503B9" w:rsidRDefault="00E5793B" w:rsidP="002503B9">
      <w:pPr>
        <w:rPr>
          <w:b/>
          <w:bCs/>
          <w:sz w:val="32"/>
          <w:szCs w:val="32"/>
        </w:rPr>
      </w:pPr>
      <w:r>
        <w:rPr>
          <w:b/>
          <w:bCs/>
          <w:sz w:val="32"/>
          <w:szCs w:val="32"/>
        </w:rPr>
        <w:t xml:space="preserve">        </w:t>
      </w:r>
      <w:r w:rsidRPr="00E04892">
        <w:rPr>
          <w:rFonts w:ascii="Arial" w:hAnsi="Arial" w:cs="Arial"/>
          <w:noProof/>
          <w:sz w:val="22"/>
          <w:szCs w:val="22"/>
        </w:rPr>
        <w:drawing>
          <wp:inline distT="0" distB="0" distL="0" distR="0" wp14:anchorId="276F46D5" wp14:editId="72FD1C36">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93BD666" w14:textId="77777777" w:rsidR="00060E8A" w:rsidRDefault="00060E8A" w:rsidP="002503B9">
      <w:pPr>
        <w:rPr>
          <w:rFonts w:ascii="Arial" w:hAnsi="Arial" w:cs="Arial"/>
          <w:b/>
          <w:bCs/>
          <w:sz w:val="22"/>
          <w:szCs w:val="22"/>
          <w:lang w:val="en-US"/>
        </w:rPr>
      </w:pPr>
    </w:p>
    <w:p w14:paraId="70E3F47B" w14:textId="77777777" w:rsidR="008446B1" w:rsidRDefault="008446B1" w:rsidP="002503B9">
      <w:pPr>
        <w:rPr>
          <w:rFonts w:ascii="Arial" w:hAnsi="Arial" w:cs="Arial"/>
          <w:b/>
          <w:bCs/>
          <w:sz w:val="22"/>
          <w:szCs w:val="22"/>
          <w:lang w:val="en-US"/>
        </w:rPr>
      </w:pPr>
    </w:p>
    <w:p w14:paraId="4FBBD425" w14:textId="594CC30F" w:rsidR="007731AD" w:rsidRPr="002503B9" w:rsidRDefault="007731AD" w:rsidP="002503B9">
      <w:pPr>
        <w:rPr>
          <w:b/>
          <w:bCs/>
          <w:sz w:val="32"/>
          <w:szCs w:val="32"/>
        </w:rPr>
      </w:pPr>
      <w:r w:rsidRPr="00351EE2">
        <w:rPr>
          <w:rFonts w:ascii="Arial" w:hAnsi="Arial" w:cs="Arial"/>
          <w:b/>
          <w:bCs/>
          <w:sz w:val="22"/>
          <w:szCs w:val="22"/>
          <w:lang w:val="en-US"/>
        </w:rPr>
        <w:t>Full Name- KINGSLEY KUKU-OGUNFEIBO</w:t>
      </w:r>
    </w:p>
    <w:p w14:paraId="73C671AB" w14:textId="1A9F2320" w:rsidR="007731AD" w:rsidRPr="00351EE2" w:rsidRDefault="007731AD" w:rsidP="007731AD">
      <w:pPr>
        <w:spacing w:line="360" w:lineRule="auto"/>
        <w:jc w:val="both"/>
        <w:rPr>
          <w:rFonts w:ascii="Arial" w:hAnsi="Arial" w:cs="Arial"/>
          <w:b/>
          <w:bCs/>
          <w:sz w:val="22"/>
          <w:szCs w:val="22"/>
          <w:lang w:val="en-US"/>
        </w:rPr>
      </w:pPr>
      <w:r w:rsidRPr="00351EE2">
        <w:rPr>
          <w:rFonts w:ascii="Arial" w:hAnsi="Arial" w:cs="Arial"/>
          <w:b/>
          <w:bCs/>
          <w:sz w:val="22"/>
          <w:szCs w:val="22"/>
          <w:lang w:val="en-US"/>
        </w:rPr>
        <w:t xml:space="preserve">Student ID </w:t>
      </w:r>
      <w:r w:rsidR="0033611F" w:rsidRPr="00351EE2">
        <w:rPr>
          <w:rFonts w:ascii="Arial" w:hAnsi="Arial" w:cs="Arial"/>
          <w:b/>
          <w:bCs/>
          <w:sz w:val="22"/>
          <w:szCs w:val="22"/>
          <w:lang w:val="en-US"/>
        </w:rPr>
        <w:t>–</w:t>
      </w:r>
      <w:r w:rsidRPr="00351EE2">
        <w:rPr>
          <w:rFonts w:ascii="Arial" w:hAnsi="Arial" w:cs="Arial"/>
          <w:b/>
          <w:bCs/>
          <w:sz w:val="22"/>
          <w:szCs w:val="22"/>
          <w:lang w:val="en-US"/>
        </w:rPr>
        <w:t xml:space="preserve"> 2211882</w:t>
      </w:r>
      <w:r w:rsidR="0033611F" w:rsidRPr="00351EE2">
        <w:rPr>
          <w:rFonts w:ascii="Arial" w:hAnsi="Arial" w:cs="Arial"/>
          <w:b/>
          <w:bCs/>
          <w:sz w:val="22"/>
          <w:szCs w:val="22"/>
          <w:lang w:val="en-US"/>
        </w:rPr>
        <w:t xml:space="preserve"> </w:t>
      </w:r>
    </w:p>
    <w:p w14:paraId="1F03B259" w14:textId="77777777" w:rsidR="007731AD" w:rsidRPr="00351EE2" w:rsidRDefault="007731AD" w:rsidP="007731AD">
      <w:pPr>
        <w:spacing w:line="360" w:lineRule="auto"/>
        <w:jc w:val="both"/>
        <w:rPr>
          <w:rFonts w:ascii="Arial" w:hAnsi="Arial" w:cs="Arial"/>
          <w:b/>
          <w:bCs/>
          <w:sz w:val="22"/>
          <w:szCs w:val="22"/>
          <w:lang w:val="en-US"/>
        </w:rPr>
      </w:pPr>
      <w:r w:rsidRPr="00351EE2">
        <w:rPr>
          <w:rFonts w:ascii="Arial" w:hAnsi="Arial" w:cs="Arial"/>
          <w:b/>
          <w:bCs/>
          <w:sz w:val="22"/>
          <w:szCs w:val="22"/>
          <w:lang w:val="en-US"/>
        </w:rPr>
        <w:t xml:space="preserve">Program of Study – BA (Hons) Leadership and Management Skills </w:t>
      </w:r>
      <w:proofErr w:type="gramStart"/>
      <w:r w:rsidRPr="00351EE2">
        <w:rPr>
          <w:rFonts w:ascii="Arial" w:hAnsi="Arial" w:cs="Arial"/>
          <w:b/>
          <w:bCs/>
          <w:sz w:val="22"/>
          <w:szCs w:val="22"/>
          <w:lang w:val="en-US"/>
        </w:rPr>
        <w:t>For</w:t>
      </w:r>
      <w:proofErr w:type="gramEnd"/>
      <w:r w:rsidRPr="00351EE2">
        <w:rPr>
          <w:rFonts w:ascii="Arial" w:hAnsi="Arial" w:cs="Arial"/>
          <w:b/>
          <w:bCs/>
          <w:sz w:val="22"/>
          <w:szCs w:val="22"/>
          <w:lang w:val="en-US"/>
        </w:rPr>
        <w:t xml:space="preserve"> the Workplace</w:t>
      </w:r>
    </w:p>
    <w:p w14:paraId="6BDDB24F" w14:textId="10095601" w:rsidR="007731AD" w:rsidRPr="00351EE2" w:rsidRDefault="007731AD" w:rsidP="007731AD">
      <w:pPr>
        <w:spacing w:line="360" w:lineRule="auto"/>
        <w:jc w:val="both"/>
        <w:rPr>
          <w:rFonts w:ascii="Arial" w:hAnsi="Arial" w:cs="Arial"/>
          <w:b/>
          <w:bCs/>
          <w:sz w:val="22"/>
          <w:szCs w:val="22"/>
          <w:lang w:val="en-US"/>
        </w:rPr>
      </w:pPr>
      <w:r w:rsidRPr="00351EE2">
        <w:rPr>
          <w:rFonts w:ascii="Arial" w:hAnsi="Arial" w:cs="Arial"/>
          <w:b/>
          <w:bCs/>
          <w:sz w:val="22"/>
          <w:szCs w:val="22"/>
          <w:lang w:val="en-US"/>
        </w:rPr>
        <w:t xml:space="preserve">Module Name </w:t>
      </w:r>
      <w:r w:rsidR="00351EE2" w:rsidRPr="00351EE2">
        <w:rPr>
          <w:rFonts w:ascii="Arial" w:hAnsi="Arial" w:cs="Arial"/>
          <w:b/>
          <w:bCs/>
          <w:sz w:val="22"/>
          <w:szCs w:val="22"/>
          <w:lang w:val="en-US"/>
        </w:rPr>
        <w:t>–</w:t>
      </w:r>
      <w:r w:rsidRPr="00351EE2">
        <w:rPr>
          <w:rFonts w:ascii="Arial" w:hAnsi="Arial" w:cs="Arial"/>
          <w:b/>
          <w:bCs/>
          <w:sz w:val="22"/>
          <w:szCs w:val="22"/>
          <w:lang w:val="en-US"/>
        </w:rPr>
        <w:t xml:space="preserve"> </w:t>
      </w:r>
      <w:r w:rsidR="00351EE2" w:rsidRPr="00351EE2">
        <w:rPr>
          <w:rFonts w:ascii="Arial" w:hAnsi="Arial" w:cs="Arial"/>
          <w:b/>
          <w:bCs/>
          <w:sz w:val="22"/>
          <w:szCs w:val="22"/>
          <w:lang w:val="en-US"/>
        </w:rPr>
        <w:t>Project Management</w:t>
      </w:r>
    </w:p>
    <w:p w14:paraId="499747BD" w14:textId="3D949532" w:rsidR="007731AD" w:rsidRPr="00351EE2" w:rsidRDefault="007731AD" w:rsidP="007731AD">
      <w:pPr>
        <w:spacing w:line="360" w:lineRule="auto"/>
        <w:jc w:val="both"/>
        <w:rPr>
          <w:rFonts w:ascii="Arial" w:hAnsi="Arial" w:cs="Arial"/>
          <w:b/>
          <w:bCs/>
          <w:sz w:val="22"/>
          <w:szCs w:val="22"/>
          <w:lang w:val="en-US"/>
        </w:rPr>
      </w:pPr>
      <w:r w:rsidRPr="00351EE2">
        <w:rPr>
          <w:rFonts w:ascii="Arial" w:hAnsi="Arial" w:cs="Arial"/>
          <w:b/>
          <w:bCs/>
          <w:sz w:val="22"/>
          <w:szCs w:val="22"/>
          <w:lang w:val="en-US"/>
        </w:rPr>
        <w:t>Module Code – LCLM 500</w:t>
      </w:r>
      <w:r w:rsidR="00E5793B" w:rsidRPr="00351EE2">
        <w:rPr>
          <w:rFonts w:ascii="Arial" w:hAnsi="Arial" w:cs="Arial"/>
          <w:b/>
          <w:bCs/>
          <w:sz w:val="22"/>
          <w:szCs w:val="22"/>
          <w:lang w:val="en-US"/>
        </w:rPr>
        <w:t xml:space="preserve">3  </w:t>
      </w:r>
    </w:p>
    <w:p w14:paraId="1027A4B2" w14:textId="1A5EEA6B" w:rsidR="00351EE2" w:rsidRPr="00351EE2" w:rsidRDefault="00351EE2" w:rsidP="007731AD">
      <w:pPr>
        <w:spacing w:line="360" w:lineRule="auto"/>
        <w:jc w:val="both"/>
        <w:rPr>
          <w:rFonts w:ascii="Arial" w:hAnsi="Arial" w:cs="Arial"/>
          <w:b/>
          <w:bCs/>
          <w:color w:val="1D2125"/>
          <w:sz w:val="22"/>
          <w:szCs w:val="22"/>
          <w:shd w:val="clear" w:color="auto" w:fill="FFFFFF"/>
        </w:rPr>
      </w:pPr>
      <w:r w:rsidRPr="00351EE2">
        <w:rPr>
          <w:rFonts w:ascii="Arial" w:hAnsi="Arial" w:cs="Arial"/>
          <w:b/>
          <w:bCs/>
          <w:sz w:val="22"/>
          <w:szCs w:val="22"/>
          <w:lang w:val="en-US"/>
        </w:rPr>
        <w:t>Lecturer’s Name: -    Samson Oladejo</w:t>
      </w:r>
    </w:p>
    <w:p w14:paraId="47E4D97C" w14:textId="0BBFD4A0" w:rsidR="002503B9" w:rsidRDefault="007731AD" w:rsidP="007731AD">
      <w:pPr>
        <w:spacing w:line="360" w:lineRule="auto"/>
        <w:jc w:val="both"/>
        <w:rPr>
          <w:rFonts w:ascii="Arial" w:hAnsi="Arial" w:cs="Arial"/>
          <w:b/>
          <w:bCs/>
          <w:sz w:val="22"/>
          <w:szCs w:val="22"/>
          <w:lang w:val="en-US"/>
        </w:rPr>
      </w:pPr>
      <w:r w:rsidRPr="00351EE2">
        <w:rPr>
          <w:rFonts w:ascii="Arial" w:hAnsi="Arial" w:cs="Arial"/>
          <w:b/>
          <w:bCs/>
          <w:sz w:val="22"/>
          <w:szCs w:val="22"/>
          <w:lang w:val="en-US"/>
        </w:rPr>
        <w:t>Topic -</w:t>
      </w:r>
      <w:r w:rsidR="00351EE2" w:rsidRPr="00351EE2">
        <w:rPr>
          <w:rFonts w:ascii="Arial" w:hAnsi="Arial" w:cs="Arial"/>
          <w:b/>
          <w:bCs/>
          <w:sz w:val="22"/>
          <w:szCs w:val="22"/>
          <w:lang w:val="en-US"/>
        </w:rPr>
        <w:t xml:space="preserve">Portfolio </w:t>
      </w:r>
      <w:proofErr w:type="gramStart"/>
      <w:r w:rsidR="00351EE2" w:rsidRPr="00351EE2">
        <w:rPr>
          <w:rFonts w:ascii="Arial" w:hAnsi="Arial" w:cs="Arial"/>
          <w:b/>
          <w:bCs/>
          <w:sz w:val="22"/>
          <w:szCs w:val="22"/>
          <w:lang w:val="en-US"/>
        </w:rPr>
        <w:t>For</w:t>
      </w:r>
      <w:proofErr w:type="gramEnd"/>
      <w:r w:rsidR="00351EE2" w:rsidRPr="00351EE2">
        <w:rPr>
          <w:rFonts w:ascii="Arial" w:hAnsi="Arial" w:cs="Arial"/>
          <w:b/>
          <w:bCs/>
          <w:sz w:val="22"/>
          <w:szCs w:val="22"/>
          <w:lang w:val="en-US"/>
        </w:rPr>
        <w:t xml:space="preserve"> </w:t>
      </w:r>
      <w:r w:rsidR="008446B1">
        <w:rPr>
          <w:rFonts w:ascii="Arial" w:hAnsi="Arial" w:cs="Arial"/>
          <w:b/>
          <w:bCs/>
          <w:sz w:val="22"/>
          <w:szCs w:val="22"/>
          <w:lang w:val="en-US"/>
        </w:rPr>
        <w:t>Module</w:t>
      </w:r>
      <w:r w:rsidR="00351EE2" w:rsidRPr="00351EE2">
        <w:rPr>
          <w:rFonts w:ascii="Arial" w:hAnsi="Arial" w:cs="Arial"/>
          <w:b/>
          <w:bCs/>
          <w:sz w:val="22"/>
          <w:szCs w:val="22"/>
          <w:lang w:val="en-US"/>
        </w:rPr>
        <w:t xml:space="preserve"> Assignment- </w:t>
      </w:r>
    </w:p>
    <w:p w14:paraId="05086419" w14:textId="6E248962" w:rsidR="007731AD" w:rsidRDefault="00351EE2" w:rsidP="007731AD">
      <w:pPr>
        <w:spacing w:line="360" w:lineRule="auto"/>
        <w:jc w:val="both"/>
        <w:rPr>
          <w:rFonts w:ascii="Arial" w:hAnsi="Arial" w:cs="Arial"/>
          <w:b/>
          <w:bCs/>
          <w:sz w:val="22"/>
          <w:szCs w:val="22"/>
        </w:rPr>
      </w:pPr>
      <w:r w:rsidRPr="00351EE2">
        <w:rPr>
          <w:rFonts w:ascii="Arial" w:hAnsi="Arial" w:cs="Arial"/>
          <w:b/>
          <w:bCs/>
          <w:sz w:val="22"/>
          <w:szCs w:val="22"/>
          <w:lang w:val="en-US"/>
        </w:rPr>
        <w:t xml:space="preserve">Task A </w:t>
      </w:r>
      <w:r w:rsidR="002503B9">
        <w:rPr>
          <w:rFonts w:ascii="Arial" w:hAnsi="Arial" w:cs="Arial"/>
          <w:b/>
          <w:bCs/>
          <w:sz w:val="22"/>
          <w:szCs w:val="22"/>
          <w:lang w:val="en-US"/>
        </w:rPr>
        <w:t xml:space="preserve">- </w:t>
      </w:r>
      <w:r w:rsidRPr="002503B9">
        <w:rPr>
          <w:rFonts w:ascii="Arial" w:hAnsi="Arial" w:cs="Arial"/>
          <w:b/>
          <w:bCs/>
          <w:sz w:val="22"/>
          <w:szCs w:val="22"/>
        </w:rPr>
        <w:t>POSTER FOR REOPENING OF FLOODED HIGHWAY</w:t>
      </w:r>
    </w:p>
    <w:p w14:paraId="21204A8C" w14:textId="77777777" w:rsidR="002503B9" w:rsidRDefault="002503B9" w:rsidP="002503B9">
      <w:pPr>
        <w:rPr>
          <w:rFonts w:ascii="Arial" w:hAnsi="Arial" w:cs="Arial"/>
          <w:b/>
          <w:bCs/>
          <w:sz w:val="22"/>
          <w:szCs w:val="22"/>
        </w:rPr>
      </w:pPr>
      <w:r w:rsidRPr="002503B9">
        <w:rPr>
          <w:rFonts w:ascii="Arial" w:hAnsi="Arial" w:cs="Arial"/>
          <w:b/>
          <w:bCs/>
          <w:sz w:val="22"/>
          <w:szCs w:val="22"/>
        </w:rPr>
        <w:t>TASK B- REFLECTIVE REPORT ON POSTER PRESENTATION IN CLASS ON REOPENING OF FLOODED HIGHWAY</w:t>
      </w:r>
    </w:p>
    <w:p w14:paraId="579C4FF8" w14:textId="0C158CD2" w:rsidR="002503B9" w:rsidRPr="002503B9" w:rsidRDefault="002503B9" w:rsidP="002503B9">
      <w:pPr>
        <w:rPr>
          <w:rFonts w:ascii="Arial" w:hAnsi="Arial" w:cs="Arial"/>
          <w:b/>
          <w:bCs/>
          <w:sz w:val="22"/>
          <w:szCs w:val="22"/>
        </w:rPr>
      </w:pPr>
      <w:r w:rsidRPr="002503B9">
        <w:rPr>
          <w:rFonts w:ascii="Arial" w:hAnsi="Arial" w:cs="Arial"/>
          <w:b/>
          <w:bCs/>
          <w:sz w:val="22"/>
          <w:szCs w:val="22"/>
        </w:rPr>
        <w:t xml:space="preserve">Task </w:t>
      </w:r>
      <w:r>
        <w:rPr>
          <w:rFonts w:ascii="Arial" w:hAnsi="Arial" w:cs="Arial"/>
          <w:b/>
          <w:bCs/>
          <w:sz w:val="22"/>
          <w:szCs w:val="22"/>
        </w:rPr>
        <w:t>C-</w:t>
      </w:r>
      <w:r w:rsidRPr="002503B9">
        <w:rPr>
          <w:rFonts w:ascii="Arial" w:hAnsi="Arial" w:cs="Arial"/>
          <w:b/>
          <w:bCs/>
          <w:sz w:val="22"/>
          <w:szCs w:val="22"/>
        </w:rPr>
        <w:t xml:space="preserve"> Project Management </w:t>
      </w:r>
      <w:r>
        <w:rPr>
          <w:rFonts w:ascii="Arial" w:hAnsi="Arial" w:cs="Arial"/>
          <w:b/>
          <w:bCs/>
          <w:sz w:val="22"/>
          <w:szCs w:val="22"/>
        </w:rPr>
        <w:t>Plan</w:t>
      </w:r>
      <w:r w:rsidRPr="002503B9">
        <w:rPr>
          <w:rFonts w:ascii="Arial" w:hAnsi="Arial" w:cs="Arial"/>
          <w:b/>
          <w:bCs/>
          <w:sz w:val="22"/>
          <w:szCs w:val="22"/>
        </w:rPr>
        <w:t xml:space="preserve"> for the Reopening of a Flooded</w:t>
      </w:r>
      <w:r>
        <w:rPr>
          <w:rFonts w:ascii="Arial" w:hAnsi="Arial" w:cs="Arial"/>
          <w:b/>
          <w:bCs/>
          <w:sz w:val="22"/>
          <w:szCs w:val="22"/>
        </w:rPr>
        <w:t xml:space="preserve"> Highway in the West Midlands</w:t>
      </w:r>
    </w:p>
    <w:p w14:paraId="148BF0A9" w14:textId="77777777" w:rsidR="002503B9" w:rsidRPr="002503B9" w:rsidRDefault="002503B9" w:rsidP="002503B9">
      <w:pPr>
        <w:rPr>
          <w:rFonts w:ascii="Arial" w:hAnsi="Arial" w:cs="Arial"/>
          <w:b/>
          <w:bCs/>
          <w:sz w:val="22"/>
          <w:szCs w:val="22"/>
        </w:rPr>
      </w:pPr>
    </w:p>
    <w:p w14:paraId="00358AF3" w14:textId="77777777" w:rsidR="002503B9" w:rsidRPr="00351EE2" w:rsidRDefault="002503B9" w:rsidP="007731AD">
      <w:pPr>
        <w:spacing w:line="360" w:lineRule="auto"/>
        <w:jc w:val="both"/>
        <w:rPr>
          <w:rFonts w:ascii="Arial" w:hAnsi="Arial" w:cs="Arial"/>
          <w:sz w:val="22"/>
          <w:szCs w:val="22"/>
          <w:lang w:val="en-US"/>
        </w:rPr>
      </w:pPr>
    </w:p>
    <w:p w14:paraId="7000966C" w14:textId="77777777" w:rsidR="007731AD" w:rsidRDefault="007731AD" w:rsidP="000E21A8">
      <w:pPr>
        <w:rPr>
          <w:b/>
          <w:bCs/>
          <w:sz w:val="32"/>
          <w:szCs w:val="32"/>
        </w:rPr>
      </w:pPr>
    </w:p>
    <w:p w14:paraId="0FAF586D" w14:textId="77777777" w:rsidR="007731AD" w:rsidRDefault="007731AD" w:rsidP="000E21A8">
      <w:pPr>
        <w:rPr>
          <w:b/>
          <w:bCs/>
          <w:sz w:val="32"/>
          <w:szCs w:val="32"/>
        </w:rPr>
      </w:pPr>
    </w:p>
    <w:p w14:paraId="2FF7EEB0" w14:textId="77777777" w:rsidR="007731AD" w:rsidRDefault="007731AD" w:rsidP="000E21A8">
      <w:pPr>
        <w:rPr>
          <w:b/>
          <w:bCs/>
          <w:sz w:val="32"/>
          <w:szCs w:val="32"/>
        </w:rPr>
      </w:pPr>
    </w:p>
    <w:p w14:paraId="10A7DDD3" w14:textId="77777777" w:rsidR="007731AD" w:rsidRDefault="007731AD" w:rsidP="000E21A8">
      <w:pPr>
        <w:rPr>
          <w:b/>
          <w:bCs/>
          <w:sz w:val="32"/>
          <w:szCs w:val="32"/>
        </w:rPr>
      </w:pPr>
    </w:p>
    <w:p w14:paraId="19D00301" w14:textId="77777777" w:rsidR="008446B1" w:rsidRDefault="008446B1" w:rsidP="000E21A8">
      <w:pPr>
        <w:rPr>
          <w:b/>
          <w:bCs/>
          <w:sz w:val="32"/>
          <w:szCs w:val="32"/>
        </w:rPr>
      </w:pPr>
    </w:p>
    <w:p w14:paraId="3AC597F7" w14:textId="7427114F" w:rsidR="00375586" w:rsidRPr="000717AD" w:rsidRDefault="00375586" w:rsidP="000E21A8">
      <w:pPr>
        <w:rPr>
          <w:b/>
          <w:bCs/>
          <w:sz w:val="32"/>
          <w:szCs w:val="32"/>
        </w:rPr>
      </w:pPr>
      <w:r w:rsidRPr="000717AD">
        <w:rPr>
          <w:b/>
          <w:bCs/>
          <w:sz w:val="32"/>
          <w:szCs w:val="32"/>
        </w:rPr>
        <w:lastRenderedPageBreak/>
        <w:t xml:space="preserve">TASK </w:t>
      </w:r>
      <w:r w:rsidR="00972B16" w:rsidRPr="000717AD">
        <w:rPr>
          <w:b/>
          <w:bCs/>
          <w:sz w:val="32"/>
          <w:szCs w:val="32"/>
        </w:rPr>
        <w:t>A</w:t>
      </w:r>
      <w:r w:rsidR="000717AD" w:rsidRPr="000717AD">
        <w:rPr>
          <w:b/>
          <w:bCs/>
          <w:sz w:val="32"/>
          <w:szCs w:val="32"/>
        </w:rPr>
        <w:t>- POSTER FOR REOPENING OF FLOODED HIGHWAY</w:t>
      </w:r>
    </w:p>
    <w:p w14:paraId="766A30BE" w14:textId="694B1CC1" w:rsidR="00375586" w:rsidRDefault="00375586" w:rsidP="000E21A8">
      <w:pPr>
        <w:rPr>
          <w:sz w:val="32"/>
          <w:szCs w:val="32"/>
        </w:rPr>
      </w:pPr>
      <w:r>
        <w:rPr>
          <w:noProof/>
          <w:sz w:val="32"/>
          <w:szCs w:val="32"/>
        </w:rPr>
        <w:drawing>
          <wp:inline distT="0" distB="0" distL="0" distR="0" wp14:anchorId="019AF494" wp14:editId="26D1220F">
            <wp:extent cx="5632703" cy="8294493"/>
            <wp:effectExtent l="0" t="0" r="6350" b="0"/>
            <wp:docPr id="1048880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641102" cy="8306862"/>
                    </a:xfrm>
                    <a:prstGeom prst="rect">
                      <a:avLst/>
                    </a:prstGeom>
                    <a:noFill/>
                    <a:ln>
                      <a:noFill/>
                    </a:ln>
                  </pic:spPr>
                </pic:pic>
              </a:graphicData>
            </a:graphic>
          </wp:inline>
        </w:drawing>
      </w:r>
    </w:p>
    <w:p w14:paraId="7055E941" w14:textId="498A78BC" w:rsidR="000717AD" w:rsidRPr="004B6415" w:rsidRDefault="000717AD" w:rsidP="004B6415">
      <w:pPr>
        <w:spacing w:line="360" w:lineRule="auto"/>
        <w:rPr>
          <w:rFonts w:ascii="Arial" w:hAnsi="Arial" w:cs="Arial"/>
          <w:b/>
          <w:bCs/>
          <w:sz w:val="22"/>
          <w:szCs w:val="22"/>
        </w:rPr>
      </w:pPr>
      <w:r w:rsidRPr="004B6415">
        <w:rPr>
          <w:rFonts w:ascii="Arial" w:hAnsi="Arial" w:cs="Arial"/>
          <w:b/>
          <w:bCs/>
          <w:sz w:val="22"/>
          <w:szCs w:val="22"/>
        </w:rPr>
        <w:lastRenderedPageBreak/>
        <w:t>TASK B- REFLECTIVE REPORT ON POSTER PRESENTATION IN CLASS ON REOPENING OF FLOODED HIGHWAY</w:t>
      </w:r>
    </w:p>
    <w:p w14:paraId="416CED7B" w14:textId="205B79A1"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Introduction. </w:t>
      </w:r>
    </w:p>
    <w:p w14:paraId="0ADF56BD"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Presenting my poster on reopening a flooded highway in the West Midlands was a significant learning experience in my Project Management module. This report reflects on my individual presentation, the feedback I received from my course mates and my lecturer, and the insights gained from applying project management principles to a real-world scenario. The reflection is structured using the Graham Gibbs Reflective Cycle, which encourages structured reflection through stages including comprising a description, emotions, assessment, analysis, conclusion and plan of action (Gibbs, 1988). </w:t>
      </w:r>
    </w:p>
    <w:p w14:paraId="350F35FA"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 </w:t>
      </w:r>
    </w:p>
    <w:p w14:paraId="23967CD5"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Project Context </w:t>
      </w:r>
    </w:p>
    <w:p w14:paraId="5F3FB604"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Closure of the highway in West Midlands due to flooding, requiring a swift response to minimize the transportation disruption in the area. I applied the project management process (initiation, planning, execution, closure) to develop a plan for reopening the highway, focusing on safety, stakeholder engagement, and timely delivery. Within the Gibbs reflective framework, this stage represents the description of the experience, outlining what happened during the project task and presentation (Gibbs, 1988). </w:t>
      </w:r>
    </w:p>
    <w:p w14:paraId="2A36B1F6" w14:textId="77777777" w:rsidR="000717AD" w:rsidRPr="004B6415" w:rsidRDefault="000717AD" w:rsidP="004B6415">
      <w:pPr>
        <w:spacing w:line="360" w:lineRule="auto"/>
        <w:rPr>
          <w:rFonts w:ascii="Arial" w:hAnsi="Arial" w:cs="Arial"/>
          <w:sz w:val="22"/>
          <w:szCs w:val="22"/>
        </w:rPr>
      </w:pPr>
    </w:p>
    <w:p w14:paraId="0F560389"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The Presentation Experience </w:t>
      </w:r>
    </w:p>
    <w:p w14:paraId="71D25816"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Presenting my poster in class allowed me to showcase my understanding of project management concepts and communicate my plan effectively. I received constructive feedback on: </w:t>
      </w:r>
    </w:p>
    <w:p w14:paraId="2D8A4279"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Cl clarity of objectives: My project objectives were clear but could be more specific. </w:t>
      </w:r>
    </w:p>
    <w:p w14:paraId="2C24E6D0"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Risk management: I identified key risks but could explore mitigation strategies further. </w:t>
      </w:r>
    </w:p>
    <w:p w14:paraId="1EB77EA6"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Visual presentation: The poster was well-organized but could benefit from more visuals. </w:t>
      </w:r>
    </w:p>
    <w:p w14:paraId="00826BEB"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During the presentation, I initially felt slightly nervous but also confident in the preparation. According to Gibbs’ model, acknowledging these feelings is important because emotions can influence how individuals interpret and respond to experiences (Gibbs, 1988). Despite the nervousness, I felt encouraged by the positive aspects of the feedback and the opportunity to explain my ideas. </w:t>
      </w:r>
    </w:p>
    <w:p w14:paraId="2672C008" w14:textId="77777777" w:rsidR="000717AD" w:rsidRPr="004B6415" w:rsidRDefault="000717AD" w:rsidP="004B6415">
      <w:pPr>
        <w:spacing w:line="360" w:lineRule="auto"/>
        <w:rPr>
          <w:rFonts w:ascii="Arial" w:hAnsi="Arial" w:cs="Arial"/>
          <w:sz w:val="22"/>
          <w:szCs w:val="22"/>
        </w:rPr>
      </w:pPr>
    </w:p>
    <w:p w14:paraId="1B3DCC73"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What I Learned </w:t>
      </w:r>
    </w:p>
    <w:p w14:paraId="2CD91914"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This experience highlighted the importance of: </w:t>
      </w:r>
    </w:p>
    <w:p w14:paraId="1FA3E66D"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Effective Communication: Clearly articulating project plans to diverse audiences. </w:t>
      </w:r>
    </w:p>
    <w:p w14:paraId="6DCBB0BC"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Preparation: Anticipating questions and being prepared to discuss my plan. </w:t>
      </w:r>
    </w:p>
    <w:p w14:paraId="3A480948"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Continuous Improvement: Feedback is an opportunity to refine and improve. </w:t>
      </w:r>
    </w:p>
    <w:p w14:paraId="1B74A43A" w14:textId="7D1D63DE"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From an evaluation perspective in Gibbs’ Reflective Cycle, the experience had both strengths and areas for development. A positive aspect was that the overall structure of my poster clearly communicated the project plan. However, areas for improvement include Gantt Chart, Quad Chart and the risk mitigation strategies. </w:t>
      </w:r>
    </w:p>
    <w:p w14:paraId="57D54305" w14:textId="77777777" w:rsidR="007731AD" w:rsidRPr="004B6415" w:rsidRDefault="007731AD" w:rsidP="004B6415">
      <w:pPr>
        <w:spacing w:line="360" w:lineRule="auto"/>
        <w:rPr>
          <w:rFonts w:ascii="Arial" w:hAnsi="Arial" w:cs="Arial"/>
          <w:sz w:val="22"/>
          <w:szCs w:val="22"/>
        </w:rPr>
      </w:pPr>
    </w:p>
    <w:p w14:paraId="64CD0CED" w14:textId="783A06D5"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Reflection on Feedback </w:t>
      </w:r>
    </w:p>
    <w:p w14:paraId="2975C15B"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The feedback reinforced the value of stakeholder engagement and risk management. I realized that people and communication are just as important to project management as procedures and equipment. In terms of analysis, this feedback helped me understand that effective project planning requires anticipating risks and presenting clear, measurable objectives. </w:t>
      </w:r>
    </w:p>
    <w:p w14:paraId="2587910F" w14:textId="77777777" w:rsidR="000717AD" w:rsidRPr="004B6415" w:rsidRDefault="000717AD" w:rsidP="004B6415">
      <w:pPr>
        <w:spacing w:line="360" w:lineRule="auto"/>
        <w:rPr>
          <w:rFonts w:ascii="Arial" w:hAnsi="Arial" w:cs="Arial"/>
          <w:sz w:val="22"/>
          <w:szCs w:val="22"/>
        </w:rPr>
      </w:pPr>
    </w:p>
    <w:p w14:paraId="5CD4AD7C"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Application to Future Practice </w:t>
      </w:r>
    </w:p>
    <w:p w14:paraId="6610615C"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This experience will inform my approach to future projects by emphasizing: Clear and concise communication, Proactive risk management, Stakeholder engagement, Continuous learning and improvement. </w:t>
      </w:r>
    </w:p>
    <w:p w14:paraId="1D73F52B"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I will apply these lessons to future projects, ensuring I deliver high-quality outcomes and grow as a project manager. As part of the action plan stage in Gibbs’ model, I will improve future presentations by including clearer objectives, more detailed risk mitigation strategies, and stronger visual elements to support communication (Gibbs, 1988). </w:t>
      </w:r>
    </w:p>
    <w:p w14:paraId="049137EF"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Conclusion </w:t>
      </w:r>
    </w:p>
    <w:p w14:paraId="521B7FF9" w14:textId="77777777" w:rsidR="000717AD" w:rsidRPr="004B6415" w:rsidRDefault="000717AD" w:rsidP="004B6415">
      <w:pPr>
        <w:spacing w:line="360" w:lineRule="auto"/>
        <w:rPr>
          <w:rFonts w:ascii="Arial" w:hAnsi="Arial" w:cs="Arial"/>
          <w:sz w:val="22"/>
          <w:szCs w:val="22"/>
        </w:rPr>
      </w:pPr>
      <w:r w:rsidRPr="004B6415">
        <w:rPr>
          <w:rFonts w:ascii="Arial" w:hAnsi="Arial" w:cs="Arial"/>
          <w:sz w:val="22"/>
          <w:szCs w:val="22"/>
        </w:rPr>
        <w:t xml:space="preserve">The individual presentation was a valuable learning experience, allowing me to apply project management principles to a real-world scenario. I gained insights into effective </w:t>
      </w:r>
      <w:r w:rsidRPr="004B6415">
        <w:rPr>
          <w:rFonts w:ascii="Arial" w:hAnsi="Arial" w:cs="Arial"/>
          <w:sz w:val="22"/>
          <w:szCs w:val="22"/>
        </w:rPr>
        <w:lastRenderedPageBreak/>
        <w:t>communication, stakeholder involvement and risk management. These lessons will help me advance as a project manager and enhancing my ability to deliver successful projects. </w:t>
      </w:r>
    </w:p>
    <w:p w14:paraId="54FB2236" w14:textId="77777777" w:rsidR="00E55838" w:rsidRDefault="00E55838" w:rsidP="000E21A8">
      <w:pPr>
        <w:rPr>
          <w:rFonts w:ascii="Arial" w:hAnsi="Arial" w:cs="Arial"/>
          <w:sz w:val="22"/>
          <w:szCs w:val="22"/>
        </w:rPr>
      </w:pPr>
    </w:p>
    <w:p w14:paraId="0C1DAA81" w14:textId="77777777" w:rsidR="00003412" w:rsidRPr="004B6415" w:rsidRDefault="00003412" w:rsidP="000E21A8">
      <w:pPr>
        <w:rPr>
          <w:rFonts w:ascii="Arial" w:hAnsi="Arial" w:cs="Arial"/>
          <w:sz w:val="22"/>
          <w:szCs w:val="22"/>
        </w:rPr>
      </w:pPr>
    </w:p>
    <w:p w14:paraId="7AA80400" w14:textId="2B938251" w:rsidR="000E21A8" w:rsidRPr="004B6415" w:rsidRDefault="002503B9" w:rsidP="004B6415">
      <w:pPr>
        <w:spacing w:line="360" w:lineRule="auto"/>
        <w:rPr>
          <w:rFonts w:ascii="Arial" w:hAnsi="Arial" w:cs="Arial"/>
          <w:b/>
          <w:bCs/>
          <w:sz w:val="22"/>
          <w:szCs w:val="22"/>
        </w:rPr>
      </w:pPr>
      <w:r w:rsidRPr="004B6415">
        <w:rPr>
          <w:rFonts w:ascii="Arial" w:hAnsi="Arial" w:cs="Arial"/>
          <w:b/>
          <w:bCs/>
          <w:sz w:val="22"/>
          <w:szCs w:val="22"/>
        </w:rPr>
        <w:t>Task C- Project Management Plan for the Reopening of a Flooded Highway in the West Midlands</w:t>
      </w:r>
    </w:p>
    <w:p w14:paraId="3D42DFA4" w14:textId="77777777" w:rsidR="002503B9" w:rsidRPr="004B6415" w:rsidRDefault="002503B9" w:rsidP="004B6415">
      <w:pPr>
        <w:spacing w:line="360" w:lineRule="auto"/>
        <w:rPr>
          <w:rFonts w:ascii="Arial" w:hAnsi="Arial" w:cs="Arial"/>
          <w:b/>
          <w:bCs/>
          <w:sz w:val="22"/>
          <w:szCs w:val="22"/>
        </w:rPr>
      </w:pPr>
    </w:p>
    <w:p w14:paraId="4C7669B8" w14:textId="77777777" w:rsidR="00ED51AD" w:rsidRPr="004B6415" w:rsidRDefault="00ED51AD" w:rsidP="004B6415">
      <w:pPr>
        <w:spacing w:line="360" w:lineRule="auto"/>
        <w:rPr>
          <w:rFonts w:ascii="Arial" w:hAnsi="Arial" w:cs="Arial"/>
          <w:sz w:val="22"/>
          <w:szCs w:val="22"/>
        </w:rPr>
      </w:pPr>
      <w:r w:rsidRPr="004B6415">
        <w:rPr>
          <w:rFonts w:ascii="Arial" w:hAnsi="Arial" w:cs="Arial"/>
          <w:sz w:val="22"/>
          <w:szCs w:val="22"/>
        </w:rPr>
        <w:t>Introduction</w:t>
      </w:r>
    </w:p>
    <w:p w14:paraId="75C290A1" w14:textId="77777777" w:rsidR="00ED51AD" w:rsidRPr="004B6415" w:rsidRDefault="00ED51AD" w:rsidP="004B6415">
      <w:pPr>
        <w:spacing w:line="360" w:lineRule="auto"/>
        <w:rPr>
          <w:rFonts w:ascii="Arial" w:hAnsi="Arial" w:cs="Arial"/>
          <w:sz w:val="22"/>
          <w:szCs w:val="22"/>
        </w:rPr>
      </w:pPr>
      <w:r w:rsidRPr="004B6415">
        <w:rPr>
          <w:rFonts w:ascii="Arial" w:hAnsi="Arial" w:cs="Arial"/>
          <w:sz w:val="22"/>
          <w:szCs w:val="22"/>
        </w:rPr>
        <w:t>Critical infrastructure systems, especially transport networks, have been seriously impacted by the growing frequency of extreme weather occurrences. One of the most disruptive environmental risks in the UK is still flooding, which frequently results in extended road closures, financial losses, and worries about public safety. When a major roadway in the West Midlands is temporarily closed due to flooding, a planned and prompt reaction is required to restore the highway's operation within four weeks. Rainfall patterns have become more intense due to climate change in recent years, making transport infrastructure more prone to flooding and related damage (Environment Agency, 2020).</w:t>
      </w:r>
    </w:p>
    <w:p w14:paraId="04E72352" w14:textId="77777777" w:rsidR="00BD72BB" w:rsidRPr="004B6415" w:rsidRDefault="00BD72BB" w:rsidP="004B6415">
      <w:pPr>
        <w:spacing w:line="360" w:lineRule="auto"/>
        <w:rPr>
          <w:rFonts w:ascii="Arial" w:hAnsi="Arial" w:cs="Arial"/>
          <w:sz w:val="22"/>
          <w:szCs w:val="22"/>
        </w:rPr>
      </w:pPr>
    </w:p>
    <w:p w14:paraId="28C88193" w14:textId="77777777" w:rsidR="007F2A16" w:rsidRPr="004B6415" w:rsidRDefault="007F2A16" w:rsidP="004B6415">
      <w:pPr>
        <w:spacing w:line="360" w:lineRule="auto"/>
        <w:rPr>
          <w:rFonts w:ascii="Arial" w:hAnsi="Arial" w:cs="Arial"/>
          <w:sz w:val="22"/>
          <w:szCs w:val="22"/>
        </w:rPr>
      </w:pPr>
      <w:r w:rsidRPr="004B6415">
        <w:rPr>
          <w:rFonts w:ascii="Arial" w:hAnsi="Arial" w:cs="Arial"/>
          <w:sz w:val="22"/>
          <w:szCs w:val="22"/>
        </w:rPr>
        <w:t xml:space="preserve">Whenever it comes to organising such emergency rehabilitation of infrastructure activities, project management is essential. Effective planning, execution, and monitoring of complex projects under strict limitations are made possible </w:t>
      </w:r>
      <w:proofErr w:type="gramStart"/>
      <w:r w:rsidRPr="004B6415">
        <w:rPr>
          <w:rFonts w:ascii="Arial" w:hAnsi="Arial" w:cs="Arial"/>
          <w:sz w:val="22"/>
          <w:szCs w:val="22"/>
        </w:rPr>
        <w:t>by the use of</w:t>
      </w:r>
      <w:proofErr w:type="gramEnd"/>
      <w:r w:rsidRPr="004B6415">
        <w:rPr>
          <w:rFonts w:ascii="Arial" w:hAnsi="Arial" w:cs="Arial"/>
          <w:sz w:val="22"/>
          <w:szCs w:val="22"/>
        </w:rPr>
        <w:t xml:space="preserve"> structured approaches, such as those described in the PRINCE2 frameworks and the Project Management Body of Knowledge (PMBOK). These methods have a strong emphasis on risk management, stakeholder involvement, scope control, and effective resource use (Project Management Institute, 2021). Furthermore, in stressful circumstances, organised frameworks facilitate decision-making, ensuring that project goals are met </w:t>
      </w:r>
      <w:proofErr w:type="gramStart"/>
      <w:r w:rsidRPr="004B6415">
        <w:rPr>
          <w:rFonts w:ascii="Arial" w:hAnsi="Arial" w:cs="Arial"/>
          <w:sz w:val="22"/>
          <w:szCs w:val="22"/>
        </w:rPr>
        <w:t>in spite of</w:t>
      </w:r>
      <w:proofErr w:type="gramEnd"/>
      <w:r w:rsidRPr="004B6415">
        <w:rPr>
          <w:rFonts w:ascii="Arial" w:hAnsi="Arial" w:cs="Arial"/>
          <w:sz w:val="22"/>
          <w:szCs w:val="22"/>
        </w:rPr>
        <w:t xml:space="preserve"> unclear circumstances (Turner, 2014).</w:t>
      </w:r>
    </w:p>
    <w:p w14:paraId="491FE74E" w14:textId="6CD3A6BE" w:rsidR="00BD72BB" w:rsidRPr="004B6415" w:rsidRDefault="00116565" w:rsidP="004B6415">
      <w:pPr>
        <w:spacing w:line="360" w:lineRule="auto"/>
        <w:rPr>
          <w:rFonts w:ascii="Arial" w:hAnsi="Arial" w:cs="Arial"/>
          <w:sz w:val="22"/>
          <w:szCs w:val="22"/>
        </w:rPr>
      </w:pPr>
      <w:proofErr w:type="gramStart"/>
      <w:r w:rsidRPr="004B6415">
        <w:rPr>
          <w:rFonts w:ascii="Arial" w:hAnsi="Arial" w:cs="Arial"/>
          <w:sz w:val="22"/>
          <w:szCs w:val="22"/>
        </w:rPr>
        <w:t>In order to</w:t>
      </w:r>
      <w:proofErr w:type="gramEnd"/>
      <w:r w:rsidRPr="004B6415">
        <w:rPr>
          <w:rFonts w:ascii="Arial" w:hAnsi="Arial" w:cs="Arial"/>
          <w:sz w:val="22"/>
          <w:szCs w:val="22"/>
        </w:rPr>
        <w:t xml:space="preserve"> help appropriate parties navigate the process of reopening the flooded highway, this assignment offers a thorough project management plan. It uses essential tools and methods, such as Gantt charts, risk analysis frameworks, and Work Breakdown Structures (WBS), to ensure that the project is completed on schedule while upholding safety and quality requirements. Throughout the course of the project, the integration of these tools facilitates ongoing monitoring, increases accountability, and improves coordination. </w:t>
      </w:r>
      <w:r w:rsidRPr="004B6415">
        <w:rPr>
          <w:rFonts w:ascii="Arial" w:hAnsi="Arial" w:cs="Arial"/>
          <w:sz w:val="22"/>
          <w:szCs w:val="22"/>
        </w:rPr>
        <w:lastRenderedPageBreak/>
        <w:t>Additionally, this plan's organised approach is in line with accepted project governance concepts and represents best practices in infrastructure recovery.</w:t>
      </w:r>
    </w:p>
    <w:p w14:paraId="29D56B7C" w14:textId="77777777" w:rsidR="00116565" w:rsidRPr="004B6415" w:rsidRDefault="00116565" w:rsidP="004B6415">
      <w:pPr>
        <w:spacing w:line="360" w:lineRule="auto"/>
        <w:rPr>
          <w:rFonts w:ascii="Arial" w:hAnsi="Arial" w:cs="Arial"/>
          <w:sz w:val="22"/>
          <w:szCs w:val="22"/>
        </w:rPr>
      </w:pPr>
    </w:p>
    <w:p w14:paraId="6FEF1E1C" w14:textId="77777777" w:rsidR="00BD72BB" w:rsidRPr="004B6415" w:rsidRDefault="00BD72BB" w:rsidP="004B6415">
      <w:pPr>
        <w:spacing w:line="360" w:lineRule="auto"/>
        <w:rPr>
          <w:rFonts w:ascii="Arial" w:hAnsi="Arial" w:cs="Arial"/>
          <w:b/>
          <w:sz w:val="22"/>
          <w:szCs w:val="22"/>
        </w:rPr>
      </w:pPr>
      <w:r w:rsidRPr="004B6415">
        <w:rPr>
          <w:rFonts w:ascii="Arial" w:hAnsi="Arial" w:cs="Arial"/>
          <w:b/>
          <w:sz w:val="22"/>
          <w:szCs w:val="22"/>
        </w:rPr>
        <w:t>Project Description</w:t>
      </w:r>
    </w:p>
    <w:p w14:paraId="43630A96" w14:textId="67299590" w:rsidR="00BD72BB" w:rsidRPr="004B6415" w:rsidRDefault="00BD72BB" w:rsidP="004B6415">
      <w:pPr>
        <w:spacing w:line="360" w:lineRule="auto"/>
        <w:rPr>
          <w:rFonts w:ascii="Arial" w:hAnsi="Arial" w:cs="Arial"/>
          <w:sz w:val="22"/>
          <w:szCs w:val="22"/>
        </w:rPr>
      </w:pPr>
      <w:r w:rsidRPr="004B6415">
        <w:rPr>
          <w:rFonts w:ascii="Arial" w:hAnsi="Arial" w:cs="Arial"/>
          <w:sz w:val="22"/>
          <w:szCs w:val="22"/>
        </w:rPr>
        <w:t xml:space="preserve">This project focuses on the rehabilitation and reopening of a highway in the West Midlands that has been rendered inoperable due to severe flooding. The flooding has caused damage to the road surface, compromised drainage systems, and raised concerns regarding structural integrity. In addition to physical damage, flooding can also weaken subgrade layers, </w:t>
      </w:r>
      <w:r w:rsidR="005A2467" w:rsidRPr="004B6415">
        <w:rPr>
          <w:rFonts w:ascii="Arial" w:hAnsi="Arial" w:cs="Arial"/>
          <w:sz w:val="22"/>
          <w:szCs w:val="22"/>
        </w:rPr>
        <w:t>increase</w:t>
      </w:r>
      <w:r w:rsidRPr="004B6415">
        <w:rPr>
          <w:rFonts w:ascii="Arial" w:hAnsi="Arial" w:cs="Arial"/>
          <w:sz w:val="22"/>
          <w:szCs w:val="22"/>
        </w:rPr>
        <w:t xml:space="preserve"> the risk of long-term deterioration if not properly </w:t>
      </w:r>
      <w:proofErr w:type="gramStart"/>
      <w:r w:rsidRPr="004B6415">
        <w:rPr>
          <w:rFonts w:ascii="Arial" w:hAnsi="Arial" w:cs="Arial"/>
          <w:sz w:val="22"/>
          <w:szCs w:val="22"/>
        </w:rPr>
        <w:t>addressed</w:t>
      </w:r>
      <w:proofErr w:type="gramEnd"/>
      <w:r w:rsidRPr="004B6415">
        <w:rPr>
          <w:rFonts w:ascii="Arial" w:hAnsi="Arial" w:cs="Arial"/>
          <w:sz w:val="22"/>
          <w:szCs w:val="22"/>
        </w:rPr>
        <w:t xml:space="preserve"> (Highways England, 2019).</w:t>
      </w:r>
    </w:p>
    <w:p w14:paraId="61CCE29C" w14:textId="77777777" w:rsidR="00116565" w:rsidRPr="004B6415" w:rsidRDefault="00116565" w:rsidP="004B6415">
      <w:pPr>
        <w:spacing w:line="360" w:lineRule="auto"/>
        <w:rPr>
          <w:rFonts w:ascii="Arial" w:hAnsi="Arial" w:cs="Arial"/>
          <w:sz w:val="22"/>
          <w:szCs w:val="22"/>
        </w:rPr>
      </w:pPr>
      <w:r w:rsidRPr="004B6415">
        <w:rPr>
          <w:rFonts w:ascii="Arial" w:hAnsi="Arial" w:cs="Arial"/>
          <w:sz w:val="22"/>
          <w:szCs w:val="22"/>
        </w:rPr>
        <w:t>The project's main goal is to get the roadway back to full operation in four weeks. This include making sure that UK safety laws are followed, causing minimum levels of disturbance to drivers, and putting policies in place to reduce the likelihood of flooding in the future. Removing floodwater and garbage, repairing damaged infrastructure, restoring drainage systems, and finishing safety inspections before reopening are the main objectives. Incorporating resilience strategies to reduce susceptibility to future extreme weather occurrences is another goal of the project.</w:t>
      </w:r>
    </w:p>
    <w:p w14:paraId="499935C0" w14:textId="0E0E9FE3" w:rsidR="00BD72BB" w:rsidRPr="004B6415" w:rsidRDefault="00D65BE4" w:rsidP="004B6415">
      <w:pPr>
        <w:spacing w:line="360" w:lineRule="auto"/>
        <w:rPr>
          <w:rFonts w:ascii="Arial" w:hAnsi="Arial" w:cs="Arial"/>
          <w:sz w:val="22"/>
          <w:szCs w:val="22"/>
        </w:rPr>
      </w:pPr>
      <w:r w:rsidRPr="004B6415">
        <w:rPr>
          <w:rFonts w:ascii="Arial" w:hAnsi="Arial" w:cs="Arial"/>
          <w:sz w:val="22"/>
          <w:szCs w:val="22"/>
        </w:rPr>
        <w:t>Strict time frames, a lack of funding, and possible weather-related risks are the project's limitations. The speed of execution may also be impacted by the availability of building supplies and skilled workers. Nonetheless, it is anticipated that contractors would be able to mobilise quickly and that emergency funds will be made available. Emergency infrastructure projects frequently have time limits that necessitate concurrent job execution and quick decision-making to ensure timely completion (Kerzner, 2022).</w:t>
      </w:r>
    </w:p>
    <w:p w14:paraId="05EDA156" w14:textId="77777777" w:rsidR="00972B16" w:rsidRPr="004B6415" w:rsidRDefault="00972B16" w:rsidP="004B6415">
      <w:pPr>
        <w:spacing w:line="360" w:lineRule="auto"/>
        <w:rPr>
          <w:rFonts w:ascii="Arial" w:hAnsi="Arial" w:cs="Arial"/>
          <w:sz w:val="22"/>
          <w:szCs w:val="22"/>
        </w:rPr>
      </w:pPr>
    </w:p>
    <w:p w14:paraId="38B47A0F" w14:textId="77777777" w:rsidR="00BD72BB" w:rsidRPr="004B6415" w:rsidRDefault="00BD72BB" w:rsidP="004B6415">
      <w:pPr>
        <w:spacing w:line="360" w:lineRule="auto"/>
        <w:rPr>
          <w:rFonts w:ascii="Arial" w:hAnsi="Arial" w:cs="Arial"/>
          <w:b/>
          <w:sz w:val="22"/>
          <w:szCs w:val="22"/>
        </w:rPr>
      </w:pPr>
      <w:r w:rsidRPr="004B6415">
        <w:rPr>
          <w:rFonts w:ascii="Arial" w:hAnsi="Arial" w:cs="Arial"/>
          <w:b/>
          <w:sz w:val="22"/>
          <w:szCs w:val="22"/>
        </w:rPr>
        <w:t>Scope</w:t>
      </w:r>
    </w:p>
    <w:p w14:paraId="1AC9765A" w14:textId="77777777" w:rsidR="00EC5377" w:rsidRPr="004B6415" w:rsidRDefault="00EC5377" w:rsidP="004B6415">
      <w:pPr>
        <w:spacing w:line="360" w:lineRule="auto"/>
        <w:rPr>
          <w:rFonts w:ascii="Arial" w:hAnsi="Arial" w:cs="Arial"/>
          <w:sz w:val="22"/>
          <w:szCs w:val="22"/>
        </w:rPr>
      </w:pPr>
      <w:proofErr w:type="gramStart"/>
      <w:r w:rsidRPr="004B6415">
        <w:rPr>
          <w:rFonts w:ascii="Arial" w:hAnsi="Arial" w:cs="Arial"/>
          <w:sz w:val="22"/>
          <w:szCs w:val="22"/>
        </w:rPr>
        <w:t>In order to</w:t>
      </w:r>
      <w:proofErr w:type="gramEnd"/>
      <w:r w:rsidRPr="004B6415">
        <w:rPr>
          <w:rFonts w:ascii="Arial" w:hAnsi="Arial" w:cs="Arial"/>
          <w:sz w:val="22"/>
          <w:szCs w:val="22"/>
        </w:rPr>
        <w:t xml:space="preserve"> keep the project on track and within the specified time frame, effective scope management is essential. This project's scope </w:t>
      </w:r>
      <w:proofErr w:type="gramStart"/>
      <w:r w:rsidRPr="004B6415">
        <w:rPr>
          <w:rFonts w:ascii="Arial" w:hAnsi="Arial" w:cs="Arial"/>
          <w:sz w:val="22"/>
          <w:szCs w:val="22"/>
        </w:rPr>
        <w:t>include</w:t>
      </w:r>
      <w:proofErr w:type="gramEnd"/>
      <w:r w:rsidRPr="004B6415">
        <w:rPr>
          <w:rFonts w:ascii="Arial" w:hAnsi="Arial" w:cs="Arial"/>
          <w:sz w:val="22"/>
          <w:szCs w:val="22"/>
        </w:rPr>
        <w:t xml:space="preserve"> all actions that directly contribute to the highway's return to a secure and functional condition. All stakeholders will have a consistent understanding of the project's goals if scope boundaries are clearly defined, which helps avoid uncertainty (PMI, 2021).</w:t>
      </w:r>
    </w:p>
    <w:p w14:paraId="3E37DA3E" w14:textId="77777777" w:rsidR="00EC5377" w:rsidRPr="004B6415" w:rsidRDefault="00EC5377" w:rsidP="004B6415">
      <w:pPr>
        <w:spacing w:line="360" w:lineRule="auto"/>
        <w:rPr>
          <w:rFonts w:ascii="Arial" w:hAnsi="Arial" w:cs="Arial"/>
          <w:sz w:val="22"/>
          <w:szCs w:val="22"/>
        </w:rPr>
      </w:pPr>
      <w:r w:rsidRPr="004B6415">
        <w:rPr>
          <w:rFonts w:ascii="Arial" w:hAnsi="Arial" w:cs="Arial"/>
          <w:sz w:val="22"/>
          <w:szCs w:val="22"/>
        </w:rPr>
        <w:t xml:space="preserve">Floodwater removal, garbage removal, structural evaluation, road surface repair, drainage system augmentation and restoration, and flood mitigation measures are all included in the scope of the tasks. In addition, the project includes the regulatory clearances, traffic </w:t>
      </w:r>
      <w:r w:rsidRPr="004B6415">
        <w:rPr>
          <w:rFonts w:ascii="Arial" w:hAnsi="Arial" w:cs="Arial"/>
          <w:sz w:val="22"/>
          <w:szCs w:val="22"/>
        </w:rPr>
        <w:lastRenderedPageBreak/>
        <w:t>management plans, and safety inspections needed for reopening. These tasks are necessary to ensure user safety and achieve quick operation.</w:t>
      </w:r>
    </w:p>
    <w:p w14:paraId="69AB98A0" w14:textId="77777777" w:rsidR="00EC5377" w:rsidRPr="004B6415" w:rsidRDefault="00EC5377" w:rsidP="004B6415">
      <w:pPr>
        <w:spacing w:line="360" w:lineRule="auto"/>
        <w:rPr>
          <w:rFonts w:ascii="Arial" w:hAnsi="Arial" w:cs="Arial"/>
          <w:sz w:val="22"/>
          <w:szCs w:val="22"/>
        </w:rPr>
      </w:pPr>
      <w:r w:rsidRPr="004B6415">
        <w:rPr>
          <w:rFonts w:ascii="Arial" w:hAnsi="Arial" w:cs="Arial"/>
          <w:sz w:val="22"/>
          <w:szCs w:val="22"/>
        </w:rPr>
        <w:t>On the other hand, long-term infrastructure redesign, highway extension, and cosmetic improvements that don't immediately improve functionality are examples of actions that are outside the scope. These factors are crucial for avoiding scope creep, which can result in delays and overspending (Kerzner, 2022). In time-sensitive projects, when deviations might have an important impact on delivery dates, it is especially crucial to maintain rigid scope bounds.</w:t>
      </w:r>
    </w:p>
    <w:p w14:paraId="73437232" w14:textId="770B2630" w:rsidR="00866678" w:rsidRPr="004B6415" w:rsidRDefault="00EC5377" w:rsidP="004B6415">
      <w:pPr>
        <w:spacing w:line="360" w:lineRule="auto"/>
        <w:rPr>
          <w:rFonts w:ascii="Arial" w:hAnsi="Arial" w:cs="Arial"/>
          <w:sz w:val="22"/>
          <w:szCs w:val="22"/>
        </w:rPr>
      </w:pPr>
      <w:r w:rsidRPr="004B6415">
        <w:rPr>
          <w:rFonts w:ascii="Arial" w:hAnsi="Arial" w:cs="Arial"/>
          <w:sz w:val="22"/>
          <w:szCs w:val="22"/>
        </w:rPr>
        <w:t>Any suggested changes to the scope will be managed by a formal change control procedure. This ensures that every modification is assessed, authorised, and systematically documented (Project Management Institute, 2021). Using formal clearance procedures and change control boards improves accountability and guards against illegal changes.</w:t>
      </w:r>
    </w:p>
    <w:p w14:paraId="01421270" w14:textId="77777777" w:rsidR="00747F86" w:rsidRPr="004B6415" w:rsidRDefault="00747F86" w:rsidP="004B6415">
      <w:pPr>
        <w:spacing w:line="360" w:lineRule="auto"/>
        <w:rPr>
          <w:rFonts w:ascii="Arial" w:hAnsi="Arial" w:cs="Arial"/>
          <w:sz w:val="22"/>
          <w:szCs w:val="22"/>
        </w:rPr>
      </w:pPr>
    </w:p>
    <w:p w14:paraId="3BE1E4AF" w14:textId="77777777" w:rsidR="00BD72BB" w:rsidRPr="004B6415" w:rsidRDefault="00BD72BB" w:rsidP="004B6415">
      <w:pPr>
        <w:spacing w:line="360" w:lineRule="auto"/>
        <w:rPr>
          <w:rFonts w:ascii="Arial" w:hAnsi="Arial" w:cs="Arial"/>
          <w:b/>
          <w:sz w:val="22"/>
          <w:szCs w:val="22"/>
        </w:rPr>
      </w:pPr>
      <w:r w:rsidRPr="004B6415">
        <w:rPr>
          <w:rFonts w:ascii="Arial" w:hAnsi="Arial" w:cs="Arial"/>
          <w:b/>
          <w:sz w:val="22"/>
          <w:szCs w:val="22"/>
        </w:rPr>
        <w:t>Work Breakdown Structure (WBS)</w:t>
      </w:r>
    </w:p>
    <w:p w14:paraId="0C1F9C3E" w14:textId="77777777" w:rsidR="00030559" w:rsidRPr="004B6415" w:rsidRDefault="00030559" w:rsidP="004B6415">
      <w:pPr>
        <w:spacing w:line="360" w:lineRule="auto"/>
        <w:rPr>
          <w:rFonts w:ascii="Arial" w:hAnsi="Arial" w:cs="Arial"/>
          <w:sz w:val="22"/>
          <w:szCs w:val="22"/>
        </w:rPr>
      </w:pPr>
      <w:r w:rsidRPr="004B6415">
        <w:rPr>
          <w:rFonts w:ascii="Arial" w:hAnsi="Arial" w:cs="Arial"/>
          <w:sz w:val="22"/>
          <w:szCs w:val="22"/>
        </w:rPr>
        <w:t>The project is broken down sequentially into smaller, more manageable components using the Work Breakdown Structure (WBS). It acts as a fundamental tool for resource allocation, scheduling, and planning. The WBS promotes more organization and clarity by segmenting the project into distinct components (Meredith, Mantel, and Shafer, 2020).</w:t>
      </w:r>
    </w:p>
    <w:p w14:paraId="33B99DF0" w14:textId="77777777" w:rsidR="00030559" w:rsidRPr="004B6415" w:rsidRDefault="00030559" w:rsidP="00030559">
      <w:pPr>
        <w:rPr>
          <w:rFonts w:ascii="Arial" w:hAnsi="Arial" w:cs="Arial"/>
          <w:sz w:val="22"/>
          <w:szCs w:val="22"/>
        </w:rPr>
      </w:pPr>
      <w:r w:rsidRPr="004B6415">
        <w:rPr>
          <w:rFonts w:ascii="Arial" w:hAnsi="Arial" w:cs="Arial"/>
          <w:sz w:val="22"/>
          <w:szCs w:val="22"/>
        </w:rPr>
        <w:t>Initiation, assessment, floodwater removal, infrastructure restoration, flood mitigation, testing and inspection, and reopening are the project's main stages at the highest level. Each stage is further broken down into distinct jobs. For instance, road resurfacing, structural reinforcement, and drainage system restoration are all included in the repair phase, whereas damage inspection, structural analysis, and risk assessment are included in the assessment phase.</w:t>
      </w:r>
    </w:p>
    <w:p w14:paraId="5661E441" w14:textId="6C961A2B" w:rsidR="00866678" w:rsidRPr="004B6415" w:rsidRDefault="00030559" w:rsidP="00BD72BB">
      <w:pPr>
        <w:rPr>
          <w:rFonts w:ascii="Arial" w:hAnsi="Arial" w:cs="Arial"/>
          <w:sz w:val="22"/>
          <w:szCs w:val="22"/>
        </w:rPr>
      </w:pPr>
      <w:r w:rsidRPr="004B6415">
        <w:rPr>
          <w:rFonts w:ascii="Arial" w:hAnsi="Arial" w:cs="Arial"/>
          <w:sz w:val="22"/>
          <w:szCs w:val="22"/>
        </w:rPr>
        <w:t>By specifying task responsibilities and enabling precise cost and time estimation, the usage of a WBS improves clarity. Additionally, it facilitates efficient monitoring and control by offering an organised framework for tracking progress (Meredith, Mantel, and Shafer, 2020). The WBS enhances team coordination and lowers complexity by segmenting the project into several components. It also makes it possible to identify important tasks that have a direct bearing on project timeframes.</w:t>
      </w:r>
    </w:p>
    <w:p w14:paraId="2766C2F9" w14:textId="77777777" w:rsidR="000E21A8" w:rsidRPr="004B6415" w:rsidRDefault="000E21A8" w:rsidP="00BD72BB">
      <w:pPr>
        <w:rPr>
          <w:rFonts w:ascii="Arial" w:hAnsi="Arial" w:cs="Arial"/>
          <w:sz w:val="22"/>
          <w:szCs w:val="22"/>
        </w:rPr>
      </w:pPr>
    </w:p>
    <w:p w14:paraId="0BEA2759" w14:textId="77777777" w:rsidR="00BD72BB" w:rsidRPr="004B6415" w:rsidRDefault="00BD72BB" w:rsidP="00BD72BB">
      <w:pPr>
        <w:rPr>
          <w:rFonts w:ascii="Arial" w:hAnsi="Arial" w:cs="Arial"/>
          <w:b/>
          <w:sz w:val="22"/>
          <w:szCs w:val="22"/>
        </w:rPr>
      </w:pPr>
      <w:r w:rsidRPr="004B6415">
        <w:rPr>
          <w:rFonts w:ascii="Arial" w:hAnsi="Arial" w:cs="Arial"/>
          <w:b/>
          <w:sz w:val="22"/>
          <w:szCs w:val="22"/>
        </w:rPr>
        <w:t>Quad Chart</w:t>
      </w:r>
    </w:p>
    <w:p w14:paraId="2A28B1A8" w14:textId="77777777" w:rsidR="00030559" w:rsidRPr="004B6415" w:rsidRDefault="00030559" w:rsidP="00030559">
      <w:pPr>
        <w:rPr>
          <w:rFonts w:ascii="Arial" w:hAnsi="Arial" w:cs="Arial"/>
          <w:sz w:val="22"/>
          <w:szCs w:val="22"/>
        </w:rPr>
      </w:pPr>
      <w:r w:rsidRPr="004B6415">
        <w:rPr>
          <w:rFonts w:ascii="Arial" w:hAnsi="Arial" w:cs="Arial"/>
          <w:sz w:val="22"/>
          <w:szCs w:val="22"/>
        </w:rPr>
        <w:t>A concise visual aid for conveying important project information to stakeholders is the quad chart. Objectives, timeline, risks, and resources make up its four quadrants. In high-level decision-making situations where rapid comprehension is necessary, this tool is especially helpful (Kerzner, 2022).</w:t>
      </w:r>
    </w:p>
    <w:p w14:paraId="39A063B4" w14:textId="084BD41E" w:rsidR="00030559" w:rsidRPr="004B6415" w:rsidRDefault="00030559" w:rsidP="004B6415">
      <w:pPr>
        <w:spacing w:line="360" w:lineRule="auto"/>
        <w:rPr>
          <w:rFonts w:ascii="Arial" w:hAnsi="Arial" w:cs="Arial"/>
          <w:sz w:val="22"/>
          <w:szCs w:val="22"/>
        </w:rPr>
      </w:pPr>
      <w:r w:rsidRPr="004B6415">
        <w:rPr>
          <w:rFonts w:ascii="Arial" w:hAnsi="Arial" w:cs="Arial"/>
          <w:sz w:val="22"/>
          <w:szCs w:val="22"/>
        </w:rPr>
        <w:lastRenderedPageBreak/>
        <w:t xml:space="preserve">The main objectives of the </w:t>
      </w:r>
      <w:r w:rsidR="000E21A8" w:rsidRPr="004B6415">
        <w:rPr>
          <w:rFonts w:ascii="Arial" w:hAnsi="Arial" w:cs="Arial"/>
          <w:sz w:val="22"/>
          <w:szCs w:val="22"/>
        </w:rPr>
        <w:t>objective’s</w:t>
      </w:r>
      <w:r w:rsidRPr="004B6415">
        <w:rPr>
          <w:rFonts w:ascii="Arial" w:hAnsi="Arial" w:cs="Arial"/>
          <w:sz w:val="22"/>
          <w:szCs w:val="22"/>
        </w:rPr>
        <w:t xml:space="preserve"> quadrant are to minimise inconvenience, ensure safety compliance, and reopen the roadway in four weeks. A high-level timeline is shown in the schedule quadrant, where the first week is dedicated to assessment and water removal, the following weeks are allocated to repair and offset efforts, and the final week is assigned to testing and reopening.</w:t>
      </w:r>
    </w:p>
    <w:p w14:paraId="253AB9CF" w14:textId="77777777" w:rsidR="00F30346" w:rsidRPr="004B6415" w:rsidRDefault="00F30346" w:rsidP="004B6415">
      <w:pPr>
        <w:spacing w:line="360" w:lineRule="auto"/>
        <w:rPr>
          <w:rFonts w:ascii="Arial" w:hAnsi="Arial" w:cs="Arial"/>
          <w:sz w:val="22"/>
          <w:szCs w:val="22"/>
        </w:rPr>
      </w:pPr>
      <w:r w:rsidRPr="004B6415">
        <w:rPr>
          <w:rFonts w:ascii="Arial" w:hAnsi="Arial" w:cs="Arial"/>
          <w:sz w:val="22"/>
          <w:szCs w:val="22"/>
        </w:rPr>
        <w:t xml:space="preserve">The risks quadrant highlights major obstacles, such as unfavourable weather, resource restrictions, safety risks, and financial restraints. The persons, tools, supplies, and money needed to complete the project are highlighted in the </w:t>
      </w:r>
      <w:proofErr w:type="gramStart"/>
      <w:r w:rsidRPr="004B6415">
        <w:rPr>
          <w:rFonts w:ascii="Arial" w:hAnsi="Arial" w:cs="Arial"/>
          <w:sz w:val="22"/>
          <w:szCs w:val="22"/>
        </w:rPr>
        <w:t>resources</w:t>
      </w:r>
      <w:proofErr w:type="gramEnd"/>
      <w:r w:rsidRPr="004B6415">
        <w:rPr>
          <w:rFonts w:ascii="Arial" w:hAnsi="Arial" w:cs="Arial"/>
          <w:sz w:val="22"/>
          <w:szCs w:val="22"/>
        </w:rPr>
        <w:t xml:space="preserve"> quadrant. Stakeholder engagement is increased and decision-making is accelerated when these components are clearly represented visually.</w:t>
      </w:r>
    </w:p>
    <w:p w14:paraId="58F7135D" w14:textId="77777777" w:rsidR="00F30346" w:rsidRPr="004B6415" w:rsidRDefault="00F30346" w:rsidP="004B6415">
      <w:pPr>
        <w:spacing w:line="360" w:lineRule="auto"/>
        <w:rPr>
          <w:rFonts w:ascii="Arial" w:hAnsi="Arial" w:cs="Arial"/>
          <w:sz w:val="22"/>
          <w:szCs w:val="22"/>
        </w:rPr>
      </w:pPr>
      <w:r w:rsidRPr="004B6415">
        <w:rPr>
          <w:rFonts w:ascii="Arial" w:hAnsi="Arial" w:cs="Arial"/>
          <w:sz w:val="22"/>
          <w:szCs w:val="22"/>
        </w:rPr>
        <w:t>Because it simplifies and makes complex information understandable, the Quad Chart is very helpful for communicating with stakeholders (Kerzner, 2022). This ensures stakeholder alignment and promotes well-informed decision-making. Additionally, it promotes transparency, which is crucial for initiatives involving public infrastructure.</w:t>
      </w:r>
    </w:p>
    <w:p w14:paraId="07A047D5" w14:textId="15FFD7B2" w:rsidR="00747F86" w:rsidRPr="004B6415" w:rsidRDefault="00747F86" w:rsidP="00F30346">
      <w:pPr>
        <w:rPr>
          <w:rFonts w:ascii="Arial" w:hAnsi="Arial" w:cs="Arial"/>
          <w:sz w:val="22"/>
          <w:szCs w:val="22"/>
        </w:rPr>
      </w:pPr>
      <w:r w:rsidRPr="004B6415">
        <w:rPr>
          <w:rFonts w:ascii="Arial" w:hAnsi="Arial" w:cs="Arial"/>
          <w:noProof/>
          <w:sz w:val="22"/>
          <w:szCs w:val="22"/>
        </w:rPr>
        <w:drawing>
          <wp:inline distT="0" distB="0" distL="0" distR="0" wp14:anchorId="1302779F" wp14:editId="60B3CBD4">
            <wp:extent cx="5021943" cy="2300665"/>
            <wp:effectExtent l="0" t="0" r="7620" b="444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rotWithShape="1">
                    <a:blip r:embed="rId6" cstate="print">
                      <a:extLst>
                        <a:ext uri="{28A0092B-C50C-407E-A947-70E740481C1C}">
                          <a14:useLocalDpi xmlns:a14="http://schemas.microsoft.com/office/drawing/2010/main" val="0"/>
                        </a:ext>
                      </a:extLst>
                    </a:blip>
                    <a:srcRect l="3223" t="9809" r="4041" b="5674"/>
                    <a:stretch/>
                  </pic:blipFill>
                  <pic:spPr>
                    <a:xfrm>
                      <a:off x="0" y="0"/>
                      <a:ext cx="5021943" cy="2300665"/>
                    </a:xfrm>
                    <a:prstGeom prst="rect">
                      <a:avLst/>
                    </a:prstGeom>
                  </pic:spPr>
                </pic:pic>
              </a:graphicData>
            </a:graphic>
          </wp:inline>
        </w:drawing>
      </w:r>
    </w:p>
    <w:p w14:paraId="19AEB679" w14:textId="77777777" w:rsidR="00F30346" w:rsidRPr="004B6415" w:rsidRDefault="00F30346" w:rsidP="00F30346">
      <w:pPr>
        <w:rPr>
          <w:rFonts w:ascii="Arial" w:hAnsi="Arial" w:cs="Arial"/>
          <w:sz w:val="22"/>
          <w:szCs w:val="22"/>
        </w:rPr>
      </w:pPr>
    </w:p>
    <w:p w14:paraId="57D47363" w14:textId="77777777" w:rsidR="00BD72BB" w:rsidRPr="004B6415" w:rsidRDefault="00BD72BB" w:rsidP="00BD72BB">
      <w:pPr>
        <w:rPr>
          <w:rFonts w:ascii="Arial" w:hAnsi="Arial" w:cs="Arial"/>
          <w:b/>
          <w:sz w:val="22"/>
          <w:szCs w:val="22"/>
        </w:rPr>
      </w:pPr>
      <w:r w:rsidRPr="004B6415">
        <w:rPr>
          <w:rFonts w:ascii="Arial" w:hAnsi="Arial" w:cs="Arial"/>
          <w:b/>
          <w:sz w:val="22"/>
          <w:szCs w:val="22"/>
        </w:rPr>
        <w:t>Gantt Chart</w:t>
      </w:r>
    </w:p>
    <w:p w14:paraId="416D607A" w14:textId="77777777" w:rsidR="00F30346" w:rsidRPr="004B6415" w:rsidRDefault="00F30346" w:rsidP="00F30346">
      <w:pPr>
        <w:rPr>
          <w:rFonts w:ascii="Arial" w:hAnsi="Arial" w:cs="Arial"/>
          <w:sz w:val="22"/>
          <w:szCs w:val="22"/>
        </w:rPr>
      </w:pPr>
      <w:r w:rsidRPr="004B6415">
        <w:rPr>
          <w:rFonts w:ascii="Arial" w:hAnsi="Arial" w:cs="Arial"/>
          <w:sz w:val="22"/>
          <w:szCs w:val="22"/>
        </w:rPr>
        <w:t>A popular tool for project management, the Gantt chart shows the project timeline visually. It illustrates the sequence and duration of tasks, as well as their interdependencies. For scheduling and time management, this tool is crucial (Lock, 2020).</w:t>
      </w:r>
    </w:p>
    <w:p w14:paraId="1C1AF400" w14:textId="77777777" w:rsidR="00F30346" w:rsidRPr="004B6415" w:rsidRDefault="00F30346" w:rsidP="00F30346">
      <w:pPr>
        <w:rPr>
          <w:rFonts w:ascii="Arial" w:hAnsi="Arial" w:cs="Arial"/>
          <w:sz w:val="22"/>
          <w:szCs w:val="22"/>
        </w:rPr>
      </w:pPr>
      <w:r w:rsidRPr="004B6415">
        <w:rPr>
          <w:rFonts w:ascii="Arial" w:hAnsi="Arial" w:cs="Arial"/>
          <w:sz w:val="22"/>
          <w:szCs w:val="22"/>
        </w:rPr>
        <w:t>In this project, the Gantt chart is structured over a four-week period. The first week is devoted to floodwater removal, site assessment, and project beginning. Infrastructure repairs, such as drainage restoration and road resurfacing, take up the second week. Flood mitigation measures are implemented during the third week, while testing, inspection, and reopening take place during the final week.</w:t>
      </w:r>
    </w:p>
    <w:p w14:paraId="1306E221" w14:textId="7A8218F5" w:rsidR="000E21A8" w:rsidRPr="004B6415" w:rsidRDefault="000E21A8" w:rsidP="004B6415">
      <w:pPr>
        <w:spacing w:line="360" w:lineRule="auto"/>
        <w:rPr>
          <w:rFonts w:ascii="Arial" w:hAnsi="Arial" w:cs="Arial"/>
          <w:sz w:val="22"/>
          <w:szCs w:val="22"/>
        </w:rPr>
      </w:pPr>
      <w:r w:rsidRPr="004B6415">
        <w:rPr>
          <w:rFonts w:ascii="Arial" w:hAnsi="Arial" w:cs="Arial"/>
          <w:sz w:val="22"/>
          <w:szCs w:val="22"/>
        </w:rPr>
        <w:t>To maintain academic rigour and transparency, the following assumptions underpin the schedule:</w:t>
      </w:r>
      <w:r w:rsidRPr="004B6415">
        <w:rPr>
          <w:rFonts w:ascii="Arial" w:hAnsi="Arial" w:cs="Arial"/>
          <w:sz w:val="22"/>
          <w:szCs w:val="22"/>
        </w:rPr>
        <w:br/>
      </w:r>
      <w:r w:rsidRPr="004B6415">
        <w:rPr>
          <w:rFonts w:ascii="Arial" w:hAnsi="Arial" w:cs="Arial"/>
          <w:sz w:val="22"/>
          <w:szCs w:val="22"/>
        </w:rPr>
        <w:lastRenderedPageBreak/>
        <w:t>Initial emergency safety inspection must confirm the feasibility of reopening within four weeks.</w:t>
      </w:r>
      <w:r w:rsidRPr="004B6415">
        <w:rPr>
          <w:rFonts w:ascii="Arial" w:hAnsi="Arial" w:cs="Arial"/>
          <w:sz w:val="22"/>
          <w:szCs w:val="22"/>
        </w:rPr>
        <w:br/>
        <w:t>Funding approval and procurement frameworks are pre-authorised by National Highways. Weather conditions remain stable during the recovery period.</w:t>
      </w:r>
      <w:r w:rsidRPr="004B6415">
        <w:rPr>
          <w:rFonts w:ascii="Arial" w:hAnsi="Arial" w:cs="Arial"/>
          <w:sz w:val="22"/>
          <w:szCs w:val="22"/>
        </w:rPr>
        <w:br/>
        <w:t>Contractors are mobilised under emergency contracts.</w:t>
      </w:r>
    </w:p>
    <w:p w14:paraId="041CC92F" w14:textId="1B4577CE" w:rsidR="00866678" w:rsidRPr="004B6415" w:rsidRDefault="00F30346" w:rsidP="004B6415">
      <w:pPr>
        <w:spacing w:line="360" w:lineRule="auto"/>
        <w:rPr>
          <w:rFonts w:ascii="Arial" w:hAnsi="Arial" w:cs="Arial"/>
          <w:sz w:val="22"/>
          <w:szCs w:val="22"/>
        </w:rPr>
      </w:pPr>
      <w:r w:rsidRPr="004B6415">
        <w:rPr>
          <w:rFonts w:ascii="Arial" w:hAnsi="Arial" w:cs="Arial"/>
          <w:sz w:val="22"/>
          <w:szCs w:val="22"/>
        </w:rPr>
        <w:t>Project managers can track development and identify possible delays with the help of the Gantt chart. By explicitly stating work schedules and dependencies, it also makes coordination between several teams easier. According to Lock (2020), Gantt charts are crucial for ensuring that projects stay on track and that resources are used effectively. Additionally, they facilitate critical path analysis, which enables project managers to rank jobs according to their direct impact on completion time.</w:t>
      </w:r>
    </w:p>
    <w:p w14:paraId="098EBEE9" w14:textId="77777777" w:rsidR="000E21A8" w:rsidRPr="004B6415" w:rsidRDefault="000E21A8" w:rsidP="004B6415">
      <w:pPr>
        <w:spacing w:line="360" w:lineRule="auto"/>
        <w:rPr>
          <w:rFonts w:ascii="Arial" w:hAnsi="Arial" w:cs="Arial"/>
          <w:sz w:val="22"/>
          <w:szCs w:val="22"/>
        </w:rPr>
      </w:pPr>
      <w:r w:rsidRPr="004B6415">
        <w:rPr>
          <w:rFonts w:ascii="Arial" w:hAnsi="Arial" w:cs="Arial"/>
          <w:sz w:val="22"/>
          <w:szCs w:val="22"/>
        </w:rPr>
        <w:t>The four-week Gantt Chart demonstrates a structured, risk-informed, and fast-tracked recovery strategy for reopening the flood-affected highway in the West Midlands. Through the application of Critical Path Method analysis, milestone planning, resource levelling, and Earned Value Management, the schedule balances urgency with governance discipline.</w:t>
      </w:r>
    </w:p>
    <w:p w14:paraId="443E9D14" w14:textId="77777777" w:rsidR="000E21A8" w:rsidRPr="004B6415" w:rsidRDefault="000E21A8" w:rsidP="004B6415">
      <w:pPr>
        <w:spacing w:line="360" w:lineRule="auto"/>
        <w:rPr>
          <w:rFonts w:ascii="Arial" w:hAnsi="Arial" w:cs="Arial"/>
          <w:sz w:val="22"/>
          <w:szCs w:val="22"/>
        </w:rPr>
      </w:pPr>
      <w:r w:rsidRPr="004B6415">
        <w:rPr>
          <w:rFonts w:ascii="Arial" w:hAnsi="Arial" w:cs="Arial"/>
          <w:sz w:val="22"/>
          <w:szCs w:val="22"/>
        </w:rPr>
        <w:t>Application of Project Management Techniques</w:t>
      </w:r>
    </w:p>
    <w:p w14:paraId="311CD717" w14:textId="77777777" w:rsidR="000E21A8" w:rsidRPr="004B6415" w:rsidRDefault="000E21A8" w:rsidP="004B6415">
      <w:pPr>
        <w:spacing w:line="360" w:lineRule="auto"/>
        <w:rPr>
          <w:rFonts w:ascii="Arial" w:hAnsi="Arial" w:cs="Arial"/>
          <w:sz w:val="22"/>
          <w:szCs w:val="22"/>
        </w:rPr>
      </w:pPr>
      <w:r w:rsidRPr="004B6415">
        <w:rPr>
          <w:rFonts w:ascii="Arial" w:hAnsi="Arial" w:cs="Arial"/>
          <w:sz w:val="22"/>
          <w:szCs w:val="22"/>
        </w:rPr>
        <w:t>Fast-Tracking</w:t>
      </w:r>
      <w:r w:rsidRPr="004B6415">
        <w:rPr>
          <w:rFonts w:ascii="Arial" w:hAnsi="Arial" w:cs="Arial"/>
          <w:sz w:val="22"/>
          <w:szCs w:val="22"/>
        </w:rPr>
        <w:br/>
        <w:t>Debris removal overlaps with structural assessment, reducing idle time. This technique increases coordination complexity but shortens duration (PMI, 2021).</w:t>
      </w:r>
    </w:p>
    <w:p w14:paraId="3A746A7E" w14:textId="77777777" w:rsidR="000E21A8" w:rsidRPr="004B6415" w:rsidRDefault="000E21A8" w:rsidP="004B6415">
      <w:pPr>
        <w:spacing w:line="360" w:lineRule="auto"/>
        <w:rPr>
          <w:rFonts w:ascii="Arial" w:hAnsi="Arial" w:cs="Arial"/>
          <w:sz w:val="22"/>
          <w:szCs w:val="22"/>
        </w:rPr>
      </w:pPr>
      <w:r w:rsidRPr="004B6415">
        <w:rPr>
          <w:rFonts w:ascii="Arial" w:hAnsi="Arial" w:cs="Arial"/>
          <w:sz w:val="22"/>
          <w:szCs w:val="22"/>
        </w:rPr>
        <w:t>Resource Levelling</w:t>
      </w:r>
      <w:r w:rsidRPr="004B6415">
        <w:rPr>
          <w:rFonts w:ascii="Arial" w:hAnsi="Arial" w:cs="Arial"/>
          <w:sz w:val="22"/>
          <w:szCs w:val="22"/>
        </w:rPr>
        <w:br/>
        <w:t>Heavy machinery required for embankment stabilisation and drainage works is scheduled to avoid over-allocation. Resource smoothing ensures optimal equipment use without exceeding capacity.</w:t>
      </w:r>
    </w:p>
    <w:p w14:paraId="1F263526" w14:textId="77777777" w:rsidR="000E21A8" w:rsidRPr="004B6415" w:rsidRDefault="000E21A8" w:rsidP="004B6415">
      <w:pPr>
        <w:spacing w:line="360" w:lineRule="auto"/>
        <w:rPr>
          <w:rFonts w:ascii="Arial" w:hAnsi="Arial" w:cs="Arial"/>
          <w:sz w:val="22"/>
          <w:szCs w:val="22"/>
        </w:rPr>
      </w:pPr>
      <w:r w:rsidRPr="004B6415">
        <w:rPr>
          <w:rFonts w:ascii="Arial" w:hAnsi="Arial" w:cs="Arial"/>
          <w:sz w:val="22"/>
          <w:szCs w:val="22"/>
        </w:rPr>
        <w:t>Earned Value Management (EVM)</w:t>
      </w:r>
      <w:r w:rsidRPr="004B6415">
        <w:rPr>
          <w:rFonts w:ascii="Arial" w:hAnsi="Arial" w:cs="Arial"/>
          <w:sz w:val="22"/>
          <w:szCs w:val="22"/>
        </w:rPr>
        <w:br/>
        <w:t>Weekly performance reviews will calculate:</w:t>
      </w:r>
      <w:r w:rsidRPr="004B6415">
        <w:rPr>
          <w:rFonts w:ascii="Arial" w:hAnsi="Arial" w:cs="Arial"/>
          <w:sz w:val="22"/>
          <w:szCs w:val="22"/>
        </w:rPr>
        <w:br/>
        <w:t>Planned Value (PV)</w:t>
      </w:r>
      <w:r w:rsidRPr="004B6415">
        <w:rPr>
          <w:rFonts w:ascii="Arial" w:hAnsi="Arial" w:cs="Arial"/>
          <w:sz w:val="22"/>
          <w:szCs w:val="22"/>
        </w:rPr>
        <w:br/>
        <w:t>Earned Value (EV)</w:t>
      </w:r>
      <w:r w:rsidRPr="004B6415">
        <w:rPr>
          <w:rFonts w:ascii="Arial" w:hAnsi="Arial" w:cs="Arial"/>
          <w:sz w:val="22"/>
          <w:szCs w:val="22"/>
        </w:rPr>
        <w:br/>
        <w:t>Actual Cost (AC)</w:t>
      </w:r>
      <w:r w:rsidRPr="004B6415">
        <w:rPr>
          <w:rFonts w:ascii="Arial" w:hAnsi="Arial" w:cs="Arial"/>
          <w:sz w:val="22"/>
          <w:szCs w:val="22"/>
        </w:rPr>
        <w:br/>
        <w:t>Schedule Performance Index (SPI) and Cost Performance Index (CPI) will inform corrective actions.</w:t>
      </w:r>
    </w:p>
    <w:p w14:paraId="4B760446" w14:textId="17D1B053" w:rsidR="000E21A8" w:rsidRPr="004B6415" w:rsidRDefault="000E21A8" w:rsidP="004B6415">
      <w:pPr>
        <w:spacing w:line="360" w:lineRule="auto"/>
        <w:rPr>
          <w:rFonts w:ascii="Arial" w:hAnsi="Arial" w:cs="Arial"/>
          <w:sz w:val="22"/>
          <w:szCs w:val="22"/>
        </w:rPr>
      </w:pPr>
      <w:r w:rsidRPr="004B6415">
        <w:rPr>
          <w:rFonts w:ascii="Arial" w:hAnsi="Arial" w:cs="Arial"/>
          <w:sz w:val="22"/>
          <w:szCs w:val="22"/>
        </w:rPr>
        <w:t>Risk-Adjusted Scheduling</w:t>
      </w:r>
      <w:r w:rsidRPr="004B6415">
        <w:rPr>
          <w:rFonts w:ascii="Arial" w:hAnsi="Arial" w:cs="Arial"/>
          <w:sz w:val="22"/>
          <w:szCs w:val="22"/>
        </w:rPr>
        <w:br/>
        <w:t>Contingency buffers of 1–2 days are embedded within non-critical</w:t>
      </w:r>
    </w:p>
    <w:p w14:paraId="58469E55" w14:textId="2599D169" w:rsidR="003316FF" w:rsidRPr="004B6415" w:rsidRDefault="00972B16" w:rsidP="00BD72BB">
      <w:pPr>
        <w:rPr>
          <w:rFonts w:ascii="Arial" w:hAnsi="Arial" w:cs="Arial"/>
          <w:sz w:val="22"/>
          <w:szCs w:val="22"/>
        </w:rPr>
      </w:pPr>
      <w:r w:rsidRPr="004B6415">
        <w:rPr>
          <w:rFonts w:ascii="Arial" w:hAnsi="Arial" w:cs="Arial"/>
          <w:noProof/>
          <w:sz w:val="22"/>
          <w:szCs w:val="22"/>
        </w:rPr>
        <w:lastRenderedPageBreak/>
        <w:drawing>
          <wp:inline distT="0" distB="0" distL="0" distR="0" wp14:anchorId="1B1EE0FD" wp14:editId="763D37FD">
            <wp:extent cx="5046345" cy="3203575"/>
            <wp:effectExtent l="0" t="0" r="1905" b="0"/>
            <wp:docPr id="7321643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46345" cy="3203575"/>
                    </a:xfrm>
                    <a:prstGeom prst="rect">
                      <a:avLst/>
                    </a:prstGeom>
                    <a:noFill/>
                    <a:ln>
                      <a:noFill/>
                    </a:ln>
                  </pic:spPr>
                </pic:pic>
              </a:graphicData>
            </a:graphic>
          </wp:inline>
        </w:drawing>
      </w:r>
    </w:p>
    <w:p w14:paraId="311C1066" w14:textId="77777777" w:rsidR="00972B16" w:rsidRPr="004B6415" w:rsidRDefault="00972B16" w:rsidP="00BD72BB">
      <w:pPr>
        <w:rPr>
          <w:rFonts w:ascii="Arial" w:hAnsi="Arial" w:cs="Arial"/>
          <w:sz w:val="22"/>
          <w:szCs w:val="22"/>
        </w:rPr>
      </w:pPr>
    </w:p>
    <w:p w14:paraId="5909C454" w14:textId="77777777" w:rsidR="00972B16" w:rsidRPr="004B6415" w:rsidRDefault="00972B16" w:rsidP="004B6415">
      <w:pPr>
        <w:spacing w:line="360" w:lineRule="auto"/>
        <w:rPr>
          <w:rFonts w:ascii="Arial" w:hAnsi="Arial" w:cs="Arial"/>
          <w:sz w:val="22"/>
          <w:szCs w:val="22"/>
        </w:rPr>
      </w:pPr>
    </w:p>
    <w:p w14:paraId="264B3592" w14:textId="77777777" w:rsidR="00BD72BB" w:rsidRPr="004B6415" w:rsidRDefault="00BD72BB" w:rsidP="004B6415">
      <w:pPr>
        <w:spacing w:line="360" w:lineRule="auto"/>
        <w:rPr>
          <w:rFonts w:ascii="Arial" w:hAnsi="Arial" w:cs="Arial"/>
          <w:b/>
          <w:sz w:val="22"/>
          <w:szCs w:val="22"/>
        </w:rPr>
      </w:pPr>
      <w:r w:rsidRPr="004B6415">
        <w:rPr>
          <w:rFonts w:ascii="Arial" w:hAnsi="Arial" w:cs="Arial"/>
          <w:b/>
          <w:sz w:val="22"/>
          <w:szCs w:val="22"/>
        </w:rPr>
        <w:t>Stakeholders’ Involvement</w:t>
      </w:r>
    </w:p>
    <w:p w14:paraId="28B6763B" w14:textId="77777777" w:rsidR="00F30346" w:rsidRPr="004B6415" w:rsidRDefault="00F30346" w:rsidP="004B6415">
      <w:pPr>
        <w:spacing w:line="360" w:lineRule="auto"/>
        <w:rPr>
          <w:rFonts w:ascii="Arial" w:hAnsi="Arial" w:cs="Arial"/>
          <w:sz w:val="22"/>
          <w:szCs w:val="22"/>
        </w:rPr>
      </w:pPr>
      <w:r w:rsidRPr="004B6415">
        <w:rPr>
          <w:rFonts w:ascii="Arial" w:hAnsi="Arial" w:cs="Arial"/>
          <w:sz w:val="22"/>
          <w:szCs w:val="22"/>
        </w:rPr>
        <w:t>A key element of project success is stakeholder engagement. Local government officials, national highway agencies, contractors, emergency services, environmental regulators, and local communities are all stakeholders in this project. It is important to carefully handle the unique interests and degrees of influence of each stakeholder group.</w:t>
      </w:r>
    </w:p>
    <w:p w14:paraId="2464C268" w14:textId="77777777" w:rsidR="00F30346" w:rsidRPr="004B6415" w:rsidRDefault="00F30346" w:rsidP="004B6415">
      <w:pPr>
        <w:spacing w:line="360" w:lineRule="auto"/>
        <w:rPr>
          <w:rFonts w:ascii="Arial" w:hAnsi="Arial" w:cs="Arial"/>
          <w:sz w:val="22"/>
          <w:szCs w:val="22"/>
        </w:rPr>
      </w:pPr>
      <w:r w:rsidRPr="004B6415">
        <w:rPr>
          <w:rFonts w:ascii="Arial" w:hAnsi="Arial" w:cs="Arial"/>
          <w:sz w:val="22"/>
          <w:szCs w:val="22"/>
        </w:rPr>
        <w:t xml:space="preserve">Stakeholder interests must be identified, their influence must be evaluated, and suitable engagement tactics must be developed </w:t>
      </w:r>
      <w:proofErr w:type="gramStart"/>
      <w:r w:rsidRPr="004B6415">
        <w:rPr>
          <w:rFonts w:ascii="Arial" w:hAnsi="Arial" w:cs="Arial"/>
          <w:sz w:val="22"/>
          <w:szCs w:val="22"/>
        </w:rPr>
        <w:t>in order to</w:t>
      </w:r>
      <w:proofErr w:type="gramEnd"/>
      <w:r w:rsidRPr="004B6415">
        <w:rPr>
          <w:rFonts w:ascii="Arial" w:hAnsi="Arial" w:cs="Arial"/>
          <w:sz w:val="22"/>
          <w:szCs w:val="22"/>
        </w:rPr>
        <w:t xml:space="preserve"> manage stakeholders effectively. Building trust and ensuring transparency need regular communication. This could involve public statements, meetings, and progress reports. Real-time updates are another way that digital communication tools can improve stakeholder participation.</w:t>
      </w:r>
    </w:p>
    <w:p w14:paraId="297052CA" w14:textId="77777777" w:rsidR="00090094" w:rsidRPr="004B6415" w:rsidRDefault="00090094" w:rsidP="004B6415">
      <w:pPr>
        <w:spacing w:line="360" w:lineRule="auto"/>
        <w:rPr>
          <w:rFonts w:ascii="Arial" w:hAnsi="Arial" w:cs="Arial"/>
          <w:sz w:val="22"/>
          <w:szCs w:val="22"/>
        </w:rPr>
      </w:pPr>
      <w:r w:rsidRPr="004B6415">
        <w:rPr>
          <w:rFonts w:ascii="Arial" w:hAnsi="Arial" w:cs="Arial"/>
          <w:sz w:val="22"/>
          <w:szCs w:val="22"/>
        </w:rPr>
        <w:t>Stakeholder collaboration is more important in infrastructure projects, where several groups must cooperate to achieve shared goals. Involving local communities is also essential since it helps handle issues with environmental implications and traffic delays.</w:t>
      </w:r>
    </w:p>
    <w:p w14:paraId="5524CEC5" w14:textId="77777777" w:rsidR="00090094" w:rsidRPr="004B6415" w:rsidRDefault="00090094" w:rsidP="004B6415">
      <w:pPr>
        <w:spacing w:line="360" w:lineRule="auto"/>
        <w:rPr>
          <w:rFonts w:ascii="Arial" w:hAnsi="Arial" w:cs="Arial"/>
          <w:sz w:val="22"/>
          <w:szCs w:val="22"/>
        </w:rPr>
      </w:pPr>
      <w:r w:rsidRPr="004B6415">
        <w:rPr>
          <w:rFonts w:ascii="Arial" w:hAnsi="Arial" w:cs="Arial"/>
          <w:sz w:val="22"/>
          <w:szCs w:val="22"/>
        </w:rPr>
        <w:t xml:space="preserve">Stakeholder engagement improves project outcomes by promoting collaboration and lowering opposition, claims Freeman (2010). </w:t>
      </w:r>
      <w:proofErr w:type="gramStart"/>
      <w:r w:rsidRPr="004B6415">
        <w:rPr>
          <w:rFonts w:ascii="Arial" w:hAnsi="Arial" w:cs="Arial"/>
          <w:sz w:val="22"/>
          <w:szCs w:val="22"/>
        </w:rPr>
        <w:t>In order to</w:t>
      </w:r>
      <w:proofErr w:type="gramEnd"/>
      <w:r w:rsidRPr="004B6415">
        <w:rPr>
          <w:rFonts w:ascii="Arial" w:hAnsi="Arial" w:cs="Arial"/>
          <w:sz w:val="22"/>
          <w:szCs w:val="22"/>
        </w:rPr>
        <w:t xml:space="preserve"> ensure that all stakeholders are suitably informed and involved throughout the project lifespan, a systematic communication plan will be put into place. This method lowers conflict and boosts project effectiveness overall.</w:t>
      </w:r>
    </w:p>
    <w:p w14:paraId="2E783312" w14:textId="45E1B563" w:rsidR="000E21A8" w:rsidRPr="004B6415" w:rsidRDefault="000E21A8" w:rsidP="004B6415">
      <w:pPr>
        <w:spacing w:line="360" w:lineRule="auto"/>
        <w:rPr>
          <w:rFonts w:ascii="Arial" w:hAnsi="Arial" w:cs="Arial"/>
          <w:sz w:val="22"/>
          <w:szCs w:val="22"/>
        </w:rPr>
      </w:pPr>
      <w:r w:rsidRPr="004B6415">
        <w:rPr>
          <w:rFonts w:ascii="Arial" w:hAnsi="Arial" w:cs="Arial"/>
          <w:sz w:val="22"/>
          <w:szCs w:val="22"/>
        </w:rPr>
        <w:lastRenderedPageBreak/>
        <w:t>There must be Stakeholder Reporting Structure in place which will involve Weekly progress updates to be shared with:</w:t>
      </w:r>
      <w:r w:rsidRPr="004B6415">
        <w:rPr>
          <w:rFonts w:ascii="Arial" w:hAnsi="Arial" w:cs="Arial"/>
          <w:sz w:val="22"/>
          <w:szCs w:val="22"/>
        </w:rPr>
        <w:br/>
        <w:t>National Highways (Sponsor)</w:t>
      </w:r>
      <w:r w:rsidRPr="004B6415">
        <w:rPr>
          <w:rFonts w:ascii="Arial" w:hAnsi="Arial" w:cs="Arial"/>
          <w:sz w:val="22"/>
          <w:szCs w:val="22"/>
        </w:rPr>
        <w:br/>
        <w:t>West Midlands Combined Authority (Regional Coordination)</w:t>
      </w:r>
      <w:r w:rsidRPr="004B6415">
        <w:rPr>
          <w:rFonts w:ascii="Arial" w:hAnsi="Arial" w:cs="Arial"/>
          <w:sz w:val="22"/>
          <w:szCs w:val="22"/>
        </w:rPr>
        <w:br/>
        <w:t>Environment Agency (Compliance Monitoring)</w:t>
      </w:r>
      <w:r w:rsidRPr="004B6415">
        <w:rPr>
          <w:rFonts w:ascii="Arial" w:hAnsi="Arial" w:cs="Arial"/>
          <w:sz w:val="22"/>
          <w:szCs w:val="22"/>
        </w:rPr>
        <w:br/>
        <w:t>Local councils and emergency services</w:t>
      </w:r>
      <w:r w:rsidRPr="004B6415">
        <w:rPr>
          <w:rFonts w:ascii="Arial" w:hAnsi="Arial" w:cs="Arial"/>
          <w:sz w:val="22"/>
          <w:szCs w:val="22"/>
        </w:rPr>
        <w:br/>
        <w:t>A dashboard summarising schedule variance, cost variance, and risk exposure will accompany each report.</w:t>
      </w:r>
    </w:p>
    <w:p w14:paraId="51360D42" w14:textId="77777777" w:rsidR="00866678" w:rsidRPr="004B6415" w:rsidRDefault="00866678" w:rsidP="004B6415">
      <w:pPr>
        <w:spacing w:line="360" w:lineRule="auto"/>
        <w:rPr>
          <w:rFonts w:ascii="Arial" w:hAnsi="Arial" w:cs="Arial"/>
          <w:sz w:val="22"/>
          <w:szCs w:val="22"/>
        </w:rPr>
      </w:pPr>
    </w:p>
    <w:p w14:paraId="5EE92226" w14:textId="77777777" w:rsidR="00BD72BB" w:rsidRPr="004B6415" w:rsidRDefault="00BD72BB" w:rsidP="004B6415">
      <w:pPr>
        <w:spacing w:line="360" w:lineRule="auto"/>
        <w:rPr>
          <w:rFonts w:ascii="Arial" w:hAnsi="Arial" w:cs="Arial"/>
          <w:b/>
          <w:sz w:val="22"/>
          <w:szCs w:val="22"/>
        </w:rPr>
      </w:pPr>
      <w:r w:rsidRPr="004B6415">
        <w:rPr>
          <w:rFonts w:ascii="Arial" w:hAnsi="Arial" w:cs="Arial"/>
          <w:b/>
          <w:sz w:val="22"/>
          <w:szCs w:val="22"/>
        </w:rPr>
        <w:t>Allocation of Resources</w:t>
      </w:r>
    </w:p>
    <w:p w14:paraId="1F4E7F82" w14:textId="77777777" w:rsidR="00090094" w:rsidRPr="004B6415" w:rsidRDefault="00090094" w:rsidP="004B6415">
      <w:pPr>
        <w:spacing w:line="360" w:lineRule="auto"/>
        <w:rPr>
          <w:rFonts w:ascii="Arial" w:hAnsi="Arial" w:cs="Arial"/>
          <w:sz w:val="22"/>
          <w:szCs w:val="22"/>
        </w:rPr>
      </w:pPr>
      <w:r w:rsidRPr="004B6415">
        <w:rPr>
          <w:rFonts w:ascii="Arial" w:hAnsi="Arial" w:cs="Arial"/>
          <w:sz w:val="22"/>
          <w:szCs w:val="22"/>
        </w:rPr>
        <w:t xml:space="preserve">Allocating resources is a crucial factor in determining the success of a project, especially when there are time constraints. </w:t>
      </w:r>
      <w:r w:rsidRPr="004B6415">
        <w:t>The project calls for a combination of financial, material, equipment, and human resources.</w:t>
      </w:r>
      <w:r w:rsidRPr="004B6415">
        <w:rPr>
          <w:rFonts w:ascii="Arial" w:hAnsi="Arial" w:cs="Arial"/>
          <w:sz w:val="22"/>
          <w:szCs w:val="22"/>
        </w:rPr>
        <w:t xml:space="preserve"> Delays are avoided and optimal utilisation is guaranteed via effective allocation.</w:t>
      </w:r>
    </w:p>
    <w:p w14:paraId="217E523B" w14:textId="77777777" w:rsidR="00090094" w:rsidRPr="004B6415" w:rsidRDefault="00090094" w:rsidP="004B6415">
      <w:pPr>
        <w:spacing w:line="360" w:lineRule="auto"/>
        <w:rPr>
          <w:rFonts w:ascii="Arial" w:hAnsi="Arial" w:cs="Arial"/>
          <w:sz w:val="22"/>
          <w:szCs w:val="22"/>
        </w:rPr>
      </w:pPr>
      <w:r w:rsidRPr="004B6415">
        <w:rPr>
          <w:rFonts w:ascii="Arial" w:hAnsi="Arial" w:cs="Arial"/>
          <w:sz w:val="22"/>
          <w:szCs w:val="22"/>
        </w:rPr>
        <w:t>Safety inspectors, construction labourers, civil engineers, and project managers are examples of human resources. Asphalt, concrete, and drainage components are examples of construction materials that make up material resources. Water pumps, excavators, and transport vehicles are among the necessary equipment. To prevent delays, it is crucial to schedule these resources properly.</w:t>
      </w:r>
    </w:p>
    <w:p w14:paraId="0BEBA58A" w14:textId="77777777" w:rsidR="00090094" w:rsidRPr="004B6415" w:rsidRDefault="00090094" w:rsidP="004B6415">
      <w:pPr>
        <w:spacing w:line="360" w:lineRule="auto"/>
        <w:rPr>
          <w:rFonts w:ascii="Arial" w:hAnsi="Arial" w:cs="Arial"/>
          <w:sz w:val="22"/>
          <w:szCs w:val="22"/>
        </w:rPr>
      </w:pPr>
      <w:r w:rsidRPr="004B6415">
        <w:rPr>
          <w:rFonts w:ascii="Arial" w:hAnsi="Arial" w:cs="Arial"/>
          <w:sz w:val="22"/>
          <w:szCs w:val="22"/>
        </w:rPr>
        <w:t>To keep the project within its allocated budget, financial resources must be handled wisely. Earned Value Management (EVM) is one technique that can be utilised to track cost performance and identify deviations (Project Management Institute, 2021). Financial accountability and the prevention of overspending depend on budget control measures.</w:t>
      </w:r>
    </w:p>
    <w:p w14:paraId="1FB61B48" w14:textId="77777777" w:rsidR="00090094" w:rsidRPr="004B6415" w:rsidRDefault="00090094" w:rsidP="004B6415">
      <w:pPr>
        <w:spacing w:line="360" w:lineRule="auto"/>
        <w:rPr>
          <w:rFonts w:ascii="Arial" w:hAnsi="Arial" w:cs="Arial"/>
          <w:sz w:val="22"/>
          <w:szCs w:val="22"/>
        </w:rPr>
      </w:pPr>
      <w:r w:rsidRPr="004B6415">
        <w:rPr>
          <w:rFonts w:ascii="Arial" w:hAnsi="Arial" w:cs="Arial"/>
          <w:sz w:val="22"/>
          <w:szCs w:val="22"/>
        </w:rPr>
        <w:t>Allocating resources effectively ensures that activities are finished on time and that the project achieves its goals without needless spending. It also makes it possible to react adaptably to unanticipated difficulties. Techniques for resource optimisation and levelling can improve efficiency even more (Meredith et al., 2020).</w:t>
      </w:r>
    </w:p>
    <w:p w14:paraId="229F5BA1" w14:textId="5426C184" w:rsidR="00375500" w:rsidRPr="004B6415" w:rsidRDefault="00375500" w:rsidP="004B6415">
      <w:pPr>
        <w:spacing w:line="360" w:lineRule="auto"/>
        <w:rPr>
          <w:rFonts w:ascii="Arial" w:hAnsi="Arial" w:cs="Arial"/>
          <w:sz w:val="22"/>
          <w:szCs w:val="22"/>
        </w:rPr>
      </w:pPr>
      <w:r w:rsidRPr="004B6415">
        <w:rPr>
          <w:rFonts w:ascii="Arial" w:hAnsi="Arial" w:cs="Arial"/>
          <w:sz w:val="22"/>
          <w:szCs w:val="22"/>
        </w:rPr>
        <w:t xml:space="preserve"> </w:t>
      </w:r>
    </w:p>
    <w:p w14:paraId="0B4667B9" w14:textId="77777777" w:rsidR="00BD72BB" w:rsidRPr="004B6415" w:rsidRDefault="00BD72BB" w:rsidP="004B6415">
      <w:pPr>
        <w:spacing w:line="360" w:lineRule="auto"/>
        <w:rPr>
          <w:rFonts w:ascii="Arial" w:hAnsi="Arial" w:cs="Arial"/>
          <w:b/>
          <w:sz w:val="22"/>
          <w:szCs w:val="22"/>
        </w:rPr>
      </w:pPr>
      <w:r w:rsidRPr="004B6415">
        <w:rPr>
          <w:rFonts w:ascii="Arial" w:hAnsi="Arial" w:cs="Arial"/>
          <w:b/>
          <w:sz w:val="22"/>
          <w:szCs w:val="22"/>
        </w:rPr>
        <w:t>Risk Analysis</w:t>
      </w:r>
    </w:p>
    <w:p w14:paraId="5CB40EC4" w14:textId="77777777" w:rsidR="003978FC" w:rsidRPr="004B6415" w:rsidRDefault="003978FC" w:rsidP="004B6415">
      <w:pPr>
        <w:spacing w:line="360" w:lineRule="auto"/>
        <w:rPr>
          <w:rFonts w:ascii="Arial" w:hAnsi="Arial" w:cs="Arial"/>
          <w:sz w:val="22"/>
          <w:szCs w:val="22"/>
        </w:rPr>
      </w:pPr>
      <w:r w:rsidRPr="004B6415">
        <w:rPr>
          <w:rFonts w:ascii="Arial" w:hAnsi="Arial" w:cs="Arial"/>
          <w:sz w:val="22"/>
          <w:szCs w:val="22"/>
        </w:rPr>
        <w:t>Project planning must include risk management, especially when there are environmental concerns. Bad weather, equipment failure, manpower shortages, and safety mistakes are the main hazards related to this project. Active mitigation techniques are made possible by early risk identification.</w:t>
      </w:r>
    </w:p>
    <w:p w14:paraId="5DC8484F" w14:textId="77777777" w:rsidR="003978FC" w:rsidRPr="004B6415" w:rsidRDefault="003978FC" w:rsidP="004B6415">
      <w:pPr>
        <w:spacing w:line="360" w:lineRule="auto"/>
        <w:rPr>
          <w:rFonts w:ascii="Arial" w:hAnsi="Arial" w:cs="Arial"/>
          <w:sz w:val="22"/>
          <w:szCs w:val="22"/>
        </w:rPr>
      </w:pPr>
      <w:r w:rsidRPr="004B6415">
        <w:rPr>
          <w:rFonts w:ascii="Arial" w:hAnsi="Arial" w:cs="Arial"/>
          <w:sz w:val="22"/>
          <w:szCs w:val="22"/>
        </w:rPr>
        <w:lastRenderedPageBreak/>
        <w:t>Each risk's impact and likelihood are assessed using a risk assessment matrix. For instance, weather-related delays are regarded as high-risk since they have the potential to cause schedule disruptions. Flexible scheduling and emergency preparation are examples of mitigation techniques. The accuracy of risk assessments can be further improved by using predictive techniques.</w:t>
      </w:r>
    </w:p>
    <w:p w14:paraId="1336BC44" w14:textId="77777777" w:rsidR="003978FC" w:rsidRPr="004B6415" w:rsidRDefault="003978FC" w:rsidP="004B6415">
      <w:pPr>
        <w:spacing w:line="360" w:lineRule="auto"/>
        <w:rPr>
          <w:rFonts w:ascii="Arial" w:hAnsi="Arial" w:cs="Arial"/>
          <w:sz w:val="22"/>
          <w:szCs w:val="22"/>
        </w:rPr>
      </w:pPr>
      <w:r w:rsidRPr="004B6415">
        <w:rPr>
          <w:rFonts w:ascii="Arial" w:hAnsi="Arial" w:cs="Arial"/>
          <w:sz w:val="22"/>
          <w:szCs w:val="22"/>
        </w:rPr>
        <w:t>Maintaining sufficient inventory levels and finding backup providers might help reduce other risks like resource shortages. Strict adherence to health and safety laws and the implementation of suitable training programs are two ways that safety risks are mitigated.  Regular safety audits are also essentials.</w:t>
      </w:r>
    </w:p>
    <w:p w14:paraId="1C3B3DA5" w14:textId="35E128C3" w:rsidR="00375500" w:rsidRPr="004B6415" w:rsidRDefault="003978FC" w:rsidP="004B6415">
      <w:pPr>
        <w:spacing w:line="360" w:lineRule="auto"/>
        <w:rPr>
          <w:rFonts w:ascii="Arial" w:hAnsi="Arial" w:cs="Arial"/>
          <w:sz w:val="22"/>
          <w:szCs w:val="22"/>
        </w:rPr>
      </w:pPr>
      <w:r w:rsidRPr="004B6415">
        <w:rPr>
          <w:rFonts w:ascii="Arial" w:hAnsi="Arial" w:cs="Arial"/>
          <w:sz w:val="22"/>
          <w:szCs w:val="22"/>
        </w:rPr>
        <w:t>Depending on the type of risk, risk response techniques can involve avoidance, mitigation, transfer, or acceptance (Hillson, 2017). The project team can ensure continuity and reduce interruptions by actively controlling risks. Effective management also requires ongoing risk assessment and monitoring throughout the course of the project.</w:t>
      </w:r>
    </w:p>
    <w:p w14:paraId="7DF869B4" w14:textId="77777777" w:rsidR="00A15DCA" w:rsidRPr="004B6415" w:rsidRDefault="00A15DCA" w:rsidP="004B6415">
      <w:pPr>
        <w:spacing w:line="360" w:lineRule="auto"/>
        <w:rPr>
          <w:rFonts w:ascii="Arial" w:hAnsi="Arial" w:cs="Arial"/>
          <w:sz w:val="22"/>
          <w:szCs w:val="22"/>
        </w:rPr>
      </w:pPr>
      <w:r w:rsidRPr="004B6415">
        <w:rPr>
          <w:rFonts w:ascii="Arial" w:hAnsi="Arial" w:cs="Arial"/>
          <w:sz w:val="22"/>
          <w:szCs w:val="22"/>
        </w:rPr>
        <w:t>These are the major risk considerations within the 4-Week Schedule</w:t>
      </w:r>
      <w:r w:rsidRPr="004B6415">
        <w:rPr>
          <w:rFonts w:ascii="Arial" w:hAnsi="Arial" w:cs="Arial"/>
          <w:sz w:val="22"/>
          <w:szCs w:val="22"/>
        </w:rPr>
        <w:br/>
        <w:t>Impact on the environment activities</w:t>
      </w:r>
      <w:r w:rsidRPr="004B6415">
        <w:rPr>
          <w:rFonts w:ascii="Arial" w:hAnsi="Arial" w:cs="Arial"/>
          <w:sz w:val="22"/>
          <w:szCs w:val="22"/>
        </w:rPr>
        <w:br/>
        <w:t>Mitigation Strategy</w:t>
      </w:r>
      <w:r w:rsidRPr="004B6415">
        <w:rPr>
          <w:rFonts w:ascii="Arial" w:hAnsi="Arial" w:cs="Arial"/>
          <w:sz w:val="22"/>
          <w:szCs w:val="22"/>
        </w:rPr>
        <w:br/>
        <w:t>Unexpected subsoil instability</w:t>
      </w:r>
    </w:p>
    <w:p w14:paraId="3DFC244A" w14:textId="77777777" w:rsidR="00A15DCA" w:rsidRPr="004B6415" w:rsidRDefault="00A15DCA" w:rsidP="004B6415">
      <w:pPr>
        <w:spacing w:line="360" w:lineRule="auto"/>
        <w:rPr>
          <w:rFonts w:ascii="Arial" w:hAnsi="Arial" w:cs="Arial"/>
          <w:sz w:val="22"/>
          <w:szCs w:val="22"/>
        </w:rPr>
      </w:pPr>
      <w:r w:rsidRPr="004B6415">
        <w:rPr>
          <w:rFonts w:ascii="Arial" w:hAnsi="Arial" w:cs="Arial"/>
          <w:sz w:val="22"/>
          <w:szCs w:val="22"/>
        </w:rPr>
        <w:t>Delay in Task within the Terms</w:t>
      </w:r>
      <w:r w:rsidRPr="004B6415">
        <w:rPr>
          <w:rFonts w:ascii="Arial" w:hAnsi="Arial" w:cs="Arial"/>
          <w:sz w:val="22"/>
          <w:szCs w:val="22"/>
        </w:rPr>
        <w:br/>
        <w:t>On-site geotechnical monitoring</w:t>
      </w:r>
      <w:r w:rsidRPr="004B6415">
        <w:rPr>
          <w:rFonts w:ascii="Arial" w:hAnsi="Arial" w:cs="Arial"/>
          <w:sz w:val="22"/>
          <w:szCs w:val="22"/>
        </w:rPr>
        <w:br/>
        <w:t>Heavy rainfall</w:t>
      </w:r>
      <w:r w:rsidRPr="004B6415">
        <w:rPr>
          <w:rFonts w:ascii="Arial" w:hAnsi="Arial" w:cs="Arial"/>
          <w:sz w:val="22"/>
          <w:szCs w:val="22"/>
        </w:rPr>
        <w:br/>
        <w:t>Delay resurfacing</w:t>
      </w:r>
      <w:r w:rsidRPr="004B6415">
        <w:rPr>
          <w:rFonts w:ascii="Arial" w:hAnsi="Arial" w:cs="Arial"/>
          <w:sz w:val="22"/>
          <w:szCs w:val="22"/>
        </w:rPr>
        <w:br/>
        <w:t>Temporary covering &amp; weather tracking</w:t>
      </w:r>
      <w:r w:rsidRPr="004B6415">
        <w:rPr>
          <w:rFonts w:ascii="Arial" w:hAnsi="Arial" w:cs="Arial"/>
          <w:sz w:val="22"/>
          <w:szCs w:val="22"/>
        </w:rPr>
        <w:br/>
        <w:t>Supply chain delays</w:t>
      </w:r>
      <w:r w:rsidRPr="004B6415">
        <w:rPr>
          <w:rFonts w:ascii="Arial" w:hAnsi="Arial" w:cs="Arial"/>
          <w:sz w:val="22"/>
          <w:szCs w:val="22"/>
        </w:rPr>
        <w:br/>
        <w:t>Delay asphalt delivery</w:t>
      </w:r>
      <w:r w:rsidRPr="004B6415">
        <w:rPr>
          <w:rFonts w:ascii="Arial" w:hAnsi="Arial" w:cs="Arial"/>
          <w:sz w:val="22"/>
          <w:szCs w:val="22"/>
        </w:rPr>
        <w:br/>
        <w:t>Pre-approved secondary suppliers</w:t>
      </w:r>
      <w:r w:rsidRPr="004B6415">
        <w:rPr>
          <w:rFonts w:ascii="Arial" w:hAnsi="Arial" w:cs="Arial"/>
          <w:sz w:val="22"/>
          <w:szCs w:val="22"/>
        </w:rPr>
        <w:br/>
        <w:t>Workforce illness or shortage</w:t>
      </w:r>
      <w:r w:rsidRPr="004B6415">
        <w:rPr>
          <w:rFonts w:ascii="Arial" w:hAnsi="Arial" w:cs="Arial"/>
          <w:sz w:val="22"/>
          <w:szCs w:val="22"/>
        </w:rPr>
        <w:br/>
        <w:t>Reduced productivity</w:t>
      </w:r>
      <w:r w:rsidRPr="004B6415">
        <w:rPr>
          <w:rFonts w:ascii="Arial" w:hAnsi="Arial" w:cs="Arial"/>
          <w:sz w:val="22"/>
          <w:szCs w:val="22"/>
        </w:rPr>
        <w:br/>
        <w:t>Overtime allocation</w:t>
      </w:r>
      <w:r w:rsidRPr="004B6415">
        <w:rPr>
          <w:rFonts w:ascii="Arial" w:hAnsi="Arial" w:cs="Arial"/>
          <w:sz w:val="22"/>
          <w:szCs w:val="22"/>
        </w:rPr>
        <w:br/>
        <w:t>The inclusion of parallel task execution increases coordination risk; therefore, daily coordination meetings must be scheduled to maintain alignment and monitor the project.</w:t>
      </w:r>
    </w:p>
    <w:p w14:paraId="53A1F69A" w14:textId="77777777" w:rsidR="00972B16" w:rsidRPr="004B6415" w:rsidRDefault="00972B16" w:rsidP="003978FC">
      <w:pPr>
        <w:rPr>
          <w:rFonts w:ascii="Arial" w:hAnsi="Arial" w:cs="Arial"/>
          <w:sz w:val="22"/>
          <w:szCs w:val="22"/>
        </w:rPr>
      </w:pPr>
    </w:p>
    <w:p w14:paraId="3D79E2C0" w14:textId="77777777" w:rsidR="00BD72BB" w:rsidRPr="004B6415" w:rsidRDefault="00BD72BB" w:rsidP="00BD72BB">
      <w:pPr>
        <w:rPr>
          <w:rFonts w:ascii="Arial" w:hAnsi="Arial" w:cs="Arial"/>
          <w:b/>
          <w:sz w:val="22"/>
          <w:szCs w:val="22"/>
        </w:rPr>
      </w:pPr>
      <w:r w:rsidRPr="004B6415">
        <w:rPr>
          <w:rFonts w:ascii="Arial" w:hAnsi="Arial" w:cs="Arial"/>
          <w:b/>
          <w:sz w:val="22"/>
          <w:szCs w:val="22"/>
        </w:rPr>
        <w:t>Conclusion</w:t>
      </w:r>
    </w:p>
    <w:p w14:paraId="6F306F3A" w14:textId="77777777" w:rsidR="003978FC" w:rsidRPr="004B6415" w:rsidRDefault="003978FC" w:rsidP="004B6415">
      <w:pPr>
        <w:spacing w:line="360" w:lineRule="auto"/>
        <w:rPr>
          <w:rFonts w:ascii="Arial" w:hAnsi="Arial" w:cs="Arial"/>
          <w:sz w:val="22"/>
          <w:szCs w:val="22"/>
        </w:rPr>
      </w:pPr>
      <w:proofErr w:type="gramStart"/>
      <w:r w:rsidRPr="004B6415">
        <w:rPr>
          <w:rFonts w:ascii="Arial" w:hAnsi="Arial" w:cs="Arial"/>
          <w:sz w:val="22"/>
          <w:szCs w:val="22"/>
        </w:rPr>
        <w:t>In order to</w:t>
      </w:r>
      <w:proofErr w:type="gramEnd"/>
      <w:r w:rsidRPr="004B6415">
        <w:rPr>
          <w:rFonts w:ascii="Arial" w:hAnsi="Arial" w:cs="Arial"/>
          <w:sz w:val="22"/>
          <w:szCs w:val="22"/>
        </w:rPr>
        <w:t xml:space="preserve"> successfully reopen the flooded highway in the West Midlands in four weeks, an organised and disciplined approach to project management is needed. This assignment has </w:t>
      </w:r>
      <w:r w:rsidRPr="004B6415">
        <w:rPr>
          <w:rFonts w:ascii="Arial" w:hAnsi="Arial" w:cs="Arial"/>
          <w:sz w:val="22"/>
          <w:szCs w:val="22"/>
        </w:rPr>
        <w:lastRenderedPageBreak/>
        <w:t>shown how well-known techniques and instruments, such as risk analysis frameworks, Gantt charts, WBS, and quad charts, can be used to achieve project goals.</w:t>
      </w:r>
    </w:p>
    <w:p w14:paraId="2F5D5A74" w14:textId="77777777" w:rsidR="003978FC" w:rsidRPr="004B6415" w:rsidRDefault="003978FC" w:rsidP="004B6415">
      <w:pPr>
        <w:spacing w:line="360" w:lineRule="auto"/>
        <w:rPr>
          <w:rFonts w:ascii="Arial" w:hAnsi="Arial" w:cs="Arial"/>
          <w:sz w:val="22"/>
          <w:szCs w:val="22"/>
        </w:rPr>
      </w:pPr>
      <w:r w:rsidRPr="004B6415">
        <w:rPr>
          <w:rFonts w:ascii="Arial" w:hAnsi="Arial" w:cs="Arial"/>
          <w:sz w:val="22"/>
          <w:szCs w:val="22"/>
        </w:rPr>
        <w:t>The project's success depends on effective stakeholder participation, effective resource allocation, and proactive risk management. By following these guidelines, the project team can guarantee the highway's safe, effective, and timely restoration. Effective project delivery also depends on strong collaboration and leadership.</w:t>
      </w:r>
    </w:p>
    <w:p w14:paraId="6A9656E5" w14:textId="77777777" w:rsidR="00002A54" w:rsidRPr="004B6415" w:rsidRDefault="00002A54" w:rsidP="004B6415">
      <w:pPr>
        <w:spacing w:line="360" w:lineRule="auto"/>
        <w:rPr>
          <w:rFonts w:ascii="Arial" w:hAnsi="Arial" w:cs="Arial"/>
          <w:sz w:val="22"/>
          <w:szCs w:val="22"/>
        </w:rPr>
      </w:pPr>
      <w:r w:rsidRPr="004B6415">
        <w:rPr>
          <w:rFonts w:ascii="Arial" w:hAnsi="Arial" w:cs="Arial"/>
          <w:sz w:val="22"/>
          <w:szCs w:val="22"/>
        </w:rPr>
        <w:t>Additionally, including flood mitigation strategies increases the infrastructure's long-term resilience and lowers the possibility of further interruptions. This emphasises how crucial it is for infrastructure management to combine strategic planning with rapid recovery measures. In the end, using organised project management techniques guarantees durable and sustainable infrastructure results in addition to timely delivery. To sum up, this approach shows how important it is to combine theoretical frameworks with real-world application when tackling infrastructure problems.</w:t>
      </w:r>
    </w:p>
    <w:p w14:paraId="24907027" w14:textId="77777777" w:rsidR="00002A54" w:rsidRPr="004B6415" w:rsidRDefault="00002A54" w:rsidP="00002A54">
      <w:pPr>
        <w:rPr>
          <w:rFonts w:ascii="Arial" w:hAnsi="Arial" w:cs="Arial"/>
          <w:sz w:val="22"/>
          <w:szCs w:val="22"/>
        </w:rPr>
      </w:pPr>
    </w:p>
    <w:p w14:paraId="58B0D2DC" w14:textId="78797DE1" w:rsidR="00BD72BB" w:rsidRDefault="00A10836" w:rsidP="00002A54">
      <w:pPr>
        <w:rPr>
          <w:rFonts w:ascii="Arial" w:hAnsi="Arial" w:cs="Arial"/>
          <w:sz w:val="22"/>
          <w:szCs w:val="22"/>
        </w:rPr>
      </w:pPr>
      <w:r>
        <w:rPr>
          <w:rFonts w:ascii="Arial" w:hAnsi="Arial" w:cs="Arial"/>
          <w:sz w:val="22"/>
          <w:szCs w:val="22"/>
        </w:rPr>
        <w:t xml:space="preserve">Reference List </w:t>
      </w:r>
      <w:proofErr w:type="gramStart"/>
      <w:r>
        <w:rPr>
          <w:rFonts w:ascii="Arial" w:hAnsi="Arial" w:cs="Arial"/>
          <w:sz w:val="22"/>
          <w:szCs w:val="22"/>
        </w:rPr>
        <w:t>For</w:t>
      </w:r>
      <w:proofErr w:type="gramEnd"/>
      <w:r>
        <w:rPr>
          <w:rFonts w:ascii="Arial" w:hAnsi="Arial" w:cs="Arial"/>
          <w:sz w:val="22"/>
          <w:szCs w:val="22"/>
        </w:rPr>
        <w:t xml:space="preserve"> Task a, Task B And Task C</w:t>
      </w:r>
    </w:p>
    <w:p w14:paraId="72AF955F" w14:textId="77777777" w:rsidR="00A10836" w:rsidRPr="004B6415" w:rsidRDefault="00A10836" w:rsidP="00002A54">
      <w:pPr>
        <w:rPr>
          <w:rFonts w:ascii="Arial" w:hAnsi="Arial" w:cs="Arial"/>
          <w:sz w:val="22"/>
          <w:szCs w:val="22"/>
        </w:rPr>
      </w:pPr>
    </w:p>
    <w:p w14:paraId="54C71EF3" w14:textId="77777777" w:rsidR="00147BE6" w:rsidRPr="00BC0ECA" w:rsidRDefault="00147BE6" w:rsidP="00147BE6">
      <w:pPr>
        <w:rPr>
          <w:rFonts w:ascii="Arial" w:hAnsi="Arial" w:cs="Arial"/>
          <w:sz w:val="22"/>
          <w:szCs w:val="22"/>
        </w:rPr>
      </w:pPr>
      <w:r w:rsidRPr="00BC0ECA">
        <w:rPr>
          <w:rFonts w:ascii="Arial" w:hAnsi="Arial" w:cs="Arial"/>
          <w:sz w:val="22"/>
          <w:szCs w:val="22"/>
          <w:lang w:val="en-US"/>
        </w:rPr>
        <w:t xml:space="preserve">PMI (2021) </w:t>
      </w:r>
      <w:r w:rsidRPr="00BC0ECA">
        <w:rPr>
          <w:rFonts w:ascii="Arial" w:hAnsi="Arial" w:cs="Arial"/>
          <w:i/>
          <w:iCs/>
          <w:sz w:val="22"/>
          <w:szCs w:val="22"/>
          <w:lang w:val="en-US"/>
        </w:rPr>
        <w:t>A Guide to the Project Management Body of Knowledge (PMBOK® Guide)</w:t>
      </w:r>
      <w:r w:rsidRPr="00BC0ECA">
        <w:rPr>
          <w:rFonts w:ascii="Arial" w:hAnsi="Arial" w:cs="Arial"/>
          <w:sz w:val="22"/>
          <w:szCs w:val="22"/>
          <w:lang w:val="en-US"/>
        </w:rPr>
        <w:t xml:space="preserve">. 7th </w:t>
      </w:r>
      <w:proofErr w:type="spellStart"/>
      <w:proofErr w:type="gramStart"/>
      <w:r w:rsidRPr="00BC0ECA">
        <w:rPr>
          <w:rFonts w:ascii="Arial" w:hAnsi="Arial" w:cs="Arial"/>
          <w:sz w:val="22"/>
          <w:szCs w:val="22"/>
          <w:lang w:val="en-US"/>
        </w:rPr>
        <w:t>edn</w:t>
      </w:r>
      <w:proofErr w:type="spellEnd"/>
      <w:proofErr w:type="gramEnd"/>
      <w:r w:rsidRPr="00BC0ECA">
        <w:rPr>
          <w:rFonts w:ascii="Arial" w:hAnsi="Arial" w:cs="Arial"/>
          <w:sz w:val="22"/>
          <w:szCs w:val="22"/>
          <w:lang w:val="en-US"/>
        </w:rPr>
        <w:t>. Newtown Square: PMI.</w:t>
      </w:r>
    </w:p>
    <w:p w14:paraId="75FB417E" w14:textId="77777777" w:rsidR="00147BE6" w:rsidRPr="00BC0ECA" w:rsidRDefault="00147BE6" w:rsidP="00147BE6">
      <w:pPr>
        <w:rPr>
          <w:rFonts w:ascii="Arial" w:hAnsi="Arial" w:cs="Arial"/>
          <w:sz w:val="22"/>
          <w:szCs w:val="22"/>
        </w:rPr>
      </w:pPr>
      <w:r w:rsidRPr="00BC0ECA">
        <w:rPr>
          <w:rFonts w:ascii="Arial" w:hAnsi="Arial" w:cs="Arial"/>
          <w:sz w:val="22"/>
          <w:szCs w:val="22"/>
          <w:lang w:val="en-US"/>
        </w:rPr>
        <w:t xml:space="preserve">Cvetković, V.M., Renner, R. and Vladimir Jakovljević (2024). Industrial Disasters and Hazards: From Causes to Consequences — a Holistic Approach to Resilience. </w:t>
      </w:r>
      <w:r w:rsidRPr="00BC0ECA">
        <w:rPr>
          <w:rFonts w:ascii="Arial" w:hAnsi="Arial" w:cs="Arial"/>
          <w:i/>
          <w:iCs/>
          <w:sz w:val="22"/>
          <w:szCs w:val="22"/>
          <w:lang w:val="en-US"/>
        </w:rPr>
        <w:t>International Journal of Disaster Risk Management</w:t>
      </w:r>
      <w:r w:rsidRPr="00BC0ECA">
        <w:rPr>
          <w:rFonts w:ascii="Arial" w:hAnsi="Arial" w:cs="Arial"/>
          <w:sz w:val="22"/>
          <w:szCs w:val="22"/>
          <w:lang w:val="en-US"/>
        </w:rPr>
        <w:t xml:space="preserve">, [online] 6(2), pp.149–168. </w:t>
      </w:r>
    </w:p>
    <w:p w14:paraId="430C6A39" w14:textId="77777777" w:rsidR="00147BE6" w:rsidRPr="00BC0ECA" w:rsidRDefault="00147BE6" w:rsidP="00147BE6">
      <w:pPr>
        <w:rPr>
          <w:rFonts w:ascii="Arial" w:hAnsi="Arial" w:cs="Arial"/>
          <w:sz w:val="22"/>
          <w:szCs w:val="22"/>
        </w:rPr>
      </w:pPr>
      <w:r w:rsidRPr="00BC0ECA">
        <w:rPr>
          <w:rFonts w:ascii="Arial" w:hAnsi="Arial" w:cs="Arial"/>
          <w:sz w:val="22"/>
          <w:szCs w:val="22"/>
          <w:lang w:val="en-US"/>
        </w:rPr>
        <w:t xml:space="preserve">Dyke, C.V., Jasper, J., Asher, J. and Waddle, S. (2024). Using Knowledge of Human Factors to Strengthen Highway Design. </w:t>
      </w:r>
      <w:proofErr w:type="spellStart"/>
      <w:r w:rsidRPr="00BC0ECA">
        <w:rPr>
          <w:rFonts w:ascii="Arial" w:hAnsi="Arial" w:cs="Arial"/>
          <w:i/>
          <w:iCs/>
          <w:sz w:val="22"/>
          <w:szCs w:val="22"/>
          <w:lang w:val="en-US"/>
        </w:rPr>
        <w:t>UKnowledge</w:t>
      </w:r>
      <w:proofErr w:type="spellEnd"/>
      <w:r w:rsidRPr="00BC0ECA">
        <w:rPr>
          <w:rFonts w:ascii="Arial" w:hAnsi="Arial" w:cs="Arial"/>
          <w:sz w:val="22"/>
          <w:szCs w:val="22"/>
          <w:lang w:val="en-US"/>
        </w:rPr>
        <w:t xml:space="preserve">. [online] </w:t>
      </w:r>
    </w:p>
    <w:p w14:paraId="4E53D277" w14:textId="77777777" w:rsidR="00147BE6" w:rsidRPr="00BC0ECA" w:rsidRDefault="00147BE6" w:rsidP="00147BE6">
      <w:pPr>
        <w:rPr>
          <w:rFonts w:ascii="Arial" w:hAnsi="Arial" w:cs="Arial"/>
          <w:sz w:val="22"/>
          <w:szCs w:val="22"/>
        </w:rPr>
      </w:pPr>
      <w:r w:rsidRPr="00BC0ECA">
        <w:rPr>
          <w:rFonts w:ascii="Arial" w:hAnsi="Arial" w:cs="Arial"/>
          <w:sz w:val="22"/>
          <w:szCs w:val="22"/>
          <w:lang w:val="en-US"/>
        </w:rPr>
        <w:t xml:space="preserve">Johnson, J. (2025). </w:t>
      </w:r>
      <w:r w:rsidRPr="00BC0ECA">
        <w:rPr>
          <w:rFonts w:ascii="Arial" w:hAnsi="Arial" w:cs="Arial"/>
          <w:i/>
          <w:iCs/>
          <w:sz w:val="22"/>
          <w:szCs w:val="22"/>
          <w:lang w:val="en-US"/>
        </w:rPr>
        <w:t xml:space="preserve">Empowering Diversity: A </w:t>
      </w:r>
      <w:proofErr w:type="spellStart"/>
      <w:r w:rsidRPr="00BC0ECA">
        <w:rPr>
          <w:rFonts w:ascii="Arial" w:hAnsi="Arial" w:cs="Arial"/>
          <w:i/>
          <w:iCs/>
          <w:sz w:val="22"/>
          <w:szCs w:val="22"/>
          <w:lang w:val="en-US"/>
        </w:rPr>
        <w:t>Comprehensvie</w:t>
      </w:r>
      <w:proofErr w:type="spellEnd"/>
      <w:r w:rsidRPr="00BC0ECA">
        <w:rPr>
          <w:rFonts w:ascii="Arial" w:hAnsi="Arial" w:cs="Arial"/>
          <w:i/>
          <w:iCs/>
          <w:sz w:val="22"/>
          <w:szCs w:val="22"/>
          <w:lang w:val="en-US"/>
        </w:rPr>
        <w:t xml:space="preserve"> Approach to Minority Risk Management Education</w:t>
      </w:r>
      <w:r w:rsidRPr="00BC0ECA">
        <w:rPr>
          <w:rFonts w:ascii="Arial" w:hAnsi="Arial" w:cs="Arial"/>
          <w:sz w:val="22"/>
          <w:szCs w:val="22"/>
          <w:lang w:val="en-US"/>
        </w:rPr>
        <w:t xml:space="preserve">. [online] </w:t>
      </w:r>
      <w:proofErr w:type="spellStart"/>
      <w:r w:rsidRPr="00BC0ECA">
        <w:rPr>
          <w:rFonts w:ascii="Arial" w:hAnsi="Arial" w:cs="Arial"/>
          <w:sz w:val="22"/>
          <w:szCs w:val="22"/>
          <w:lang w:val="en-US"/>
        </w:rPr>
        <w:t>DigitalCommons@University</w:t>
      </w:r>
      <w:proofErr w:type="spellEnd"/>
      <w:r w:rsidRPr="00BC0ECA">
        <w:rPr>
          <w:rFonts w:ascii="Arial" w:hAnsi="Arial" w:cs="Arial"/>
          <w:sz w:val="22"/>
          <w:szCs w:val="22"/>
          <w:lang w:val="en-US"/>
        </w:rPr>
        <w:t xml:space="preserve"> of Nebraska - Lincoln. </w:t>
      </w:r>
    </w:p>
    <w:p w14:paraId="00BDFD32" w14:textId="77777777" w:rsidR="00147BE6" w:rsidRPr="00BC0ECA" w:rsidRDefault="00147BE6" w:rsidP="00147BE6">
      <w:pPr>
        <w:rPr>
          <w:rFonts w:ascii="Arial" w:hAnsi="Arial" w:cs="Arial"/>
          <w:sz w:val="22"/>
          <w:szCs w:val="22"/>
        </w:rPr>
      </w:pPr>
      <w:r w:rsidRPr="00BC0ECA">
        <w:rPr>
          <w:rFonts w:ascii="Arial" w:hAnsi="Arial" w:cs="Arial"/>
          <w:sz w:val="22"/>
          <w:szCs w:val="22"/>
          <w:lang w:val="en-US"/>
        </w:rPr>
        <w:t xml:space="preserve">Mishra, A., Mukherjee, S., Merz, B., Singh, V.P., Wright, D.B., Villarini, G., Paul, S., Kumar, D.N., Khedun, C.P., Niyogi, D., Schumann, G. and </w:t>
      </w:r>
      <w:proofErr w:type="spellStart"/>
      <w:r w:rsidRPr="00BC0ECA">
        <w:rPr>
          <w:rFonts w:ascii="Arial" w:hAnsi="Arial" w:cs="Arial"/>
          <w:sz w:val="22"/>
          <w:szCs w:val="22"/>
          <w:lang w:val="en-US"/>
        </w:rPr>
        <w:t>Stedinger</w:t>
      </w:r>
      <w:proofErr w:type="spellEnd"/>
      <w:r w:rsidRPr="00BC0ECA">
        <w:rPr>
          <w:rFonts w:ascii="Arial" w:hAnsi="Arial" w:cs="Arial"/>
          <w:sz w:val="22"/>
          <w:szCs w:val="22"/>
          <w:lang w:val="en-US"/>
        </w:rPr>
        <w:t xml:space="preserve">, J.R. (2022). An Overview of Flood Concepts, Challenges, and Future Directions. </w:t>
      </w:r>
      <w:r w:rsidRPr="00BC0ECA">
        <w:rPr>
          <w:rFonts w:ascii="Arial" w:hAnsi="Arial" w:cs="Arial"/>
          <w:i/>
          <w:iCs/>
          <w:sz w:val="22"/>
          <w:szCs w:val="22"/>
          <w:lang w:val="en-US"/>
        </w:rPr>
        <w:t>Journal of Hydrologic Engineering</w:t>
      </w:r>
      <w:r w:rsidRPr="00BC0ECA">
        <w:rPr>
          <w:rFonts w:ascii="Arial" w:hAnsi="Arial" w:cs="Arial"/>
          <w:sz w:val="22"/>
          <w:szCs w:val="22"/>
          <w:lang w:val="en-US"/>
        </w:rPr>
        <w:t xml:space="preserve">, 27(6). </w:t>
      </w:r>
    </w:p>
    <w:p w14:paraId="13A7121A" w14:textId="77777777" w:rsidR="00147BE6" w:rsidRPr="00BC0ECA" w:rsidRDefault="00147BE6" w:rsidP="00147BE6">
      <w:pPr>
        <w:rPr>
          <w:rFonts w:ascii="Arial" w:hAnsi="Arial" w:cs="Arial"/>
          <w:sz w:val="22"/>
          <w:szCs w:val="22"/>
        </w:rPr>
      </w:pPr>
      <w:proofErr w:type="spellStart"/>
      <w:r w:rsidRPr="00BC0ECA">
        <w:rPr>
          <w:rFonts w:ascii="Arial" w:hAnsi="Arial" w:cs="Arial"/>
          <w:sz w:val="22"/>
          <w:szCs w:val="22"/>
          <w:lang w:val="en-US"/>
        </w:rPr>
        <w:t>Odedairo</w:t>
      </w:r>
      <w:proofErr w:type="spellEnd"/>
      <w:r w:rsidRPr="00BC0ECA">
        <w:rPr>
          <w:rFonts w:ascii="Arial" w:hAnsi="Arial" w:cs="Arial"/>
          <w:sz w:val="22"/>
          <w:szCs w:val="22"/>
          <w:lang w:val="en-US"/>
        </w:rPr>
        <w:t xml:space="preserve">, B.O. (2024). Assessing the influence of various work breakdown structures on project completion time. </w:t>
      </w:r>
      <w:r w:rsidRPr="00BC0ECA">
        <w:rPr>
          <w:rFonts w:ascii="Arial" w:hAnsi="Arial" w:cs="Arial"/>
          <w:i/>
          <w:iCs/>
          <w:sz w:val="22"/>
          <w:szCs w:val="22"/>
          <w:lang w:val="en-US"/>
        </w:rPr>
        <w:t>Engineering, Technology &amp; Applied Science Research</w:t>
      </w:r>
      <w:r w:rsidRPr="00BC0ECA">
        <w:rPr>
          <w:rFonts w:ascii="Arial" w:hAnsi="Arial" w:cs="Arial"/>
          <w:sz w:val="22"/>
          <w:szCs w:val="22"/>
          <w:lang w:val="en-US"/>
        </w:rPr>
        <w:t xml:space="preserve">, [online] 14(2), pp.13773–13779. </w:t>
      </w:r>
    </w:p>
    <w:p w14:paraId="0B6E25FF" w14:textId="77777777" w:rsidR="00147BE6" w:rsidRPr="00BC0ECA" w:rsidRDefault="00147BE6" w:rsidP="00147BE6">
      <w:pPr>
        <w:rPr>
          <w:rFonts w:ascii="Arial" w:hAnsi="Arial" w:cs="Arial"/>
          <w:sz w:val="22"/>
          <w:szCs w:val="22"/>
        </w:rPr>
      </w:pPr>
      <w:proofErr w:type="spellStart"/>
      <w:r w:rsidRPr="00BC0ECA">
        <w:rPr>
          <w:rFonts w:ascii="Arial" w:hAnsi="Arial" w:cs="Arial"/>
          <w:sz w:val="22"/>
          <w:szCs w:val="22"/>
          <w:lang w:val="en-US"/>
        </w:rPr>
        <w:t>Ongesa</w:t>
      </w:r>
      <w:proofErr w:type="spellEnd"/>
      <w:r w:rsidRPr="00BC0ECA">
        <w:rPr>
          <w:rFonts w:ascii="Arial" w:hAnsi="Arial" w:cs="Arial"/>
          <w:sz w:val="22"/>
          <w:szCs w:val="22"/>
          <w:lang w:val="en-US"/>
        </w:rPr>
        <w:t xml:space="preserve">, T.N., Ugwu, O.P.-C., Ugwu, C.N., Alum, E.U., Eze, V.H.U., </w:t>
      </w:r>
      <w:proofErr w:type="spellStart"/>
      <w:r w:rsidRPr="00BC0ECA">
        <w:rPr>
          <w:rFonts w:ascii="Arial" w:hAnsi="Arial" w:cs="Arial"/>
          <w:sz w:val="22"/>
          <w:szCs w:val="22"/>
          <w:lang w:val="en-US"/>
        </w:rPr>
        <w:t>Basajja</w:t>
      </w:r>
      <w:proofErr w:type="spellEnd"/>
      <w:r w:rsidRPr="00BC0ECA">
        <w:rPr>
          <w:rFonts w:ascii="Arial" w:hAnsi="Arial" w:cs="Arial"/>
          <w:sz w:val="22"/>
          <w:szCs w:val="22"/>
          <w:lang w:val="en-US"/>
        </w:rPr>
        <w:t xml:space="preserve">, M., Ugwu, J.N., Ogenyi, F.C., Okon, M.B. and </w:t>
      </w:r>
      <w:proofErr w:type="spellStart"/>
      <w:r w:rsidRPr="00BC0ECA">
        <w:rPr>
          <w:rFonts w:ascii="Arial" w:hAnsi="Arial" w:cs="Arial"/>
          <w:sz w:val="22"/>
          <w:szCs w:val="22"/>
          <w:lang w:val="en-US"/>
        </w:rPr>
        <w:t>Ejemot-Nwadiaro</w:t>
      </w:r>
      <w:proofErr w:type="spellEnd"/>
      <w:r w:rsidRPr="00BC0ECA">
        <w:rPr>
          <w:rFonts w:ascii="Arial" w:hAnsi="Arial" w:cs="Arial"/>
          <w:sz w:val="22"/>
          <w:szCs w:val="22"/>
          <w:lang w:val="en-US"/>
        </w:rPr>
        <w:t xml:space="preserve">, R.I. (2025). Optimizing emergency response systems in urban health crises: A project management approach to public health preparedness and response. </w:t>
      </w:r>
      <w:r w:rsidRPr="00BC0ECA">
        <w:rPr>
          <w:rFonts w:ascii="Arial" w:hAnsi="Arial" w:cs="Arial"/>
          <w:i/>
          <w:iCs/>
          <w:sz w:val="22"/>
          <w:szCs w:val="22"/>
          <w:lang w:val="en-US"/>
        </w:rPr>
        <w:t>Medicine</w:t>
      </w:r>
      <w:r w:rsidRPr="00BC0ECA">
        <w:rPr>
          <w:rFonts w:ascii="Arial" w:hAnsi="Arial" w:cs="Arial"/>
          <w:sz w:val="22"/>
          <w:szCs w:val="22"/>
          <w:lang w:val="en-US"/>
        </w:rPr>
        <w:t xml:space="preserve">, [online] 104(3), p.e41279. </w:t>
      </w:r>
    </w:p>
    <w:p w14:paraId="1BB46F9C" w14:textId="77777777" w:rsidR="00147BE6" w:rsidRPr="00BC0ECA" w:rsidRDefault="00147BE6" w:rsidP="00147BE6">
      <w:pPr>
        <w:rPr>
          <w:rFonts w:ascii="Arial" w:hAnsi="Arial" w:cs="Arial"/>
          <w:sz w:val="22"/>
          <w:szCs w:val="22"/>
        </w:rPr>
      </w:pPr>
      <w:r w:rsidRPr="00BC0ECA">
        <w:rPr>
          <w:rFonts w:ascii="Arial" w:hAnsi="Arial" w:cs="Arial"/>
          <w:sz w:val="22"/>
          <w:szCs w:val="22"/>
          <w:lang w:val="en-US"/>
        </w:rPr>
        <w:lastRenderedPageBreak/>
        <w:t xml:space="preserve">Rehman, A. (2024). Modular Emergency Relief: A Proposal for Integrating Modular Buildings into Post-Flood Reconstruction and Recovery. </w:t>
      </w:r>
      <w:r w:rsidRPr="00BC0ECA">
        <w:rPr>
          <w:rFonts w:ascii="Arial" w:hAnsi="Arial" w:cs="Arial"/>
          <w:i/>
          <w:iCs/>
          <w:sz w:val="22"/>
          <w:szCs w:val="22"/>
          <w:lang w:val="en-US"/>
        </w:rPr>
        <w:t>Theseus.fi</w:t>
      </w:r>
      <w:r w:rsidRPr="00BC0ECA">
        <w:rPr>
          <w:rFonts w:ascii="Arial" w:hAnsi="Arial" w:cs="Arial"/>
          <w:sz w:val="22"/>
          <w:szCs w:val="22"/>
          <w:lang w:val="en-US"/>
        </w:rPr>
        <w:t xml:space="preserve">. [online] </w:t>
      </w:r>
    </w:p>
    <w:p w14:paraId="742A65D5" w14:textId="77777777" w:rsidR="00147BE6" w:rsidRPr="00BC0ECA" w:rsidRDefault="00147BE6" w:rsidP="00147BE6">
      <w:pPr>
        <w:rPr>
          <w:rFonts w:ascii="Arial" w:hAnsi="Arial" w:cs="Arial"/>
          <w:sz w:val="22"/>
          <w:szCs w:val="22"/>
        </w:rPr>
      </w:pPr>
      <w:r w:rsidRPr="00BC0ECA">
        <w:rPr>
          <w:rFonts w:ascii="Arial" w:hAnsi="Arial" w:cs="Arial"/>
          <w:sz w:val="22"/>
          <w:szCs w:val="22"/>
          <w:lang w:val="en-US"/>
        </w:rPr>
        <w:t xml:space="preserve">Tiza, M.T., Imoni, S., Akande, E.O., </w:t>
      </w:r>
      <w:proofErr w:type="spellStart"/>
      <w:r w:rsidRPr="00BC0ECA">
        <w:rPr>
          <w:rFonts w:ascii="Arial" w:hAnsi="Arial" w:cs="Arial"/>
          <w:sz w:val="22"/>
          <w:szCs w:val="22"/>
          <w:lang w:val="en-US"/>
        </w:rPr>
        <w:t>Mogbo</w:t>
      </w:r>
      <w:proofErr w:type="spellEnd"/>
      <w:r w:rsidRPr="00BC0ECA">
        <w:rPr>
          <w:rFonts w:ascii="Arial" w:hAnsi="Arial" w:cs="Arial"/>
          <w:sz w:val="22"/>
          <w:szCs w:val="22"/>
          <w:lang w:val="en-US"/>
        </w:rPr>
        <w:t xml:space="preserve">, O., Jiya, V.H. and </w:t>
      </w:r>
      <w:proofErr w:type="spellStart"/>
      <w:r w:rsidRPr="00BC0ECA">
        <w:rPr>
          <w:rFonts w:ascii="Arial" w:hAnsi="Arial" w:cs="Arial"/>
          <w:sz w:val="22"/>
          <w:szCs w:val="22"/>
          <w:lang w:val="en-US"/>
        </w:rPr>
        <w:t>Onuzulike</w:t>
      </w:r>
      <w:proofErr w:type="spellEnd"/>
      <w:r w:rsidRPr="00BC0ECA">
        <w:rPr>
          <w:rFonts w:ascii="Arial" w:hAnsi="Arial" w:cs="Arial"/>
          <w:sz w:val="22"/>
          <w:szCs w:val="22"/>
          <w:lang w:val="en-US"/>
        </w:rPr>
        <w:t xml:space="preserve">, C. (2024). Revolutionizing Infrastructure Development: Exploring Cutting-Edge Advances in Civil Engineering Materials. </w:t>
      </w:r>
      <w:r w:rsidRPr="00BC0ECA">
        <w:rPr>
          <w:rFonts w:ascii="Arial" w:hAnsi="Arial" w:cs="Arial"/>
          <w:i/>
          <w:iCs/>
          <w:sz w:val="22"/>
          <w:szCs w:val="22"/>
          <w:lang w:val="en-US"/>
        </w:rPr>
        <w:t>Recent Progress in Materials</w:t>
      </w:r>
      <w:r w:rsidRPr="00BC0ECA">
        <w:rPr>
          <w:rFonts w:ascii="Arial" w:hAnsi="Arial" w:cs="Arial"/>
          <w:sz w:val="22"/>
          <w:szCs w:val="22"/>
          <w:lang w:val="en-US"/>
        </w:rPr>
        <w:t>, 06(03), pp.1–68.</w:t>
      </w:r>
    </w:p>
    <w:p w14:paraId="1991A0BE" w14:textId="77777777" w:rsidR="00147BE6" w:rsidRPr="00BC0ECA" w:rsidRDefault="00147BE6" w:rsidP="00147BE6">
      <w:pPr>
        <w:rPr>
          <w:rFonts w:ascii="Arial" w:hAnsi="Arial" w:cs="Arial"/>
          <w:sz w:val="22"/>
          <w:szCs w:val="22"/>
        </w:rPr>
      </w:pPr>
      <w:r w:rsidRPr="00BC0ECA">
        <w:rPr>
          <w:rFonts w:ascii="Arial" w:hAnsi="Arial" w:cs="Arial"/>
          <w:sz w:val="22"/>
          <w:szCs w:val="22"/>
          <w:lang w:val="en-US"/>
        </w:rPr>
        <w:t xml:space="preserve">Wadhwa, K. (2024). The Role of Gantt Chart in </w:t>
      </w:r>
      <w:proofErr w:type="gramStart"/>
      <w:r w:rsidRPr="00BC0ECA">
        <w:rPr>
          <w:rFonts w:ascii="Arial" w:hAnsi="Arial" w:cs="Arial"/>
          <w:sz w:val="22"/>
          <w:szCs w:val="22"/>
          <w:lang w:val="en-US"/>
        </w:rPr>
        <w:t>the Project</w:t>
      </w:r>
      <w:proofErr w:type="gramEnd"/>
      <w:r w:rsidRPr="00BC0ECA">
        <w:rPr>
          <w:rFonts w:ascii="Arial" w:hAnsi="Arial" w:cs="Arial"/>
          <w:sz w:val="22"/>
          <w:szCs w:val="22"/>
          <w:lang w:val="en-US"/>
        </w:rPr>
        <w:t xml:space="preserve"> Management. </w:t>
      </w:r>
      <w:r w:rsidRPr="00BC0ECA">
        <w:rPr>
          <w:rFonts w:ascii="Arial" w:hAnsi="Arial" w:cs="Arial"/>
          <w:i/>
          <w:iCs/>
          <w:sz w:val="22"/>
          <w:szCs w:val="22"/>
          <w:lang w:val="en-US"/>
        </w:rPr>
        <w:t>Theseus.fi</w:t>
      </w:r>
      <w:r w:rsidRPr="00BC0ECA">
        <w:rPr>
          <w:rFonts w:ascii="Arial" w:hAnsi="Arial" w:cs="Arial"/>
          <w:sz w:val="22"/>
          <w:szCs w:val="22"/>
          <w:lang w:val="en-US"/>
        </w:rPr>
        <w:t>, [online] 1(1). Available at: https://www.theseus.</w:t>
      </w:r>
    </w:p>
    <w:p w14:paraId="02D05ABD" w14:textId="77777777" w:rsidR="00147BE6" w:rsidRPr="00F63E32" w:rsidRDefault="00147BE6" w:rsidP="00147BE6">
      <w:pPr>
        <w:rPr>
          <w:rFonts w:ascii="Arial" w:hAnsi="Arial" w:cs="Arial"/>
          <w:sz w:val="22"/>
          <w:szCs w:val="22"/>
          <w:lang w:val="en-US"/>
        </w:rPr>
      </w:pPr>
      <w:r w:rsidRPr="00BC0ECA">
        <w:rPr>
          <w:rFonts w:ascii="Arial" w:hAnsi="Arial" w:cs="Arial"/>
          <w:sz w:val="22"/>
          <w:szCs w:val="22"/>
          <w:lang w:val="en-US"/>
        </w:rPr>
        <w:t xml:space="preserve">Zhang, J., Wang, H., Huang, J., Wang, Y. and Liu, G.-F. (2023). A study on dynamic simulation and improvement strategies of flood resilience for urban road system. </w:t>
      </w:r>
      <w:r w:rsidRPr="00BC0ECA">
        <w:rPr>
          <w:rFonts w:ascii="Arial" w:hAnsi="Arial" w:cs="Arial"/>
          <w:i/>
          <w:iCs/>
          <w:sz w:val="22"/>
          <w:szCs w:val="22"/>
          <w:lang w:val="en-US"/>
        </w:rPr>
        <w:t>Journal of Environmental Management</w:t>
      </w:r>
      <w:r w:rsidRPr="00BC0ECA">
        <w:rPr>
          <w:rFonts w:ascii="Arial" w:hAnsi="Arial" w:cs="Arial"/>
          <w:sz w:val="22"/>
          <w:szCs w:val="22"/>
          <w:lang w:val="en-US"/>
        </w:rPr>
        <w:t xml:space="preserve">, 344, pp.118770–118770. </w:t>
      </w:r>
    </w:p>
    <w:p w14:paraId="0E35C39A" w14:textId="77777777" w:rsidR="00147BE6" w:rsidRPr="00F63E32" w:rsidRDefault="00147BE6" w:rsidP="00147BE6">
      <w:pPr>
        <w:rPr>
          <w:rFonts w:ascii="Arial" w:hAnsi="Arial" w:cs="Arial"/>
          <w:sz w:val="22"/>
          <w:szCs w:val="22"/>
        </w:rPr>
      </w:pPr>
      <w:r w:rsidRPr="00F63E32">
        <w:rPr>
          <w:rFonts w:ascii="Arial" w:hAnsi="Arial" w:cs="Arial"/>
          <w:sz w:val="22"/>
          <w:szCs w:val="22"/>
        </w:rPr>
        <w:t>Freeman, R.E. (2010) Strategic Management: A Stakeholder Approach. Cambridge: Cambridge University Press.</w:t>
      </w:r>
    </w:p>
    <w:p w14:paraId="3F9DB49A" w14:textId="77777777" w:rsidR="00147BE6" w:rsidRPr="00F63E32" w:rsidRDefault="00147BE6" w:rsidP="00147BE6">
      <w:pPr>
        <w:rPr>
          <w:rFonts w:ascii="Arial" w:hAnsi="Arial" w:cs="Arial"/>
          <w:sz w:val="22"/>
          <w:szCs w:val="22"/>
        </w:rPr>
      </w:pPr>
      <w:r w:rsidRPr="00F63E32">
        <w:rPr>
          <w:rFonts w:ascii="Arial" w:hAnsi="Arial" w:cs="Arial"/>
          <w:sz w:val="22"/>
          <w:szCs w:val="22"/>
        </w:rPr>
        <w:t xml:space="preserve">Hillson, D. (2017) Practical Project Risk Management. 3rd </w:t>
      </w:r>
      <w:proofErr w:type="spellStart"/>
      <w:r w:rsidRPr="00F63E32">
        <w:rPr>
          <w:rFonts w:ascii="Arial" w:hAnsi="Arial" w:cs="Arial"/>
          <w:sz w:val="22"/>
          <w:szCs w:val="22"/>
        </w:rPr>
        <w:t>edn</w:t>
      </w:r>
      <w:proofErr w:type="spellEnd"/>
      <w:r w:rsidRPr="00F63E32">
        <w:rPr>
          <w:rFonts w:ascii="Arial" w:hAnsi="Arial" w:cs="Arial"/>
          <w:sz w:val="22"/>
          <w:szCs w:val="22"/>
        </w:rPr>
        <w:t>. Vienna: Management Concepts.</w:t>
      </w:r>
    </w:p>
    <w:p w14:paraId="202657A2" w14:textId="77777777" w:rsidR="00147BE6" w:rsidRPr="00F63E32" w:rsidRDefault="00147BE6" w:rsidP="00147BE6">
      <w:pPr>
        <w:rPr>
          <w:rFonts w:ascii="Arial" w:hAnsi="Arial" w:cs="Arial"/>
          <w:sz w:val="22"/>
          <w:szCs w:val="22"/>
        </w:rPr>
      </w:pPr>
      <w:r w:rsidRPr="00F63E32">
        <w:rPr>
          <w:rFonts w:ascii="Arial" w:hAnsi="Arial" w:cs="Arial"/>
          <w:sz w:val="22"/>
          <w:szCs w:val="22"/>
        </w:rPr>
        <w:t xml:space="preserve">Kerzner, H. (2022) Project Management: A Systems Approach to Planning, Scheduling, and Controlling. 13th </w:t>
      </w:r>
      <w:proofErr w:type="spellStart"/>
      <w:r w:rsidRPr="00F63E32">
        <w:rPr>
          <w:rFonts w:ascii="Arial" w:hAnsi="Arial" w:cs="Arial"/>
          <w:sz w:val="22"/>
          <w:szCs w:val="22"/>
        </w:rPr>
        <w:t>edn</w:t>
      </w:r>
      <w:proofErr w:type="spellEnd"/>
      <w:r w:rsidRPr="00F63E32">
        <w:rPr>
          <w:rFonts w:ascii="Arial" w:hAnsi="Arial" w:cs="Arial"/>
          <w:sz w:val="22"/>
          <w:szCs w:val="22"/>
        </w:rPr>
        <w:t>. Hoboken: Wiley.</w:t>
      </w:r>
    </w:p>
    <w:p w14:paraId="79FC939A" w14:textId="77777777" w:rsidR="00147BE6" w:rsidRPr="00F63E32" w:rsidRDefault="00147BE6" w:rsidP="00147BE6">
      <w:pPr>
        <w:rPr>
          <w:rFonts w:ascii="Arial" w:hAnsi="Arial" w:cs="Arial"/>
          <w:sz w:val="22"/>
          <w:szCs w:val="22"/>
        </w:rPr>
      </w:pPr>
      <w:r w:rsidRPr="00F63E32">
        <w:rPr>
          <w:rFonts w:ascii="Arial" w:hAnsi="Arial" w:cs="Arial"/>
          <w:sz w:val="22"/>
          <w:szCs w:val="22"/>
        </w:rPr>
        <w:t xml:space="preserve">Lock, D. (2020) Project Management. 11th </w:t>
      </w:r>
      <w:proofErr w:type="spellStart"/>
      <w:r w:rsidRPr="00F63E32">
        <w:rPr>
          <w:rFonts w:ascii="Arial" w:hAnsi="Arial" w:cs="Arial"/>
          <w:sz w:val="22"/>
          <w:szCs w:val="22"/>
        </w:rPr>
        <w:t>edn</w:t>
      </w:r>
      <w:proofErr w:type="spellEnd"/>
      <w:r w:rsidRPr="00F63E32">
        <w:rPr>
          <w:rFonts w:ascii="Arial" w:hAnsi="Arial" w:cs="Arial"/>
          <w:sz w:val="22"/>
          <w:szCs w:val="22"/>
        </w:rPr>
        <w:t>. London: Routledge.</w:t>
      </w:r>
    </w:p>
    <w:p w14:paraId="69B76C29" w14:textId="3E631063" w:rsidR="00147BE6" w:rsidRPr="00F63E32" w:rsidRDefault="00147BE6" w:rsidP="00147BE6">
      <w:pPr>
        <w:rPr>
          <w:rFonts w:ascii="Arial" w:hAnsi="Arial" w:cs="Arial"/>
          <w:sz w:val="22"/>
          <w:szCs w:val="22"/>
        </w:rPr>
      </w:pPr>
      <w:r w:rsidRPr="00F63E32">
        <w:rPr>
          <w:rFonts w:ascii="Arial" w:hAnsi="Arial" w:cs="Arial"/>
          <w:sz w:val="22"/>
          <w:szCs w:val="22"/>
        </w:rPr>
        <w:t xml:space="preserve">Meredith, J.R., Mantel, S.J. and Shafer, S.M. (2020) Project Management: A Managerial Approach. 10th </w:t>
      </w:r>
      <w:r w:rsidR="00A10836" w:rsidRPr="00F63E32">
        <w:rPr>
          <w:rFonts w:ascii="Arial" w:hAnsi="Arial" w:cs="Arial"/>
          <w:sz w:val="22"/>
          <w:szCs w:val="22"/>
        </w:rPr>
        <w:t>ed</w:t>
      </w:r>
      <w:r w:rsidR="00A10836">
        <w:rPr>
          <w:rFonts w:ascii="Arial" w:hAnsi="Arial" w:cs="Arial"/>
          <w:sz w:val="22"/>
          <w:szCs w:val="22"/>
        </w:rPr>
        <w:t>ition</w:t>
      </w:r>
      <w:r w:rsidRPr="00F63E32">
        <w:rPr>
          <w:rFonts w:ascii="Arial" w:hAnsi="Arial" w:cs="Arial"/>
          <w:sz w:val="22"/>
          <w:szCs w:val="22"/>
        </w:rPr>
        <w:t>. Hoboken: Wiley.</w:t>
      </w:r>
    </w:p>
    <w:p w14:paraId="3CBD4C6B" w14:textId="77777777" w:rsidR="00147BE6" w:rsidRPr="00F63E32" w:rsidRDefault="00147BE6" w:rsidP="00147BE6">
      <w:pPr>
        <w:rPr>
          <w:rFonts w:ascii="Arial" w:hAnsi="Arial" w:cs="Arial"/>
          <w:sz w:val="22"/>
          <w:szCs w:val="22"/>
        </w:rPr>
      </w:pPr>
    </w:p>
    <w:p w14:paraId="45297173" w14:textId="77777777" w:rsidR="00147BE6" w:rsidRPr="00F63E32" w:rsidRDefault="00147BE6" w:rsidP="00147BE6">
      <w:pPr>
        <w:rPr>
          <w:rFonts w:ascii="Arial" w:hAnsi="Arial" w:cs="Arial"/>
          <w:sz w:val="22"/>
          <w:szCs w:val="22"/>
        </w:rPr>
      </w:pPr>
    </w:p>
    <w:p w14:paraId="61F214AE" w14:textId="77777777" w:rsidR="00147BE6" w:rsidRPr="00BC0ECA" w:rsidRDefault="00147BE6" w:rsidP="00147BE6">
      <w:pPr>
        <w:rPr>
          <w:rFonts w:ascii="Arial" w:hAnsi="Arial" w:cs="Arial"/>
          <w:sz w:val="22"/>
          <w:szCs w:val="22"/>
        </w:rPr>
      </w:pPr>
    </w:p>
    <w:p w14:paraId="1F103121" w14:textId="77777777" w:rsidR="00147BE6" w:rsidRPr="004B6415" w:rsidRDefault="00147BE6" w:rsidP="00147BE6">
      <w:pPr>
        <w:rPr>
          <w:rFonts w:ascii="Arial" w:hAnsi="Arial" w:cs="Arial"/>
          <w:sz w:val="22"/>
          <w:szCs w:val="22"/>
        </w:rPr>
      </w:pPr>
    </w:p>
    <w:p w14:paraId="7F66B587" w14:textId="77777777" w:rsidR="00747F86" w:rsidRPr="004B6415" w:rsidRDefault="00747F86" w:rsidP="004B6415">
      <w:pPr>
        <w:spacing w:line="360" w:lineRule="auto"/>
        <w:rPr>
          <w:rFonts w:ascii="Arial" w:hAnsi="Arial" w:cs="Arial"/>
          <w:sz w:val="22"/>
          <w:szCs w:val="22"/>
        </w:rPr>
      </w:pPr>
    </w:p>
    <w:sectPr w:rsidR="00747F86" w:rsidRPr="004B64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2BB"/>
    <w:rsid w:val="00002A54"/>
    <w:rsid w:val="00003412"/>
    <w:rsid w:val="00030559"/>
    <w:rsid w:val="00060E8A"/>
    <w:rsid w:val="00063A02"/>
    <w:rsid w:val="000717AD"/>
    <w:rsid w:val="00090094"/>
    <w:rsid w:val="000E21A8"/>
    <w:rsid w:val="00116565"/>
    <w:rsid w:val="00147BE6"/>
    <w:rsid w:val="00245409"/>
    <w:rsid w:val="002503B9"/>
    <w:rsid w:val="003316FF"/>
    <w:rsid w:val="0033611F"/>
    <w:rsid w:val="00351EE2"/>
    <w:rsid w:val="003619FB"/>
    <w:rsid w:val="00375500"/>
    <w:rsid w:val="00375586"/>
    <w:rsid w:val="003978FC"/>
    <w:rsid w:val="00474B44"/>
    <w:rsid w:val="004B6415"/>
    <w:rsid w:val="005A2467"/>
    <w:rsid w:val="00747F86"/>
    <w:rsid w:val="007731AD"/>
    <w:rsid w:val="007F2A16"/>
    <w:rsid w:val="008446B1"/>
    <w:rsid w:val="00866678"/>
    <w:rsid w:val="0089219D"/>
    <w:rsid w:val="00972B16"/>
    <w:rsid w:val="009C2691"/>
    <w:rsid w:val="00A10836"/>
    <w:rsid w:val="00A15DCA"/>
    <w:rsid w:val="00BA5A37"/>
    <w:rsid w:val="00BD72BB"/>
    <w:rsid w:val="00D65BE4"/>
    <w:rsid w:val="00DA7155"/>
    <w:rsid w:val="00E20FFF"/>
    <w:rsid w:val="00E55838"/>
    <w:rsid w:val="00E5793B"/>
    <w:rsid w:val="00EC5377"/>
    <w:rsid w:val="00ED51AD"/>
    <w:rsid w:val="00F30346"/>
    <w:rsid w:val="00F32E75"/>
    <w:rsid w:val="00FA3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A67AE"/>
  <w15:chartTrackingRefBased/>
  <w15:docId w15:val="{FA515ACA-D996-49B5-B592-0830BE2FE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2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2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72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2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2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2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2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2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2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2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72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72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2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2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2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2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2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2BB"/>
    <w:rPr>
      <w:rFonts w:eastAsiaTheme="majorEastAsia" w:cstheme="majorBidi"/>
      <w:color w:val="272727" w:themeColor="text1" w:themeTint="D8"/>
    </w:rPr>
  </w:style>
  <w:style w:type="paragraph" w:styleId="Title">
    <w:name w:val="Title"/>
    <w:basedOn w:val="Normal"/>
    <w:next w:val="Normal"/>
    <w:link w:val="TitleChar"/>
    <w:uiPriority w:val="10"/>
    <w:qFormat/>
    <w:rsid w:val="00BD72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2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2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2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2BB"/>
    <w:pPr>
      <w:spacing w:before="160"/>
      <w:jc w:val="center"/>
    </w:pPr>
    <w:rPr>
      <w:i/>
      <w:iCs/>
      <w:color w:val="404040" w:themeColor="text1" w:themeTint="BF"/>
    </w:rPr>
  </w:style>
  <w:style w:type="character" w:customStyle="1" w:styleId="QuoteChar">
    <w:name w:val="Quote Char"/>
    <w:basedOn w:val="DefaultParagraphFont"/>
    <w:link w:val="Quote"/>
    <w:uiPriority w:val="29"/>
    <w:rsid w:val="00BD72BB"/>
    <w:rPr>
      <w:i/>
      <w:iCs/>
      <w:color w:val="404040" w:themeColor="text1" w:themeTint="BF"/>
    </w:rPr>
  </w:style>
  <w:style w:type="paragraph" w:styleId="ListParagraph">
    <w:name w:val="List Paragraph"/>
    <w:basedOn w:val="Normal"/>
    <w:uiPriority w:val="34"/>
    <w:qFormat/>
    <w:rsid w:val="00BD72BB"/>
    <w:pPr>
      <w:ind w:left="720"/>
      <w:contextualSpacing/>
    </w:pPr>
  </w:style>
  <w:style w:type="character" w:styleId="IntenseEmphasis">
    <w:name w:val="Intense Emphasis"/>
    <w:basedOn w:val="DefaultParagraphFont"/>
    <w:uiPriority w:val="21"/>
    <w:qFormat/>
    <w:rsid w:val="00BD72BB"/>
    <w:rPr>
      <w:i/>
      <w:iCs/>
      <w:color w:val="0F4761" w:themeColor="accent1" w:themeShade="BF"/>
    </w:rPr>
  </w:style>
  <w:style w:type="paragraph" w:styleId="IntenseQuote">
    <w:name w:val="Intense Quote"/>
    <w:basedOn w:val="Normal"/>
    <w:next w:val="Normal"/>
    <w:link w:val="IntenseQuoteChar"/>
    <w:uiPriority w:val="30"/>
    <w:qFormat/>
    <w:rsid w:val="00BD72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2BB"/>
    <w:rPr>
      <w:i/>
      <w:iCs/>
      <w:color w:val="0F4761" w:themeColor="accent1" w:themeShade="BF"/>
    </w:rPr>
  </w:style>
  <w:style w:type="character" w:styleId="IntenseReference">
    <w:name w:val="Intense Reference"/>
    <w:basedOn w:val="DefaultParagraphFont"/>
    <w:uiPriority w:val="32"/>
    <w:qFormat/>
    <w:rsid w:val="00BD72B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3664</Words>
  <Characters>20890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5</cp:revision>
  <dcterms:created xsi:type="dcterms:W3CDTF">2026-03-30T12:00:00Z</dcterms:created>
  <dcterms:modified xsi:type="dcterms:W3CDTF">2026-03-30T12:56:00Z</dcterms:modified>
</cp:coreProperties>
</file>