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506A45" w14:textId="77777777" w:rsidR="00AF3A6A" w:rsidRPr="00787C9A" w:rsidRDefault="00AF3A6A" w:rsidP="00787C9A">
      <w:pPr>
        <w:spacing w:line="360" w:lineRule="auto"/>
        <w:jc w:val="both"/>
        <w:rPr>
          <w:rFonts w:ascii="Arial" w:hAnsi="Arial" w:cs="Arial"/>
          <w:b/>
          <w:bCs/>
          <w:color w:val="000000" w:themeColor="text1"/>
          <w:lang w:val="en-US"/>
        </w:rPr>
      </w:pPr>
    </w:p>
    <w:p w14:paraId="5A09C6FC" w14:textId="77777777" w:rsidR="00AF3A6A" w:rsidRPr="00787C9A" w:rsidRDefault="00AF3A6A" w:rsidP="00787C9A">
      <w:pPr>
        <w:spacing w:line="360" w:lineRule="auto"/>
        <w:jc w:val="both"/>
        <w:rPr>
          <w:rFonts w:ascii="Arial" w:hAnsi="Arial" w:cs="Arial"/>
          <w:b/>
          <w:bCs/>
          <w:color w:val="000000" w:themeColor="text1"/>
          <w:lang w:val="en-US"/>
        </w:rPr>
      </w:pPr>
    </w:p>
    <w:p w14:paraId="44239D4B" w14:textId="77777777" w:rsidR="00AF3A6A" w:rsidRPr="00787C9A" w:rsidRDefault="00AF3A6A" w:rsidP="00787C9A">
      <w:pPr>
        <w:spacing w:line="360" w:lineRule="auto"/>
        <w:jc w:val="both"/>
        <w:rPr>
          <w:rFonts w:ascii="Arial" w:hAnsi="Arial" w:cs="Arial"/>
          <w:b/>
          <w:bCs/>
          <w:color w:val="000000" w:themeColor="text1"/>
          <w:lang w:val="en-US"/>
        </w:rPr>
      </w:pPr>
      <w:r w:rsidRPr="00787C9A">
        <w:rPr>
          <w:rFonts w:ascii="Arial" w:hAnsi="Arial" w:cs="Arial"/>
          <w:noProof/>
          <w:color w:val="000000" w:themeColor="text1"/>
        </w:rPr>
        <w:drawing>
          <wp:inline distT="0" distB="0" distL="85723" distR="85723" wp14:anchorId="10A93D1E" wp14:editId="479A6A5C">
            <wp:extent cx="2650417" cy="969560"/>
            <wp:effectExtent l="0" t="0" r="0" b="0"/>
            <wp:docPr id="420514022" name="Picture 420514022"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514022" name="Picture 420514022" descr="A black background with white text&#10;&#10;AI-generated content may be incorrect."/>
                    <pic:cNvPicPr/>
                  </pic:nvPicPr>
                  <pic:blipFill>
                    <a:blip r:embed="rId7"/>
                    <a:stretch>
                      <a:fillRect/>
                    </a:stretch>
                  </pic:blipFill>
                  <pic:spPr>
                    <a:xfrm>
                      <a:off x="0" y="0"/>
                      <a:ext cx="2650417" cy="969560"/>
                    </a:xfrm>
                    <a:prstGeom prst="rect">
                      <a:avLst/>
                    </a:prstGeom>
                    <a:noFill/>
                    <a:ln w="12700" cap="flat" cmpd="sng">
                      <a:noFill/>
                      <a:prstDash val="solid"/>
                      <a:miter/>
                    </a:ln>
                  </pic:spPr>
                </pic:pic>
              </a:graphicData>
            </a:graphic>
          </wp:inline>
        </w:drawing>
      </w:r>
    </w:p>
    <w:p w14:paraId="255627BB" w14:textId="77777777" w:rsidR="00AF3A6A" w:rsidRPr="00787C9A" w:rsidRDefault="00AF3A6A" w:rsidP="00787C9A">
      <w:pPr>
        <w:spacing w:line="360" w:lineRule="auto"/>
        <w:jc w:val="both"/>
        <w:rPr>
          <w:rFonts w:ascii="Arial" w:hAnsi="Arial" w:cs="Arial"/>
          <w:b/>
          <w:bCs/>
          <w:color w:val="000000" w:themeColor="text1"/>
          <w:lang w:val="en-US"/>
        </w:rPr>
      </w:pPr>
    </w:p>
    <w:p w14:paraId="753EF078" w14:textId="77777777" w:rsidR="00AF3A6A" w:rsidRPr="00787C9A" w:rsidRDefault="00AF3A6A" w:rsidP="00787C9A">
      <w:pPr>
        <w:spacing w:line="360" w:lineRule="auto"/>
        <w:jc w:val="both"/>
        <w:rPr>
          <w:rFonts w:ascii="Arial" w:hAnsi="Arial" w:cs="Arial"/>
          <w:b/>
          <w:bCs/>
          <w:color w:val="000000" w:themeColor="text1"/>
          <w:lang w:val="en-US"/>
        </w:rPr>
      </w:pPr>
    </w:p>
    <w:p w14:paraId="0A9C2D00" w14:textId="77777777" w:rsidR="00AF3A6A" w:rsidRPr="00787C9A" w:rsidRDefault="00AF3A6A" w:rsidP="00787C9A">
      <w:pPr>
        <w:spacing w:line="360" w:lineRule="auto"/>
        <w:jc w:val="both"/>
        <w:rPr>
          <w:rFonts w:ascii="Arial" w:hAnsi="Arial" w:cs="Arial"/>
          <w:b/>
          <w:bCs/>
          <w:color w:val="000000" w:themeColor="text1"/>
          <w:lang w:val="en-US"/>
        </w:rPr>
      </w:pPr>
    </w:p>
    <w:p w14:paraId="247700CA" w14:textId="77777777" w:rsidR="00AF3A6A" w:rsidRPr="00787C9A" w:rsidRDefault="00AF3A6A" w:rsidP="00787C9A">
      <w:pPr>
        <w:spacing w:line="360" w:lineRule="auto"/>
        <w:jc w:val="both"/>
        <w:rPr>
          <w:rFonts w:ascii="Arial" w:hAnsi="Arial" w:cs="Arial"/>
          <w:b/>
          <w:bCs/>
          <w:color w:val="000000" w:themeColor="text1"/>
          <w:lang w:val="en-US"/>
        </w:rPr>
      </w:pPr>
    </w:p>
    <w:p w14:paraId="3FBAF2B5" w14:textId="77777777" w:rsidR="00AF3A6A" w:rsidRPr="00787C9A" w:rsidRDefault="00AF3A6A" w:rsidP="00FE2392">
      <w:pPr>
        <w:spacing w:line="360" w:lineRule="auto"/>
        <w:jc w:val="center"/>
        <w:rPr>
          <w:rFonts w:ascii="Arial" w:hAnsi="Arial" w:cs="Arial"/>
        </w:rPr>
      </w:pPr>
      <w:r w:rsidRPr="00787C9A">
        <w:rPr>
          <w:rFonts w:ascii="Arial" w:hAnsi="Arial" w:cs="Arial"/>
          <w:b/>
          <w:bCs/>
          <w:color w:val="000000" w:themeColor="text1"/>
        </w:rPr>
        <w:t xml:space="preserve">Topic: </w:t>
      </w:r>
      <w:r w:rsidRPr="00787C9A">
        <w:rPr>
          <w:rFonts w:ascii="Arial" w:hAnsi="Arial" w:cs="Arial"/>
        </w:rPr>
        <w:t>Understanding Antisocial Behaviour in UK Teenagers: A Systematic Review of Cyberbullying, Substance Abuse, and Aggressive Acts</w:t>
      </w:r>
    </w:p>
    <w:p w14:paraId="59A0E3B8" w14:textId="01FDCE5B" w:rsidR="00AF3A6A" w:rsidRPr="00787C9A" w:rsidRDefault="00AF3A6A" w:rsidP="00787C9A">
      <w:pPr>
        <w:spacing w:line="360" w:lineRule="auto"/>
        <w:jc w:val="both"/>
        <w:rPr>
          <w:rFonts w:ascii="Arial" w:hAnsi="Arial" w:cs="Arial"/>
          <w:color w:val="000000" w:themeColor="text1"/>
        </w:rPr>
      </w:pPr>
    </w:p>
    <w:p w14:paraId="0C4CEA5B" w14:textId="77777777" w:rsidR="00AF3A6A" w:rsidRPr="00787C9A" w:rsidRDefault="00AF3A6A" w:rsidP="00787C9A">
      <w:pPr>
        <w:spacing w:line="360" w:lineRule="auto"/>
        <w:jc w:val="both"/>
        <w:rPr>
          <w:rFonts w:ascii="Arial" w:hAnsi="Arial" w:cs="Arial"/>
          <w:color w:val="000000" w:themeColor="text1"/>
        </w:rPr>
      </w:pPr>
    </w:p>
    <w:p w14:paraId="7DC756BC" w14:textId="77777777" w:rsidR="00AF3A6A" w:rsidRPr="00787C9A" w:rsidRDefault="00AF3A6A" w:rsidP="00787C9A">
      <w:pPr>
        <w:spacing w:line="360" w:lineRule="auto"/>
        <w:jc w:val="both"/>
        <w:rPr>
          <w:rFonts w:ascii="Arial" w:hAnsi="Arial" w:cs="Arial"/>
          <w:color w:val="000000" w:themeColor="text1"/>
        </w:rPr>
      </w:pPr>
    </w:p>
    <w:p w14:paraId="6357548B" w14:textId="77777777" w:rsidR="00AF3A6A" w:rsidRPr="00787C9A" w:rsidRDefault="00AF3A6A" w:rsidP="00787C9A">
      <w:pPr>
        <w:spacing w:line="360" w:lineRule="auto"/>
        <w:jc w:val="both"/>
        <w:rPr>
          <w:rFonts w:ascii="Arial" w:hAnsi="Arial" w:cs="Arial"/>
          <w:color w:val="000000" w:themeColor="text1"/>
        </w:rPr>
      </w:pPr>
    </w:p>
    <w:p w14:paraId="28534837" w14:textId="77777777" w:rsidR="00AF3A6A" w:rsidRPr="00787C9A" w:rsidRDefault="00AF3A6A" w:rsidP="00787C9A">
      <w:pPr>
        <w:spacing w:line="360" w:lineRule="auto"/>
        <w:jc w:val="both"/>
        <w:rPr>
          <w:rFonts w:ascii="Arial" w:hAnsi="Arial" w:cs="Arial"/>
          <w:color w:val="000000" w:themeColor="text1"/>
        </w:rPr>
      </w:pPr>
      <w:r w:rsidRPr="00787C9A">
        <w:rPr>
          <w:rFonts w:ascii="Arial" w:hAnsi="Arial" w:cs="Arial"/>
          <w:color w:val="000000" w:themeColor="text1"/>
        </w:rPr>
        <w:t>Programme: MSc Public Health and Social Care in Practice</w:t>
      </w:r>
    </w:p>
    <w:p w14:paraId="1E063927" w14:textId="370E8EE4" w:rsidR="00AF3A6A" w:rsidRPr="00787C9A" w:rsidRDefault="00AF3A6A" w:rsidP="00787C9A">
      <w:pPr>
        <w:spacing w:line="360" w:lineRule="auto"/>
        <w:jc w:val="both"/>
        <w:rPr>
          <w:rFonts w:ascii="Arial" w:hAnsi="Arial" w:cs="Arial"/>
          <w:color w:val="000000" w:themeColor="text1"/>
        </w:rPr>
      </w:pPr>
      <w:r w:rsidRPr="00787C9A">
        <w:rPr>
          <w:rFonts w:ascii="Arial" w:hAnsi="Arial" w:cs="Arial"/>
          <w:color w:val="000000" w:themeColor="text1"/>
        </w:rPr>
        <w:t>Module name:</w:t>
      </w:r>
      <w:r w:rsidR="004E6EB2" w:rsidRPr="004E6EB2">
        <w:t xml:space="preserve"> </w:t>
      </w:r>
      <w:r w:rsidR="004E6EB2" w:rsidRPr="004E6EB2">
        <w:rPr>
          <w:rFonts w:ascii="Arial" w:hAnsi="Arial" w:cs="Arial"/>
          <w:color w:val="000000" w:themeColor="text1"/>
        </w:rPr>
        <w:t>Practice</w:t>
      </w:r>
      <w:r w:rsidR="004E6EB2">
        <w:rPr>
          <w:rFonts w:ascii="Arial" w:hAnsi="Arial" w:cs="Arial"/>
          <w:color w:val="000000" w:themeColor="text1"/>
        </w:rPr>
        <w:t>-</w:t>
      </w:r>
      <w:r w:rsidR="004E6EB2" w:rsidRPr="004E6EB2">
        <w:rPr>
          <w:rFonts w:ascii="Arial" w:hAnsi="Arial" w:cs="Arial"/>
          <w:color w:val="000000" w:themeColor="text1"/>
        </w:rPr>
        <w:t>Based</w:t>
      </w:r>
      <w:r w:rsidR="004E6EB2">
        <w:rPr>
          <w:rFonts w:ascii="Arial" w:hAnsi="Arial" w:cs="Arial"/>
          <w:color w:val="000000" w:themeColor="text1"/>
        </w:rPr>
        <w:t xml:space="preserve"> </w:t>
      </w:r>
      <w:r w:rsidR="004E6EB2" w:rsidRPr="004E6EB2">
        <w:rPr>
          <w:rFonts w:ascii="Arial" w:hAnsi="Arial" w:cs="Arial"/>
          <w:color w:val="000000" w:themeColor="text1"/>
        </w:rPr>
        <w:t>Research</w:t>
      </w:r>
      <w:r w:rsidRPr="00787C9A">
        <w:rPr>
          <w:rFonts w:ascii="Arial" w:hAnsi="Arial" w:cs="Arial"/>
          <w:color w:val="000000" w:themeColor="text1"/>
        </w:rPr>
        <w:t xml:space="preserve"> </w:t>
      </w:r>
    </w:p>
    <w:p w14:paraId="6FCB5878" w14:textId="0DAAD81B" w:rsidR="00AF3A6A" w:rsidRPr="00787C9A" w:rsidRDefault="00AF3A6A" w:rsidP="00787C9A">
      <w:pPr>
        <w:spacing w:line="360" w:lineRule="auto"/>
        <w:jc w:val="both"/>
        <w:rPr>
          <w:rFonts w:ascii="Arial" w:hAnsi="Arial" w:cs="Arial"/>
          <w:color w:val="000000" w:themeColor="text1"/>
        </w:rPr>
      </w:pPr>
      <w:r w:rsidRPr="00787C9A">
        <w:rPr>
          <w:rFonts w:ascii="Arial" w:hAnsi="Arial" w:cs="Arial"/>
          <w:color w:val="000000" w:themeColor="text1"/>
        </w:rPr>
        <w:t xml:space="preserve">Module code: </w:t>
      </w:r>
      <w:r w:rsidR="004E6EB2" w:rsidRPr="004E6EB2">
        <w:rPr>
          <w:rFonts w:ascii="Arial" w:hAnsi="Arial" w:cs="Arial"/>
          <w:color w:val="000000" w:themeColor="text1"/>
        </w:rPr>
        <w:t>LCHS7008</w:t>
      </w:r>
    </w:p>
    <w:p w14:paraId="670DE27C" w14:textId="6F315BF4" w:rsidR="00AF3A6A" w:rsidRPr="00787C9A" w:rsidRDefault="00AF3A6A" w:rsidP="00787C9A">
      <w:pPr>
        <w:spacing w:line="360" w:lineRule="auto"/>
        <w:jc w:val="both"/>
        <w:rPr>
          <w:rFonts w:ascii="Arial" w:hAnsi="Arial" w:cs="Arial"/>
          <w:color w:val="000000" w:themeColor="text1"/>
        </w:rPr>
      </w:pPr>
      <w:r w:rsidRPr="00787C9A">
        <w:rPr>
          <w:rFonts w:ascii="Arial" w:hAnsi="Arial" w:cs="Arial"/>
          <w:color w:val="000000" w:themeColor="text1"/>
        </w:rPr>
        <w:t xml:space="preserve">Student name: </w:t>
      </w:r>
      <w:r w:rsidR="004E6EB2">
        <w:rPr>
          <w:rFonts w:ascii="Arial" w:hAnsi="Arial" w:cs="Arial"/>
          <w:color w:val="000000" w:themeColor="text1"/>
        </w:rPr>
        <w:t>Jhanvi Shivabhai Chauhan</w:t>
      </w:r>
    </w:p>
    <w:p w14:paraId="1AB6A8A8" w14:textId="70289F2B" w:rsidR="00AF3A6A" w:rsidRPr="00787C9A" w:rsidRDefault="00AF3A6A" w:rsidP="00787C9A">
      <w:pPr>
        <w:spacing w:line="360" w:lineRule="auto"/>
        <w:jc w:val="both"/>
        <w:rPr>
          <w:rFonts w:ascii="Arial" w:hAnsi="Arial" w:cs="Arial"/>
          <w:color w:val="000000" w:themeColor="text1"/>
        </w:rPr>
      </w:pPr>
      <w:r w:rsidRPr="00787C9A">
        <w:rPr>
          <w:rFonts w:ascii="Arial" w:hAnsi="Arial" w:cs="Arial"/>
          <w:color w:val="000000" w:themeColor="text1"/>
        </w:rPr>
        <w:t xml:space="preserve">Student ID: </w:t>
      </w:r>
      <w:r w:rsidR="004E6EB2" w:rsidRPr="004E6EB2">
        <w:rPr>
          <w:rFonts w:ascii="Arial" w:hAnsi="Arial" w:cs="Arial"/>
          <w:color w:val="000000" w:themeColor="text1"/>
        </w:rPr>
        <w:t>2430269</w:t>
      </w:r>
    </w:p>
    <w:p w14:paraId="6C71074D" w14:textId="57AC0835" w:rsidR="00AF3A6A" w:rsidRPr="00787C9A" w:rsidRDefault="00AF3A6A" w:rsidP="00787C9A">
      <w:pPr>
        <w:spacing w:line="360" w:lineRule="auto"/>
        <w:jc w:val="both"/>
        <w:rPr>
          <w:rFonts w:ascii="Arial" w:hAnsi="Arial" w:cs="Arial"/>
          <w:color w:val="000000" w:themeColor="text1"/>
        </w:rPr>
      </w:pPr>
      <w:r w:rsidRPr="00787C9A">
        <w:rPr>
          <w:rFonts w:ascii="Arial" w:hAnsi="Arial" w:cs="Arial"/>
          <w:color w:val="000000" w:themeColor="text1"/>
        </w:rPr>
        <w:t>Lecturer Name:</w:t>
      </w:r>
      <w:r w:rsidR="004E6EB2">
        <w:rPr>
          <w:rFonts w:ascii="Arial" w:hAnsi="Arial" w:cs="Arial"/>
          <w:color w:val="000000" w:themeColor="text1"/>
        </w:rPr>
        <w:t xml:space="preserve"> </w:t>
      </w:r>
      <w:r w:rsidR="004E6EB2" w:rsidRPr="004E6EB2">
        <w:rPr>
          <w:rFonts w:ascii="Arial" w:hAnsi="Arial" w:cs="Arial"/>
          <w:color w:val="000000" w:themeColor="text1"/>
        </w:rPr>
        <w:t>Dr</w:t>
      </w:r>
      <w:r w:rsidR="004E6EB2">
        <w:rPr>
          <w:rFonts w:ascii="Arial" w:hAnsi="Arial" w:cs="Arial"/>
          <w:color w:val="000000" w:themeColor="text1"/>
        </w:rPr>
        <w:t xml:space="preserve"> </w:t>
      </w:r>
      <w:r w:rsidR="004E6EB2" w:rsidRPr="004E6EB2">
        <w:rPr>
          <w:rFonts w:ascii="Arial" w:hAnsi="Arial" w:cs="Arial"/>
          <w:color w:val="000000" w:themeColor="text1"/>
        </w:rPr>
        <w:t>Diola</w:t>
      </w:r>
      <w:r w:rsidR="004E6EB2">
        <w:rPr>
          <w:rFonts w:ascii="Arial" w:hAnsi="Arial" w:cs="Arial"/>
          <w:color w:val="000000" w:themeColor="text1"/>
        </w:rPr>
        <w:t xml:space="preserve"> </w:t>
      </w:r>
      <w:r w:rsidR="004E6EB2" w:rsidRPr="004E6EB2">
        <w:rPr>
          <w:rFonts w:ascii="Arial" w:hAnsi="Arial" w:cs="Arial"/>
          <w:color w:val="000000" w:themeColor="text1"/>
        </w:rPr>
        <w:t>Bijlhout</w:t>
      </w:r>
    </w:p>
    <w:p w14:paraId="4731FFBF" w14:textId="7D6547D8" w:rsidR="00AF3A6A" w:rsidRPr="00787C9A" w:rsidRDefault="00AF3A6A" w:rsidP="00787C9A">
      <w:pPr>
        <w:spacing w:line="360" w:lineRule="auto"/>
        <w:jc w:val="both"/>
        <w:rPr>
          <w:rFonts w:ascii="Arial" w:hAnsi="Arial" w:cs="Arial"/>
          <w:color w:val="000000" w:themeColor="text1"/>
        </w:rPr>
      </w:pPr>
      <w:r w:rsidRPr="00787C9A">
        <w:rPr>
          <w:rFonts w:ascii="Arial" w:hAnsi="Arial" w:cs="Arial"/>
          <w:color w:val="000000" w:themeColor="text1"/>
        </w:rPr>
        <w:t>Supervisor Name:</w:t>
      </w:r>
      <w:r w:rsidR="004E6EB2">
        <w:rPr>
          <w:rFonts w:ascii="Arial" w:hAnsi="Arial" w:cs="Arial"/>
          <w:color w:val="000000" w:themeColor="text1"/>
        </w:rPr>
        <w:t xml:space="preserve"> Muhammed Khan</w:t>
      </w:r>
    </w:p>
    <w:p w14:paraId="642D1614" w14:textId="02C58E08" w:rsidR="00AF3A6A" w:rsidRPr="004E6EB2" w:rsidRDefault="00AF3A6A" w:rsidP="00787C9A">
      <w:pPr>
        <w:spacing w:line="360" w:lineRule="auto"/>
        <w:jc w:val="both"/>
        <w:rPr>
          <w:rFonts w:ascii="Arial" w:hAnsi="Arial" w:cs="Arial"/>
          <w:color w:val="000000" w:themeColor="text1"/>
        </w:rPr>
      </w:pPr>
      <w:r w:rsidRPr="00787C9A">
        <w:rPr>
          <w:rFonts w:ascii="Arial" w:hAnsi="Arial" w:cs="Arial"/>
          <w:color w:val="000000" w:themeColor="text1"/>
        </w:rPr>
        <w:t>Date:</w:t>
      </w:r>
      <w:r w:rsidR="004E6EB2">
        <w:rPr>
          <w:rFonts w:ascii="Arial" w:hAnsi="Arial" w:cs="Arial"/>
          <w:color w:val="000000" w:themeColor="text1"/>
        </w:rPr>
        <w:t xml:space="preserve"> 15</w:t>
      </w:r>
      <w:r w:rsidR="004E6EB2" w:rsidRPr="004E6EB2">
        <w:rPr>
          <w:rFonts w:ascii="Arial" w:hAnsi="Arial" w:cs="Arial"/>
          <w:color w:val="000000" w:themeColor="text1"/>
          <w:vertAlign w:val="superscript"/>
        </w:rPr>
        <w:t>th</w:t>
      </w:r>
      <w:r w:rsidR="004E6EB2">
        <w:rPr>
          <w:rFonts w:ascii="Arial" w:hAnsi="Arial" w:cs="Arial"/>
          <w:color w:val="000000" w:themeColor="text1"/>
          <w:vertAlign w:val="superscript"/>
        </w:rPr>
        <w:t xml:space="preserve"> </w:t>
      </w:r>
      <w:r w:rsidR="004E6EB2">
        <w:rPr>
          <w:rFonts w:ascii="Arial" w:hAnsi="Arial" w:cs="Arial"/>
          <w:color w:val="000000" w:themeColor="text1"/>
        </w:rPr>
        <w:t>December 2025</w:t>
      </w:r>
    </w:p>
    <w:p w14:paraId="74844072" w14:textId="77777777" w:rsidR="00AF3A6A" w:rsidRDefault="00AF3A6A" w:rsidP="00787C9A">
      <w:pPr>
        <w:spacing w:line="360" w:lineRule="auto"/>
        <w:jc w:val="both"/>
        <w:rPr>
          <w:rFonts w:ascii="Arial" w:hAnsi="Arial" w:cs="Arial"/>
          <w:b/>
          <w:bCs/>
        </w:rPr>
      </w:pPr>
    </w:p>
    <w:sdt>
      <w:sdtPr>
        <w:rPr>
          <w:rFonts w:ascii="Arial" w:eastAsiaTheme="minorHAnsi" w:hAnsi="Arial" w:cs="Arial"/>
          <w:color w:val="auto"/>
          <w:kern w:val="2"/>
          <w:sz w:val="24"/>
          <w:szCs w:val="24"/>
          <w:lang w:eastAsia="en-US"/>
          <w14:ligatures w14:val="standardContextual"/>
        </w:rPr>
        <w:id w:val="1435011941"/>
        <w:docPartObj>
          <w:docPartGallery w:val="Table of Contents"/>
          <w:docPartUnique/>
        </w:docPartObj>
      </w:sdtPr>
      <w:sdtEndPr>
        <w:rPr>
          <w:b/>
          <w:bCs/>
        </w:rPr>
      </w:sdtEndPr>
      <w:sdtContent>
        <w:p w14:paraId="62F752AB" w14:textId="4DAAC13E" w:rsidR="005422C2" w:rsidRPr="007508C8" w:rsidRDefault="005422C2" w:rsidP="007508C8">
          <w:pPr>
            <w:pStyle w:val="TOCHeading"/>
            <w:spacing w:line="360" w:lineRule="auto"/>
            <w:jc w:val="center"/>
            <w:rPr>
              <w:rFonts w:ascii="Arial" w:hAnsi="Arial" w:cs="Arial"/>
              <w:b/>
              <w:bCs/>
              <w:sz w:val="24"/>
              <w:szCs w:val="24"/>
              <w:u w:val="single"/>
            </w:rPr>
          </w:pPr>
          <w:r w:rsidRPr="007508C8">
            <w:rPr>
              <w:rFonts w:ascii="Arial" w:hAnsi="Arial" w:cs="Arial"/>
              <w:b/>
              <w:bCs/>
              <w:sz w:val="24"/>
              <w:szCs w:val="24"/>
              <w:u w:val="single"/>
            </w:rPr>
            <w:t>Table of Contents</w:t>
          </w:r>
        </w:p>
        <w:p w14:paraId="54EDB42D" w14:textId="314A14D6" w:rsidR="006C5BBB" w:rsidRPr="006C5BBB" w:rsidRDefault="005422C2" w:rsidP="006C5BBB">
          <w:pPr>
            <w:pStyle w:val="TOC1"/>
            <w:tabs>
              <w:tab w:val="right" w:leader="dot" w:pos="9016"/>
            </w:tabs>
            <w:spacing w:line="360" w:lineRule="auto"/>
            <w:rPr>
              <w:rFonts w:ascii="Arial" w:eastAsiaTheme="minorEastAsia" w:hAnsi="Arial" w:cs="Arial"/>
              <w:noProof/>
              <w:lang w:eastAsia="en-GB"/>
            </w:rPr>
          </w:pPr>
          <w:r w:rsidRPr="006C5BBB">
            <w:rPr>
              <w:rFonts w:ascii="Arial" w:hAnsi="Arial" w:cs="Arial"/>
            </w:rPr>
            <w:fldChar w:fldCharType="begin"/>
          </w:r>
          <w:r w:rsidRPr="006C5BBB">
            <w:rPr>
              <w:rFonts w:ascii="Arial" w:hAnsi="Arial" w:cs="Arial"/>
            </w:rPr>
            <w:instrText xml:space="preserve"> TOC \o "1-3" \h \z \u </w:instrText>
          </w:r>
          <w:r w:rsidRPr="006C5BBB">
            <w:rPr>
              <w:rFonts w:ascii="Arial" w:hAnsi="Arial" w:cs="Arial"/>
            </w:rPr>
            <w:fldChar w:fldCharType="separate"/>
          </w:r>
          <w:hyperlink w:anchor="_Toc216515668" w:history="1">
            <w:r w:rsidR="006C5BBB" w:rsidRPr="006C5BBB">
              <w:rPr>
                <w:rStyle w:val="Hyperlink"/>
                <w:rFonts w:ascii="Arial" w:hAnsi="Arial" w:cs="Arial"/>
                <w:noProof/>
              </w:rPr>
              <w:t>1. Introduction</w:t>
            </w:r>
            <w:r w:rsidR="006C5BBB" w:rsidRPr="006C5BBB">
              <w:rPr>
                <w:rFonts w:ascii="Arial" w:hAnsi="Arial" w:cs="Arial"/>
                <w:noProof/>
                <w:webHidden/>
              </w:rPr>
              <w:tab/>
            </w:r>
            <w:r w:rsidR="006C5BBB" w:rsidRPr="006C5BBB">
              <w:rPr>
                <w:rFonts w:ascii="Arial" w:hAnsi="Arial" w:cs="Arial"/>
                <w:noProof/>
                <w:webHidden/>
              </w:rPr>
              <w:fldChar w:fldCharType="begin"/>
            </w:r>
            <w:r w:rsidR="006C5BBB" w:rsidRPr="006C5BBB">
              <w:rPr>
                <w:rFonts w:ascii="Arial" w:hAnsi="Arial" w:cs="Arial"/>
                <w:noProof/>
                <w:webHidden/>
              </w:rPr>
              <w:instrText xml:space="preserve"> PAGEREF _Toc216515668 \h </w:instrText>
            </w:r>
            <w:r w:rsidR="006C5BBB" w:rsidRPr="006C5BBB">
              <w:rPr>
                <w:rFonts w:ascii="Arial" w:hAnsi="Arial" w:cs="Arial"/>
                <w:noProof/>
                <w:webHidden/>
              </w:rPr>
            </w:r>
            <w:r w:rsidR="006C5BBB" w:rsidRPr="006C5BBB">
              <w:rPr>
                <w:rFonts w:ascii="Arial" w:hAnsi="Arial" w:cs="Arial"/>
                <w:noProof/>
                <w:webHidden/>
              </w:rPr>
              <w:fldChar w:fldCharType="separate"/>
            </w:r>
            <w:r w:rsidR="006C5BBB" w:rsidRPr="006C5BBB">
              <w:rPr>
                <w:rFonts w:ascii="Arial" w:hAnsi="Arial" w:cs="Arial"/>
                <w:noProof/>
                <w:webHidden/>
              </w:rPr>
              <w:t>3</w:t>
            </w:r>
            <w:r w:rsidR="006C5BBB" w:rsidRPr="006C5BBB">
              <w:rPr>
                <w:rFonts w:ascii="Arial" w:hAnsi="Arial" w:cs="Arial"/>
                <w:noProof/>
                <w:webHidden/>
              </w:rPr>
              <w:fldChar w:fldCharType="end"/>
            </w:r>
          </w:hyperlink>
        </w:p>
        <w:p w14:paraId="3E25FA04" w14:textId="761EAEF8" w:rsidR="006C5BBB" w:rsidRPr="006C5BBB" w:rsidRDefault="006C5BBB" w:rsidP="006C5BBB">
          <w:pPr>
            <w:pStyle w:val="TOC1"/>
            <w:tabs>
              <w:tab w:val="right" w:leader="dot" w:pos="9016"/>
            </w:tabs>
            <w:spacing w:line="360" w:lineRule="auto"/>
            <w:rPr>
              <w:rFonts w:ascii="Arial" w:eastAsiaTheme="minorEastAsia" w:hAnsi="Arial" w:cs="Arial"/>
              <w:noProof/>
              <w:lang w:eastAsia="en-GB"/>
            </w:rPr>
          </w:pPr>
          <w:hyperlink w:anchor="_Toc216515669" w:history="1">
            <w:r w:rsidRPr="006C5BBB">
              <w:rPr>
                <w:rStyle w:val="Hyperlink"/>
                <w:rFonts w:ascii="Arial" w:hAnsi="Arial" w:cs="Arial"/>
                <w:noProof/>
              </w:rPr>
              <w:t>2. Background of the Study</w:t>
            </w:r>
            <w:r w:rsidRPr="006C5BBB">
              <w:rPr>
                <w:rFonts w:ascii="Arial" w:hAnsi="Arial" w:cs="Arial"/>
                <w:noProof/>
                <w:webHidden/>
              </w:rPr>
              <w:tab/>
            </w:r>
            <w:r w:rsidRPr="006C5BBB">
              <w:rPr>
                <w:rFonts w:ascii="Arial" w:hAnsi="Arial" w:cs="Arial"/>
                <w:noProof/>
                <w:webHidden/>
              </w:rPr>
              <w:fldChar w:fldCharType="begin"/>
            </w:r>
            <w:r w:rsidRPr="006C5BBB">
              <w:rPr>
                <w:rFonts w:ascii="Arial" w:hAnsi="Arial" w:cs="Arial"/>
                <w:noProof/>
                <w:webHidden/>
              </w:rPr>
              <w:instrText xml:space="preserve"> PAGEREF _Toc216515669 \h </w:instrText>
            </w:r>
            <w:r w:rsidRPr="006C5BBB">
              <w:rPr>
                <w:rFonts w:ascii="Arial" w:hAnsi="Arial" w:cs="Arial"/>
                <w:noProof/>
                <w:webHidden/>
              </w:rPr>
            </w:r>
            <w:r w:rsidRPr="006C5BBB">
              <w:rPr>
                <w:rFonts w:ascii="Arial" w:hAnsi="Arial" w:cs="Arial"/>
                <w:noProof/>
                <w:webHidden/>
              </w:rPr>
              <w:fldChar w:fldCharType="separate"/>
            </w:r>
            <w:r w:rsidRPr="006C5BBB">
              <w:rPr>
                <w:rFonts w:ascii="Arial" w:hAnsi="Arial" w:cs="Arial"/>
                <w:noProof/>
                <w:webHidden/>
              </w:rPr>
              <w:t>3</w:t>
            </w:r>
            <w:r w:rsidRPr="006C5BBB">
              <w:rPr>
                <w:rFonts w:ascii="Arial" w:hAnsi="Arial" w:cs="Arial"/>
                <w:noProof/>
                <w:webHidden/>
              </w:rPr>
              <w:fldChar w:fldCharType="end"/>
            </w:r>
          </w:hyperlink>
        </w:p>
        <w:p w14:paraId="51F532DC" w14:textId="241777ED" w:rsidR="006C5BBB" w:rsidRPr="006C5BBB" w:rsidRDefault="006C5BBB" w:rsidP="006C5BBB">
          <w:pPr>
            <w:pStyle w:val="TOC1"/>
            <w:tabs>
              <w:tab w:val="right" w:leader="dot" w:pos="9016"/>
            </w:tabs>
            <w:spacing w:line="360" w:lineRule="auto"/>
            <w:rPr>
              <w:rFonts w:ascii="Arial" w:eastAsiaTheme="minorEastAsia" w:hAnsi="Arial" w:cs="Arial"/>
              <w:noProof/>
              <w:lang w:eastAsia="en-GB"/>
            </w:rPr>
          </w:pPr>
          <w:hyperlink w:anchor="_Toc216515670" w:history="1">
            <w:r w:rsidRPr="006C5BBB">
              <w:rPr>
                <w:rStyle w:val="Hyperlink"/>
                <w:rFonts w:ascii="Arial" w:hAnsi="Arial" w:cs="Arial"/>
                <w:noProof/>
              </w:rPr>
              <w:t>3. Prevalence</w:t>
            </w:r>
            <w:r w:rsidRPr="006C5BBB">
              <w:rPr>
                <w:rFonts w:ascii="Arial" w:hAnsi="Arial" w:cs="Arial"/>
                <w:noProof/>
                <w:webHidden/>
              </w:rPr>
              <w:tab/>
            </w:r>
            <w:r w:rsidRPr="006C5BBB">
              <w:rPr>
                <w:rFonts w:ascii="Arial" w:hAnsi="Arial" w:cs="Arial"/>
                <w:noProof/>
                <w:webHidden/>
              </w:rPr>
              <w:fldChar w:fldCharType="begin"/>
            </w:r>
            <w:r w:rsidRPr="006C5BBB">
              <w:rPr>
                <w:rFonts w:ascii="Arial" w:hAnsi="Arial" w:cs="Arial"/>
                <w:noProof/>
                <w:webHidden/>
              </w:rPr>
              <w:instrText xml:space="preserve"> PAGEREF _Toc216515670 \h </w:instrText>
            </w:r>
            <w:r w:rsidRPr="006C5BBB">
              <w:rPr>
                <w:rFonts w:ascii="Arial" w:hAnsi="Arial" w:cs="Arial"/>
                <w:noProof/>
                <w:webHidden/>
              </w:rPr>
            </w:r>
            <w:r w:rsidRPr="006C5BBB">
              <w:rPr>
                <w:rFonts w:ascii="Arial" w:hAnsi="Arial" w:cs="Arial"/>
                <w:noProof/>
                <w:webHidden/>
              </w:rPr>
              <w:fldChar w:fldCharType="separate"/>
            </w:r>
            <w:r w:rsidRPr="006C5BBB">
              <w:rPr>
                <w:rFonts w:ascii="Arial" w:hAnsi="Arial" w:cs="Arial"/>
                <w:noProof/>
                <w:webHidden/>
              </w:rPr>
              <w:t>4</w:t>
            </w:r>
            <w:r w:rsidRPr="006C5BBB">
              <w:rPr>
                <w:rFonts w:ascii="Arial" w:hAnsi="Arial" w:cs="Arial"/>
                <w:noProof/>
                <w:webHidden/>
              </w:rPr>
              <w:fldChar w:fldCharType="end"/>
            </w:r>
          </w:hyperlink>
        </w:p>
        <w:p w14:paraId="46ACFFBB" w14:textId="18824746" w:rsidR="006C5BBB" w:rsidRPr="006C5BBB" w:rsidRDefault="006C5BBB" w:rsidP="006C5BBB">
          <w:pPr>
            <w:pStyle w:val="TOC1"/>
            <w:tabs>
              <w:tab w:val="right" w:leader="dot" w:pos="9016"/>
            </w:tabs>
            <w:spacing w:line="360" w:lineRule="auto"/>
            <w:rPr>
              <w:rFonts w:ascii="Arial" w:eastAsiaTheme="minorEastAsia" w:hAnsi="Arial" w:cs="Arial"/>
              <w:noProof/>
              <w:lang w:eastAsia="en-GB"/>
            </w:rPr>
          </w:pPr>
          <w:hyperlink w:anchor="_Toc216515671" w:history="1">
            <w:r w:rsidRPr="006C5BBB">
              <w:rPr>
                <w:rStyle w:val="Hyperlink"/>
                <w:rFonts w:ascii="Arial" w:hAnsi="Arial" w:cs="Arial"/>
                <w:noProof/>
              </w:rPr>
              <w:t>4. Rationale of the Study</w:t>
            </w:r>
            <w:r w:rsidRPr="006C5BBB">
              <w:rPr>
                <w:rFonts w:ascii="Arial" w:hAnsi="Arial" w:cs="Arial"/>
                <w:noProof/>
                <w:webHidden/>
              </w:rPr>
              <w:tab/>
            </w:r>
            <w:r w:rsidRPr="006C5BBB">
              <w:rPr>
                <w:rFonts w:ascii="Arial" w:hAnsi="Arial" w:cs="Arial"/>
                <w:noProof/>
                <w:webHidden/>
              </w:rPr>
              <w:fldChar w:fldCharType="begin"/>
            </w:r>
            <w:r w:rsidRPr="006C5BBB">
              <w:rPr>
                <w:rFonts w:ascii="Arial" w:hAnsi="Arial" w:cs="Arial"/>
                <w:noProof/>
                <w:webHidden/>
              </w:rPr>
              <w:instrText xml:space="preserve"> PAGEREF _Toc216515671 \h </w:instrText>
            </w:r>
            <w:r w:rsidRPr="006C5BBB">
              <w:rPr>
                <w:rFonts w:ascii="Arial" w:hAnsi="Arial" w:cs="Arial"/>
                <w:noProof/>
                <w:webHidden/>
              </w:rPr>
            </w:r>
            <w:r w:rsidRPr="006C5BBB">
              <w:rPr>
                <w:rFonts w:ascii="Arial" w:hAnsi="Arial" w:cs="Arial"/>
                <w:noProof/>
                <w:webHidden/>
              </w:rPr>
              <w:fldChar w:fldCharType="separate"/>
            </w:r>
            <w:r w:rsidRPr="006C5BBB">
              <w:rPr>
                <w:rFonts w:ascii="Arial" w:hAnsi="Arial" w:cs="Arial"/>
                <w:noProof/>
                <w:webHidden/>
              </w:rPr>
              <w:t>5</w:t>
            </w:r>
            <w:r w:rsidRPr="006C5BBB">
              <w:rPr>
                <w:rFonts w:ascii="Arial" w:hAnsi="Arial" w:cs="Arial"/>
                <w:noProof/>
                <w:webHidden/>
              </w:rPr>
              <w:fldChar w:fldCharType="end"/>
            </w:r>
          </w:hyperlink>
        </w:p>
        <w:p w14:paraId="75DB92A8" w14:textId="48D2AC11" w:rsidR="006C5BBB" w:rsidRPr="006C5BBB" w:rsidRDefault="006C5BBB" w:rsidP="006C5BBB">
          <w:pPr>
            <w:pStyle w:val="TOC1"/>
            <w:tabs>
              <w:tab w:val="right" w:leader="dot" w:pos="9016"/>
            </w:tabs>
            <w:spacing w:line="360" w:lineRule="auto"/>
            <w:rPr>
              <w:rFonts w:ascii="Arial" w:eastAsiaTheme="minorEastAsia" w:hAnsi="Arial" w:cs="Arial"/>
              <w:noProof/>
              <w:lang w:eastAsia="en-GB"/>
            </w:rPr>
          </w:pPr>
          <w:hyperlink w:anchor="_Toc216515672" w:history="1">
            <w:r w:rsidRPr="006C5BBB">
              <w:rPr>
                <w:rStyle w:val="Hyperlink"/>
                <w:rFonts w:ascii="Arial" w:hAnsi="Arial" w:cs="Arial"/>
                <w:noProof/>
              </w:rPr>
              <w:t>5. Research Questions, Aim, and Objectives</w:t>
            </w:r>
            <w:r w:rsidRPr="006C5BBB">
              <w:rPr>
                <w:rFonts w:ascii="Arial" w:hAnsi="Arial" w:cs="Arial"/>
                <w:noProof/>
                <w:webHidden/>
              </w:rPr>
              <w:tab/>
            </w:r>
            <w:r w:rsidRPr="006C5BBB">
              <w:rPr>
                <w:rFonts w:ascii="Arial" w:hAnsi="Arial" w:cs="Arial"/>
                <w:noProof/>
                <w:webHidden/>
              </w:rPr>
              <w:fldChar w:fldCharType="begin"/>
            </w:r>
            <w:r w:rsidRPr="006C5BBB">
              <w:rPr>
                <w:rFonts w:ascii="Arial" w:hAnsi="Arial" w:cs="Arial"/>
                <w:noProof/>
                <w:webHidden/>
              </w:rPr>
              <w:instrText xml:space="preserve"> PAGEREF _Toc216515672 \h </w:instrText>
            </w:r>
            <w:r w:rsidRPr="006C5BBB">
              <w:rPr>
                <w:rFonts w:ascii="Arial" w:hAnsi="Arial" w:cs="Arial"/>
                <w:noProof/>
                <w:webHidden/>
              </w:rPr>
            </w:r>
            <w:r w:rsidRPr="006C5BBB">
              <w:rPr>
                <w:rFonts w:ascii="Arial" w:hAnsi="Arial" w:cs="Arial"/>
                <w:noProof/>
                <w:webHidden/>
              </w:rPr>
              <w:fldChar w:fldCharType="separate"/>
            </w:r>
            <w:r w:rsidRPr="006C5BBB">
              <w:rPr>
                <w:rFonts w:ascii="Arial" w:hAnsi="Arial" w:cs="Arial"/>
                <w:noProof/>
                <w:webHidden/>
              </w:rPr>
              <w:t>6</w:t>
            </w:r>
            <w:r w:rsidRPr="006C5BBB">
              <w:rPr>
                <w:rFonts w:ascii="Arial" w:hAnsi="Arial" w:cs="Arial"/>
                <w:noProof/>
                <w:webHidden/>
              </w:rPr>
              <w:fldChar w:fldCharType="end"/>
            </w:r>
          </w:hyperlink>
        </w:p>
        <w:p w14:paraId="03961C30" w14:textId="42962BFB" w:rsidR="006C5BBB" w:rsidRPr="006C5BBB" w:rsidRDefault="006C5BBB" w:rsidP="006C5BBB">
          <w:pPr>
            <w:pStyle w:val="TOC1"/>
            <w:tabs>
              <w:tab w:val="right" w:leader="dot" w:pos="9016"/>
            </w:tabs>
            <w:spacing w:line="360" w:lineRule="auto"/>
            <w:rPr>
              <w:rFonts w:ascii="Arial" w:eastAsiaTheme="minorEastAsia" w:hAnsi="Arial" w:cs="Arial"/>
              <w:noProof/>
              <w:lang w:eastAsia="en-GB"/>
            </w:rPr>
          </w:pPr>
          <w:hyperlink w:anchor="_Toc216515673" w:history="1">
            <w:r w:rsidRPr="006C5BBB">
              <w:rPr>
                <w:rStyle w:val="Hyperlink"/>
                <w:rFonts w:ascii="Arial" w:hAnsi="Arial" w:cs="Arial"/>
                <w:noProof/>
              </w:rPr>
              <w:t>6. Research Methodology: Systematic Review</w:t>
            </w:r>
            <w:r w:rsidRPr="006C5BBB">
              <w:rPr>
                <w:rFonts w:ascii="Arial" w:hAnsi="Arial" w:cs="Arial"/>
                <w:noProof/>
                <w:webHidden/>
              </w:rPr>
              <w:tab/>
            </w:r>
            <w:r w:rsidRPr="006C5BBB">
              <w:rPr>
                <w:rFonts w:ascii="Arial" w:hAnsi="Arial" w:cs="Arial"/>
                <w:noProof/>
                <w:webHidden/>
              </w:rPr>
              <w:fldChar w:fldCharType="begin"/>
            </w:r>
            <w:r w:rsidRPr="006C5BBB">
              <w:rPr>
                <w:rFonts w:ascii="Arial" w:hAnsi="Arial" w:cs="Arial"/>
                <w:noProof/>
                <w:webHidden/>
              </w:rPr>
              <w:instrText xml:space="preserve"> PAGEREF _Toc216515673 \h </w:instrText>
            </w:r>
            <w:r w:rsidRPr="006C5BBB">
              <w:rPr>
                <w:rFonts w:ascii="Arial" w:hAnsi="Arial" w:cs="Arial"/>
                <w:noProof/>
                <w:webHidden/>
              </w:rPr>
            </w:r>
            <w:r w:rsidRPr="006C5BBB">
              <w:rPr>
                <w:rFonts w:ascii="Arial" w:hAnsi="Arial" w:cs="Arial"/>
                <w:noProof/>
                <w:webHidden/>
              </w:rPr>
              <w:fldChar w:fldCharType="separate"/>
            </w:r>
            <w:r w:rsidRPr="006C5BBB">
              <w:rPr>
                <w:rFonts w:ascii="Arial" w:hAnsi="Arial" w:cs="Arial"/>
                <w:noProof/>
                <w:webHidden/>
              </w:rPr>
              <w:t>6</w:t>
            </w:r>
            <w:r w:rsidRPr="006C5BBB">
              <w:rPr>
                <w:rFonts w:ascii="Arial" w:hAnsi="Arial" w:cs="Arial"/>
                <w:noProof/>
                <w:webHidden/>
              </w:rPr>
              <w:fldChar w:fldCharType="end"/>
            </w:r>
          </w:hyperlink>
        </w:p>
        <w:p w14:paraId="30C4194E" w14:textId="32DF2AEF" w:rsidR="006C5BBB" w:rsidRPr="006C5BBB" w:rsidRDefault="006C5BBB" w:rsidP="006C5BBB">
          <w:pPr>
            <w:pStyle w:val="TOC1"/>
            <w:tabs>
              <w:tab w:val="right" w:leader="dot" w:pos="9016"/>
            </w:tabs>
            <w:spacing w:line="360" w:lineRule="auto"/>
            <w:rPr>
              <w:rFonts w:ascii="Arial" w:eastAsiaTheme="minorEastAsia" w:hAnsi="Arial" w:cs="Arial"/>
              <w:noProof/>
              <w:lang w:eastAsia="en-GB"/>
            </w:rPr>
          </w:pPr>
          <w:hyperlink w:anchor="_Toc216515674" w:history="1">
            <w:r w:rsidRPr="006C5BBB">
              <w:rPr>
                <w:rStyle w:val="Hyperlink"/>
                <w:rFonts w:ascii="Arial" w:hAnsi="Arial" w:cs="Arial"/>
                <w:noProof/>
              </w:rPr>
              <w:t>7. Data Collection Procedure</w:t>
            </w:r>
            <w:r w:rsidRPr="006C5BBB">
              <w:rPr>
                <w:rFonts w:ascii="Arial" w:hAnsi="Arial" w:cs="Arial"/>
                <w:noProof/>
                <w:webHidden/>
              </w:rPr>
              <w:tab/>
            </w:r>
            <w:r w:rsidRPr="006C5BBB">
              <w:rPr>
                <w:rFonts w:ascii="Arial" w:hAnsi="Arial" w:cs="Arial"/>
                <w:noProof/>
                <w:webHidden/>
              </w:rPr>
              <w:fldChar w:fldCharType="begin"/>
            </w:r>
            <w:r w:rsidRPr="006C5BBB">
              <w:rPr>
                <w:rFonts w:ascii="Arial" w:hAnsi="Arial" w:cs="Arial"/>
                <w:noProof/>
                <w:webHidden/>
              </w:rPr>
              <w:instrText xml:space="preserve"> PAGEREF _Toc216515674 \h </w:instrText>
            </w:r>
            <w:r w:rsidRPr="006C5BBB">
              <w:rPr>
                <w:rFonts w:ascii="Arial" w:hAnsi="Arial" w:cs="Arial"/>
                <w:noProof/>
                <w:webHidden/>
              </w:rPr>
            </w:r>
            <w:r w:rsidRPr="006C5BBB">
              <w:rPr>
                <w:rFonts w:ascii="Arial" w:hAnsi="Arial" w:cs="Arial"/>
                <w:noProof/>
                <w:webHidden/>
              </w:rPr>
              <w:fldChar w:fldCharType="separate"/>
            </w:r>
            <w:r w:rsidRPr="006C5BBB">
              <w:rPr>
                <w:rFonts w:ascii="Arial" w:hAnsi="Arial" w:cs="Arial"/>
                <w:noProof/>
                <w:webHidden/>
              </w:rPr>
              <w:t>7</w:t>
            </w:r>
            <w:r w:rsidRPr="006C5BBB">
              <w:rPr>
                <w:rFonts w:ascii="Arial" w:hAnsi="Arial" w:cs="Arial"/>
                <w:noProof/>
                <w:webHidden/>
              </w:rPr>
              <w:fldChar w:fldCharType="end"/>
            </w:r>
          </w:hyperlink>
        </w:p>
        <w:p w14:paraId="6E0BA431" w14:textId="3B6748AB" w:rsidR="006C5BBB" w:rsidRPr="006C5BBB" w:rsidRDefault="006C5BBB" w:rsidP="006C5BBB">
          <w:pPr>
            <w:pStyle w:val="TOC1"/>
            <w:tabs>
              <w:tab w:val="right" w:leader="dot" w:pos="9016"/>
            </w:tabs>
            <w:spacing w:line="360" w:lineRule="auto"/>
            <w:rPr>
              <w:rFonts w:ascii="Arial" w:eastAsiaTheme="minorEastAsia" w:hAnsi="Arial" w:cs="Arial"/>
              <w:noProof/>
              <w:lang w:eastAsia="en-GB"/>
            </w:rPr>
          </w:pPr>
          <w:hyperlink w:anchor="_Toc216515675" w:history="1">
            <w:r w:rsidRPr="006C5BBB">
              <w:rPr>
                <w:rStyle w:val="Hyperlink"/>
                <w:rFonts w:ascii="Arial" w:hAnsi="Arial" w:cs="Arial"/>
                <w:noProof/>
              </w:rPr>
              <w:t>8. Inclusion Criteria and Exclusion Criteria</w:t>
            </w:r>
            <w:r w:rsidRPr="006C5BBB">
              <w:rPr>
                <w:rFonts w:ascii="Arial" w:hAnsi="Arial" w:cs="Arial"/>
                <w:noProof/>
                <w:webHidden/>
              </w:rPr>
              <w:tab/>
            </w:r>
            <w:r w:rsidRPr="006C5BBB">
              <w:rPr>
                <w:rFonts w:ascii="Arial" w:hAnsi="Arial" w:cs="Arial"/>
                <w:noProof/>
                <w:webHidden/>
              </w:rPr>
              <w:fldChar w:fldCharType="begin"/>
            </w:r>
            <w:r w:rsidRPr="006C5BBB">
              <w:rPr>
                <w:rFonts w:ascii="Arial" w:hAnsi="Arial" w:cs="Arial"/>
                <w:noProof/>
                <w:webHidden/>
              </w:rPr>
              <w:instrText xml:space="preserve"> PAGEREF _Toc216515675 \h </w:instrText>
            </w:r>
            <w:r w:rsidRPr="006C5BBB">
              <w:rPr>
                <w:rFonts w:ascii="Arial" w:hAnsi="Arial" w:cs="Arial"/>
                <w:noProof/>
                <w:webHidden/>
              </w:rPr>
            </w:r>
            <w:r w:rsidRPr="006C5BBB">
              <w:rPr>
                <w:rFonts w:ascii="Arial" w:hAnsi="Arial" w:cs="Arial"/>
                <w:noProof/>
                <w:webHidden/>
              </w:rPr>
              <w:fldChar w:fldCharType="separate"/>
            </w:r>
            <w:r w:rsidRPr="006C5BBB">
              <w:rPr>
                <w:rFonts w:ascii="Arial" w:hAnsi="Arial" w:cs="Arial"/>
                <w:noProof/>
                <w:webHidden/>
              </w:rPr>
              <w:t>7</w:t>
            </w:r>
            <w:r w:rsidRPr="006C5BBB">
              <w:rPr>
                <w:rFonts w:ascii="Arial" w:hAnsi="Arial" w:cs="Arial"/>
                <w:noProof/>
                <w:webHidden/>
              </w:rPr>
              <w:fldChar w:fldCharType="end"/>
            </w:r>
          </w:hyperlink>
        </w:p>
        <w:p w14:paraId="4FA6EA5B" w14:textId="480E26CF" w:rsidR="006C5BBB" w:rsidRPr="006C5BBB" w:rsidRDefault="006C5BBB" w:rsidP="006C5BBB">
          <w:pPr>
            <w:pStyle w:val="TOC1"/>
            <w:tabs>
              <w:tab w:val="right" w:leader="dot" w:pos="9016"/>
            </w:tabs>
            <w:spacing w:line="360" w:lineRule="auto"/>
            <w:rPr>
              <w:rFonts w:ascii="Arial" w:eastAsiaTheme="minorEastAsia" w:hAnsi="Arial" w:cs="Arial"/>
              <w:noProof/>
              <w:lang w:eastAsia="en-GB"/>
            </w:rPr>
          </w:pPr>
          <w:hyperlink w:anchor="_Toc216515676" w:history="1">
            <w:r w:rsidRPr="006C5BBB">
              <w:rPr>
                <w:rStyle w:val="Hyperlink"/>
                <w:rFonts w:ascii="Arial" w:hAnsi="Arial" w:cs="Arial"/>
                <w:noProof/>
              </w:rPr>
              <w:t>9. Data Analysis Technique: Thematic Analysis</w:t>
            </w:r>
            <w:r w:rsidRPr="006C5BBB">
              <w:rPr>
                <w:rFonts w:ascii="Arial" w:hAnsi="Arial" w:cs="Arial"/>
                <w:noProof/>
                <w:webHidden/>
              </w:rPr>
              <w:tab/>
            </w:r>
            <w:r w:rsidRPr="006C5BBB">
              <w:rPr>
                <w:rFonts w:ascii="Arial" w:hAnsi="Arial" w:cs="Arial"/>
                <w:noProof/>
                <w:webHidden/>
              </w:rPr>
              <w:fldChar w:fldCharType="begin"/>
            </w:r>
            <w:r w:rsidRPr="006C5BBB">
              <w:rPr>
                <w:rFonts w:ascii="Arial" w:hAnsi="Arial" w:cs="Arial"/>
                <w:noProof/>
                <w:webHidden/>
              </w:rPr>
              <w:instrText xml:space="preserve"> PAGEREF _Toc216515676 \h </w:instrText>
            </w:r>
            <w:r w:rsidRPr="006C5BBB">
              <w:rPr>
                <w:rFonts w:ascii="Arial" w:hAnsi="Arial" w:cs="Arial"/>
                <w:noProof/>
                <w:webHidden/>
              </w:rPr>
            </w:r>
            <w:r w:rsidRPr="006C5BBB">
              <w:rPr>
                <w:rFonts w:ascii="Arial" w:hAnsi="Arial" w:cs="Arial"/>
                <w:noProof/>
                <w:webHidden/>
              </w:rPr>
              <w:fldChar w:fldCharType="separate"/>
            </w:r>
            <w:r w:rsidRPr="006C5BBB">
              <w:rPr>
                <w:rFonts w:ascii="Arial" w:hAnsi="Arial" w:cs="Arial"/>
                <w:noProof/>
                <w:webHidden/>
              </w:rPr>
              <w:t>9</w:t>
            </w:r>
            <w:r w:rsidRPr="006C5BBB">
              <w:rPr>
                <w:rFonts w:ascii="Arial" w:hAnsi="Arial" w:cs="Arial"/>
                <w:noProof/>
                <w:webHidden/>
              </w:rPr>
              <w:fldChar w:fldCharType="end"/>
            </w:r>
          </w:hyperlink>
        </w:p>
        <w:p w14:paraId="517976F4" w14:textId="5D8CBB6E" w:rsidR="006C5BBB" w:rsidRPr="006C5BBB" w:rsidRDefault="006C5BBB" w:rsidP="006C5BBB">
          <w:pPr>
            <w:pStyle w:val="TOC1"/>
            <w:tabs>
              <w:tab w:val="right" w:leader="dot" w:pos="9016"/>
            </w:tabs>
            <w:spacing w:line="360" w:lineRule="auto"/>
            <w:rPr>
              <w:rFonts w:ascii="Arial" w:eastAsiaTheme="minorEastAsia" w:hAnsi="Arial" w:cs="Arial"/>
              <w:noProof/>
              <w:lang w:eastAsia="en-GB"/>
            </w:rPr>
          </w:pPr>
          <w:hyperlink w:anchor="_Toc216515677" w:history="1">
            <w:r w:rsidRPr="006C5BBB">
              <w:rPr>
                <w:rStyle w:val="Hyperlink"/>
                <w:rFonts w:ascii="Arial" w:hAnsi="Arial" w:cs="Arial"/>
                <w:noProof/>
              </w:rPr>
              <w:t>10. Ethical Considerations</w:t>
            </w:r>
            <w:r w:rsidRPr="006C5BBB">
              <w:rPr>
                <w:rFonts w:ascii="Arial" w:hAnsi="Arial" w:cs="Arial"/>
                <w:noProof/>
                <w:webHidden/>
              </w:rPr>
              <w:tab/>
            </w:r>
            <w:r w:rsidRPr="006C5BBB">
              <w:rPr>
                <w:rFonts w:ascii="Arial" w:hAnsi="Arial" w:cs="Arial"/>
                <w:noProof/>
                <w:webHidden/>
              </w:rPr>
              <w:fldChar w:fldCharType="begin"/>
            </w:r>
            <w:r w:rsidRPr="006C5BBB">
              <w:rPr>
                <w:rFonts w:ascii="Arial" w:hAnsi="Arial" w:cs="Arial"/>
                <w:noProof/>
                <w:webHidden/>
              </w:rPr>
              <w:instrText xml:space="preserve"> PAGEREF _Toc216515677 \h </w:instrText>
            </w:r>
            <w:r w:rsidRPr="006C5BBB">
              <w:rPr>
                <w:rFonts w:ascii="Arial" w:hAnsi="Arial" w:cs="Arial"/>
                <w:noProof/>
                <w:webHidden/>
              </w:rPr>
            </w:r>
            <w:r w:rsidRPr="006C5BBB">
              <w:rPr>
                <w:rFonts w:ascii="Arial" w:hAnsi="Arial" w:cs="Arial"/>
                <w:noProof/>
                <w:webHidden/>
              </w:rPr>
              <w:fldChar w:fldCharType="separate"/>
            </w:r>
            <w:r w:rsidRPr="006C5BBB">
              <w:rPr>
                <w:rFonts w:ascii="Arial" w:hAnsi="Arial" w:cs="Arial"/>
                <w:noProof/>
                <w:webHidden/>
              </w:rPr>
              <w:t>9</w:t>
            </w:r>
            <w:r w:rsidRPr="006C5BBB">
              <w:rPr>
                <w:rFonts w:ascii="Arial" w:hAnsi="Arial" w:cs="Arial"/>
                <w:noProof/>
                <w:webHidden/>
              </w:rPr>
              <w:fldChar w:fldCharType="end"/>
            </w:r>
          </w:hyperlink>
        </w:p>
        <w:p w14:paraId="3BD55CF0" w14:textId="31A5741D" w:rsidR="006C5BBB" w:rsidRPr="006C5BBB" w:rsidRDefault="006C5BBB" w:rsidP="006C5BBB">
          <w:pPr>
            <w:pStyle w:val="TOC1"/>
            <w:tabs>
              <w:tab w:val="right" w:leader="dot" w:pos="9016"/>
            </w:tabs>
            <w:spacing w:line="360" w:lineRule="auto"/>
            <w:rPr>
              <w:rFonts w:ascii="Arial" w:eastAsiaTheme="minorEastAsia" w:hAnsi="Arial" w:cs="Arial"/>
              <w:noProof/>
              <w:lang w:eastAsia="en-GB"/>
            </w:rPr>
          </w:pPr>
          <w:hyperlink w:anchor="_Toc216515678" w:history="1">
            <w:r w:rsidRPr="006C5BBB">
              <w:rPr>
                <w:rStyle w:val="Hyperlink"/>
                <w:rFonts w:ascii="Arial" w:hAnsi="Arial" w:cs="Arial"/>
                <w:noProof/>
              </w:rPr>
              <w:t>11. Implications of the Research</w:t>
            </w:r>
            <w:r w:rsidRPr="006C5BBB">
              <w:rPr>
                <w:rFonts w:ascii="Arial" w:hAnsi="Arial" w:cs="Arial"/>
                <w:noProof/>
                <w:webHidden/>
              </w:rPr>
              <w:tab/>
            </w:r>
            <w:r w:rsidRPr="006C5BBB">
              <w:rPr>
                <w:rFonts w:ascii="Arial" w:hAnsi="Arial" w:cs="Arial"/>
                <w:noProof/>
                <w:webHidden/>
              </w:rPr>
              <w:fldChar w:fldCharType="begin"/>
            </w:r>
            <w:r w:rsidRPr="006C5BBB">
              <w:rPr>
                <w:rFonts w:ascii="Arial" w:hAnsi="Arial" w:cs="Arial"/>
                <w:noProof/>
                <w:webHidden/>
              </w:rPr>
              <w:instrText xml:space="preserve"> PAGEREF _Toc216515678 \h </w:instrText>
            </w:r>
            <w:r w:rsidRPr="006C5BBB">
              <w:rPr>
                <w:rFonts w:ascii="Arial" w:hAnsi="Arial" w:cs="Arial"/>
                <w:noProof/>
                <w:webHidden/>
              </w:rPr>
            </w:r>
            <w:r w:rsidRPr="006C5BBB">
              <w:rPr>
                <w:rFonts w:ascii="Arial" w:hAnsi="Arial" w:cs="Arial"/>
                <w:noProof/>
                <w:webHidden/>
              </w:rPr>
              <w:fldChar w:fldCharType="separate"/>
            </w:r>
            <w:r w:rsidRPr="006C5BBB">
              <w:rPr>
                <w:rFonts w:ascii="Arial" w:hAnsi="Arial" w:cs="Arial"/>
                <w:noProof/>
                <w:webHidden/>
              </w:rPr>
              <w:t>10</w:t>
            </w:r>
            <w:r w:rsidRPr="006C5BBB">
              <w:rPr>
                <w:rFonts w:ascii="Arial" w:hAnsi="Arial" w:cs="Arial"/>
                <w:noProof/>
                <w:webHidden/>
              </w:rPr>
              <w:fldChar w:fldCharType="end"/>
            </w:r>
          </w:hyperlink>
        </w:p>
        <w:p w14:paraId="035B250E" w14:textId="2BC56D60" w:rsidR="006C5BBB" w:rsidRPr="006C5BBB" w:rsidRDefault="006C5BBB" w:rsidP="006C5BBB">
          <w:pPr>
            <w:pStyle w:val="TOC1"/>
            <w:tabs>
              <w:tab w:val="right" w:leader="dot" w:pos="9016"/>
            </w:tabs>
            <w:spacing w:line="360" w:lineRule="auto"/>
            <w:rPr>
              <w:rFonts w:ascii="Arial" w:eastAsiaTheme="minorEastAsia" w:hAnsi="Arial" w:cs="Arial"/>
              <w:noProof/>
              <w:lang w:eastAsia="en-GB"/>
            </w:rPr>
          </w:pPr>
          <w:hyperlink w:anchor="_Toc216515679" w:history="1">
            <w:r w:rsidRPr="006C5BBB">
              <w:rPr>
                <w:rStyle w:val="Hyperlink"/>
                <w:rFonts w:ascii="Arial" w:hAnsi="Arial" w:cs="Arial"/>
                <w:noProof/>
              </w:rPr>
              <w:t>12. Conclusion</w:t>
            </w:r>
            <w:r w:rsidRPr="006C5BBB">
              <w:rPr>
                <w:rFonts w:ascii="Arial" w:hAnsi="Arial" w:cs="Arial"/>
                <w:noProof/>
                <w:webHidden/>
              </w:rPr>
              <w:tab/>
            </w:r>
            <w:r w:rsidRPr="006C5BBB">
              <w:rPr>
                <w:rFonts w:ascii="Arial" w:hAnsi="Arial" w:cs="Arial"/>
                <w:noProof/>
                <w:webHidden/>
              </w:rPr>
              <w:fldChar w:fldCharType="begin"/>
            </w:r>
            <w:r w:rsidRPr="006C5BBB">
              <w:rPr>
                <w:rFonts w:ascii="Arial" w:hAnsi="Arial" w:cs="Arial"/>
                <w:noProof/>
                <w:webHidden/>
              </w:rPr>
              <w:instrText xml:space="preserve"> PAGEREF _Toc216515679 \h </w:instrText>
            </w:r>
            <w:r w:rsidRPr="006C5BBB">
              <w:rPr>
                <w:rFonts w:ascii="Arial" w:hAnsi="Arial" w:cs="Arial"/>
                <w:noProof/>
                <w:webHidden/>
              </w:rPr>
            </w:r>
            <w:r w:rsidRPr="006C5BBB">
              <w:rPr>
                <w:rFonts w:ascii="Arial" w:hAnsi="Arial" w:cs="Arial"/>
                <w:noProof/>
                <w:webHidden/>
              </w:rPr>
              <w:fldChar w:fldCharType="separate"/>
            </w:r>
            <w:r w:rsidRPr="006C5BBB">
              <w:rPr>
                <w:rFonts w:ascii="Arial" w:hAnsi="Arial" w:cs="Arial"/>
                <w:noProof/>
                <w:webHidden/>
              </w:rPr>
              <w:t>11</w:t>
            </w:r>
            <w:r w:rsidRPr="006C5BBB">
              <w:rPr>
                <w:rFonts w:ascii="Arial" w:hAnsi="Arial" w:cs="Arial"/>
                <w:noProof/>
                <w:webHidden/>
              </w:rPr>
              <w:fldChar w:fldCharType="end"/>
            </w:r>
          </w:hyperlink>
        </w:p>
        <w:p w14:paraId="5AA93099" w14:textId="6FAA7395" w:rsidR="006C5BBB" w:rsidRPr="006C5BBB" w:rsidRDefault="006C5BBB" w:rsidP="006C5BBB">
          <w:pPr>
            <w:pStyle w:val="TOC1"/>
            <w:tabs>
              <w:tab w:val="right" w:leader="dot" w:pos="9016"/>
            </w:tabs>
            <w:spacing w:line="360" w:lineRule="auto"/>
            <w:rPr>
              <w:rFonts w:ascii="Arial" w:eastAsiaTheme="minorEastAsia" w:hAnsi="Arial" w:cs="Arial"/>
              <w:noProof/>
              <w:lang w:eastAsia="en-GB"/>
            </w:rPr>
          </w:pPr>
          <w:hyperlink w:anchor="_Toc216515680" w:history="1">
            <w:r w:rsidRPr="006C5BBB">
              <w:rPr>
                <w:rStyle w:val="Hyperlink"/>
                <w:rFonts w:ascii="Arial" w:hAnsi="Arial" w:cs="Arial"/>
                <w:noProof/>
              </w:rPr>
              <w:t>Gantt chart</w:t>
            </w:r>
            <w:r w:rsidRPr="006C5BBB">
              <w:rPr>
                <w:rFonts w:ascii="Arial" w:hAnsi="Arial" w:cs="Arial"/>
                <w:noProof/>
                <w:webHidden/>
              </w:rPr>
              <w:tab/>
            </w:r>
            <w:r w:rsidRPr="006C5BBB">
              <w:rPr>
                <w:rFonts w:ascii="Arial" w:hAnsi="Arial" w:cs="Arial"/>
                <w:noProof/>
                <w:webHidden/>
              </w:rPr>
              <w:fldChar w:fldCharType="begin"/>
            </w:r>
            <w:r w:rsidRPr="006C5BBB">
              <w:rPr>
                <w:rFonts w:ascii="Arial" w:hAnsi="Arial" w:cs="Arial"/>
                <w:noProof/>
                <w:webHidden/>
              </w:rPr>
              <w:instrText xml:space="preserve"> PAGEREF _Toc216515680 \h </w:instrText>
            </w:r>
            <w:r w:rsidRPr="006C5BBB">
              <w:rPr>
                <w:rFonts w:ascii="Arial" w:hAnsi="Arial" w:cs="Arial"/>
                <w:noProof/>
                <w:webHidden/>
              </w:rPr>
            </w:r>
            <w:r w:rsidRPr="006C5BBB">
              <w:rPr>
                <w:rFonts w:ascii="Arial" w:hAnsi="Arial" w:cs="Arial"/>
                <w:noProof/>
                <w:webHidden/>
              </w:rPr>
              <w:fldChar w:fldCharType="separate"/>
            </w:r>
            <w:r w:rsidRPr="006C5BBB">
              <w:rPr>
                <w:rFonts w:ascii="Arial" w:hAnsi="Arial" w:cs="Arial"/>
                <w:noProof/>
                <w:webHidden/>
              </w:rPr>
              <w:t>12</w:t>
            </w:r>
            <w:r w:rsidRPr="006C5BBB">
              <w:rPr>
                <w:rFonts w:ascii="Arial" w:hAnsi="Arial" w:cs="Arial"/>
                <w:noProof/>
                <w:webHidden/>
              </w:rPr>
              <w:fldChar w:fldCharType="end"/>
            </w:r>
          </w:hyperlink>
        </w:p>
        <w:p w14:paraId="27BA455C" w14:textId="05E8E037" w:rsidR="006C5BBB" w:rsidRPr="006C5BBB" w:rsidRDefault="006C5BBB" w:rsidP="006C5BBB">
          <w:pPr>
            <w:pStyle w:val="TOC1"/>
            <w:tabs>
              <w:tab w:val="right" w:leader="dot" w:pos="9016"/>
            </w:tabs>
            <w:spacing w:line="360" w:lineRule="auto"/>
            <w:rPr>
              <w:rFonts w:ascii="Arial" w:eastAsiaTheme="minorEastAsia" w:hAnsi="Arial" w:cs="Arial"/>
              <w:noProof/>
              <w:lang w:eastAsia="en-GB"/>
            </w:rPr>
          </w:pPr>
          <w:hyperlink w:anchor="_Toc216515681" w:history="1">
            <w:r w:rsidRPr="006C5BBB">
              <w:rPr>
                <w:rStyle w:val="Hyperlink"/>
                <w:rFonts w:ascii="Arial" w:hAnsi="Arial" w:cs="Arial"/>
                <w:noProof/>
              </w:rPr>
              <w:t>References</w:t>
            </w:r>
            <w:r w:rsidRPr="006C5BBB">
              <w:rPr>
                <w:rFonts w:ascii="Arial" w:hAnsi="Arial" w:cs="Arial"/>
                <w:noProof/>
                <w:webHidden/>
              </w:rPr>
              <w:tab/>
            </w:r>
            <w:r w:rsidRPr="006C5BBB">
              <w:rPr>
                <w:rFonts w:ascii="Arial" w:hAnsi="Arial" w:cs="Arial"/>
                <w:noProof/>
                <w:webHidden/>
              </w:rPr>
              <w:fldChar w:fldCharType="begin"/>
            </w:r>
            <w:r w:rsidRPr="006C5BBB">
              <w:rPr>
                <w:rFonts w:ascii="Arial" w:hAnsi="Arial" w:cs="Arial"/>
                <w:noProof/>
                <w:webHidden/>
              </w:rPr>
              <w:instrText xml:space="preserve"> PAGEREF _Toc216515681 \h </w:instrText>
            </w:r>
            <w:r w:rsidRPr="006C5BBB">
              <w:rPr>
                <w:rFonts w:ascii="Arial" w:hAnsi="Arial" w:cs="Arial"/>
                <w:noProof/>
                <w:webHidden/>
              </w:rPr>
            </w:r>
            <w:r w:rsidRPr="006C5BBB">
              <w:rPr>
                <w:rFonts w:ascii="Arial" w:hAnsi="Arial" w:cs="Arial"/>
                <w:noProof/>
                <w:webHidden/>
              </w:rPr>
              <w:fldChar w:fldCharType="separate"/>
            </w:r>
            <w:r w:rsidRPr="006C5BBB">
              <w:rPr>
                <w:rFonts w:ascii="Arial" w:hAnsi="Arial" w:cs="Arial"/>
                <w:noProof/>
                <w:webHidden/>
              </w:rPr>
              <w:t>13</w:t>
            </w:r>
            <w:r w:rsidRPr="006C5BBB">
              <w:rPr>
                <w:rFonts w:ascii="Arial" w:hAnsi="Arial" w:cs="Arial"/>
                <w:noProof/>
                <w:webHidden/>
              </w:rPr>
              <w:fldChar w:fldCharType="end"/>
            </w:r>
          </w:hyperlink>
        </w:p>
        <w:p w14:paraId="452B6647" w14:textId="3003A3DA" w:rsidR="005422C2" w:rsidRPr="006C5BBB" w:rsidRDefault="005422C2" w:rsidP="006C5BBB">
          <w:pPr>
            <w:spacing w:line="360" w:lineRule="auto"/>
            <w:rPr>
              <w:rFonts w:ascii="Arial" w:hAnsi="Arial" w:cs="Arial"/>
            </w:rPr>
          </w:pPr>
          <w:r w:rsidRPr="006C5BBB">
            <w:rPr>
              <w:rFonts w:ascii="Arial" w:hAnsi="Arial" w:cs="Arial"/>
              <w:b/>
              <w:bCs/>
            </w:rPr>
            <w:fldChar w:fldCharType="end"/>
          </w:r>
        </w:p>
      </w:sdtContent>
    </w:sdt>
    <w:p w14:paraId="38A5186A" w14:textId="77777777" w:rsidR="005422C2" w:rsidRPr="00237F24" w:rsidRDefault="005422C2" w:rsidP="00787C9A">
      <w:pPr>
        <w:spacing w:line="360" w:lineRule="auto"/>
        <w:jc w:val="both"/>
        <w:rPr>
          <w:rFonts w:ascii="Arial" w:hAnsi="Arial" w:cs="Arial"/>
          <w:b/>
          <w:bCs/>
        </w:rPr>
      </w:pPr>
    </w:p>
    <w:p w14:paraId="7898E0A8" w14:textId="77777777" w:rsidR="005422C2" w:rsidRPr="00237F24" w:rsidRDefault="005422C2" w:rsidP="00787C9A">
      <w:pPr>
        <w:spacing w:line="360" w:lineRule="auto"/>
        <w:jc w:val="both"/>
        <w:rPr>
          <w:rFonts w:ascii="Arial" w:hAnsi="Arial" w:cs="Arial"/>
          <w:b/>
          <w:bCs/>
        </w:rPr>
      </w:pPr>
    </w:p>
    <w:p w14:paraId="51491A43" w14:textId="77777777" w:rsidR="005422C2" w:rsidRPr="00237F24" w:rsidRDefault="005422C2" w:rsidP="00787C9A">
      <w:pPr>
        <w:spacing w:line="360" w:lineRule="auto"/>
        <w:jc w:val="both"/>
        <w:rPr>
          <w:rFonts w:ascii="Arial" w:hAnsi="Arial" w:cs="Arial"/>
          <w:b/>
          <w:bCs/>
        </w:rPr>
      </w:pPr>
    </w:p>
    <w:p w14:paraId="6DF3A23E" w14:textId="77777777" w:rsidR="005422C2" w:rsidRPr="00237F24" w:rsidRDefault="005422C2" w:rsidP="00237F24">
      <w:pPr>
        <w:spacing w:line="360" w:lineRule="auto"/>
        <w:jc w:val="both"/>
        <w:rPr>
          <w:rFonts w:ascii="Arial" w:hAnsi="Arial" w:cs="Arial"/>
          <w:b/>
          <w:bCs/>
        </w:rPr>
      </w:pPr>
    </w:p>
    <w:p w14:paraId="4CB1CAA8" w14:textId="77777777" w:rsidR="005422C2" w:rsidRPr="00237F24" w:rsidRDefault="005422C2" w:rsidP="00787C9A">
      <w:pPr>
        <w:spacing w:line="360" w:lineRule="auto"/>
        <w:jc w:val="both"/>
        <w:rPr>
          <w:rFonts w:ascii="Arial" w:hAnsi="Arial" w:cs="Arial"/>
          <w:b/>
          <w:bCs/>
        </w:rPr>
      </w:pPr>
    </w:p>
    <w:p w14:paraId="6AE381EF" w14:textId="77777777" w:rsidR="005422C2" w:rsidRPr="00237F24" w:rsidRDefault="005422C2" w:rsidP="00787C9A">
      <w:pPr>
        <w:spacing w:line="360" w:lineRule="auto"/>
        <w:jc w:val="both"/>
        <w:rPr>
          <w:rFonts w:ascii="Arial" w:hAnsi="Arial" w:cs="Arial"/>
          <w:b/>
          <w:bCs/>
        </w:rPr>
      </w:pPr>
    </w:p>
    <w:p w14:paraId="5440BCA9" w14:textId="77777777" w:rsidR="005422C2" w:rsidRPr="00237F24" w:rsidRDefault="005422C2" w:rsidP="00787C9A">
      <w:pPr>
        <w:spacing w:line="360" w:lineRule="auto"/>
        <w:jc w:val="both"/>
        <w:rPr>
          <w:rFonts w:ascii="Arial" w:hAnsi="Arial" w:cs="Arial"/>
          <w:b/>
          <w:bCs/>
        </w:rPr>
      </w:pPr>
    </w:p>
    <w:p w14:paraId="4ECBF52E" w14:textId="77777777" w:rsidR="005422C2" w:rsidRPr="00237F24" w:rsidRDefault="005422C2" w:rsidP="00787C9A">
      <w:pPr>
        <w:spacing w:line="360" w:lineRule="auto"/>
        <w:jc w:val="both"/>
        <w:rPr>
          <w:rFonts w:ascii="Arial" w:hAnsi="Arial" w:cs="Arial"/>
          <w:b/>
          <w:bCs/>
        </w:rPr>
      </w:pPr>
    </w:p>
    <w:p w14:paraId="4AE9ADC9" w14:textId="77777777" w:rsidR="005422C2" w:rsidRPr="00237F24" w:rsidRDefault="005422C2" w:rsidP="00787C9A">
      <w:pPr>
        <w:spacing w:line="360" w:lineRule="auto"/>
        <w:jc w:val="both"/>
        <w:rPr>
          <w:rFonts w:ascii="Arial" w:hAnsi="Arial" w:cs="Arial"/>
          <w:b/>
          <w:bCs/>
        </w:rPr>
      </w:pPr>
    </w:p>
    <w:p w14:paraId="16DAFB09" w14:textId="77777777" w:rsidR="005422C2" w:rsidRPr="00237F24" w:rsidRDefault="005422C2" w:rsidP="00787C9A">
      <w:pPr>
        <w:spacing w:line="360" w:lineRule="auto"/>
        <w:jc w:val="both"/>
        <w:rPr>
          <w:rFonts w:ascii="Arial" w:hAnsi="Arial" w:cs="Arial"/>
          <w:b/>
          <w:bCs/>
        </w:rPr>
      </w:pPr>
    </w:p>
    <w:p w14:paraId="0D3CE311" w14:textId="64839A6E" w:rsidR="00787C9A" w:rsidRPr="00787C9A" w:rsidRDefault="00787C9A" w:rsidP="00787C9A">
      <w:pPr>
        <w:pStyle w:val="Heading1"/>
      </w:pPr>
      <w:bookmarkStart w:id="0" w:name="_Toc216515668"/>
      <w:r w:rsidRPr="00787C9A">
        <w:lastRenderedPageBreak/>
        <w:t>1. Introduction</w:t>
      </w:r>
      <w:bookmarkEnd w:id="0"/>
      <w:r w:rsidRPr="00787C9A">
        <w:t xml:space="preserve"> </w:t>
      </w:r>
    </w:p>
    <w:p w14:paraId="73DFB30D" w14:textId="35CB0E3F" w:rsidR="00787C9A" w:rsidRPr="00787C9A" w:rsidRDefault="00787C9A" w:rsidP="00787C9A">
      <w:pPr>
        <w:spacing w:line="360" w:lineRule="auto"/>
        <w:jc w:val="both"/>
        <w:rPr>
          <w:rFonts w:ascii="Arial" w:hAnsi="Arial" w:cs="Arial"/>
        </w:rPr>
      </w:pPr>
      <w:r w:rsidRPr="00787C9A">
        <w:rPr>
          <w:rFonts w:ascii="Arial" w:hAnsi="Arial" w:cs="Arial"/>
        </w:rPr>
        <w:t>Antisocial behaviours among UK teenagers, such as cyberbullying, substance misuse, and aggressive acts, have become increasingly prominent, raising significant concerns for public health, education, and youth welfare services</w:t>
      </w:r>
      <w:r w:rsidR="00A30EFD">
        <w:rPr>
          <w:rFonts w:ascii="Arial" w:hAnsi="Arial" w:cs="Arial"/>
        </w:rPr>
        <w:t xml:space="preserve"> (</w:t>
      </w:r>
      <w:r w:rsidR="00A30EFD" w:rsidRPr="00A30EFD">
        <w:rPr>
          <w:rFonts w:ascii="Arial" w:hAnsi="Arial" w:cs="Arial"/>
        </w:rPr>
        <w:t>Maras</w:t>
      </w:r>
      <w:r w:rsidR="00A30EFD">
        <w:rPr>
          <w:rFonts w:ascii="Arial" w:hAnsi="Arial" w:cs="Arial"/>
        </w:rPr>
        <w:t xml:space="preserve"> et al, 2024)</w:t>
      </w:r>
      <w:r w:rsidRPr="00787C9A">
        <w:rPr>
          <w:rFonts w:ascii="Arial" w:hAnsi="Arial" w:cs="Arial"/>
        </w:rPr>
        <w:t>. Research indicates that these behaviours pose substantial risks to adolescents’ psychological well-being, academic engagement, and social relationships at a critical stage of their development (Picoito et al., 2021). Factors such as widespread access to digital technology, evolving peer dynamics, and socio-environmental pressures have intensified opportunities for harmful behaviours to occur across both online and offline spaces (Vannucci et al., 2019). In particular, the online environment has created continuous channels for cyberbullying, while emotional and social stressors contribute to the uptake of substances and involvement in aggression</w:t>
      </w:r>
      <w:r w:rsidR="00311273">
        <w:rPr>
          <w:rFonts w:ascii="Arial" w:hAnsi="Arial" w:cs="Arial"/>
        </w:rPr>
        <w:t xml:space="preserve"> (</w:t>
      </w:r>
      <w:r w:rsidR="00311273" w:rsidRPr="00A30EFD">
        <w:rPr>
          <w:rFonts w:ascii="Arial" w:hAnsi="Arial" w:cs="Arial"/>
        </w:rPr>
        <w:t>Maras</w:t>
      </w:r>
      <w:r w:rsidR="00311273">
        <w:rPr>
          <w:rFonts w:ascii="Arial" w:hAnsi="Arial" w:cs="Arial"/>
        </w:rPr>
        <w:t xml:space="preserve"> et al, 2024)</w:t>
      </w:r>
      <w:r w:rsidRPr="00787C9A">
        <w:rPr>
          <w:rFonts w:ascii="Arial" w:hAnsi="Arial" w:cs="Arial"/>
        </w:rPr>
        <w:t>.</w:t>
      </w:r>
    </w:p>
    <w:p w14:paraId="67E4FC8C" w14:textId="7A0050B3" w:rsidR="00787C9A" w:rsidRPr="00787C9A" w:rsidRDefault="00787C9A" w:rsidP="00787C9A">
      <w:pPr>
        <w:spacing w:line="360" w:lineRule="auto"/>
        <w:jc w:val="both"/>
        <w:rPr>
          <w:rFonts w:ascii="Arial" w:hAnsi="Arial" w:cs="Arial"/>
        </w:rPr>
      </w:pPr>
      <w:r w:rsidRPr="00787C9A">
        <w:rPr>
          <w:rFonts w:ascii="Arial" w:hAnsi="Arial" w:cs="Arial"/>
        </w:rPr>
        <w:t xml:space="preserve">These behaviours are not limited to short-term consequences; evidence shows that patterns established during adolescence may persist into adulthood, influencing long-term mental health, life chances, and social integration (Fitzsimons </w:t>
      </w:r>
      <w:r w:rsidR="00311273">
        <w:rPr>
          <w:rFonts w:ascii="Arial" w:hAnsi="Arial" w:cs="Arial"/>
        </w:rPr>
        <w:t xml:space="preserve">and </w:t>
      </w:r>
      <w:r w:rsidRPr="00787C9A">
        <w:rPr>
          <w:rFonts w:ascii="Arial" w:hAnsi="Arial" w:cs="Arial"/>
        </w:rPr>
        <w:t>Villadsen, 2021). The post-pandemic context has introduced additional complexities, including heightened digital engagement and increased emotional strain, which may be contributing to shifts in youth behaviour</w:t>
      </w:r>
      <w:r w:rsidR="00A40637">
        <w:rPr>
          <w:rFonts w:ascii="Arial" w:hAnsi="Arial" w:cs="Arial"/>
        </w:rPr>
        <w:t xml:space="preserve"> (</w:t>
      </w:r>
      <w:r w:rsidR="00A40637" w:rsidRPr="00A40637">
        <w:rPr>
          <w:rFonts w:ascii="Arial" w:hAnsi="Arial" w:cs="Arial"/>
        </w:rPr>
        <w:t>Samara</w:t>
      </w:r>
      <w:r w:rsidR="00A40637">
        <w:rPr>
          <w:rFonts w:ascii="Arial" w:hAnsi="Arial" w:cs="Arial"/>
        </w:rPr>
        <w:t xml:space="preserve"> et al, 2021)</w:t>
      </w:r>
      <w:r w:rsidRPr="00787C9A">
        <w:rPr>
          <w:rFonts w:ascii="Arial" w:hAnsi="Arial" w:cs="Arial"/>
        </w:rPr>
        <w:t>. Given these evolving challenges, contemporary research is essential to provide a comprehensive and up-to-date understanding of antisocial behaviour among adolescents</w:t>
      </w:r>
      <w:r w:rsidR="00341CDC">
        <w:rPr>
          <w:rFonts w:ascii="Arial" w:hAnsi="Arial" w:cs="Arial"/>
        </w:rPr>
        <w:t xml:space="preserve"> </w:t>
      </w:r>
      <w:r w:rsidR="00341CDC" w:rsidRPr="00787C9A">
        <w:rPr>
          <w:rFonts w:ascii="Arial" w:hAnsi="Arial" w:cs="Arial"/>
        </w:rPr>
        <w:t xml:space="preserve">(Fitzsimons </w:t>
      </w:r>
      <w:r w:rsidR="00341CDC">
        <w:rPr>
          <w:rFonts w:ascii="Arial" w:hAnsi="Arial" w:cs="Arial"/>
        </w:rPr>
        <w:t xml:space="preserve">and </w:t>
      </w:r>
      <w:r w:rsidR="00341CDC" w:rsidRPr="00787C9A">
        <w:rPr>
          <w:rFonts w:ascii="Arial" w:hAnsi="Arial" w:cs="Arial"/>
        </w:rPr>
        <w:t>Villadsen, 2021)</w:t>
      </w:r>
      <w:r w:rsidRPr="00787C9A">
        <w:rPr>
          <w:rFonts w:ascii="Arial" w:hAnsi="Arial" w:cs="Arial"/>
        </w:rPr>
        <w:t>. This proposal presents a systematic review that explores prevalence, contributing factors, and impacts, aiming to inform effective prevention strategies and support national policy development.</w:t>
      </w:r>
    </w:p>
    <w:p w14:paraId="16FE475C" w14:textId="189D1BF3" w:rsidR="00AF3A6A" w:rsidRPr="00AF3A6A" w:rsidRDefault="00AF3A6A" w:rsidP="00787C9A">
      <w:pPr>
        <w:pStyle w:val="Heading1"/>
      </w:pPr>
      <w:bookmarkStart w:id="1" w:name="_Toc216515669"/>
      <w:r w:rsidRPr="00AF3A6A">
        <w:t>2. Background of the Study</w:t>
      </w:r>
      <w:bookmarkEnd w:id="1"/>
      <w:r w:rsidRPr="00AF3A6A">
        <w:t xml:space="preserve"> </w:t>
      </w:r>
    </w:p>
    <w:p w14:paraId="340459F5" w14:textId="0F6AC30C" w:rsidR="00AF3A6A" w:rsidRPr="00AF3A6A" w:rsidRDefault="00AF3A6A" w:rsidP="00787C9A">
      <w:pPr>
        <w:spacing w:line="360" w:lineRule="auto"/>
        <w:jc w:val="both"/>
        <w:rPr>
          <w:rFonts w:ascii="Arial" w:hAnsi="Arial" w:cs="Arial"/>
        </w:rPr>
      </w:pPr>
      <w:r w:rsidRPr="00AF3A6A">
        <w:rPr>
          <w:rFonts w:ascii="Arial" w:hAnsi="Arial" w:cs="Arial"/>
        </w:rPr>
        <w:t>Antisocial behaviour in adolescence encompasses a wide spectrum of harmful actions, ranging from digital harassment to physical aggression and substance misuse. Recent studies highlight that technology-facilitated interactions have increased opportunities for cyberbullying, making it a persistent concern within youth populations (Picoito et al., 2021). Cyberbullying, unlike traditional bullying, extends beyond school boundaries and operates continuously through digital platforms, intensifying its psychological impact</w:t>
      </w:r>
      <w:r w:rsidR="008515E3">
        <w:rPr>
          <w:rFonts w:ascii="Arial" w:hAnsi="Arial" w:cs="Arial"/>
        </w:rPr>
        <w:t xml:space="preserve"> (</w:t>
      </w:r>
      <w:r w:rsidR="008515E3" w:rsidRPr="00AF3A6A">
        <w:rPr>
          <w:rFonts w:ascii="Arial" w:hAnsi="Arial" w:cs="Arial"/>
        </w:rPr>
        <w:t>Reid et al., 2022)</w:t>
      </w:r>
      <w:r w:rsidRPr="00AF3A6A">
        <w:rPr>
          <w:rFonts w:ascii="Arial" w:hAnsi="Arial" w:cs="Arial"/>
        </w:rPr>
        <w:t>. At the same time, substance misuse</w:t>
      </w:r>
      <w:r w:rsidR="00424CDF">
        <w:rPr>
          <w:rFonts w:ascii="Arial" w:hAnsi="Arial" w:cs="Arial"/>
        </w:rPr>
        <w:t xml:space="preserve">, </w:t>
      </w:r>
      <w:r w:rsidRPr="00AF3A6A">
        <w:rPr>
          <w:rFonts w:ascii="Arial" w:hAnsi="Arial" w:cs="Arial"/>
        </w:rPr>
        <w:t>such as the use of drugs, alcohol, and tobacco</w:t>
      </w:r>
      <w:r w:rsidR="00715F50">
        <w:rPr>
          <w:rFonts w:ascii="Arial" w:hAnsi="Arial" w:cs="Arial"/>
        </w:rPr>
        <w:t>,</w:t>
      </w:r>
      <w:r w:rsidR="00787C9A">
        <w:rPr>
          <w:rFonts w:ascii="Arial" w:hAnsi="Arial" w:cs="Arial"/>
        </w:rPr>
        <w:t xml:space="preserve"> </w:t>
      </w:r>
      <w:r w:rsidRPr="00AF3A6A">
        <w:rPr>
          <w:rFonts w:ascii="Arial" w:hAnsi="Arial" w:cs="Arial"/>
        </w:rPr>
        <w:t>remains a prominent behavioural issue</w:t>
      </w:r>
      <w:r w:rsidR="007C5E6A">
        <w:rPr>
          <w:rFonts w:ascii="Arial" w:hAnsi="Arial" w:cs="Arial"/>
        </w:rPr>
        <w:t xml:space="preserve"> (</w:t>
      </w:r>
      <w:r w:rsidR="007C5E6A" w:rsidRPr="007C5E6A">
        <w:rPr>
          <w:rFonts w:ascii="Arial" w:hAnsi="Arial" w:cs="Arial"/>
        </w:rPr>
        <w:t>Pichel</w:t>
      </w:r>
      <w:r w:rsidR="007C5E6A">
        <w:rPr>
          <w:rFonts w:ascii="Arial" w:hAnsi="Arial" w:cs="Arial"/>
        </w:rPr>
        <w:t xml:space="preserve"> et al, 2022)</w:t>
      </w:r>
      <w:r w:rsidRPr="00AF3A6A">
        <w:rPr>
          <w:rFonts w:ascii="Arial" w:hAnsi="Arial" w:cs="Arial"/>
        </w:rPr>
        <w:t>. These behaviours are strongly linked to broader risk factors, including peer influence, mental health challenges, and social inequality, which shape young people’s vulnerability to harmful activities (Vannucci et al., 2019).</w:t>
      </w:r>
    </w:p>
    <w:p w14:paraId="25FBD510" w14:textId="446AD32B" w:rsidR="00AF3A6A" w:rsidRPr="00AF3A6A" w:rsidRDefault="00AF3A6A" w:rsidP="00787C9A">
      <w:pPr>
        <w:spacing w:line="360" w:lineRule="auto"/>
        <w:jc w:val="both"/>
        <w:rPr>
          <w:rFonts w:ascii="Arial" w:hAnsi="Arial" w:cs="Arial"/>
        </w:rPr>
      </w:pPr>
      <w:r w:rsidRPr="00AF3A6A">
        <w:rPr>
          <w:rFonts w:ascii="Arial" w:hAnsi="Arial" w:cs="Arial"/>
        </w:rPr>
        <w:t xml:space="preserve">Aggression among young people further complicates this behavioural landscape. Violent and confrontational actions not only endanger victims but also significantly increase perpetrators’ risk of long-term involvement in criminality and social exclusion (Fitzsimons </w:t>
      </w:r>
      <w:r w:rsidR="00715F50">
        <w:rPr>
          <w:rFonts w:ascii="Arial" w:hAnsi="Arial" w:cs="Arial"/>
        </w:rPr>
        <w:t>and</w:t>
      </w:r>
      <w:r w:rsidRPr="00AF3A6A">
        <w:rPr>
          <w:rFonts w:ascii="Arial" w:hAnsi="Arial" w:cs="Arial"/>
        </w:rPr>
        <w:t xml:space="preserve"> Villadsen, 2021). The persistence of these behaviours into adulthood underscores their developmental significance. Furthermore, the post-pandemic era has introduced new complexities in adolescent behaviour</w:t>
      </w:r>
      <w:r w:rsidR="00B94E4A">
        <w:rPr>
          <w:rFonts w:ascii="Arial" w:hAnsi="Arial" w:cs="Arial"/>
        </w:rPr>
        <w:t xml:space="preserve"> (</w:t>
      </w:r>
      <w:r w:rsidR="00B94E4A" w:rsidRPr="00B94E4A">
        <w:rPr>
          <w:rFonts w:ascii="Arial" w:hAnsi="Arial" w:cs="Arial"/>
        </w:rPr>
        <w:t>Llorent</w:t>
      </w:r>
      <w:r w:rsidR="00B94E4A">
        <w:rPr>
          <w:rFonts w:ascii="Arial" w:hAnsi="Arial" w:cs="Arial"/>
        </w:rPr>
        <w:t xml:space="preserve"> et al, 2025)</w:t>
      </w:r>
      <w:r w:rsidRPr="00AF3A6A">
        <w:rPr>
          <w:rFonts w:ascii="Arial" w:hAnsi="Arial" w:cs="Arial"/>
        </w:rPr>
        <w:t>. Researchers note that COVID-19-related disruptions altered social interactions, increased online engagement, and exacerbated mental health pressures, all of which contribute to emerging patterns of antisocial conduct (Halford et al., 2022; Reid et al., 2022). To address these multifaceted challenges, there is an urgent need for research that synthesises existing evidence across domains, identifying the interconnections between cyberbullying, substance misuse, aggression, and adolescent wellbeing.</w:t>
      </w:r>
    </w:p>
    <w:p w14:paraId="49297E1C" w14:textId="6BEB2E90" w:rsidR="00AF3A6A" w:rsidRPr="00AF3A6A" w:rsidRDefault="00AF3A6A" w:rsidP="00787C9A">
      <w:pPr>
        <w:pStyle w:val="Heading1"/>
      </w:pPr>
      <w:bookmarkStart w:id="2" w:name="_Toc216515670"/>
      <w:r w:rsidRPr="00AF3A6A">
        <w:rPr>
          <w:rStyle w:val="Heading1Char"/>
        </w:rPr>
        <w:t>3</w:t>
      </w:r>
      <w:r w:rsidRPr="00AF3A6A">
        <w:t>. Prevalence</w:t>
      </w:r>
      <w:bookmarkEnd w:id="2"/>
      <w:r w:rsidRPr="00AF3A6A">
        <w:t xml:space="preserve"> </w:t>
      </w:r>
    </w:p>
    <w:p w14:paraId="57D7D3F5" w14:textId="77777777" w:rsidR="00AF3A6A" w:rsidRPr="00AF3A6A" w:rsidRDefault="00AF3A6A" w:rsidP="00787C9A">
      <w:pPr>
        <w:spacing w:line="360" w:lineRule="auto"/>
        <w:jc w:val="both"/>
        <w:rPr>
          <w:rFonts w:ascii="Arial" w:hAnsi="Arial" w:cs="Arial"/>
        </w:rPr>
      </w:pPr>
      <w:r w:rsidRPr="00AF3A6A">
        <w:rPr>
          <w:rFonts w:ascii="Arial" w:hAnsi="Arial" w:cs="Arial"/>
        </w:rPr>
        <w:t>Recent UK statistics demonstrate that antisocial behaviour remains a widespread issue among adolescents. Cyberbullying continues to affect a significant proportion of young people, with 19% of UK teenagers reporting experiences of online harassment and 16% admitting to engaging in cyberbullying themselves (ONS, 2020; Anti-Bullying Alliance, 2024). Substance use is also prevalent, with 13% of 15-year-olds reporting drug use and 9% engaging in such use within the past year (NHS England, 2024). Alcohol consumption remains common, with 37% of 15-year-olds having drunk alcohol in the previous 12 months, while 6% report regular smoking. Aggressive and violent behaviour similarly poses significant challenges, with over 14,298 violent offences recorded among individuals aged 10–17 in England and Wales (Youth Endowment Fund, 2023). These figures collectively indicate that antisocial behaviours are widespread, multifaceted, and deeply embedded within the experiences of many UK teenagers. They also highlight the importance of understanding the interplay between digital, social, and behavioural environments that contribute to harmful actions during adolescence.</w:t>
      </w:r>
    </w:p>
    <w:p w14:paraId="7C1141A7" w14:textId="525712A2" w:rsidR="00787C9A" w:rsidRPr="00787C9A" w:rsidRDefault="00787C9A" w:rsidP="00787C9A">
      <w:pPr>
        <w:pStyle w:val="Heading1"/>
      </w:pPr>
      <w:bookmarkStart w:id="3" w:name="_Toc216515671"/>
      <w:r w:rsidRPr="00787C9A">
        <w:t>4. Rationale of the Study</w:t>
      </w:r>
      <w:bookmarkEnd w:id="3"/>
      <w:r w:rsidRPr="00787C9A">
        <w:t xml:space="preserve"> </w:t>
      </w:r>
    </w:p>
    <w:p w14:paraId="3D109423" w14:textId="6D7B87C1" w:rsidR="00787C9A" w:rsidRPr="00787C9A" w:rsidRDefault="00787C9A" w:rsidP="00787C9A">
      <w:pPr>
        <w:spacing w:line="360" w:lineRule="auto"/>
        <w:jc w:val="both"/>
        <w:rPr>
          <w:rFonts w:ascii="Arial" w:hAnsi="Arial" w:cs="Arial"/>
        </w:rPr>
      </w:pPr>
      <w:r w:rsidRPr="00787C9A">
        <w:rPr>
          <w:rFonts w:ascii="Arial" w:hAnsi="Arial" w:cs="Arial"/>
        </w:rPr>
        <w:t>Although extensive research has explored individual forms of antisocial behaviour, there remains a notable lack of integrated analysis directly comparing cyberbullying, substance misuse, and aggressive acts among UK teenagers (Farrington, 2021). Much of the existing literature approaches these behaviours separately, which limits understanding of how they may interact or co-occur in adolescents’ lives</w:t>
      </w:r>
      <w:r w:rsidR="001A398E">
        <w:rPr>
          <w:rFonts w:ascii="Arial" w:hAnsi="Arial" w:cs="Arial"/>
        </w:rPr>
        <w:t xml:space="preserve"> </w:t>
      </w:r>
      <w:r w:rsidR="001A398E" w:rsidRPr="00787C9A">
        <w:rPr>
          <w:rFonts w:ascii="Arial" w:hAnsi="Arial" w:cs="Arial"/>
        </w:rPr>
        <w:t>(Coutinho et al., 2025)</w:t>
      </w:r>
      <w:r w:rsidRPr="00787C9A">
        <w:rPr>
          <w:rFonts w:ascii="Arial" w:hAnsi="Arial" w:cs="Arial"/>
        </w:rPr>
        <w:t>. This fragmentation also poses challenges for educators, policymakers, and mental health professionals, who often require a holistic view to design effective prevention and early intervention strategies</w:t>
      </w:r>
      <w:r w:rsidR="001A398E">
        <w:rPr>
          <w:rFonts w:ascii="Arial" w:hAnsi="Arial" w:cs="Arial"/>
        </w:rPr>
        <w:t xml:space="preserve"> </w:t>
      </w:r>
      <w:r w:rsidR="001A398E" w:rsidRPr="00787C9A">
        <w:rPr>
          <w:rFonts w:ascii="Arial" w:hAnsi="Arial" w:cs="Arial"/>
        </w:rPr>
        <w:t>(Throuvala et al., 2021)</w:t>
      </w:r>
      <w:r w:rsidRPr="00787C9A">
        <w:rPr>
          <w:rFonts w:ascii="Arial" w:hAnsi="Arial" w:cs="Arial"/>
        </w:rPr>
        <w:t>. By undertaking a systematic review that synthesises findings across these three behavioural domains, the present study seeks to provide a more comprehensive understanding of the broader landscape of antisocial behaviour in the UK youth population</w:t>
      </w:r>
      <w:r w:rsidR="001A398E">
        <w:rPr>
          <w:rFonts w:ascii="Arial" w:hAnsi="Arial" w:cs="Arial"/>
        </w:rPr>
        <w:t xml:space="preserve"> </w:t>
      </w:r>
      <w:r w:rsidR="001A398E" w:rsidRPr="00787C9A">
        <w:rPr>
          <w:rFonts w:ascii="Arial" w:hAnsi="Arial" w:cs="Arial"/>
        </w:rPr>
        <w:t>(Coutinho et al., 2025)</w:t>
      </w:r>
      <w:r w:rsidRPr="00787C9A">
        <w:rPr>
          <w:rFonts w:ascii="Arial" w:hAnsi="Arial" w:cs="Arial"/>
        </w:rPr>
        <w:t>.</w:t>
      </w:r>
    </w:p>
    <w:p w14:paraId="400FCEEB" w14:textId="23D9B676" w:rsidR="00787C9A" w:rsidRPr="00787C9A" w:rsidRDefault="00787C9A" w:rsidP="00787C9A">
      <w:pPr>
        <w:spacing w:line="360" w:lineRule="auto"/>
        <w:jc w:val="both"/>
        <w:rPr>
          <w:rFonts w:ascii="Arial" w:hAnsi="Arial" w:cs="Arial"/>
        </w:rPr>
      </w:pPr>
      <w:r w:rsidRPr="00787C9A">
        <w:rPr>
          <w:rFonts w:ascii="Arial" w:hAnsi="Arial" w:cs="Arial"/>
        </w:rPr>
        <w:t>The changing social context following the COVID-19 pandemic further strengthens the need for updated and consolidated evidence. Disruptions to schooling, shifts in daily routines, heightened stress, and increased dependence on digital communication have all contributed to new patterns of behaviour among adolescents (Halford et al., 2022; Reid et al., 2022). Researchers have observed increased emotional vulnerability and changing peer dynamics, both of which may influence the likelihood of engagement in cyberbullying, substance misuse, or aggression. Understanding how these post-pandemic conditions shape contemporary youth behaviour is crucial for ensuring that prevention strategies reflect current realities rather than outdated pre-pandemic models</w:t>
      </w:r>
      <w:r w:rsidR="00432C22">
        <w:rPr>
          <w:rFonts w:ascii="Arial" w:hAnsi="Arial" w:cs="Arial"/>
        </w:rPr>
        <w:t xml:space="preserve"> (Ciurbea et al, 2025)</w:t>
      </w:r>
      <w:r w:rsidRPr="00787C9A">
        <w:rPr>
          <w:rFonts w:ascii="Arial" w:hAnsi="Arial" w:cs="Arial"/>
        </w:rPr>
        <w:t>.</w:t>
      </w:r>
    </w:p>
    <w:p w14:paraId="3981DCCC" w14:textId="4414BE36" w:rsidR="00787C9A" w:rsidRPr="00787C9A" w:rsidRDefault="00787C9A" w:rsidP="00787C9A">
      <w:pPr>
        <w:spacing w:line="360" w:lineRule="auto"/>
        <w:jc w:val="both"/>
        <w:rPr>
          <w:rFonts w:ascii="Arial" w:hAnsi="Arial" w:cs="Arial"/>
        </w:rPr>
      </w:pPr>
      <w:r w:rsidRPr="00787C9A">
        <w:rPr>
          <w:rFonts w:ascii="Arial" w:hAnsi="Arial" w:cs="Arial"/>
        </w:rPr>
        <w:t>Additionally, the identification of shared and overlapping risk factors is essential for developing cohesive, multi-level interventions. Influences such as digital exposure, mental health challenges, peer pressure, family instability, and socioeconomic disadvantage often contribute simultaneously to different types of antisocial behaviour (Coutinho et al., 2025). This review aims to connect these cross-cutting risk pathways with broader mental health outcomes, digital safety concerns, and policy responses (Throuvala et al., 2021). By doing so, the study will generate insights that support national goals related to youth wellbeing, social inclusion, public health, and youth justice reforms. Ultimately, the research seeks to strengthen evidence-based decision-making across educational, clinical, and community settings</w:t>
      </w:r>
      <w:r w:rsidR="001A398E">
        <w:rPr>
          <w:rFonts w:ascii="Arial" w:hAnsi="Arial" w:cs="Arial"/>
        </w:rPr>
        <w:t xml:space="preserve"> </w:t>
      </w:r>
      <w:r w:rsidR="001A398E" w:rsidRPr="00787C9A">
        <w:rPr>
          <w:rFonts w:ascii="Arial" w:hAnsi="Arial" w:cs="Arial"/>
        </w:rPr>
        <w:t>(Farrington, 2021)</w:t>
      </w:r>
      <w:r w:rsidRPr="00787C9A">
        <w:rPr>
          <w:rFonts w:ascii="Arial" w:hAnsi="Arial" w:cs="Arial"/>
        </w:rPr>
        <w:t>.</w:t>
      </w:r>
    </w:p>
    <w:p w14:paraId="09D0615A" w14:textId="1D323992" w:rsidR="00AF3A6A" w:rsidRPr="00AF3A6A" w:rsidRDefault="00AF3A6A" w:rsidP="00787C9A">
      <w:pPr>
        <w:pStyle w:val="Heading1"/>
      </w:pPr>
      <w:bookmarkStart w:id="4" w:name="_Toc216515672"/>
      <w:r w:rsidRPr="00AF3A6A">
        <w:t>5. Research Questions, Aim, and Objectives</w:t>
      </w:r>
      <w:bookmarkEnd w:id="4"/>
      <w:r w:rsidRPr="00AF3A6A">
        <w:t xml:space="preserve"> </w:t>
      </w:r>
    </w:p>
    <w:p w14:paraId="1A337E8F" w14:textId="77777777" w:rsidR="00AF3A6A" w:rsidRPr="00AF3A6A" w:rsidRDefault="00AF3A6A" w:rsidP="00787C9A">
      <w:pPr>
        <w:spacing w:line="360" w:lineRule="auto"/>
        <w:jc w:val="both"/>
        <w:rPr>
          <w:rFonts w:ascii="Arial" w:hAnsi="Arial" w:cs="Arial"/>
          <w:b/>
          <w:bCs/>
        </w:rPr>
      </w:pPr>
      <w:r w:rsidRPr="00AF3A6A">
        <w:rPr>
          <w:rFonts w:ascii="Arial" w:hAnsi="Arial" w:cs="Arial"/>
          <w:b/>
          <w:bCs/>
        </w:rPr>
        <w:t>Aim:</w:t>
      </w:r>
    </w:p>
    <w:p w14:paraId="448AE4A7" w14:textId="77777777" w:rsidR="00AF3A6A" w:rsidRPr="00AF3A6A" w:rsidRDefault="00AF3A6A" w:rsidP="00787C9A">
      <w:pPr>
        <w:spacing w:line="360" w:lineRule="auto"/>
        <w:jc w:val="both"/>
        <w:rPr>
          <w:rFonts w:ascii="Arial" w:hAnsi="Arial" w:cs="Arial"/>
        </w:rPr>
      </w:pPr>
      <w:r w:rsidRPr="00AF3A6A">
        <w:rPr>
          <w:rFonts w:ascii="Arial" w:hAnsi="Arial" w:cs="Arial"/>
        </w:rPr>
        <w:t>To examine the prevalence, contributing factors, and patterns of cyberbullying, substance abuse, and aggressive behaviour among UK teenagers.</w:t>
      </w:r>
    </w:p>
    <w:p w14:paraId="1F72B70F" w14:textId="77777777" w:rsidR="00AF3A6A" w:rsidRPr="00AF3A6A" w:rsidRDefault="00AF3A6A" w:rsidP="00787C9A">
      <w:pPr>
        <w:spacing w:line="360" w:lineRule="auto"/>
        <w:jc w:val="both"/>
        <w:rPr>
          <w:rFonts w:ascii="Arial" w:hAnsi="Arial" w:cs="Arial"/>
          <w:b/>
          <w:bCs/>
        </w:rPr>
      </w:pPr>
      <w:r w:rsidRPr="00AF3A6A">
        <w:rPr>
          <w:rFonts w:ascii="Arial" w:hAnsi="Arial" w:cs="Arial"/>
          <w:b/>
          <w:bCs/>
        </w:rPr>
        <w:t>Research Questions:</w:t>
      </w:r>
    </w:p>
    <w:p w14:paraId="0EE56C81" w14:textId="77777777" w:rsidR="00AF3A6A" w:rsidRPr="00AF3A6A" w:rsidRDefault="00AF3A6A" w:rsidP="00787C9A">
      <w:pPr>
        <w:spacing w:line="360" w:lineRule="auto"/>
        <w:jc w:val="both"/>
        <w:rPr>
          <w:rFonts w:ascii="Arial" w:hAnsi="Arial" w:cs="Arial"/>
        </w:rPr>
      </w:pPr>
      <w:r w:rsidRPr="00AF3A6A">
        <w:rPr>
          <w:rFonts w:ascii="Arial" w:hAnsi="Arial" w:cs="Arial"/>
        </w:rPr>
        <w:t>What are the prevalence and risk factors of cyberbullying, substance abuse, and aggressive behaviour among adolescents in the UK?</w:t>
      </w:r>
    </w:p>
    <w:p w14:paraId="1280513B" w14:textId="77777777" w:rsidR="00AF3A6A" w:rsidRPr="00AF3A6A" w:rsidRDefault="00AF3A6A" w:rsidP="00787C9A">
      <w:pPr>
        <w:spacing w:line="360" w:lineRule="auto"/>
        <w:jc w:val="both"/>
        <w:rPr>
          <w:rFonts w:ascii="Arial" w:hAnsi="Arial" w:cs="Arial"/>
          <w:b/>
          <w:bCs/>
        </w:rPr>
      </w:pPr>
      <w:r w:rsidRPr="00AF3A6A">
        <w:rPr>
          <w:rFonts w:ascii="Arial" w:hAnsi="Arial" w:cs="Arial"/>
          <w:b/>
          <w:bCs/>
        </w:rPr>
        <w:t>Objectives:</w:t>
      </w:r>
    </w:p>
    <w:p w14:paraId="5FB8F908" w14:textId="77777777" w:rsidR="00AF3A6A" w:rsidRPr="00787C9A" w:rsidRDefault="00AF3A6A" w:rsidP="00787C9A">
      <w:pPr>
        <w:pStyle w:val="ListParagraph"/>
        <w:numPr>
          <w:ilvl w:val="0"/>
          <w:numId w:val="1"/>
        </w:numPr>
        <w:spacing w:line="360" w:lineRule="auto"/>
        <w:jc w:val="both"/>
        <w:rPr>
          <w:rFonts w:ascii="Arial" w:hAnsi="Arial" w:cs="Arial"/>
        </w:rPr>
      </w:pPr>
      <w:r w:rsidRPr="00787C9A">
        <w:rPr>
          <w:rFonts w:ascii="Arial" w:hAnsi="Arial" w:cs="Arial"/>
        </w:rPr>
        <w:t>To identify the prevalence of cyberbullying, substance abuse, and aggression among UK teenagers.</w:t>
      </w:r>
    </w:p>
    <w:p w14:paraId="56369560" w14:textId="77777777" w:rsidR="00AF3A6A" w:rsidRPr="00787C9A" w:rsidRDefault="00AF3A6A" w:rsidP="00787C9A">
      <w:pPr>
        <w:pStyle w:val="ListParagraph"/>
        <w:numPr>
          <w:ilvl w:val="0"/>
          <w:numId w:val="1"/>
        </w:numPr>
        <w:spacing w:line="360" w:lineRule="auto"/>
        <w:jc w:val="both"/>
        <w:rPr>
          <w:rFonts w:ascii="Arial" w:hAnsi="Arial" w:cs="Arial"/>
        </w:rPr>
      </w:pPr>
      <w:r w:rsidRPr="00787C9A">
        <w:rPr>
          <w:rFonts w:ascii="Arial" w:hAnsi="Arial" w:cs="Arial"/>
        </w:rPr>
        <w:t>To explore individual, social, and environmental factors associated with these antisocial behaviours.</w:t>
      </w:r>
    </w:p>
    <w:p w14:paraId="070D6C2E" w14:textId="77777777" w:rsidR="00AF3A6A" w:rsidRPr="00787C9A" w:rsidRDefault="00AF3A6A" w:rsidP="00787C9A">
      <w:pPr>
        <w:pStyle w:val="ListParagraph"/>
        <w:numPr>
          <w:ilvl w:val="0"/>
          <w:numId w:val="1"/>
        </w:numPr>
        <w:spacing w:line="360" w:lineRule="auto"/>
        <w:jc w:val="both"/>
        <w:rPr>
          <w:rFonts w:ascii="Arial" w:hAnsi="Arial" w:cs="Arial"/>
        </w:rPr>
      </w:pPr>
      <w:r w:rsidRPr="00787C9A">
        <w:rPr>
          <w:rFonts w:ascii="Arial" w:hAnsi="Arial" w:cs="Arial"/>
        </w:rPr>
        <w:t>To assess the short- and long-term consequences of these behaviours on adolescents’ mental health and social functioning.</w:t>
      </w:r>
    </w:p>
    <w:p w14:paraId="28FBCE32" w14:textId="77777777" w:rsidR="00AF3A6A" w:rsidRPr="00787C9A" w:rsidRDefault="00AF3A6A" w:rsidP="00787C9A">
      <w:pPr>
        <w:pStyle w:val="ListParagraph"/>
        <w:numPr>
          <w:ilvl w:val="0"/>
          <w:numId w:val="1"/>
        </w:numPr>
        <w:spacing w:line="360" w:lineRule="auto"/>
        <w:jc w:val="both"/>
        <w:rPr>
          <w:rFonts w:ascii="Arial" w:hAnsi="Arial" w:cs="Arial"/>
        </w:rPr>
      </w:pPr>
      <w:r w:rsidRPr="00787C9A">
        <w:rPr>
          <w:rFonts w:ascii="Arial" w:hAnsi="Arial" w:cs="Arial"/>
        </w:rPr>
        <w:t>To evaluate intervention strategies and policy measures aimed at reducing antisocial behaviour among UK teenagers.</w:t>
      </w:r>
    </w:p>
    <w:p w14:paraId="5F221174" w14:textId="62997211" w:rsidR="00AF3A6A" w:rsidRPr="00AF3A6A" w:rsidRDefault="00AF3A6A" w:rsidP="00787C9A">
      <w:pPr>
        <w:pStyle w:val="Heading1"/>
      </w:pPr>
      <w:bookmarkStart w:id="5" w:name="_Toc216515673"/>
      <w:r w:rsidRPr="00AF3A6A">
        <w:t>6. Research Methodology: Systematic Review</w:t>
      </w:r>
      <w:bookmarkEnd w:id="5"/>
      <w:r w:rsidRPr="00AF3A6A">
        <w:t xml:space="preserve"> </w:t>
      </w:r>
    </w:p>
    <w:p w14:paraId="39047F4F" w14:textId="4F5B1305" w:rsidR="00AF3A6A" w:rsidRPr="00AF3A6A" w:rsidRDefault="00AF3A6A" w:rsidP="00787C9A">
      <w:pPr>
        <w:spacing w:line="360" w:lineRule="auto"/>
        <w:jc w:val="both"/>
        <w:rPr>
          <w:rFonts w:ascii="Arial" w:hAnsi="Arial" w:cs="Arial"/>
        </w:rPr>
      </w:pPr>
      <w:r w:rsidRPr="00AF3A6A">
        <w:rPr>
          <w:rFonts w:ascii="Arial" w:hAnsi="Arial" w:cs="Arial"/>
        </w:rPr>
        <w:t>This study will employ a systematic review methodology to synthesise existing evidence on cyberbullying, substance misuse, and aggressive behaviours among UK adolescents</w:t>
      </w:r>
      <w:r w:rsidR="00AD2370">
        <w:rPr>
          <w:rFonts w:ascii="Arial" w:hAnsi="Arial" w:cs="Arial"/>
        </w:rPr>
        <w:t xml:space="preserve"> (</w:t>
      </w:r>
      <w:r w:rsidR="00AD2370" w:rsidRPr="00AD2370">
        <w:rPr>
          <w:rFonts w:ascii="Arial" w:hAnsi="Arial" w:cs="Arial"/>
        </w:rPr>
        <w:t>Biagioni</w:t>
      </w:r>
      <w:r w:rsidR="00AD2370">
        <w:rPr>
          <w:rFonts w:ascii="Arial" w:hAnsi="Arial" w:cs="Arial"/>
        </w:rPr>
        <w:t xml:space="preserve"> et al, 2023)</w:t>
      </w:r>
      <w:r w:rsidRPr="00AF3A6A">
        <w:rPr>
          <w:rFonts w:ascii="Arial" w:hAnsi="Arial" w:cs="Arial"/>
        </w:rPr>
        <w:t>. A systematic review is appropriate as it ensures a transparent, replicable, and rigorous approach to collecting and analysing research evidence</w:t>
      </w:r>
      <w:r w:rsidR="00423F55">
        <w:rPr>
          <w:rFonts w:ascii="Arial" w:hAnsi="Arial" w:cs="Arial"/>
        </w:rPr>
        <w:t xml:space="preserve"> (</w:t>
      </w:r>
      <w:r w:rsidR="00423F55" w:rsidRPr="007425D0">
        <w:rPr>
          <w:rFonts w:ascii="Arial" w:hAnsi="Arial" w:cs="Arial"/>
        </w:rPr>
        <w:t>Saha</w:t>
      </w:r>
      <w:r w:rsidR="00423F55">
        <w:rPr>
          <w:rFonts w:ascii="Arial" w:hAnsi="Arial" w:cs="Arial"/>
        </w:rPr>
        <w:t xml:space="preserve"> et al, 2024)</w:t>
      </w:r>
      <w:r w:rsidRPr="00AF3A6A">
        <w:rPr>
          <w:rFonts w:ascii="Arial" w:hAnsi="Arial" w:cs="Arial"/>
        </w:rPr>
        <w:t>. It allows for the identification of trends, gaps, and consistencies across multiple studies, providing a comprehensive understanding of the issue. The review will follow PRISMA guidelines to ensure methodological quality, accuracy, and clarity</w:t>
      </w:r>
      <w:r w:rsidR="007425D0">
        <w:rPr>
          <w:rFonts w:ascii="Arial" w:hAnsi="Arial" w:cs="Arial"/>
        </w:rPr>
        <w:t xml:space="preserve"> (</w:t>
      </w:r>
      <w:r w:rsidR="007425D0" w:rsidRPr="007425D0">
        <w:rPr>
          <w:rFonts w:ascii="Arial" w:hAnsi="Arial" w:cs="Arial"/>
        </w:rPr>
        <w:t>Saha</w:t>
      </w:r>
      <w:r w:rsidR="007425D0">
        <w:rPr>
          <w:rFonts w:ascii="Arial" w:hAnsi="Arial" w:cs="Arial"/>
        </w:rPr>
        <w:t xml:space="preserve"> et al, 2024)</w:t>
      </w:r>
      <w:r w:rsidRPr="00AF3A6A">
        <w:rPr>
          <w:rFonts w:ascii="Arial" w:hAnsi="Arial" w:cs="Arial"/>
        </w:rPr>
        <w:t>. Peer-reviewed journal articles, government reports, and reputable organisational publications will be examined to generate a robust overview of antisocial behaviours within the UK youth population</w:t>
      </w:r>
      <w:r w:rsidR="007425D0">
        <w:rPr>
          <w:rFonts w:ascii="Arial" w:hAnsi="Arial" w:cs="Arial"/>
        </w:rPr>
        <w:t xml:space="preserve"> (</w:t>
      </w:r>
      <w:r w:rsidR="007425D0" w:rsidRPr="00AD2370">
        <w:rPr>
          <w:rFonts w:ascii="Arial" w:hAnsi="Arial" w:cs="Arial"/>
        </w:rPr>
        <w:t>Biagioni</w:t>
      </w:r>
      <w:r w:rsidR="007425D0">
        <w:rPr>
          <w:rFonts w:ascii="Arial" w:hAnsi="Arial" w:cs="Arial"/>
        </w:rPr>
        <w:t xml:space="preserve"> et al, 2023)</w:t>
      </w:r>
      <w:r w:rsidR="007425D0" w:rsidRPr="00AF3A6A">
        <w:rPr>
          <w:rFonts w:ascii="Arial" w:hAnsi="Arial" w:cs="Arial"/>
        </w:rPr>
        <w:t xml:space="preserve">. </w:t>
      </w:r>
    </w:p>
    <w:p w14:paraId="7C94D050" w14:textId="15BD6346" w:rsidR="00AF3A6A" w:rsidRPr="00AF3A6A" w:rsidRDefault="00AF3A6A" w:rsidP="00787C9A">
      <w:pPr>
        <w:spacing w:line="360" w:lineRule="auto"/>
        <w:jc w:val="both"/>
        <w:rPr>
          <w:rFonts w:ascii="Arial" w:hAnsi="Arial" w:cs="Arial"/>
        </w:rPr>
      </w:pPr>
      <w:r w:rsidRPr="00AF3A6A">
        <w:rPr>
          <w:rFonts w:ascii="Arial" w:hAnsi="Arial" w:cs="Arial"/>
        </w:rPr>
        <w:t xml:space="preserve">The review process will involve defining search terms, selecting academic databases, screening studies, assessing quality, and synthesising findings through thematic analysis. Databases such as PubMed, PsycINFO, Web of Science, and Google Scholar will be used. Search terms will include “cyberbullying UK teenagers,” “youth aggression UK,” “substance misuse adolescents UK,” and variations thereof. Selected studies will undergo quality assessment using standardised tools to ensure credibility. This approach </w:t>
      </w:r>
      <w:r w:rsidR="007425D0">
        <w:rPr>
          <w:rFonts w:ascii="Arial" w:hAnsi="Arial" w:cs="Arial"/>
        </w:rPr>
        <w:t>enables a structured evaluation of how prevalence, risk factors, and consequences are reported across various</w:t>
      </w:r>
      <w:r w:rsidRPr="00AF3A6A">
        <w:rPr>
          <w:rFonts w:ascii="Arial" w:hAnsi="Arial" w:cs="Arial"/>
        </w:rPr>
        <w:t xml:space="preserve"> research contexts. The final synthesis will highlight key patterns and inform evidence-based conclusions.</w:t>
      </w:r>
    </w:p>
    <w:p w14:paraId="74088C5D" w14:textId="3260EBA4" w:rsidR="00AF3A6A" w:rsidRPr="00AF3A6A" w:rsidRDefault="00AF3A6A" w:rsidP="00787C9A">
      <w:pPr>
        <w:pStyle w:val="Heading1"/>
      </w:pPr>
      <w:bookmarkStart w:id="6" w:name="_Toc216515674"/>
      <w:r w:rsidRPr="00AF3A6A">
        <w:t>7. Data Collection Procedure</w:t>
      </w:r>
      <w:bookmarkEnd w:id="6"/>
      <w:r w:rsidRPr="00AF3A6A">
        <w:t xml:space="preserve"> </w:t>
      </w:r>
    </w:p>
    <w:p w14:paraId="06FDBD01" w14:textId="58B5EB55" w:rsidR="00AF3A6A" w:rsidRPr="00AF3A6A" w:rsidRDefault="00AF3A6A" w:rsidP="00787C9A">
      <w:pPr>
        <w:spacing w:line="360" w:lineRule="auto"/>
        <w:jc w:val="both"/>
        <w:rPr>
          <w:rFonts w:ascii="Arial" w:hAnsi="Arial" w:cs="Arial"/>
        </w:rPr>
      </w:pPr>
      <w:r w:rsidRPr="00AF3A6A">
        <w:rPr>
          <w:rFonts w:ascii="Arial" w:hAnsi="Arial" w:cs="Arial"/>
        </w:rPr>
        <w:t>Data collection will be conducted through a systematic and structured process involving multiple stages. First, relevant databases will be searched using predetermined keywords and Boolean operators</w:t>
      </w:r>
      <w:r w:rsidR="00C95B91">
        <w:rPr>
          <w:rFonts w:ascii="Arial" w:hAnsi="Arial" w:cs="Arial"/>
        </w:rPr>
        <w:t xml:space="preserve"> (</w:t>
      </w:r>
      <w:r w:rsidR="00C95B91" w:rsidRPr="00C95B91">
        <w:rPr>
          <w:rFonts w:ascii="Arial" w:hAnsi="Arial" w:cs="Arial"/>
        </w:rPr>
        <w:t>Munasinghe</w:t>
      </w:r>
      <w:r w:rsidR="00C95B91">
        <w:rPr>
          <w:rFonts w:ascii="Arial" w:hAnsi="Arial" w:cs="Arial"/>
        </w:rPr>
        <w:t xml:space="preserve"> and </w:t>
      </w:r>
      <w:r w:rsidR="00C95B91" w:rsidRPr="00C95B91">
        <w:rPr>
          <w:rFonts w:ascii="Arial" w:hAnsi="Arial" w:cs="Arial"/>
        </w:rPr>
        <w:t>Ranasinghe</w:t>
      </w:r>
      <w:r w:rsidR="00C95B91">
        <w:rPr>
          <w:rFonts w:ascii="Arial" w:hAnsi="Arial" w:cs="Arial"/>
        </w:rPr>
        <w:t>, 2023)</w:t>
      </w:r>
      <w:r w:rsidRPr="00AF3A6A">
        <w:rPr>
          <w:rFonts w:ascii="Arial" w:hAnsi="Arial" w:cs="Arial"/>
        </w:rPr>
        <w:t>. Titles and abstracts will be screened to remove irrelevant studies. Full-text versions of eligible articles will then be downloaded, reviewed, and assessed against inclusion and exclusion criteria</w:t>
      </w:r>
      <w:r w:rsidR="006666E2">
        <w:rPr>
          <w:rFonts w:ascii="Arial" w:hAnsi="Arial" w:cs="Arial"/>
        </w:rPr>
        <w:t xml:space="preserve"> (</w:t>
      </w:r>
      <w:r w:rsidR="006666E2" w:rsidRPr="006666E2">
        <w:rPr>
          <w:rFonts w:ascii="Arial" w:hAnsi="Arial" w:cs="Arial"/>
        </w:rPr>
        <w:t>Fowler</w:t>
      </w:r>
      <w:r w:rsidR="006666E2">
        <w:rPr>
          <w:rFonts w:ascii="Arial" w:hAnsi="Arial" w:cs="Arial"/>
        </w:rPr>
        <w:t xml:space="preserve"> and </w:t>
      </w:r>
      <w:r w:rsidR="006666E2" w:rsidRPr="006666E2">
        <w:rPr>
          <w:rFonts w:ascii="Arial" w:hAnsi="Arial" w:cs="Arial"/>
        </w:rPr>
        <w:t>Jewell</w:t>
      </w:r>
      <w:r w:rsidR="006666E2">
        <w:rPr>
          <w:rFonts w:ascii="Arial" w:hAnsi="Arial" w:cs="Arial"/>
        </w:rPr>
        <w:t>, 2022)</w:t>
      </w:r>
      <w:r w:rsidRPr="00AF3A6A">
        <w:rPr>
          <w:rFonts w:ascii="Arial" w:hAnsi="Arial" w:cs="Arial"/>
        </w:rPr>
        <w:t>. Each stage of the selection process will be documented using a PRISMA flow diagram to ensure transparency and replicability. Grey literature, such as government publications and reports from organisations like the ONS and Youth Endowment Fund, will also be included to capture up-to-date, real-world data</w:t>
      </w:r>
      <w:r w:rsidR="0041640D">
        <w:rPr>
          <w:rFonts w:ascii="Arial" w:hAnsi="Arial" w:cs="Arial"/>
        </w:rPr>
        <w:t xml:space="preserve"> (</w:t>
      </w:r>
      <w:r w:rsidR="0041640D" w:rsidRPr="0041640D">
        <w:rPr>
          <w:rFonts w:ascii="Arial" w:hAnsi="Arial" w:cs="Arial"/>
        </w:rPr>
        <w:t>Rao</w:t>
      </w:r>
      <w:r w:rsidR="0041640D">
        <w:rPr>
          <w:rFonts w:ascii="Arial" w:hAnsi="Arial" w:cs="Arial"/>
        </w:rPr>
        <w:t xml:space="preserve"> and </w:t>
      </w:r>
      <w:r w:rsidR="0041640D" w:rsidRPr="0041640D">
        <w:rPr>
          <w:rFonts w:ascii="Arial" w:hAnsi="Arial" w:cs="Arial"/>
        </w:rPr>
        <w:t>Moon</w:t>
      </w:r>
      <w:r w:rsidR="0041640D">
        <w:rPr>
          <w:rFonts w:ascii="Arial" w:hAnsi="Arial" w:cs="Arial"/>
        </w:rPr>
        <w:t>, 2021)</w:t>
      </w:r>
      <w:r w:rsidRPr="00AF3A6A">
        <w:rPr>
          <w:rFonts w:ascii="Arial" w:hAnsi="Arial" w:cs="Arial"/>
        </w:rPr>
        <w:t>.</w:t>
      </w:r>
    </w:p>
    <w:p w14:paraId="4F489486" w14:textId="3EA1EDE8" w:rsidR="00AF3A6A" w:rsidRPr="00AF3A6A" w:rsidRDefault="00AF3A6A" w:rsidP="00787C9A">
      <w:pPr>
        <w:spacing w:line="360" w:lineRule="auto"/>
        <w:jc w:val="both"/>
        <w:rPr>
          <w:rFonts w:ascii="Arial" w:hAnsi="Arial" w:cs="Arial"/>
        </w:rPr>
      </w:pPr>
      <w:r w:rsidRPr="00AF3A6A">
        <w:rPr>
          <w:rFonts w:ascii="Arial" w:hAnsi="Arial" w:cs="Arial"/>
        </w:rPr>
        <w:t>Following article selection, data will be extracted using a standardised data extraction form. Key information</w:t>
      </w:r>
      <w:r w:rsidR="00787C9A">
        <w:rPr>
          <w:rFonts w:ascii="Arial" w:hAnsi="Arial" w:cs="Arial"/>
        </w:rPr>
        <w:t xml:space="preserve">, </w:t>
      </w:r>
      <w:r w:rsidRPr="00AF3A6A">
        <w:rPr>
          <w:rFonts w:ascii="Arial" w:hAnsi="Arial" w:cs="Arial"/>
        </w:rPr>
        <w:t>such as sample characteristics, methodologies, prevalence rates, behavioural outcomes, and identified risk factors</w:t>
      </w:r>
      <w:r w:rsidR="0041640D">
        <w:rPr>
          <w:rFonts w:ascii="Arial" w:hAnsi="Arial" w:cs="Arial"/>
        </w:rPr>
        <w:t xml:space="preserve">, </w:t>
      </w:r>
      <w:r w:rsidRPr="00AF3A6A">
        <w:rPr>
          <w:rFonts w:ascii="Arial" w:hAnsi="Arial" w:cs="Arial"/>
        </w:rPr>
        <w:t>will be systematically recorded</w:t>
      </w:r>
      <w:r w:rsidR="004C75D8">
        <w:rPr>
          <w:rFonts w:ascii="Arial" w:hAnsi="Arial" w:cs="Arial"/>
        </w:rPr>
        <w:t xml:space="preserve"> (</w:t>
      </w:r>
      <w:r w:rsidR="004C75D8" w:rsidRPr="006666E2">
        <w:rPr>
          <w:rFonts w:ascii="Arial" w:hAnsi="Arial" w:cs="Arial"/>
        </w:rPr>
        <w:t>Fowler</w:t>
      </w:r>
      <w:r w:rsidR="004C75D8">
        <w:rPr>
          <w:rFonts w:ascii="Arial" w:hAnsi="Arial" w:cs="Arial"/>
        </w:rPr>
        <w:t xml:space="preserve"> and </w:t>
      </w:r>
      <w:r w:rsidR="004C75D8" w:rsidRPr="006666E2">
        <w:rPr>
          <w:rFonts w:ascii="Arial" w:hAnsi="Arial" w:cs="Arial"/>
        </w:rPr>
        <w:t>Jewell</w:t>
      </w:r>
      <w:r w:rsidR="004C75D8">
        <w:rPr>
          <w:rFonts w:ascii="Arial" w:hAnsi="Arial" w:cs="Arial"/>
        </w:rPr>
        <w:t>, 2022)</w:t>
      </w:r>
      <w:r w:rsidRPr="00AF3A6A">
        <w:rPr>
          <w:rFonts w:ascii="Arial" w:hAnsi="Arial" w:cs="Arial"/>
        </w:rPr>
        <w:t xml:space="preserve">. This will </w:t>
      </w:r>
      <w:r w:rsidR="00B27FB0">
        <w:rPr>
          <w:rFonts w:ascii="Arial" w:hAnsi="Arial" w:cs="Arial"/>
        </w:rPr>
        <w:t>enable comparisons across studies and facilitate the identification of</w:t>
      </w:r>
      <w:r w:rsidRPr="00AF3A6A">
        <w:rPr>
          <w:rFonts w:ascii="Arial" w:hAnsi="Arial" w:cs="Arial"/>
        </w:rPr>
        <w:t xml:space="preserve"> common themes and divergences</w:t>
      </w:r>
      <w:r w:rsidR="00E31728">
        <w:rPr>
          <w:rFonts w:ascii="Arial" w:hAnsi="Arial" w:cs="Arial"/>
        </w:rPr>
        <w:t xml:space="preserve"> (</w:t>
      </w:r>
      <w:r w:rsidR="00E31728" w:rsidRPr="0041640D">
        <w:rPr>
          <w:rFonts w:ascii="Arial" w:hAnsi="Arial" w:cs="Arial"/>
        </w:rPr>
        <w:t>Rao</w:t>
      </w:r>
      <w:r w:rsidR="00E31728">
        <w:rPr>
          <w:rFonts w:ascii="Arial" w:hAnsi="Arial" w:cs="Arial"/>
        </w:rPr>
        <w:t xml:space="preserve"> and </w:t>
      </w:r>
      <w:r w:rsidR="00E31728" w:rsidRPr="0041640D">
        <w:rPr>
          <w:rFonts w:ascii="Arial" w:hAnsi="Arial" w:cs="Arial"/>
        </w:rPr>
        <w:t>Moon</w:t>
      </w:r>
      <w:r w:rsidR="00E31728">
        <w:rPr>
          <w:rFonts w:ascii="Arial" w:hAnsi="Arial" w:cs="Arial"/>
        </w:rPr>
        <w:t>, 2021)</w:t>
      </w:r>
      <w:r w:rsidRPr="00AF3A6A">
        <w:rPr>
          <w:rFonts w:ascii="Arial" w:hAnsi="Arial" w:cs="Arial"/>
        </w:rPr>
        <w:t>. Extracted data will then be prepared for thematic analysis. Quality appraisal tools will be applied to ensure that only methodologically reliable studies inform the final synthesis, enhancing the review’s validity</w:t>
      </w:r>
      <w:r w:rsidR="00B27FB0">
        <w:rPr>
          <w:rFonts w:ascii="Arial" w:hAnsi="Arial" w:cs="Arial"/>
        </w:rPr>
        <w:t xml:space="preserve"> (</w:t>
      </w:r>
      <w:r w:rsidR="00B27FB0" w:rsidRPr="00B27FB0">
        <w:rPr>
          <w:rFonts w:ascii="Arial" w:hAnsi="Arial" w:cs="Arial"/>
        </w:rPr>
        <w:t>Flemming</w:t>
      </w:r>
      <w:r w:rsidR="00B27FB0">
        <w:rPr>
          <w:rFonts w:ascii="Arial" w:hAnsi="Arial" w:cs="Arial"/>
        </w:rPr>
        <w:t xml:space="preserve"> and Noyes, 2021)</w:t>
      </w:r>
      <w:r w:rsidRPr="00AF3A6A">
        <w:rPr>
          <w:rFonts w:ascii="Arial" w:hAnsi="Arial" w:cs="Arial"/>
        </w:rPr>
        <w:t>. This process ensures that the final dataset is comprehensive, credible, and suitable for answering the research questions</w:t>
      </w:r>
      <w:r w:rsidR="00CD6321">
        <w:rPr>
          <w:rFonts w:ascii="Arial" w:hAnsi="Arial" w:cs="Arial"/>
        </w:rPr>
        <w:t xml:space="preserve"> (</w:t>
      </w:r>
      <w:r w:rsidR="00CD6321" w:rsidRPr="00B27FB0">
        <w:rPr>
          <w:rFonts w:ascii="Arial" w:hAnsi="Arial" w:cs="Arial"/>
        </w:rPr>
        <w:t>Flemming</w:t>
      </w:r>
      <w:r w:rsidR="00CD6321">
        <w:rPr>
          <w:rFonts w:ascii="Arial" w:hAnsi="Arial" w:cs="Arial"/>
        </w:rPr>
        <w:t xml:space="preserve"> and Noyes, 2021)</w:t>
      </w:r>
      <w:r w:rsidRPr="00AF3A6A">
        <w:rPr>
          <w:rFonts w:ascii="Arial" w:hAnsi="Arial" w:cs="Arial"/>
        </w:rPr>
        <w:t>.</w:t>
      </w:r>
    </w:p>
    <w:p w14:paraId="2E76A542" w14:textId="63024633" w:rsidR="00AF3A6A" w:rsidRDefault="00AF3A6A" w:rsidP="008C1867">
      <w:pPr>
        <w:pStyle w:val="Heading1"/>
      </w:pPr>
      <w:bookmarkStart w:id="7" w:name="_Toc216515675"/>
      <w:r w:rsidRPr="00AF3A6A">
        <w:t>8. Inclusion Criteria</w:t>
      </w:r>
      <w:r w:rsidR="008C1867">
        <w:t xml:space="preserve"> and Exclusion Criteria</w:t>
      </w:r>
      <w:bookmarkEnd w:id="7"/>
    </w:p>
    <w:p w14:paraId="53863B53" w14:textId="5F9EB1A6" w:rsidR="008C1867" w:rsidRPr="008C1867" w:rsidRDefault="008C1867" w:rsidP="008C1867">
      <w:pPr>
        <w:spacing w:before="240"/>
        <w:rPr>
          <w:rFonts w:ascii="Arial" w:hAnsi="Arial" w:cs="Arial"/>
          <w:b/>
          <w:bCs/>
          <w:lang w:eastAsia="en-GB"/>
        </w:rPr>
      </w:pPr>
      <w:r>
        <w:rPr>
          <w:rFonts w:ascii="Arial" w:hAnsi="Arial" w:cs="Arial"/>
          <w:b/>
          <w:bCs/>
          <w:lang w:eastAsia="en-GB"/>
        </w:rPr>
        <w:t>Inclusion Criteria</w:t>
      </w:r>
    </w:p>
    <w:p w14:paraId="7B5B1D5A" w14:textId="77777777" w:rsidR="00787C9A" w:rsidRPr="00787C9A" w:rsidRDefault="00787C9A" w:rsidP="00787C9A">
      <w:pPr>
        <w:pStyle w:val="ListParagraph"/>
        <w:numPr>
          <w:ilvl w:val="0"/>
          <w:numId w:val="2"/>
        </w:numPr>
        <w:spacing w:line="360" w:lineRule="auto"/>
        <w:jc w:val="both"/>
        <w:rPr>
          <w:rFonts w:ascii="Arial" w:hAnsi="Arial" w:cs="Arial"/>
        </w:rPr>
      </w:pPr>
      <w:r w:rsidRPr="00787C9A">
        <w:rPr>
          <w:rFonts w:ascii="Arial" w:hAnsi="Arial" w:cs="Arial"/>
        </w:rPr>
        <w:t>Studies that specifically focus on adolescents aged 10–19 years within the United Kingdom, ensuring that the research directly reflects the target population relevant to this review.</w:t>
      </w:r>
    </w:p>
    <w:p w14:paraId="7182005A" w14:textId="77777777" w:rsidR="00787C9A" w:rsidRPr="00787C9A" w:rsidRDefault="00787C9A" w:rsidP="00787C9A">
      <w:pPr>
        <w:pStyle w:val="ListParagraph"/>
        <w:numPr>
          <w:ilvl w:val="0"/>
          <w:numId w:val="2"/>
        </w:numPr>
        <w:spacing w:line="360" w:lineRule="auto"/>
        <w:jc w:val="both"/>
        <w:rPr>
          <w:rFonts w:ascii="Arial" w:hAnsi="Arial" w:cs="Arial"/>
        </w:rPr>
      </w:pPr>
      <w:r w:rsidRPr="00787C9A">
        <w:rPr>
          <w:rFonts w:ascii="Arial" w:hAnsi="Arial" w:cs="Arial"/>
        </w:rPr>
        <w:t>Research that examines one or more forms of antisocial behaviour, including cyberbullying, substance misuse, or aggressive and violent actions, to ensure alignment with the study’s behavioural scope.</w:t>
      </w:r>
    </w:p>
    <w:p w14:paraId="235463E0" w14:textId="77777777" w:rsidR="00787C9A" w:rsidRPr="00787C9A" w:rsidRDefault="00787C9A" w:rsidP="00787C9A">
      <w:pPr>
        <w:pStyle w:val="ListParagraph"/>
        <w:numPr>
          <w:ilvl w:val="0"/>
          <w:numId w:val="2"/>
        </w:numPr>
        <w:spacing w:line="360" w:lineRule="auto"/>
        <w:jc w:val="both"/>
        <w:rPr>
          <w:rFonts w:ascii="Arial" w:hAnsi="Arial" w:cs="Arial"/>
        </w:rPr>
      </w:pPr>
      <w:r w:rsidRPr="00787C9A">
        <w:rPr>
          <w:rFonts w:ascii="Arial" w:hAnsi="Arial" w:cs="Arial"/>
        </w:rPr>
        <w:t>Peer-reviewed journal articles, government reports, and publications from reputable organisations that demonstrate academic rigour and reliability in their methods and findings.</w:t>
      </w:r>
    </w:p>
    <w:p w14:paraId="7788407E" w14:textId="77777777" w:rsidR="00787C9A" w:rsidRPr="00787C9A" w:rsidRDefault="00787C9A" w:rsidP="00787C9A">
      <w:pPr>
        <w:pStyle w:val="ListParagraph"/>
        <w:numPr>
          <w:ilvl w:val="0"/>
          <w:numId w:val="2"/>
        </w:numPr>
        <w:spacing w:line="360" w:lineRule="auto"/>
        <w:jc w:val="both"/>
        <w:rPr>
          <w:rFonts w:ascii="Arial" w:hAnsi="Arial" w:cs="Arial"/>
        </w:rPr>
      </w:pPr>
      <w:r w:rsidRPr="00787C9A">
        <w:rPr>
          <w:rFonts w:ascii="Arial" w:hAnsi="Arial" w:cs="Arial"/>
        </w:rPr>
        <w:t>Studies published in the English language, allowing for accurate interpretation, analysis, and comparison of research evidence within this systematic review.</w:t>
      </w:r>
    </w:p>
    <w:p w14:paraId="411F23D9" w14:textId="77777777" w:rsidR="00787C9A" w:rsidRPr="00787C9A" w:rsidRDefault="00787C9A" w:rsidP="00787C9A">
      <w:pPr>
        <w:pStyle w:val="ListParagraph"/>
        <w:numPr>
          <w:ilvl w:val="0"/>
          <w:numId w:val="2"/>
        </w:numPr>
        <w:spacing w:line="360" w:lineRule="auto"/>
        <w:jc w:val="both"/>
        <w:rPr>
          <w:rFonts w:ascii="Arial" w:hAnsi="Arial" w:cs="Arial"/>
        </w:rPr>
      </w:pPr>
      <w:r w:rsidRPr="00787C9A">
        <w:rPr>
          <w:rFonts w:ascii="Arial" w:hAnsi="Arial" w:cs="Arial"/>
        </w:rPr>
        <w:t>Research providing empirical data, such as prevalence statistics, risk factor identification, behavioural outcomes, or intervention findings relevant to UK adolescents.</w:t>
      </w:r>
    </w:p>
    <w:p w14:paraId="62AF2242" w14:textId="77777777" w:rsidR="00787C9A" w:rsidRPr="00787C9A" w:rsidRDefault="00787C9A" w:rsidP="00787C9A">
      <w:pPr>
        <w:pStyle w:val="ListParagraph"/>
        <w:numPr>
          <w:ilvl w:val="0"/>
          <w:numId w:val="2"/>
        </w:numPr>
        <w:spacing w:line="360" w:lineRule="auto"/>
        <w:jc w:val="both"/>
        <w:rPr>
          <w:rFonts w:ascii="Arial" w:hAnsi="Arial" w:cs="Arial"/>
        </w:rPr>
      </w:pPr>
      <w:r w:rsidRPr="00787C9A">
        <w:rPr>
          <w:rFonts w:ascii="Arial" w:hAnsi="Arial" w:cs="Arial"/>
        </w:rPr>
        <w:t>Studies that offer sufficient methodological detail, including sample characteristics, data collection procedures, and analytical approaches, enabling critical appraisal and comparison across included sources.</w:t>
      </w:r>
    </w:p>
    <w:p w14:paraId="367D15C9" w14:textId="0D5C8CCD" w:rsidR="00AF3A6A" w:rsidRPr="008C1867" w:rsidRDefault="00787C9A" w:rsidP="008C1867">
      <w:pPr>
        <w:rPr>
          <w:rFonts w:ascii="Arial" w:hAnsi="Arial" w:cs="Arial"/>
          <w:b/>
          <w:bCs/>
        </w:rPr>
      </w:pPr>
      <w:r w:rsidRPr="008C1867">
        <w:rPr>
          <w:rFonts w:ascii="Arial" w:hAnsi="Arial" w:cs="Arial"/>
          <w:b/>
          <w:bCs/>
        </w:rPr>
        <w:t xml:space="preserve"> </w:t>
      </w:r>
      <w:r w:rsidR="00AF3A6A" w:rsidRPr="008C1867">
        <w:rPr>
          <w:rFonts w:ascii="Arial" w:hAnsi="Arial" w:cs="Arial"/>
          <w:b/>
          <w:bCs/>
        </w:rPr>
        <w:t>Exclusion Criteria</w:t>
      </w:r>
    </w:p>
    <w:p w14:paraId="0AAD47B6" w14:textId="326CBCF8" w:rsidR="00787C9A" w:rsidRPr="00787C9A" w:rsidRDefault="00787C9A" w:rsidP="00787C9A">
      <w:pPr>
        <w:pStyle w:val="ListParagraph"/>
        <w:numPr>
          <w:ilvl w:val="0"/>
          <w:numId w:val="3"/>
        </w:numPr>
        <w:spacing w:line="360" w:lineRule="auto"/>
        <w:jc w:val="both"/>
        <w:rPr>
          <w:rFonts w:ascii="Arial" w:hAnsi="Arial" w:cs="Arial"/>
        </w:rPr>
      </w:pPr>
      <w:r w:rsidRPr="00787C9A">
        <w:rPr>
          <w:rFonts w:ascii="Arial" w:hAnsi="Arial" w:cs="Arial"/>
        </w:rPr>
        <w:t>Studies conducted outside the United Kingdom, as findings derived from different socio-cultural and policy contexts</w:t>
      </w:r>
      <w:r>
        <w:rPr>
          <w:rFonts w:ascii="Arial" w:hAnsi="Arial" w:cs="Arial"/>
        </w:rPr>
        <w:t>,</w:t>
      </w:r>
      <w:r w:rsidRPr="00787C9A">
        <w:rPr>
          <w:rFonts w:ascii="Arial" w:hAnsi="Arial" w:cs="Arial"/>
        </w:rPr>
        <w:t xml:space="preserve"> may not accurately reflect the experiences of UK adolescents.</w:t>
      </w:r>
    </w:p>
    <w:p w14:paraId="34A4D813" w14:textId="77777777" w:rsidR="00787C9A" w:rsidRPr="00787C9A" w:rsidRDefault="00787C9A" w:rsidP="00787C9A">
      <w:pPr>
        <w:pStyle w:val="ListParagraph"/>
        <w:numPr>
          <w:ilvl w:val="0"/>
          <w:numId w:val="3"/>
        </w:numPr>
        <w:spacing w:line="360" w:lineRule="auto"/>
        <w:jc w:val="both"/>
        <w:rPr>
          <w:rFonts w:ascii="Arial" w:hAnsi="Arial" w:cs="Arial"/>
        </w:rPr>
      </w:pPr>
      <w:r w:rsidRPr="00787C9A">
        <w:rPr>
          <w:rFonts w:ascii="Arial" w:hAnsi="Arial" w:cs="Arial"/>
        </w:rPr>
        <w:t>Research focusing exclusively on adult populations or children younger than 10, since these age groups fall outside the developmental range relevant to the aims of this review.</w:t>
      </w:r>
    </w:p>
    <w:p w14:paraId="33022B44" w14:textId="5108BCCA" w:rsidR="00787C9A" w:rsidRPr="00787C9A" w:rsidRDefault="00787C9A" w:rsidP="00787C9A">
      <w:pPr>
        <w:pStyle w:val="ListParagraph"/>
        <w:numPr>
          <w:ilvl w:val="0"/>
          <w:numId w:val="3"/>
        </w:numPr>
        <w:spacing w:line="360" w:lineRule="auto"/>
        <w:jc w:val="both"/>
        <w:rPr>
          <w:rFonts w:ascii="Arial" w:hAnsi="Arial" w:cs="Arial"/>
        </w:rPr>
      </w:pPr>
      <w:r w:rsidRPr="00787C9A">
        <w:rPr>
          <w:rFonts w:ascii="Arial" w:hAnsi="Arial" w:cs="Arial"/>
        </w:rPr>
        <w:t>Articles that lack empirical evidence</w:t>
      </w:r>
      <w:r>
        <w:rPr>
          <w:rFonts w:ascii="Arial" w:hAnsi="Arial" w:cs="Arial"/>
        </w:rPr>
        <w:t xml:space="preserve">, </w:t>
      </w:r>
      <w:r w:rsidRPr="00787C9A">
        <w:rPr>
          <w:rFonts w:ascii="Arial" w:hAnsi="Arial" w:cs="Arial"/>
        </w:rPr>
        <w:t>such as opinion pieces, editorials, commentaries, or theoretical discussions</w:t>
      </w:r>
      <w:r>
        <w:rPr>
          <w:rFonts w:ascii="Arial" w:hAnsi="Arial" w:cs="Arial"/>
        </w:rPr>
        <w:t xml:space="preserve">, </w:t>
      </w:r>
      <w:r w:rsidRPr="00787C9A">
        <w:rPr>
          <w:rFonts w:ascii="Arial" w:hAnsi="Arial" w:cs="Arial"/>
        </w:rPr>
        <w:t>which do not provide measurable or analysable data.</w:t>
      </w:r>
    </w:p>
    <w:p w14:paraId="7542ABC9" w14:textId="77777777" w:rsidR="00787C9A" w:rsidRPr="00787C9A" w:rsidRDefault="00787C9A" w:rsidP="00787C9A">
      <w:pPr>
        <w:pStyle w:val="ListParagraph"/>
        <w:numPr>
          <w:ilvl w:val="0"/>
          <w:numId w:val="3"/>
        </w:numPr>
        <w:spacing w:line="360" w:lineRule="auto"/>
        <w:jc w:val="both"/>
        <w:rPr>
          <w:rFonts w:ascii="Arial" w:hAnsi="Arial" w:cs="Arial"/>
        </w:rPr>
      </w:pPr>
      <w:r w:rsidRPr="00787C9A">
        <w:rPr>
          <w:rFonts w:ascii="Arial" w:hAnsi="Arial" w:cs="Arial"/>
        </w:rPr>
        <w:t>Studies that do not examine cyberbullying, substance misuse, or aggressive behaviour, and therefore do not contribute to understanding the specific antisocial behavioural domains under investigation.</w:t>
      </w:r>
    </w:p>
    <w:p w14:paraId="19C5474A" w14:textId="2803D05B" w:rsidR="00787C9A" w:rsidRPr="00787C9A" w:rsidRDefault="00787C9A" w:rsidP="00787C9A">
      <w:pPr>
        <w:pStyle w:val="ListParagraph"/>
        <w:numPr>
          <w:ilvl w:val="0"/>
          <w:numId w:val="3"/>
        </w:numPr>
        <w:spacing w:line="360" w:lineRule="auto"/>
        <w:jc w:val="both"/>
        <w:rPr>
          <w:rFonts w:ascii="Arial" w:hAnsi="Arial" w:cs="Arial"/>
        </w:rPr>
      </w:pPr>
      <w:r w:rsidRPr="00787C9A">
        <w:rPr>
          <w:rFonts w:ascii="Arial" w:hAnsi="Arial" w:cs="Arial"/>
        </w:rPr>
        <w:t xml:space="preserve">Publications that are not available in full-text format </w:t>
      </w:r>
      <w:r>
        <w:rPr>
          <w:rFonts w:ascii="Arial" w:hAnsi="Arial" w:cs="Arial"/>
        </w:rPr>
        <w:t>prevent</w:t>
      </w:r>
      <w:r w:rsidRPr="00787C9A">
        <w:rPr>
          <w:rFonts w:ascii="Arial" w:hAnsi="Arial" w:cs="Arial"/>
        </w:rPr>
        <w:t xml:space="preserve"> adequate assessment of methodological quality, results, and relevance.</w:t>
      </w:r>
    </w:p>
    <w:p w14:paraId="404CB2BB" w14:textId="77777777" w:rsidR="00787C9A" w:rsidRPr="00787C9A" w:rsidRDefault="00787C9A" w:rsidP="00787C9A">
      <w:pPr>
        <w:pStyle w:val="ListParagraph"/>
        <w:numPr>
          <w:ilvl w:val="0"/>
          <w:numId w:val="3"/>
        </w:numPr>
        <w:spacing w:line="360" w:lineRule="auto"/>
        <w:jc w:val="both"/>
        <w:rPr>
          <w:rFonts w:ascii="Arial" w:hAnsi="Arial" w:cs="Arial"/>
        </w:rPr>
      </w:pPr>
      <w:r w:rsidRPr="00787C9A">
        <w:rPr>
          <w:rFonts w:ascii="Arial" w:hAnsi="Arial" w:cs="Arial"/>
        </w:rPr>
        <w:t>Research not written in English, which may lead to misinterpretation or translation inaccuracies that could compromise the reliability of the review’s findings.</w:t>
      </w:r>
    </w:p>
    <w:p w14:paraId="12C6428B" w14:textId="2E0DCE64" w:rsidR="00AF3A6A" w:rsidRPr="00AF3A6A" w:rsidRDefault="00AF3A6A" w:rsidP="00787C9A">
      <w:pPr>
        <w:pStyle w:val="Heading1"/>
      </w:pPr>
      <w:bookmarkStart w:id="8" w:name="_Toc216515676"/>
      <w:r w:rsidRPr="00AF3A6A">
        <w:t>9. Data Analysis Technique: Thematic Analysis</w:t>
      </w:r>
      <w:bookmarkEnd w:id="8"/>
      <w:r w:rsidRPr="00AF3A6A">
        <w:t xml:space="preserve"> </w:t>
      </w:r>
    </w:p>
    <w:p w14:paraId="5AF38B30" w14:textId="558E345E" w:rsidR="00AF3A6A" w:rsidRPr="00AF3A6A" w:rsidRDefault="00AF3A6A" w:rsidP="00787C9A">
      <w:pPr>
        <w:spacing w:line="360" w:lineRule="auto"/>
        <w:jc w:val="both"/>
        <w:rPr>
          <w:rFonts w:ascii="Arial" w:hAnsi="Arial" w:cs="Arial"/>
        </w:rPr>
      </w:pPr>
      <w:r w:rsidRPr="00AF3A6A">
        <w:rPr>
          <w:rFonts w:ascii="Arial" w:hAnsi="Arial" w:cs="Arial"/>
        </w:rPr>
        <w:t>The data extracted from selected studies will be analysed using thematic analysis, a qualitative method that enables the identification, organisation, and interpretation of key patterns within the literature</w:t>
      </w:r>
      <w:r w:rsidR="000C79F0">
        <w:rPr>
          <w:rFonts w:ascii="Arial" w:hAnsi="Arial" w:cs="Arial"/>
        </w:rPr>
        <w:t xml:space="preserve"> (</w:t>
      </w:r>
      <w:r w:rsidR="000C79F0" w:rsidRPr="000C79F0">
        <w:rPr>
          <w:rFonts w:ascii="Arial" w:hAnsi="Arial" w:cs="Arial"/>
        </w:rPr>
        <w:t>Mishra</w:t>
      </w:r>
      <w:r w:rsidR="000C79F0">
        <w:rPr>
          <w:rFonts w:ascii="Arial" w:hAnsi="Arial" w:cs="Arial"/>
        </w:rPr>
        <w:t xml:space="preserve"> and </w:t>
      </w:r>
      <w:r w:rsidR="000C79F0" w:rsidRPr="000C79F0">
        <w:rPr>
          <w:rFonts w:ascii="Arial" w:hAnsi="Arial" w:cs="Arial"/>
        </w:rPr>
        <w:t>Dey</w:t>
      </w:r>
      <w:r w:rsidR="000C79F0">
        <w:rPr>
          <w:rFonts w:ascii="Arial" w:hAnsi="Arial" w:cs="Arial"/>
        </w:rPr>
        <w:t>, 2022)</w:t>
      </w:r>
      <w:r w:rsidRPr="00AF3A6A">
        <w:rPr>
          <w:rFonts w:ascii="Arial" w:hAnsi="Arial" w:cs="Arial"/>
        </w:rPr>
        <w:t>. This approach is suitable for a systematic review as it allows for the synthesis of diverse findings from quantitative and qualitative studies</w:t>
      </w:r>
      <w:r w:rsidR="006C757E">
        <w:rPr>
          <w:rFonts w:ascii="Arial" w:hAnsi="Arial" w:cs="Arial"/>
        </w:rPr>
        <w:t xml:space="preserve"> (</w:t>
      </w:r>
      <w:r w:rsidR="006C757E" w:rsidRPr="006E4FAD">
        <w:rPr>
          <w:rFonts w:ascii="Arial" w:hAnsi="Arial" w:cs="Arial"/>
        </w:rPr>
        <w:t>Braun and Clarke</w:t>
      </w:r>
      <w:r w:rsidR="006C757E">
        <w:rPr>
          <w:rFonts w:ascii="Arial" w:hAnsi="Arial" w:cs="Arial"/>
        </w:rPr>
        <w:t>,</w:t>
      </w:r>
      <w:r w:rsidR="006C757E" w:rsidRPr="006E4FAD">
        <w:rPr>
          <w:rFonts w:ascii="Arial" w:hAnsi="Arial" w:cs="Arial"/>
        </w:rPr>
        <w:t xml:space="preserve"> 2021</w:t>
      </w:r>
      <w:r w:rsidR="006C757E">
        <w:rPr>
          <w:rFonts w:ascii="Arial" w:hAnsi="Arial" w:cs="Arial"/>
        </w:rPr>
        <w:t>)</w:t>
      </w:r>
      <w:r w:rsidRPr="00AF3A6A">
        <w:rPr>
          <w:rFonts w:ascii="Arial" w:hAnsi="Arial" w:cs="Arial"/>
        </w:rPr>
        <w:t>. Thematic analysis will help identify recurring themes such as risk factors, behavioural patterns, consequences, and intervention outcomes across different forms of antisocial behaviour</w:t>
      </w:r>
      <w:r w:rsidR="006C757E">
        <w:rPr>
          <w:rFonts w:ascii="Arial" w:hAnsi="Arial" w:cs="Arial"/>
        </w:rPr>
        <w:t xml:space="preserve"> (</w:t>
      </w:r>
      <w:r w:rsidR="006C757E" w:rsidRPr="000C79F0">
        <w:rPr>
          <w:rFonts w:ascii="Arial" w:hAnsi="Arial" w:cs="Arial"/>
        </w:rPr>
        <w:t>Mishra</w:t>
      </w:r>
      <w:r w:rsidR="006C757E">
        <w:rPr>
          <w:rFonts w:ascii="Arial" w:hAnsi="Arial" w:cs="Arial"/>
        </w:rPr>
        <w:t xml:space="preserve"> and </w:t>
      </w:r>
      <w:r w:rsidR="006C757E" w:rsidRPr="000C79F0">
        <w:rPr>
          <w:rFonts w:ascii="Arial" w:hAnsi="Arial" w:cs="Arial"/>
        </w:rPr>
        <w:t>Dey</w:t>
      </w:r>
      <w:r w:rsidR="006C757E">
        <w:rPr>
          <w:rFonts w:ascii="Arial" w:hAnsi="Arial" w:cs="Arial"/>
        </w:rPr>
        <w:t>, 2022)</w:t>
      </w:r>
      <w:r w:rsidRPr="00AF3A6A">
        <w:rPr>
          <w:rFonts w:ascii="Arial" w:hAnsi="Arial" w:cs="Arial"/>
        </w:rPr>
        <w:t>. The analysis will follow Braun and Clarke’s six-step framework: familiarisation with the data, generating initial codes, searching for themes, reviewing themes, defining themes, and producing the final narrative</w:t>
      </w:r>
      <w:r w:rsidR="006E4FAD">
        <w:rPr>
          <w:rFonts w:ascii="Arial" w:hAnsi="Arial" w:cs="Arial"/>
        </w:rPr>
        <w:t xml:space="preserve"> (</w:t>
      </w:r>
      <w:r w:rsidR="006E4FAD" w:rsidRPr="006E4FAD">
        <w:rPr>
          <w:rFonts w:ascii="Arial" w:hAnsi="Arial" w:cs="Arial"/>
        </w:rPr>
        <w:t>Braun and Clarke</w:t>
      </w:r>
      <w:r w:rsidR="000C085C">
        <w:rPr>
          <w:rFonts w:ascii="Arial" w:hAnsi="Arial" w:cs="Arial"/>
        </w:rPr>
        <w:t>,</w:t>
      </w:r>
      <w:r w:rsidR="006E4FAD" w:rsidRPr="006E4FAD">
        <w:rPr>
          <w:rFonts w:ascii="Arial" w:hAnsi="Arial" w:cs="Arial"/>
        </w:rPr>
        <w:t xml:space="preserve"> 2021</w:t>
      </w:r>
      <w:r w:rsidR="006E4FAD">
        <w:rPr>
          <w:rFonts w:ascii="Arial" w:hAnsi="Arial" w:cs="Arial"/>
        </w:rPr>
        <w:t>)</w:t>
      </w:r>
      <w:r w:rsidRPr="00AF3A6A">
        <w:rPr>
          <w:rFonts w:ascii="Arial" w:hAnsi="Arial" w:cs="Arial"/>
        </w:rPr>
        <w:t>.</w:t>
      </w:r>
    </w:p>
    <w:p w14:paraId="4C2F8F39" w14:textId="39065625" w:rsidR="00AF3A6A" w:rsidRPr="00AF3A6A" w:rsidRDefault="00AF3A6A" w:rsidP="00787C9A">
      <w:pPr>
        <w:spacing w:line="360" w:lineRule="auto"/>
        <w:jc w:val="both"/>
        <w:rPr>
          <w:rFonts w:ascii="Arial" w:hAnsi="Arial" w:cs="Arial"/>
        </w:rPr>
      </w:pPr>
      <w:r w:rsidRPr="00AF3A6A">
        <w:rPr>
          <w:rFonts w:ascii="Arial" w:hAnsi="Arial" w:cs="Arial"/>
        </w:rPr>
        <w:t>NVivo qualitative analysis software will be used to support the coding and organisation process. NVivo enables efficient handling of large datasets and facilitates the identification of relationships between themes</w:t>
      </w:r>
      <w:r w:rsidR="00AA5E7E">
        <w:rPr>
          <w:rFonts w:ascii="Arial" w:hAnsi="Arial" w:cs="Arial"/>
        </w:rPr>
        <w:t xml:space="preserve"> (</w:t>
      </w:r>
      <w:r w:rsidR="00AA5E7E" w:rsidRPr="00AA5E7E">
        <w:rPr>
          <w:rFonts w:ascii="Arial" w:hAnsi="Arial" w:cs="Arial"/>
        </w:rPr>
        <w:t>Elliott-Mainwaring,</w:t>
      </w:r>
      <w:r w:rsidR="00AA5E7E">
        <w:rPr>
          <w:rFonts w:ascii="Arial" w:hAnsi="Arial" w:cs="Arial"/>
        </w:rPr>
        <w:t xml:space="preserve"> 2021)</w:t>
      </w:r>
      <w:r w:rsidRPr="00AF3A6A">
        <w:rPr>
          <w:rFonts w:ascii="Arial" w:hAnsi="Arial" w:cs="Arial"/>
        </w:rPr>
        <w:t>. By uploading extracted data into NVivo, codes can be systematically applied, compared, and refined</w:t>
      </w:r>
      <w:r w:rsidR="009800C8">
        <w:rPr>
          <w:rFonts w:ascii="Arial" w:hAnsi="Arial" w:cs="Arial"/>
        </w:rPr>
        <w:t xml:space="preserve"> (</w:t>
      </w:r>
      <w:r w:rsidR="009800C8" w:rsidRPr="009800C8">
        <w:rPr>
          <w:rFonts w:ascii="Arial" w:hAnsi="Arial" w:cs="Arial"/>
        </w:rPr>
        <w:t>Paulus</w:t>
      </w:r>
      <w:r w:rsidR="009800C8">
        <w:rPr>
          <w:rFonts w:ascii="Arial" w:hAnsi="Arial" w:cs="Arial"/>
        </w:rPr>
        <w:t>, 2023)</w:t>
      </w:r>
      <w:r w:rsidRPr="00AF3A6A">
        <w:rPr>
          <w:rFonts w:ascii="Arial" w:hAnsi="Arial" w:cs="Arial"/>
        </w:rPr>
        <w:t>. The software’s visualisation features, such as coding maps and cluster analyses, will help reveal deeper connections between cyberbullying, substance misuse, and aggression. This structured approach ensures consistency and enhances the transparency of the analysis</w:t>
      </w:r>
      <w:r w:rsidR="00A22F03">
        <w:rPr>
          <w:rFonts w:ascii="Arial" w:hAnsi="Arial" w:cs="Arial"/>
        </w:rPr>
        <w:t xml:space="preserve"> (</w:t>
      </w:r>
      <w:r w:rsidR="00A22F03" w:rsidRPr="009800C8">
        <w:rPr>
          <w:rFonts w:ascii="Arial" w:hAnsi="Arial" w:cs="Arial"/>
        </w:rPr>
        <w:t>Paulus</w:t>
      </w:r>
      <w:r w:rsidR="00A22F03">
        <w:rPr>
          <w:rFonts w:ascii="Arial" w:hAnsi="Arial" w:cs="Arial"/>
        </w:rPr>
        <w:t>, 2023)</w:t>
      </w:r>
      <w:r w:rsidRPr="00AF3A6A">
        <w:rPr>
          <w:rFonts w:ascii="Arial" w:hAnsi="Arial" w:cs="Arial"/>
        </w:rPr>
        <w:t>.</w:t>
      </w:r>
    </w:p>
    <w:p w14:paraId="57964EEE" w14:textId="6918BBBA" w:rsidR="00AF3A6A" w:rsidRPr="00AF3A6A" w:rsidRDefault="00AF3A6A" w:rsidP="00787C9A">
      <w:pPr>
        <w:spacing w:line="360" w:lineRule="auto"/>
        <w:jc w:val="both"/>
        <w:rPr>
          <w:rFonts w:ascii="Arial" w:hAnsi="Arial" w:cs="Arial"/>
        </w:rPr>
      </w:pPr>
      <w:r w:rsidRPr="00AF3A6A">
        <w:rPr>
          <w:rFonts w:ascii="Arial" w:hAnsi="Arial" w:cs="Arial"/>
        </w:rPr>
        <w:t>Themes will then be synthesised to provide a narrative explanation of the prevalence, causes, and effects of antisocial behaviours among UK adolescents. Special attention will be given to identifying overlapping risk factors and cross-behavioural influences, supporting the study’s goal of integrating findings across behavioural domains</w:t>
      </w:r>
      <w:r w:rsidR="00F771BB">
        <w:rPr>
          <w:rFonts w:ascii="Arial" w:hAnsi="Arial" w:cs="Arial"/>
        </w:rPr>
        <w:t xml:space="preserve"> (</w:t>
      </w:r>
      <w:r w:rsidR="00F771BB" w:rsidRPr="00F771BB">
        <w:rPr>
          <w:rFonts w:ascii="Arial" w:hAnsi="Arial" w:cs="Arial"/>
        </w:rPr>
        <w:t>Moore</w:t>
      </w:r>
      <w:r w:rsidR="00F771BB">
        <w:rPr>
          <w:rFonts w:ascii="Arial" w:hAnsi="Arial" w:cs="Arial"/>
        </w:rPr>
        <w:t>, 2023)</w:t>
      </w:r>
      <w:r w:rsidRPr="00AF3A6A">
        <w:rPr>
          <w:rFonts w:ascii="Arial" w:hAnsi="Arial" w:cs="Arial"/>
        </w:rPr>
        <w:t>. The final thematic structure will form the basis of the discussion, offering insights into how antisocial behaviours develop, interact, and can be addressed through targeted interventions. This method ensures a rigorous and comprehensive interpretation of the literature</w:t>
      </w:r>
      <w:r w:rsidR="006C757E">
        <w:rPr>
          <w:rFonts w:ascii="Arial" w:hAnsi="Arial" w:cs="Arial"/>
        </w:rPr>
        <w:t xml:space="preserve"> (</w:t>
      </w:r>
      <w:r w:rsidR="006C757E" w:rsidRPr="006E4FAD">
        <w:rPr>
          <w:rFonts w:ascii="Arial" w:hAnsi="Arial" w:cs="Arial"/>
        </w:rPr>
        <w:t>Braun and Clarke</w:t>
      </w:r>
      <w:r w:rsidR="006C757E">
        <w:rPr>
          <w:rFonts w:ascii="Arial" w:hAnsi="Arial" w:cs="Arial"/>
        </w:rPr>
        <w:t>,</w:t>
      </w:r>
      <w:r w:rsidR="006C757E" w:rsidRPr="006E4FAD">
        <w:rPr>
          <w:rFonts w:ascii="Arial" w:hAnsi="Arial" w:cs="Arial"/>
        </w:rPr>
        <w:t xml:space="preserve"> 2021</w:t>
      </w:r>
      <w:r w:rsidR="006C757E">
        <w:rPr>
          <w:rFonts w:ascii="Arial" w:hAnsi="Arial" w:cs="Arial"/>
        </w:rPr>
        <w:t>)</w:t>
      </w:r>
      <w:r w:rsidRPr="00AF3A6A">
        <w:rPr>
          <w:rFonts w:ascii="Arial" w:hAnsi="Arial" w:cs="Arial"/>
        </w:rPr>
        <w:t>.</w:t>
      </w:r>
    </w:p>
    <w:p w14:paraId="3C5ED667" w14:textId="278AA536" w:rsidR="00AF3A6A" w:rsidRPr="00AF3A6A" w:rsidRDefault="00AF3A6A" w:rsidP="008C1867">
      <w:pPr>
        <w:pStyle w:val="Heading1"/>
      </w:pPr>
      <w:bookmarkStart w:id="9" w:name="_Toc216515677"/>
      <w:r w:rsidRPr="00AF3A6A">
        <w:t>10. Ethical Considerations</w:t>
      </w:r>
      <w:bookmarkEnd w:id="9"/>
      <w:r w:rsidRPr="00AF3A6A">
        <w:t xml:space="preserve"> </w:t>
      </w:r>
    </w:p>
    <w:p w14:paraId="1D54145F" w14:textId="4AC92089" w:rsidR="00AF3A6A" w:rsidRPr="00AF3A6A" w:rsidRDefault="00AF3A6A" w:rsidP="00787C9A">
      <w:pPr>
        <w:spacing w:line="360" w:lineRule="auto"/>
        <w:jc w:val="both"/>
        <w:rPr>
          <w:rFonts w:ascii="Arial" w:hAnsi="Arial" w:cs="Arial"/>
        </w:rPr>
      </w:pPr>
      <w:r w:rsidRPr="00AF3A6A">
        <w:rPr>
          <w:rFonts w:ascii="Arial" w:hAnsi="Arial" w:cs="Arial"/>
        </w:rPr>
        <w:t>Although this research involves secondary data, ethical considerations remain essential to ensuring responsible scholarship. The study will only use publicly available and ethically approved sources, such as peer-reviewed articles and organisational reports</w:t>
      </w:r>
      <w:r w:rsidR="003B3EDF">
        <w:rPr>
          <w:rFonts w:ascii="Arial" w:hAnsi="Arial" w:cs="Arial"/>
        </w:rPr>
        <w:t xml:space="preserve"> (</w:t>
      </w:r>
      <w:r w:rsidR="003B3EDF" w:rsidRPr="003B3EDF">
        <w:rPr>
          <w:rFonts w:ascii="Arial" w:hAnsi="Arial" w:cs="Arial"/>
        </w:rPr>
        <w:t>Thiga</w:t>
      </w:r>
      <w:r w:rsidR="003B3EDF">
        <w:rPr>
          <w:rFonts w:ascii="Arial" w:hAnsi="Arial" w:cs="Arial"/>
        </w:rPr>
        <w:t xml:space="preserve"> et al, 2024)</w:t>
      </w:r>
      <w:r w:rsidRPr="00AF3A6A">
        <w:rPr>
          <w:rFonts w:ascii="Arial" w:hAnsi="Arial" w:cs="Arial"/>
        </w:rPr>
        <w:t>. Proper attribution will be maintained through accurate referencing to avoid plagiarism and uphold academic integrity</w:t>
      </w:r>
      <w:r w:rsidR="008B787A">
        <w:rPr>
          <w:rFonts w:ascii="Arial" w:hAnsi="Arial" w:cs="Arial"/>
        </w:rPr>
        <w:t xml:space="preserve"> (</w:t>
      </w:r>
      <w:r w:rsidR="008B787A" w:rsidRPr="00D420DE">
        <w:rPr>
          <w:rFonts w:ascii="Arial" w:hAnsi="Arial" w:cs="Arial"/>
        </w:rPr>
        <w:t>Ederio</w:t>
      </w:r>
      <w:r w:rsidR="008B787A">
        <w:rPr>
          <w:rFonts w:ascii="Arial" w:hAnsi="Arial" w:cs="Arial"/>
        </w:rPr>
        <w:t xml:space="preserve"> et al, 2023)</w:t>
      </w:r>
      <w:r w:rsidRPr="00AF3A6A">
        <w:rPr>
          <w:rFonts w:ascii="Arial" w:hAnsi="Arial" w:cs="Arial"/>
        </w:rPr>
        <w:t>. Care will be taken to ensure that the representation of findings does not stigmatise young people but instead contextualises behaviours within broader social and environmental frameworks. This is particularly important when discussing sensitive issues such as substance misuse, violence, and mental health</w:t>
      </w:r>
      <w:r w:rsidR="00DB6B5B">
        <w:rPr>
          <w:rFonts w:ascii="Arial" w:hAnsi="Arial" w:cs="Arial"/>
        </w:rPr>
        <w:t xml:space="preserve"> (</w:t>
      </w:r>
      <w:r w:rsidR="00DB6B5B" w:rsidRPr="00DB6B5B">
        <w:rPr>
          <w:rFonts w:ascii="Arial" w:hAnsi="Arial" w:cs="Arial"/>
        </w:rPr>
        <w:t>Khan</w:t>
      </w:r>
      <w:r w:rsidR="00DB6B5B">
        <w:rPr>
          <w:rFonts w:ascii="Arial" w:hAnsi="Arial" w:cs="Arial"/>
        </w:rPr>
        <w:t>, 2024)</w:t>
      </w:r>
      <w:r w:rsidRPr="00AF3A6A">
        <w:rPr>
          <w:rFonts w:ascii="Arial" w:hAnsi="Arial" w:cs="Arial"/>
        </w:rPr>
        <w:t>.</w:t>
      </w:r>
    </w:p>
    <w:p w14:paraId="3D9E4A04" w14:textId="3A648674" w:rsidR="00AF3A6A" w:rsidRPr="00AF3A6A" w:rsidRDefault="00AF3A6A" w:rsidP="00787C9A">
      <w:pPr>
        <w:spacing w:line="360" w:lineRule="auto"/>
        <w:jc w:val="both"/>
        <w:rPr>
          <w:rFonts w:ascii="Arial" w:hAnsi="Arial" w:cs="Arial"/>
        </w:rPr>
      </w:pPr>
      <w:r w:rsidRPr="00AF3A6A">
        <w:rPr>
          <w:rFonts w:ascii="Arial" w:hAnsi="Arial" w:cs="Arial"/>
        </w:rPr>
        <w:t>Additionally, the review will critically engage with ethical issues present in the primary studies, such as informed consent, confidentiality, and safeguarding of minors. Only studies that demonstrate appropriate ethical approval will be included</w:t>
      </w:r>
      <w:r w:rsidR="00D420DE">
        <w:rPr>
          <w:rFonts w:ascii="Arial" w:hAnsi="Arial" w:cs="Arial"/>
        </w:rPr>
        <w:t xml:space="preserve"> (</w:t>
      </w:r>
      <w:r w:rsidR="00D420DE" w:rsidRPr="00D420DE">
        <w:rPr>
          <w:rFonts w:ascii="Arial" w:hAnsi="Arial" w:cs="Arial"/>
        </w:rPr>
        <w:t>Ederio</w:t>
      </w:r>
      <w:r w:rsidR="00D420DE">
        <w:rPr>
          <w:rFonts w:ascii="Arial" w:hAnsi="Arial" w:cs="Arial"/>
        </w:rPr>
        <w:t xml:space="preserve"> et al, 2023)</w:t>
      </w:r>
      <w:r w:rsidRPr="00AF3A6A">
        <w:rPr>
          <w:rFonts w:ascii="Arial" w:hAnsi="Arial" w:cs="Arial"/>
        </w:rPr>
        <w:t>. When synthesising evidence, care will be taken to maintain neutrality, avoid bias, and ensure that interpretations are grounded in the data</w:t>
      </w:r>
      <w:r w:rsidR="008B787A">
        <w:rPr>
          <w:rFonts w:ascii="Arial" w:hAnsi="Arial" w:cs="Arial"/>
        </w:rPr>
        <w:t xml:space="preserve"> (</w:t>
      </w:r>
      <w:r w:rsidR="008B787A" w:rsidRPr="003B3EDF">
        <w:rPr>
          <w:rFonts w:ascii="Arial" w:hAnsi="Arial" w:cs="Arial"/>
        </w:rPr>
        <w:t>Thiga</w:t>
      </w:r>
      <w:r w:rsidR="008B787A">
        <w:rPr>
          <w:rFonts w:ascii="Arial" w:hAnsi="Arial" w:cs="Arial"/>
        </w:rPr>
        <w:t xml:space="preserve"> et al, 2024)</w:t>
      </w:r>
      <w:r w:rsidRPr="00AF3A6A">
        <w:rPr>
          <w:rFonts w:ascii="Arial" w:hAnsi="Arial" w:cs="Arial"/>
        </w:rPr>
        <w:t xml:space="preserve">. The final report will prioritise responsible communication, especially when discussing vulnerable groups, </w:t>
      </w:r>
      <w:r w:rsidR="008C1867" w:rsidRPr="00AF3A6A">
        <w:rPr>
          <w:rFonts w:ascii="Arial" w:hAnsi="Arial" w:cs="Arial"/>
        </w:rPr>
        <w:t>to</w:t>
      </w:r>
      <w:r w:rsidRPr="00AF3A6A">
        <w:rPr>
          <w:rFonts w:ascii="Arial" w:hAnsi="Arial" w:cs="Arial"/>
        </w:rPr>
        <w:t xml:space="preserve"> support ethically sound policy recommendations and intervention strategies</w:t>
      </w:r>
      <w:r w:rsidR="008B787A">
        <w:rPr>
          <w:rFonts w:ascii="Arial" w:hAnsi="Arial" w:cs="Arial"/>
        </w:rPr>
        <w:t xml:space="preserve"> (</w:t>
      </w:r>
      <w:r w:rsidR="008B787A" w:rsidRPr="00DB6B5B">
        <w:rPr>
          <w:rFonts w:ascii="Arial" w:hAnsi="Arial" w:cs="Arial"/>
        </w:rPr>
        <w:t>Khan</w:t>
      </w:r>
      <w:r w:rsidR="008B787A">
        <w:rPr>
          <w:rFonts w:ascii="Arial" w:hAnsi="Arial" w:cs="Arial"/>
        </w:rPr>
        <w:t>, 2024)</w:t>
      </w:r>
      <w:r w:rsidRPr="00AF3A6A">
        <w:rPr>
          <w:rFonts w:ascii="Arial" w:hAnsi="Arial" w:cs="Arial"/>
        </w:rPr>
        <w:t>.</w:t>
      </w:r>
    </w:p>
    <w:p w14:paraId="7C8A5C8F" w14:textId="0FCD82DD" w:rsidR="00AF3A6A" w:rsidRPr="00AF3A6A" w:rsidRDefault="00AF3A6A" w:rsidP="008C1867">
      <w:pPr>
        <w:pStyle w:val="Heading1"/>
      </w:pPr>
      <w:bookmarkStart w:id="10" w:name="_Toc216515678"/>
      <w:r w:rsidRPr="00AF3A6A">
        <w:t>11. Implications of the Research</w:t>
      </w:r>
      <w:bookmarkEnd w:id="10"/>
      <w:r w:rsidRPr="00AF3A6A">
        <w:t xml:space="preserve"> </w:t>
      </w:r>
    </w:p>
    <w:p w14:paraId="630DC35F" w14:textId="3F6A8446" w:rsidR="00AF3A6A" w:rsidRPr="00AF3A6A" w:rsidRDefault="00AF3A6A" w:rsidP="00787C9A">
      <w:pPr>
        <w:spacing w:line="360" w:lineRule="auto"/>
        <w:jc w:val="both"/>
        <w:rPr>
          <w:rFonts w:ascii="Arial" w:hAnsi="Arial" w:cs="Arial"/>
        </w:rPr>
      </w:pPr>
      <w:r w:rsidRPr="00AF3A6A">
        <w:rPr>
          <w:rFonts w:ascii="Arial" w:hAnsi="Arial" w:cs="Arial"/>
        </w:rPr>
        <w:t>The findings of this systematic review will contribute valuable insights into the behavioural challenges facing UK adolescents, supporting efforts to promote healthier, safer, and more inclusive environments for young people</w:t>
      </w:r>
      <w:r w:rsidR="00822418">
        <w:rPr>
          <w:rFonts w:ascii="Arial" w:hAnsi="Arial" w:cs="Arial"/>
        </w:rPr>
        <w:t xml:space="preserve"> </w:t>
      </w:r>
      <w:r w:rsidR="00822418" w:rsidRPr="00AF3A6A">
        <w:rPr>
          <w:rFonts w:ascii="Arial" w:hAnsi="Arial" w:cs="Arial"/>
        </w:rPr>
        <w:t>(Baylis, 2023)</w:t>
      </w:r>
      <w:r w:rsidRPr="00AF3A6A">
        <w:rPr>
          <w:rFonts w:ascii="Arial" w:hAnsi="Arial" w:cs="Arial"/>
        </w:rPr>
        <w:t>. By integrating data across cyberbullying, substance misuse, and aggression, the research will highlight shared risk factors and behavioural patterns that can inform early intervention and prevention programmes</w:t>
      </w:r>
      <w:r w:rsidR="00822418">
        <w:rPr>
          <w:rFonts w:ascii="Arial" w:hAnsi="Arial" w:cs="Arial"/>
        </w:rPr>
        <w:t xml:space="preserve"> </w:t>
      </w:r>
      <w:r w:rsidR="00822418" w:rsidRPr="00AF3A6A">
        <w:rPr>
          <w:rFonts w:ascii="Arial" w:hAnsi="Arial" w:cs="Arial"/>
        </w:rPr>
        <w:t>(Muser et al., 2025).</w:t>
      </w:r>
      <w:r w:rsidRPr="00AF3A6A">
        <w:rPr>
          <w:rFonts w:ascii="Arial" w:hAnsi="Arial" w:cs="Arial"/>
        </w:rPr>
        <w:t xml:space="preserve"> The outcomes may guide the development of youth-centred mental health initiatives, resilience-building programmes, and digital safety education designed to reduce engagement in harmful behaviours (Otto et al., 2021). The review will also support evidence-based approaches for substance misuse prevention and mental health promotion (O’Connell, 2023).</w:t>
      </w:r>
    </w:p>
    <w:p w14:paraId="220D033B" w14:textId="412E73D9" w:rsidR="00AF3A6A" w:rsidRDefault="00AF3A6A" w:rsidP="00787C9A">
      <w:pPr>
        <w:spacing w:line="360" w:lineRule="auto"/>
        <w:jc w:val="both"/>
        <w:rPr>
          <w:rFonts w:ascii="Arial" w:hAnsi="Arial" w:cs="Arial"/>
        </w:rPr>
      </w:pPr>
      <w:r w:rsidRPr="00AF3A6A">
        <w:rPr>
          <w:rFonts w:ascii="Arial" w:hAnsi="Arial" w:cs="Arial"/>
        </w:rPr>
        <w:t>On a broader scale, this research has significant policy and practice implications. The integrated findings can inform youth justice reforms, educational policies, and digital safeguarding legislation, enabling policymakers to develop cohesive strategies that address the evolving challenges facing young people (Muser et al., 2025). The study will support interdisciplinary collaboration by providing educators, counsellors, social workers, and healthcare professionals with a shared evidence base (Baylis, 2023). By strengthening multi-agency frameworks, the research can help ensure that adolescents receive coordinated and holistic support across clinical, educational, and community settings</w:t>
      </w:r>
      <w:r w:rsidR="00822418">
        <w:rPr>
          <w:rFonts w:ascii="Arial" w:hAnsi="Arial" w:cs="Arial"/>
        </w:rPr>
        <w:t xml:space="preserve"> </w:t>
      </w:r>
      <w:r w:rsidR="00822418" w:rsidRPr="00AF3A6A">
        <w:rPr>
          <w:rFonts w:ascii="Arial" w:hAnsi="Arial" w:cs="Arial"/>
        </w:rPr>
        <w:t>(Otto et al., 2021)</w:t>
      </w:r>
      <w:r w:rsidRPr="00AF3A6A">
        <w:rPr>
          <w:rFonts w:ascii="Arial" w:hAnsi="Arial" w:cs="Arial"/>
        </w:rPr>
        <w:t>. Ultimately, the review aims to contribute to national efforts to enhance youth wellbeing, reduce harm, and foster safer online and offline environments for all young people.</w:t>
      </w:r>
    </w:p>
    <w:p w14:paraId="1C786BA9" w14:textId="1BEB5054" w:rsidR="00B74156" w:rsidRPr="00B74156" w:rsidRDefault="00B74156" w:rsidP="00B74156">
      <w:pPr>
        <w:pStyle w:val="Heading1"/>
      </w:pPr>
      <w:bookmarkStart w:id="11" w:name="_Toc216515679"/>
      <w:r>
        <w:t xml:space="preserve">12. </w:t>
      </w:r>
      <w:r w:rsidRPr="00B74156">
        <w:t>Conclusion</w:t>
      </w:r>
      <w:bookmarkEnd w:id="11"/>
    </w:p>
    <w:p w14:paraId="52C6E3B2" w14:textId="3C09E1FE" w:rsidR="00B74156" w:rsidRPr="00B74156" w:rsidRDefault="00B74156" w:rsidP="00B74156">
      <w:pPr>
        <w:spacing w:line="360" w:lineRule="auto"/>
        <w:jc w:val="both"/>
        <w:rPr>
          <w:rFonts w:ascii="Arial" w:hAnsi="Arial" w:cs="Arial"/>
        </w:rPr>
      </w:pPr>
      <w:r w:rsidRPr="00B74156">
        <w:rPr>
          <w:rFonts w:ascii="Arial" w:hAnsi="Arial" w:cs="Arial"/>
        </w:rPr>
        <w:t xml:space="preserve">Antisocial behaviours among UK adolescents, including cyberbullying, substance misuse, and aggressive conduct, represent a complex and interconnected challenge with significant implications for mental health, education, and social development. This systematic review highlights that these behaviours remain prevalent and are shaped by a combination of individual vulnerabilities, peer influence, digital exposure, and wider social and environmental factors. The increasing integration of online and offline spaces has intensified the reach and impact of harmful behaviours, while post-pandemic changes in social interaction and emotional </w:t>
      </w:r>
      <w:r>
        <w:rPr>
          <w:rFonts w:ascii="Arial" w:hAnsi="Arial" w:cs="Arial"/>
        </w:rPr>
        <w:t>well-being</w:t>
      </w:r>
      <w:r w:rsidRPr="00B74156">
        <w:rPr>
          <w:rFonts w:ascii="Arial" w:hAnsi="Arial" w:cs="Arial"/>
        </w:rPr>
        <w:t xml:space="preserve"> have further influenced adolescent experiences. Together, these factors demonstrate that antisocial behaviour during adolescence cannot be understood in isolation but must be viewed as part of a broader developmental and social context.</w:t>
      </w:r>
    </w:p>
    <w:p w14:paraId="331A116F" w14:textId="77777777" w:rsidR="00B74156" w:rsidRPr="00B74156" w:rsidRDefault="00B74156" w:rsidP="00B74156">
      <w:pPr>
        <w:spacing w:line="360" w:lineRule="auto"/>
        <w:jc w:val="both"/>
        <w:rPr>
          <w:rFonts w:ascii="Arial" w:hAnsi="Arial" w:cs="Arial"/>
        </w:rPr>
      </w:pPr>
      <w:r w:rsidRPr="00B74156">
        <w:rPr>
          <w:rFonts w:ascii="Arial" w:hAnsi="Arial" w:cs="Arial"/>
        </w:rPr>
        <w:t>By synthesising evidence across multiple behavioural domains, this review underscores the importance of adopting holistic and coordinated approaches to prevention and intervention. Identifying shared risk factors and overlapping consequences provides valuable insights for the design of effective, youth-centred strategies that address both behavioural and mental health needs. The findings emphasise the need for collaborative action across education, health, social care, and policy sectors to ensure timely support for young people. Ultimately, strengthening evidence-based interventions and informed policy responses is essential to reducing harm, promoting wellbeing, and supporting positive developmental outcomes for UK adolescents.</w:t>
      </w:r>
    </w:p>
    <w:p w14:paraId="3EC7E3E4" w14:textId="77777777" w:rsidR="00B74156" w:rsidRDefault="00B74156" w:rsidP="00787C9A">
      <w:pPr>
        <w:spacing w:line="360" w:lineRule="auto"/>
        <w:jc w:val="both"/>
        <w:rPr>
          <w:rFonts w:ascii="Arial" w:hAnsi="Arial" w:cs="Arial"/>
        </w:rPr>
      </w:pPr>
    </w:p>
    <w:p w14:paraId="1180A18C" w14:textId="77777777" w:rsidR="00A65B86" w:rsidRDefault="00A65B86" w:rsidP="00787C9A">
      <w:pPr>
        <w:spacing w:line="360" w:lineRule="auto"/>
        <w:jc w:val="both"/>
        <w:rPr>
          <w:rFonts w:ascii="Arial" w:hAnsi="Arial" w:cs="Arial"/>
        </w:rPr>
      </w:pPr>
    </w:p>
    <w:p w14:paraId="1A5EDA10" w14:textId="77777777" w:rsidR="00B74156" w:rsidRDefault="00B74156" w:rsidP="00787C9A">
      <w:pPr>
        <w:spacing w:line="360" w:lineRule="auto"/>
        <w:jc w:val="both"/>
        <w:rPr>
          <w:rFonts w:ascii="Arial" w:hAnsi="Arial" w:cs="Arial"/>
        </w:rPr>
      </w:pPr>
    </w:p>
    <w:p w14:paraId="6703998A" w14:textId="77777777" w:rsidR="00B74156" w:rsidRDefault="00B74156" w:rsidP="00787C9A">
      <w:pPr>
        <w:spacing w:line="360" w:lineRule="auto"/>
        <w:jc w:val="both"/>
        <w:rPr>
          <w:rFonts w:ascii="Arial" w:hAnsi="Arial" w:cs="Arial"/>
        </w:rPr>
      </w:pPr>
    </w:p>
    <w:p w14:paraId="14794365" w14:textId="77777777" w:rsidR="00B74156" w:rsidRDefault="00B74156" w:rsidP="00787C9A">
      <w:pPr>
        <w:spacing w:line="360" w:lineRule="auto"/>
        <w:jc w:val="both"/>
        <w:rPr>
          <w:rFonts w:ascii="Arial" w:hAnsi="Arial" w:cs="Arial"/>
        </w:rPr>
      </w:pPr>
    </w:p>
    <w:p w14:paraId="4DC288D9" w14:textId="5135A324" w:rsidR="00A65B86" w:rsidRDefault="00A65B86" w:rsidP="00A65B86">
      <w:pPr>
        <w:pStyle w:val="Heading1"/>
      </w:pPr>
      <w:bookmarkStart w:id="12" w:name="_Toc216515680"/>
      <w:r>
        <w:t>Gantt chart</w:t>
      </w:r>
      <w:bookmarkEnd w:id="12"/>
    </w:p>
    <w:p w14:paraId="720AD6C5" w14:textId="77777777" w:rsidR="00A65B86" w:rsidRDefault="00A65B86" w:rsidP="00A65B86">
      <w:pPr>
        <w:rPr>
          <w:lang w:eastAsia="en-GB"/>
        </w:rPr>
      </w:pPr>
    </w:p>
    <w:p w14:paraId="7C9B9C97" w14:textId="77777777" w:rsidR="00A65B86" w:rsidRDefault="00A65B86" w:rsidP="00A65B86">
      <w:pPr>
        <w:rPr>
          <w:lang w:eastAsia="en-GB"/>
        </w:rPr>
      </w:pPr>
    </w:p>
    <w:p w14:paraId="5CBEB017" w14:textId="77777777" w:rsidR="00A65B86" w:rsidRPr="00A65B86" w:rsidRDefault="00A65B86" w:rsidP="00A65B86">
      <w:pPr>
        <w:rPr>
          <w:lang w:eastAsia="en-GB"/>
        </w:rPr>
      </w:pPr>
    </w:p>
    <w:tbl>
      <w:tblPr>
        <w:tblStyle w:val="GridTable6Colorful-Accent5"/>
        <w:tblpPr w:leftFromText="180" w:rightFromText="180" w:vertAnchor="page" w:horzAnchor="margin" w:tblpXSpec="center" w:tblpY="3325"/>
        <w:tblW w:w="10773" w:type="dxa"/>
        <w:tblLook w:val="04A0" w:firstRow="1" w:lastRow="0" w:firstColumn="1" w:lastColumn="0" w:noHBand="0" w:noVBand="1"/>
      </w:tblPr>
      <w:tblGrid>
        <w:gridCol w:w="2801"/>
        <w:gridCol w:w="423"/>
        <w:gridCol w:w="424"/>
        <w:gridCol w:w="423"/>
        <w:gridCol w:w="562"/>
        <w:gridCol w:w="423"/>
        <w:gridCol w:w="447"/>
        <w:gridCol w:w="425"/>
        <w:gridCol w:w="564"/>
        <w:gridCol w:w="424"/>
        <w:gridCol w:w="566"/>
        <w:gridCol w:w="566"/>
        <w:gridCol w:w="566"/>
        <w:gridCol w:w="461"/>
        <w:gridCol w:w="566"/>
        <w:gridCol w:w="566"/>
        <w:gridCol w:w="566"/>
      </w:tblGrid>
      <w:tr w:rsidR="00481CB3" w:rsidRPr="00EC19AE" w14:paraId="61443807" w14:textId="77777777" w:rsidTr="005415F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18" w:type="dxa"/>
            <w:vMerge w:val="restart"/>
          </w:tcPr>
          <w:p w14:paraId="575A8CCF" w14:textId="77777777" w:rsidR="00481CB3" w:rsidRPr="00EC19AE" w:rsidRDefault="00481CB3" w:rsidP="005415F8">
            <w:pPr>
              <w:spacing w:line="360" w:lineRule="auto"/>
              <w:jc w:val="both"/>
              <w:rPr>
                <w:rFonts w:ascii="Arial" w:hAnsi="Arial" w:cs="Arial"/>
                <w:b w:val="0"/>
                <w:bCs w:val="0"/>
                <w:color w:val="000000" w:themeColor="text1"/>
              </w:rPr>
            </w:pPr>
            <w:r w:rsidRPr="00EC19AE">
              <w:rPr>
                <w:rFonts w:ascii="Arial" w:hAnsi="Arial" w:cs="Arial"/>
                <w:color w:val="000000" w:themeColor="text1"/>
              </w:rPr>
              <w:t xml:space="preserve">ACTIVITIES                        </w:t>
            </w:r>
          </w:p>
        </w:tc>
        <w:tc>
          <w:tcPr>
            <w:tcW w:w="7955" w:type="dxa"/>
            <w:gridSpan w:val="16"/>
          </w:tcPr>
          <w:p w14:paraId="47D8BFD5" w14:textId="77777777" w:rsidR="00481CB3" w:rsidRPr="00EC19AE" w:rsidRDefault="00481CB3" w:rsidP="005415F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EC19AE">
              <w:rPr>
                <w:rFonts w:ascii="Arial" w:hAnsi="Arial" w:cs="Arial"/>
                <w:color w:val="000000" w:themeColor="text1"/>
              </w:rPr>
              <w:t>WEEKS</w:t>
            </w:r>
          </w:p>
        </w:tc>
      </w:tr>
      <w:tr w:rsidR="00481CB3" w:rsidRPr="00EC19AE" w14:paraId="16A4A729" w14:textId="77777777" w:rsidTr="005415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18" w:type="dxa"/>
            <w:vMerge/>
          </w:tcPr>
          <w:p w14:paraId="112642BB" w14:textId="77777777" w:rsidR="00481CB3" w:rsidRPr="00EC19AE" w:rsidRDefault="00481CB3" w:rsidP="005415F8">
            <w:pPr>
              <w:spacing w:line="360" w:lineRule="auto"/>
              <w:jc w:val="both"/>
              <w:rPr>
                <w:rFonts w:ascii="Arial" w:hAnsi="Arial" w:cs="Arial"/>
                <w:b w:val="0"/>
                <w:bCs w:val="0"/>
                <w:color w:val="000000" w:themeColor="text1"/>
              </w:rPr>
            </w:pPr>
          </w:p>
        </w:tc>
        <w:tc>
          <w:tcPr>
            <w:tcW w:w="424" w:type="dxa"/>
          </w:tcPr>
          <w:p w14:paraId="03DABFC7"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EC19AE">
              <w:rPr>
                <w:rFonts w:ascii="Arial" w:hAnsi="Arial" w:cs="Arial"/>
                <w:color w:val="000000" w:themeColor="text1"/>
              </w:rPr>
              <w:t>1</w:t>
            </w:r>
          </w:p>
        </w:tc>
        <w:tc>
          <w:tcPr>
            <w:tcW w:w="425" w:type="dxa"/>
          </w:tcPr>
          <w:p w14:paraId="79FBDF79"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EC19AE">
              <w:rPr>
                <w:rFonts w:ascii="Arial" w:hAnsi="Arial" w:cs="Arial"/>
                <w:color w:val="000000" w:themeColor="text1"/>
              </w:rPr>
              <w:t>2</w:t>
            </w:r>
          </w:p>
        </w:tc>
        <w:tc>
          <w:tcPr>
            <w:tcW w:w="424" w:type="dxa"/>
          </w:tcPr>
          <w:p w14:paraId="4EB92F46"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EC19AE">
              <w:rPr>
                <w:rFonts w:ascii="Arial" w:hAnsi="Arial" w:cs="Arial"/>
                <w:color w:val="000000" w:themeColor="text1"/>
              </w:rPr>
              <w:t>3</w:t>
            </w:r>
          </w:p>
        </w:tc>
        <w:tc>
          <w:tcPr>
            <w:tcW w:w="565" w:type="dxa"/>
          </w:tcPr>
          <w:p w14:paraId="31577642"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EC19AE">
              <w:rPr>
                <w:rFonts w:ascii="Arial" w:hAnsi="Arial" w:cs="Arial"/>
                <w:color w:val="000000" w:themeColor="text1"/>
              </w:rPr>
              <w:t>4</w:t>
            </w:r>
          </w:p>
        </w:tc>
        <w:tc>
          <w:tcPr>
            <w:tcW w:w="424" w:type="dxa"/>
          </w:tcPr>
          <w:p w14:paraId="0360960D"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EC19AE">
              <w:rPr>
                <w:rFonts w:ascii="Arial" w:hAnsi="Arial" w:cs="Arial"/>
                <w:color w:val="000000" w:themeColor="text1"/>
              </w:rPr>
              <w:t>5</w:t>
            </w:r>
          </w:p>
        </w:tc>
        <w:tc>
          <w:tcPr>
            <w:tcW w:w="448" w:type="dxa"/>
          </w:tcPr>
          <w:p w14:paraId="2B691C8F"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EC19AE">
              <w:rPr>
                <w:rFonts w:ascii="Arial" w:hAnsi="Arial" w:cs="Arial"/>
                <w:color w:val="000000" w:themeColor="text1"/>
              </w:rPr>
              <w:t>6</w:t>
            </w:r>
          </w:p>
        </w:tc>
        <w:tc>
          <w:tcPr>
            <w:tcW w:w="426" w:type="dxa"/>
          </w:tcPr>
          <w:p w14:paraId="7A795763"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EC19AE">
              <w:rPr>
                <w:rFonts w:ascii="Arial" w:hAnsi="Arial" w:cs="Arial"/>
                <w:color w:val="000000" w:themeColor="text1"/>
              </w:rPr>
              <w:t>7</w:t>
            </w:r>
          </w:p>
        </w:tc>
        <w:tc>
          <w:tcPr>
            <w:tcW w:w="567" w:type="dxa"/>
          </w:tcPr>
          <w:p w14:paraId="1C1A6F12"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EC19AE">
              <w:rPr>
                <w:rFonts w:ascii="Arial" w:hAnsi="Arial" w:cs="Arial"/>
                <w:color w:val="000000" w:themeColor="text1"/>
              </w:rPr>
              <w:t>8</w:t>
            </w:r>
          </w:p>
        </w:tc>
        <w:tc>
          <w:tcPr>
            <w:tcW w:w="425" w:type="dxa"/>
          </w:tcPr>
          <w:p w14:paraId="3D23D3FD"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EC19AE">
              <w:rPr>
                <w:rFonts w:ascii="Arial" w:hAnsi="Arial" w:cs="Arial"/>
                <w:color w:val="000000" w:themeColor="text1"/>
              </w:rPr>
              <w:t>9</w:t>
            </w:r>
          </w:p>
        </w:tc>
        <w:tc>
          <w:tcPr>
            <w:tcW w:w="567" w:type="dxa"/>
          </w:tcPr>
          <w:p w14:paraId="22887192"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EC19AE">
              <w:rPr>
                <w:rFonts w:ascii="Arial" w:hAnsi="Arial" w:cs="Arial"/>
                <w:color w:val="000000" w:themeColor="text1"/>
              </w:rPr>
              <w:t>10</w:t>
            </w:r>
          </w:p>
        </w:tc>
        <w:tc>
          <w:tcPr>
            <w:tcW w:w="567" w:type="dxa"/>
          </w:tcPr>
          <w:p w14:paraId="6779ADA7"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EC19AE">
              <w:rPr>
                <w:rFonts w:ascii="Arial" w:hAnsi="Arial" w:cs="Arial"/>
                <w:color w:val="000000" w:themeColor="text1"/>
              </w:rPr>
              <w:t>11</w:t>
            </w:r>
          </w:p>
        </w:tc>
        <w:tc>
          <w:tcPr>
            <w:tcW w:w="567" w:type="dxa"/>
          </w:tcPr>
          <w:p w14:paraId="4207C1AD"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EC19AE">
              <w:rPr>
                <w:rFonts w:ascii="Arial" w:hAnsi="Arial" w:cs="Arial"/>
                <w:color w:val="000000" w:themeColor="text1"/>
              </w:rPr>
              <w:t>12</w:t>
            </w:r>
          </w:p>
        </w:tc>
        <w:tc>
          <w:tcPr>
            <w:tcW w:w="425" w:type="dxa"/>
          </w:tcPr>
          <w:p w14:paraId="3E9DD3CD"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EC19AE">
              <w:rPr>
                <w:rFonts w:ascii="Arial" w:hAnsi="Arial" w:cs="Arial"/>
                <w:color w:val="000000" w:themeColor="text1"/>
              </w:rPr>
              <w:t>13</w:t>
            </w:r>
          </w:p>
        </w:tc>
        <w:tc>
          <w:tcPr>
            <w:tcW w:w="567" w:type="dxa"/>
          </w:tcPr>
          <w:p w14:paraId="47D34407"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EC19AE">
              <w:rPr>
                <w:rFonts w:ascii="Arial" w:hAnsi="Arial" w:cs="Arial"/>
                <w:color w:val="000000" w:themeColor="text1"/>
              </w:rPr>
              <w:t>14</w:t>
            </w:r>
          </w:p>
        </w:tc>
        <w:tc>
          <w:tcPr>
            <w:tcW w:w="567" w:type="dxa"/>
          </w:tcPr>
          <w:p w14:paraId="0EE5913E"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EC19AE">
              <w:rPr>
                <w:rFonts w:ascii="Arial" w:hAnsi="Arial" w:cs="Arial"/>
                <w:color w:val="000000" w:themeColor="text1"/>
              </w:rPr>
              <w:t>15</w:t>
            </w:r>
          </w:p>
        </w:tc>
        <w:tc>
          <w:tcPr>
            <w:tcW w:w="567" w:type="dxa"/>
          </w:tcPr>
          <w:p w14:paraId="1801C30E"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EC19AE">
              <w:rPr>
                <w:rFonts w:ascii="Arial" w:hAnsi="Arial" w:cs="Arial"/>
                <w:color w:val="000000" w:themeColor="text1"/>
              </w:rPr>
              <w:t>16</w:t>
            </w:r>
          </w:p>
        </w:tc>
      </w:tr>
      <w:tr w:rsidR="00481CB3" w:rsidRPr="00EC19AE" w14:paraId="543F2692" w14:textId="77777777" w:rsidTr="005415F8">
        <w:tc>
          <w:tcPr>
            <w:cnfStyle w:val="001000000000" w:firstRow="0" w:lastRow="0" w:firstColumn="1" w:lastColumn="0" w:oddVBand="0" w:evenVBand="0" w:oddHBand="0" w:evenHBand="0" w:firstRowFirstColumn="0" w:firstRowLastColumn="0" w:lastRowFirstColumn="0" w:lastRowLastColumn="0"/>
            <w:tcW w:w="2818" w:type="dxa"/>
          </w:tcPr>
          <w:p w14:paraId="45AD96C7" w14:textId="77777777" w:rsidR="00481CB3" w:rsidRPr="00FB2556" w:rsidRDefault="00481CB3" w:rsidP="005415F8">
            <w:pPr>
              <w:spacing w:line="360" w:lineRule="auto"/>
              <w:jc w:val="both"/>
              <w:rPr>
                <w:rFonts w:ascii="Arial" w:hAnsi="Arial" w:cs="Arial"/>
                <w:b w:val="0"/>
                <w:bCs w:val="0"/>
                <w:color w:val="000000" w:themeColor="text1"/>
              </w:rPr>
            </w:pPr>
            <w:r w:rsidRPr="00A65B86">
              <w:rPr>
                <w:rFonts w:ascii="Arial" w:hAnsi="Arial" w:cs="Arial"/>
                <w:b w:val="0"/>
                <w:bCs w:val="0"/>
                <w:color w:val="000000" w:themeColor="text1"/>
              </w:rPr>
              <w:t>Securing approval from the University Ethics Committee</w:t>
            </w:r>
          </w:p>
        </w:tc>
        <w:tc>
          <w:tcPr>
            <w:tcW w:w="424" w:type="dxa"/>
            <w:shd w:val="clear" w:color="auto" w:fill="E97132" w:themeFill="accent2"/>
          </w:tcPr>
          <w:p w14:paraId="2F7E23B1"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25" w:type="dxa"/>
          </w:tcPr>
          <w:p w14:paraId="152BF726"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24" w:type="dxa"/>
          </w:tcPr>
          <w:p w14:paraId="52B528F9"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565" w:type="dxa"/>
          </w:tcPr>
          <w:p w14:paraId="0AF1ACD4"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24" w:type="dxa"/>
          </w:tcPr>
          <w:p w14:paraId="748008B8"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48" w:type="dxa"/>
          </w:tcPr>
          <w:p w14:paraId="6EDB7486"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26" w:type="dxa"/>
          </w:tcPr>
          <w:p w14:paraId="74123848"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567" w:type="dxa"/>
          </w:tcPr>
          <w:p w14:paraId="7A0608E1"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25" w:type="dxa"/>
          </w:tcPr>
          <w:p w14:paraId="548FA123"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567" w:type="dxa"/>
          </w:tcPr>
          <w:p w14:paraId="2525B03B"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567" w:type="dxa"/>
          </w:tcPr>
          <w:p w14:paraId="31E68C38"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567" w:type="dxa"/>
          </w:tcPr>
          <w:p w14:paraId="749E1070"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25" w:type="dxa"/>
          </w:tcPr>
          <w:p w14:paraId="6EE99F8E"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567" w:type="dxa"/>
          </w:tcPr>
          <w:p w14:paraId="139B08FE"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567" w:type="dxa"/>
          </w:tcPr>
          <w:p w14:paraId="3DB4BC3C"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567" w:type="dxa"/>
          </w:tcPr>
          <w:p w14:paraId="59A619F8"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r>
      <w:tr w:rsidR="00481CB3" w:rsidRPr="00EC19AE" w14:paraId="4C154041" w14:textId="77777777" w:rsidTr="005415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18" w:type="dxa"/>
          </w:tcPr>
          <w:p w14:paraId="15B782F6" w14:textId="77777777" w:rsidR="00481CB3" w:rsidRPr="00FB2556" w:rsidRDefault="00481CB3" w:rsidP="005415F8">
            <w:pPr>
              <w:spacing w:line="360" w:lineRule="auto"/>
              <w:jc w:val="both"/>
              <w:rPr>
                <w:rFonts w:ascii="Arial" w:hAnsi="Arial" w:cs="Arial"/>
                <w:b w:val="0"/>
                <w:bCs w:val="0"/>
                <w:color w:val="000000" w:themeColor="text1"/>
              </w:rPr>
            </w:pPr>
            <w:r w:rsidRPr="00A65B86">
              <w:rPr>
                <w:rFonts w:ascii="Arial" w:hAnsi="Arial" w:cs="Arial"/>
                <w:b w:val="0"/>
                <w:bCs w:val="0"/>
                <w:color w:val="000000" w:themeColor="text1"/>
              </w:rPr>
              <w:t>Conducting systematic searches</w:t>
            </w:r>
          </w:p>
        </w:tc>
        <w:tc>
          <w:tcPr>
            <w:tcW w:w="424" w:type="dxa"/>
          </w:tcPr>
          <w:p w14:paraId="3C27DBA1"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25" w:type="dxa"/>
            <w:shd w:val="clear" w:color="auto" w:fill="FF0000"/>
          </w:tcPr>
          <w:p w14:paraId="6021752C"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24" w:type="dxa"/>
            <w:shd w:val="clear" w:color="auto" w:fill="FF0000"/>
          </w:tcPr>
          <w:p w14:paraId="7E98EFF9"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565" w:type="dxa"/>
          </w:tcPr>
          <w:p w14:paraId="4C3B1F3D"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24" w:type="dxa"/>
          </w:tcPr>
          <w:p w14:paraId="132A43B3"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48" w:type="dxa"/>
          </w:tcPr>
          <w:p w14:paraId="5773EA04"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26" w:type="dxa"/>
          </w:tcPr>
          <w:p w14:paraId="14E579F1"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567" w:type="dxa"/>
          </w:tcPr>
          <w:p w14:paraId="4283C7E6"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25" w:type="dxa"/>
          </w:tcPr>
          <w:p w14:paraId="5498A8FB"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567" w:type="dxa"/>
          </w:tcPr>
          <w:p w14:paraId="7F978AA2"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567" w:type="dxa"/>
          </w:tcPr>
          <w:p w14:paraId="73AE66CE"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567" w:type="dxa"/>
          </w:tcPr>
          <w:p w14:paraId="04AAD3B7"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25" w:type="dxa"/>
          </w:tcPr>
          <w:p w14:paraId="2888D618"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567" w:type="dxa"/>
          </w:tcPr>
          <w:p w14:paraId="248A1C8E"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567" w:type="dxa"/>
          </w:tcPr>
          <w:p w14:paraId="61763226"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567" w:type="dxa"/>
          </w:tcPr>
          <w:p w14:paraId="0E6ECF59"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r>
      <w:tr w:rsidR="00481CB3" w:rsidRPr="00EC19AE" w14:paraId="5E432DEB" w14:textId="77777777" w:rsidTr="005415F8">
        <w:tc>
          <w:tcPr>
            <w:cnfStyle w:val="001000000000" w:firstRow="0" w:lastRow="0" w:firstColumn="1" w:lastColumn="0" w:oddVBand="0" w:evenVBand="0" w:oddHBand="0" w:evenHBand="0" w:firstRowFirstColumn="0" w:firstRowLastColumn="0" w:lastRowFirstColumn="0" w:lastRowLastColumn="0"/>
            <w:tcW w:w="2818" w:type="dxa"/>
          </w:tcPr>
          <w:p w14:paraId="664EDCEC" w14:textId="77777777" w:rsidR="00481CB3" w:rsidRPr="00FB2556" w:rsidRDefault="00481CB3" w:rsidP="005415F8">
            <w:pPr>
              <w:spacing w:line="360" w:lineRule="auto"/>
              <w:jc w:val="both"/>
              <w:rPr>
                <w:rFonts w:ascii="Arial" w:hAnsi="Arial" w:cs="Arial"/>
                <w:b w:val="0"/>
                <w:bCs w:val="0"/>
                <w:color w:val="000000" w:themeColor="text1"/>
              </w:rPr>
            </w:pPr>
            <w:r>
              <w:rPr>
                <w:rFonts w:ascii="Arial" w:hAnsi="Arial" w:cs="Arial"/>
                <w:b w:val="0"/>
                <w:bCs w:val="0"/>
                <w:color w:val="000000" w:themeColor="text1"/>
                <w:lang w:val="en-US"/>
              </w:rPr>
              <w:t>L</w:t>
            </w:r>
            <w:r w:rsidRPr="00FB2556">
              <w:rPr>
                <w:rFonts w:ascii="Arial" w:hAnsi="Arial" w:cs="Arial"/>
                <w:b w:val="0"/>
                <w:bCs w:val="0"/>
                <w:color w:val="000000" w:themeColor="text1"/>
                <w:lang w:val="en-US"/>
              </w:rPr>
              <w:t>iterature review</w:t>
            </w:r>
          </w:p>
        </w:tc>
        <w:tc>
          <w:tcPr>
            <w:tcW w:w="424" w:type="dxa"/>
          </w:tcPr>
          <w:p w14:paraId="7A7E255E"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25" w:type="dxa"/>
          </w:tcPr>
          <w:p w14:paraId="546C8CF8"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24" w:type="dxa"/>
          </w:tcPr>
          <w:p w14:paraId="6368EFD1"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565" w:type="dxa"/>
            <w:shd w:val="clear" w:color="auto" w:fill="B3E5A1" w:themeFill="accent6" w:themeFillTint="66"/>
          </w:tcPr>
          <w:p w14:paraId="4BC50A14"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24" w:type="dxa"/>
            <w:shd w:val="clear" w:color="auto" w:fill="B3E5A1" w:themeFill="accent6" w:themeFillTint="66"/>
          </w:tcPr>
          <w:p w14:paraId="61208358"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48" w:type="dxa"/>
          </w:tcPr>
          <w:p w14:paraId="375BBE41"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26" w:type="dxa"/>
          </w:tcPr>
          <w:p w14:paraId="559EA40C"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567" w:type="dxa"/>
          </w:tcPr>
          <w:p w14:paraId="4208316F"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25" w:type="dxa"/>
          </w:tcPr>
          <w:p w14:paraId="4F5D3754"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567" w:type="dxa"/>
          </w:tcPr>
          <w:p w14:paraId="462080B6"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567" w:type="dxa"/>
          </w:tcPr>
          <w:p w14:paraId="67F68EDF"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567" w:type="dxa"/>
          </w:tcPr>
          <w:p w14:paraId="78D3E929"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25" w:type="dxa"/>
          </w:tcPr>
          <w:p w14:paraId="74A4B62A"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567" w:type="dxa"/>
          </w:tcPr>
          <w:p w14:paraId="6DED553A"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567" w:type="dxa"/>
          </w:tcPr>
          <w:p w14:paraId="44EB8888"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567" w:type="dxa"/>
          </w:tcPr>
          <w:p w14:paraId="1AE1A9FE"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r>
      <w:tr w:rsidR="00481CB3" w:rsidRPr="00EC19AE" w14:paraId="747D8AA2" w14:textId="77777777" w:rsidTr="005415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18" w:type="dxa"/>
          </w:tcPr>
          <w:p w14:paraId="5245767F" w14:textId="77777777" w:rsidR="00481CB3" w:rsidRPr="00FB2556" w:rsidRDefault="00481CB3" w:rsidP="005415F8">
            <w:pPr>
              <w:spacing w:line="360" w:lineRule="auto"/>
              <w:jc w:val="both"/>
              <w:rPr>
                <w:rFonts w:ascii="Arial" w:hAnsi="Arial" w:cs="Arial"/>
                <w:b w:val="0"/>
                <w:bCs w:val="0"/>
                <w:color w:val="000000" w:themeColor="text1"/>
                <w:lang w:val="en-US"/>
              </w:rPr>
            </w:pPr>
            <w:r w:rsidRPr="00A65B86">
              <w:rPr>
                <w:rFonts w:ascii="Arial" w:hAnsi="Arial" w:cs="Arial"/>
                <w:b w:val="0"/>
                <w:bCs w:val="0"/>
                <w:color w:val="000000" w:themeColor="text1"/>
              </w:rPr>
              <w:t>Screening, selecting, and finalising eligible research articles</w:t>
            </w:r>
          </w:p>
        </w:tc>
        <w:tc>
          <w:tcPr>
            <w:tcW w:w="424" w:type="dxa"/>
          </w:tcPr>
          <w:p w14:paraId="4DDFD614"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25" w:type="dxa"/>
          </w:tcPr>
          <w:p w14:paraId="1F24A558"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24" w:type="dxa"/>
          </w:tcPr>
          <w:p w14:paraId="5BE7DFE8"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565" w:type="dxa"/>
          </w:tcPr>
          <w:p w14:paraId="6985B74C"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24" w:type="dxa"/>
          </w:tcPr>
          <w:p w14:paraId="49D5CDA7"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48" w:type="dxa"/>
            <w:shd w:val="clear" w:color="auto" w:fill="A02B93" w:themeFill="accent5"/>
          </w:tcPr>
          <w:p w14:paraId="2A3F60DA"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26" w:type="dxa"/>
            <w:shd w:val="clear" w:color="auto" w:fill="A02B93" w:themeFill="accent5"/>
          </w:tcPr>
          <w:p w14:paraId="5C735539"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567" w:type="dxa"/>
          </w:tcPr>
          <w:p w14:paraId="4F99573A"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25" w:type="dxa"/>
          </w:tcPr>
          <w:p w14:paraId="48B43F03"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567" w:type="dxa"/>
          </w:tcPr>
          <w:p w14:paraId="45E221FE"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567" w:type="dxa"/>
          </w:tcPr>
          <w:p w14:paraId="0F3EE731"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567" w:type="dxa"/>
          </w:tcPr>
          <w:p w14:paraId="7B37F513"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25" w:type="dxa"/>
          </w:tcPr>
          <w:p w14:paraId="2CC1D589"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567" w:type="dxa"/>
          </w:tcPr>
          <w:p w14:paraId="2329B785"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567" w:type="dxa"/>
          </w:tcPr>
          <w:p w14:paraId="12723F7D"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567" w:type="dxa"/>
          </w:tcPr>
          <w:p w14:paraId="43FA4D8A"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r>
      <w:tr w:rsidR="00481CB3" w:rsidRPr="00EC19AE" w14:paraId="789565F9" w14:textId="77777777" w:rsidTr="005415F8">
        <w:tc>
          <w:tcPr>
            <w:cnfStyle w:val="001000000000" w:firstRow="0" w:lastRow="0" w:firstColumn="1" w:lastColumn="0" w:oddVBand="0" w:evenVBand="0" w:oddHBand="0" w:evenHBand="0" w:firstRowFirstColumn="0" w:firstRowLastColumn="0" w:lastRowFirstColumn="0" w:lastRowLastColumn="0"/>
            <w:tcW w:w="2818" w:type="dxa"/>
          </w:tcPr>
          <w:p w14:paraId="0F3C7173" w14:textId="77777777" w:rsidR="00481CB3" w:rsidRPr="00FB2556" w:rsidRDefault="00481CB3" w:rsidP="005415F8">
            <w:pPr>
              <w:spacing w:line="360" w:lineRule="auto"/>
              <w:jc w:val="both"/>
              <w:rPr>
                <w:rFonts w:ascii="Arial" w:hAnsi="Arial" w:cs="Arial"/>
                <w:b w:val="0"/>
                <w:bCs w:val="0"/>
                <w:color w:val="000000" w:themeColor="text1"/>
              </w:rPr>
            </w:pPr>
            <w:r w:rsidRPr="00A65B86">
              <w:rPr>
                <w:rFonts w:ascii="Arial" w:hAnsi="Arial" w:cs="Arial"/>
                <w:b w:val="0"/>
                <w:bCs w:val="0"/>
                <w:color w:val="000000" w:themeColor="text1"/>
              </w:rPr>
              <w:t>Writing Chapters 1 and 3 of the dissertation</w:t>
            </w:r>
          </w:p>
        </w:tc>
        <w:tc>
          <w:tcPr>
            <w:tcW w:w="424" w:type="dxa"/>
          </w:tcPr>
          <w:p w14:paraId="1CD9015A"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25" w:type="dxa"/>
          </w:tcPr>
          <w:p w14:paraId="4C15927E"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24" w:type="dxa"/>
          </w:tcPr>
          <w:p w14:paraId="72A1B979"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565" w:type="dxa"/>
          </w:tcPr>
          <w:p w14:paraId="41553EA8"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24" w:type="dxa"/>
          </w:tcPr>
          <w:p w14:paraId="7E519BDA"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48" w:type="dxa"/>
          </w:tcPr>
          <w:p w14:paraId="1BD4FED2"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26" w:type="dxa"/>
          </w:tcPr>
          <w:p w14:paraId="5540853F"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567" w:type="dxa"/>
            <w:shd w:val="clear" w:color="auto" w:fill="95DCF7" w:themeFill="accent4" w:themeFillTint="66"/>
          </w:tcPr>
          <w:p w14:paraId="27449C41"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25" w:type="dxa"/>
            <w:shd w:val="clear" w:color="auto" w:fill="95DCF7" w:themeFill="accent4" w:themeFillTint="66"/>
          </w:tcPr>
          <w:p w14:paraId="0E2B1F57"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567" w:type="dxa"/>
          </w:tcPr>
          <w:p w14:paraId="275E0926"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567" w:type="dxa"/>
          </w:tcPr>
          <w:p w14:paraId="5D91C7A7"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567" w:type="dxa"/>
          </w:tcPr>
          <w:p w14:paraId="3CA52B22"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25" w:type="dxa"/>
          </w:tcPr>
          <w:p w14:paraId="27748C8C"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567" w:type="dxa"/>
          </w:tcPr>
          <w:p w14:paraId="3D409E7E"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567" w:type="dxa"/>
          </w:tcPr>
          <w:p w14:paraId="730D141F"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567" w:type="dxa"/>
          </w:tcPr>
          <w:p w14:paraId="57C9ECFC"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r>
      <w:tr w:rsidR="00481CB3" w:rsidRPr="00EC19AE" w14:paraId="43095F15" w14:textId="77777777" w:rsidTr="005415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18" w:type="dxa"/>
          </w:tcPr>
          <w:p w14:paraId="1675E6EA" w14:textId="77777777" w:rsidR="00481CB3" w:rsidRPr="00FB2556" w:rsidRDefault="00481CB3" w:rsidP="005415F8">
            <w:pPr>
              <w:spacing w:line="360" w:lineRule="auto"/>
              <w:jc w:val="both"/>
              <w:rPr>
                <w:rFonts w:ascii="Arial" w:hAnsi="Arial" w:cs="Arial"/>
                <w:b w:val="0"/>
                <w:bCs w:val="0"/>
                <w:color w:val="000000" w:themeColor="text1"/>
              </w:rPr>
            </w:pPr>
            <w:r w:rsidRPr="00FB2556">
              <w:rPr>
                <w:rFonts w:ascii="Arial" w:hAnsi="Arial" w:cs="Arial"/>
                <w:b w:val="0"/>
                <w:bCs w:val="0"/>
                <w:color w:val="000000" w:themeColor="text1"/>
              </w:rPr>
              <w:t>Thematic Analysis</w:t>
            </w:r>
          </w:p>
        </w:tc>
        <w:tc>
          <w:tcPr>
            <w:tcW w:w="424" w:type="dxa"/>
          </w:tcPr>
          <w:p w14:paraId="44285063"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25" w:type="dxa"/>
          </w:tcPr>
          <w:p w14:paraId="59A0B457"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24" w:type="dxa"/>
          </w:tcPr>
          <w:p w14:paraId="0533474C"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565" w:type="dxa"/>
          </w:tcPr>
          <w:p w14:paraId="1B42F259"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24" w:type="dxa"/>
          </w:tcPr>
          <w:p w14:paraId="7257FB99"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48" w:type="dxa"/>
          </w:tcPr>
          <w:p w14:paraId="345C106C"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26" w:type="dxa"/>
          </w:tcPr>
          <w:p w14:paraId="4AEED22E"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567" w:type="dxa"/>
          </w:tcPr>
          <w:p w14:paraId="47020B79"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25" w:type="dxa"/>
            <w:shd w:val="clear" w:color="auto" w:fill="FFFF00"/>
          </w:tcPr>
          <w:p w14:paraId="347EF5DA"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567" w:type="dxa"/>
            <w:shd w:val="clear" w:color="auto" w:fill="FFFF00"/>
          </w:tcPr>
          <w:p w14:paraId="05AA7E52"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567" w:type="dxa"/>
          </w:tcPr>
          <w:p w14:paraId="78BCC642"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567" w:type="dxa"/>
          </w:tcPr>
          <w:p w14:paraId="7D0ED433"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25" w:type="dxa"/>
          </w:tcPr>
          <w:p w14:paraId="3CEF9D0B"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567" w:type="dxa"/>
          </w:tcPr>
          <w:p w14:paraId="4F6873DB"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567" w:type="dxa"/>
          </w:tcPr>
          <w:p w14:paraId="75316F9F"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567" w:type="dxa"/>
          </w:tcPr>
          <w:p w14:paraId="04942984"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r>
      <w:tr w:rsidR="00481CB3" w:rsidRPr="00EC19AE" w14:paraId="2F181AB1" w14:textId="77777777" w:rsidTr="005415F8">
        <w:tc>
          <w:tcPr>
            <w:cnfStyle w:val="001000000000" w:firstRow="0" w:lastRow="0" w:firstColumn="1" w:lastColumn="0" w:oddVBand="0" w:evenVBand="0" w:oddHBand="0" w:evenHBand="0" w:firstRowFirstColumn="0" w:firstRowLastColumn="0" w:lastRowFirstColumn="0" w:lastRowLastColumn="0"/>
            <w:tcW w:w="2818" w:type="dxa"/>
          </w:tcPr>
          <w:p w14:paraId="59916FF6" w14:textId="77777777" w:rsidR="00481CB3" w:rsidRPr="00FB2556" w:rsidRDefault="00481CB3" w:rsidP="005415F8">
            <w:pPr>
              <w:spacing w:line="360" w:lineRule="auto"/>
              <w:jc w:val="both"/>
              <w:rPr>
                <w:rFonts w:ascii="Arial" w:hAnsi="Arial" w:cs="Arial"/>
                <w:b w:val="0"/>
                <w:bCs w:val="0"/>
                <w:color w:val="000000" w:themeColor="text1"/>
              </w:rPr>
            </w:pPr>
            <w:r w:rsidRPr="00B74156">
              <w:rPr>
                <w:rFonts w:ascii="Arial" w:hAnsi="Arial" w:cs="Arial"/>
                <w:b w:val="0"/>
                <w:bCs w:val="0"/>
                <w:color w:val="000000" w:themeColor="text1"/>
              </w:rPr>
              <w:t>Drafting Chapters 4 and 6 based on analysed findings</w:t>
            </w:r>
          </w:p>
        </w:tc>
        <w:tc>
          <w:tcPr>
            <w:tcW w:w="424" w:type="dxa"/>
          </w:tcPr>
          <w:p w14:paraId="3B810736"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25" w:type="dxa"/>
          </w:tcPr>
          <w:p w14:paraId="5FFE6A19"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24" w:type="dxa"/>
          </w:tcPr>
          <w:p w14:paraId="3E3925DC"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565" w:type="dxa"/>
          </w:tcPr>
          <w:p w14:paraId="316E4E87"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24" w:type="dxa"/>
          </w:tcPr>
          <w:p w14:paraId="6FC75034"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48" w:type="dxa"/>
          </w:tcPr>
          <w:p w14:paraId="4C5CDFD0"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26" w:type="dxa"/>
          </w:tcPr>
          <w:p w14:paraId="22031165"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567" w:type="dxa"/>
          </w:tcPr>
          <w:p w14:paraId="6ABF1992"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25" w:type="dxa"/>
          </w:tcPr>
          <w:p w14:paraId="4044D3A0"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567" w:type="dxa"/>
            <w:shd w:val="clear" w:color="auto" w:fill="975CCB"/>
          </w:tcPr>
          <w:p w14:paraId="2B7775F2"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567" w:type="dxa"/>
            <w:shd w:val="clear" w:color="auto" w:fill="975CCB"/>
          </w:tcPr>
          <w:p w14:paraId="20F49012"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567" w:type="dxa"/>
          </w:tcPr>
          <w:p w14:paraId="6147BD22"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25" w:type="dxa"/>
          </w:tcPr>
          <w:p w14:paraId="182F9CD7"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567" w:type="dxa"/>
          </w:tcPr>
          <w:p w14:paraId="75A0B5A0"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567" w:type="dxa"/>
          </w:tcPr>
          <w:p w14:paraId="3164ACF1"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567" w:type="dxa"/>
          </w:tcPr>
          <w:p w14:paraId="7E4B7017"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r>
      <w:tr w:rsidR="00481CB3" w:rsidRPr="00EC19AE" w14:paraId="697BBEF9" w14:textId="77777777" w:rsidTr="005415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18" w:type="dxa"/>
          </w:tcPr>
          <w:p w14:paraId="4AC4C75A" w14:textId="77777777" w:rsidR="00481CB3" w:rsidRPr="00FB2556" w:rsidRDefault="00481CB3" w:rsidP="005415F8">
            <w:pPr>
              <w:spacing w:line="360" w:lineRule="auto"/>
              <w:jc w:val="both"/>
              <w:rPr>
                <w:rFonts w:ascii="Arial" w:hAnsi="Arial" w:cs="Arial"/>
                <w:b w:val="0"/>
                <w:bCs w:val="0"/>
                <w:color w:val="000000" w:themeColor="text1"/>
              </w:rPr>
            </w:pPr>
            <w:r>
              <w:rPr>
                <w:rFonts w:ascii="Arial" w:hAnsi="Arial" w:cs="Arial"/>
                <w:b w:val="0"/>
                <w:bCs w:val="0"/>
                <w:color w:val="000000" w:themeColor="text1"/>
              </w:rPr>
              <w:t xml:space="preserve">Submission for </w:t>
            </w:r>
            <w:r w:rsidRPr="00FB2556">
              <w:rPr>
                <w:rFonts w:ascii="Arial" w:hAnsi="Arial" w:cs="Arial"/>
                <w:b w:val="0"/>
                <w:bCs w:val="0"/>
                <w:color w:val="000000" w:themeColor="text1"/>
              </w:rPr>
              <w:t>Draft</w:t>
            </w:r>
          </w:p>
        </w:tc>
        <w:tc>
          <w:tcPr>
            <w:tcW w:w="424" w:type="dxa"/>
          </w:tcPr>
          <w:p w14:paraId="7A20935F"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25" w:type="dxa"/>
          </w:tcPr>
          <w:p w14:paraId="4EC28EE2"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24" w:type="dxa"/>
          </w:tcPr>
          <w:p w14:paraId="18F0592F"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565" w:type="dxa"/>
          </w:tcPr>
          <w:p w14:paraId="579A14D3"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24" w:type="dxa"/>
          </w:tcPr>
          <w:p w14:paraId="4D1DB7B2"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48" w:type="dxa"/>
          </w:tcPr>
          <w:p w14:paraId="081D07BA"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26" w:type="dxa"/>
          </w:tcPr>
          <w:p w14:paraId="5CBE18CD"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567" w:type="dxa"/>
          </w:tcPr>
          <w:p w14:paraId="03CA4D17"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25" w:type="dxa"/>
          </w:tcPr>
          <w:p w14:paraId="02FC0BF4"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567" w:type="dxa"/>
          </w:tcPr>
          <w:p w14:paraId="1A6343A5"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567" w:type="dxa"/>
          </w:tcPr>
          <w:p w14:paraId="6D26C6AA"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567" w:type="dxa"/>
            <w:shd w:val="clear" w:color="auto" w:fill="3A7C22" w:themeFill="accent6" w:themeFillShade="BF"/>
          </w:tcPr>
          <w:p w14:paraId="03A061AC"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25" w:type="dxa"/>
          </w:tcPr>
          <w:p w14:paraId="3ACFA4FA"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567" w:type="dxa"/>
          </w:tcPr>
          <w:p w14:paraId="4AF8EC14"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567" w:type="dxa"/>
          </w:tcPr>
          <w:p w14:paraId="4A858C43"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567" w:type="dxa"/>
          </w:tcPr>
          <w:p w14:paraId="0062CDBF"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r>
      <w:tr w:rsidR="00481CB3" w:rsidRPr="00EC19AE" w14:paraId="41ABB1EA" w14:textId="77777777" w:rsidTr="005415F8">
        <w:tc>
          <w:tcPr>
            <w:cnfStyle w:val="001000000000" w:firstRow="0" w:lastRow="0" w:firstColumn="1" w:lastColumn="0" w:oddVBand="0" w:evenVBand="0" w:oddHBand="0" w:evenHBand="0" w:firstRowFirstColumn="0" w:firstRowLastColumn="0" w:lastRowFirstColumn="0" w:lastRowLastColumn="0"/>
            <w:tcW w:w="2818" w:type="dxa"/>
          </w:tcPr>
          <w:p w14:paraId="4B5A4534" w14:textId="77777777" w:rsidR="00481CB3" w:rsidRPr="00FB2556" w:rsidRDefault="00481CB3" w:rsidP="005415F8">
            <w:pPr>
              <w:spacing w:line="360" w:lineRule="auto"/>
              <w:jc w:val="both"/>
              <w:rPr>
                <w:rFonts w:ascii="Arial" w:hAnsi="Arial" w:cs="Arial"/>
                <w:b w:val="0"/>
                <w:bCs w:val="0"/>
                <w:color w:val="000000" w:themeColor="text1"/>
              </w:rPr>
            </w:pPr>
            <w:r w:rsidRPr="00FB2556">
              <w:rPr>
                <w:rFonts w:ascii="Arial" w:hAnsi="Arial" w:cs="Arial"/>
                <w:b w:val="0"/>
                <w:bCs w:val="0"/>
                <w:color w:val="000000" w:themeColor="text1"/>
              </w:rPr>
              <w:t>Meeting with supervisor</w:t>
            </w:r>
            <w:r>
              <w:rPr>
                <w:rFonts w:ascii="Arial" w:hAnsi="Arial" w:cs="Arial"/>
                <w:b w:val="0"/>
                <w:bCs w:val="0"/>
                <w:color w:val="000000" w:themeColor="text1"/>
              </w:rPr>
              <w:t xml:space="preserve"> for feedback</w:t>
            </w:r>
          </w:p>
        </w:tc>
        <w:tc>
          <w:tcPr>
            <w:tcW w:w="424" w:type="dxa"/>
          </w:tcPr>
          <w:p w14:paraId="611DAF95"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25" w:type="dxa"/>
          </w:tcPr>
          <w:p w14:paraId="4AE5E336"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24" w:type="dxa"/>
          </w:tcPr>
          <w:p w14:paraId="704A60A9"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565" w:type="dxa"/>
          </w:tcPr>
          <w:p w14:paraId="706B2F9F"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24" w:type="dxa"/>
          </w:tcPr>
          <w:p w14:paraId="5B0EED42"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48" w:type="dxa"/>
          </w:tcPr>
          <w:p w14:paraId="66B0D89D"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26" w:type="dxa"/>
          </w:tcPr>
          <w:p w14:paraId="2972DE7F"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567" w:type="dxa"/>
          </w:tcPr>
          <w:p w14:paraId="36CE7159"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25" w:type="dxa"/>
          </w:tcPr>
          <w:p w14:paraId="28DF3A8D"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567" w:type="dxa"/>
          </w:tcPr>
          <w:p w14:paraId="16D5F72F"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567" w:type="dxa"/>
          </w:tcPr>
          <w:p w14:paraId="29789640"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567" w:type="dxa"/>
          </w:tcPr>
          <w:p w14:paraId="1228D65E"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25" w:type="dxa"/>
            <w:shd w:val="clear" w:color="auto" w:fill="A02B93" w:themeFill="accent5"/>
          </w:tcPr>
          <w:p w14:paraId="43B481B4"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567" w:type="dxa"/>
          </w:tcPr>
          <w:p w14:paraId="7EE0C103"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567" w:type="dxa"/>
          </w:tcPr>
          <w:p w14:paraId="0F597C24"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567" w:type="dxa"/>
          </w:tcPr>
          <w:p w14:paraId="76FC21DA"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r>
      <w:tr w:rsidR="00481CB3" w:rsidRPr="00EC19AE" w14:paraId="325C699F" w14:textId="77777777" w:rsidTr="005415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18" w:type="dxa"/>
          </w:tcPr>
          <w:p w14:paraId="72D53273" w14:textId="77777777" w:rsidR="00481CB3" w:rsidRPr="00FB2556" w:rsidRDefault="00481CB3" w:rsidP="005415F8">
            <w:pPr>
              <w:spacing w:line="360" w:lineRule="auto"/>
              <w:jc w:val="both"/>
              <w:rPr>
                <w:rFonts w:ascii="Arial" w:hAnsi="Arial" w:cs="Arial"/>
                <w:b w:val="0"/>
                <w:bCs w:val="0"/>
                <w:color w:val="000000" w:themeColor="text1"/>
              </w:rPr>
            </w:pPr>
            <w:r w:rsidRPr="00FB2556">
              <w:rPr>
                <w:rFonts w:ascii="Arial" w:hAnsi="Arial" w:cs="Arial"/>
                <w:b w:val="0"/>
                <w:bCs w:val="0"/>
                <w:color w:val="000000" w:themeColor="text1"/>
              </w:rPr>
              <w:t xml:space="preserve">Revision </w:t>
            </w:r>
            <w:r>
              <w:rPr>
                <w:rFonts w:ascii="Arial" w:hAnsi="Arial" w:cs="Arial"/>
                <w:b w:val="0"/>
                <w:bCs w:val="0"/>
                <w:color w:val="000000" w:themeColor="text1"/>
              </w:rPr>
              <w:t>and</w:t>
            </w:r>
            <w:r w:rsidRPr="00FB2556">
              <w:rPr>
                <w:rFonts w:ascii="Arial" w:hAnsi="Arial" w:cs="Arial"/>
                <w:b w:val="0"/>
                <w:bCs w:val="0"/>
                <w:color w:val="000000" w:themeColor="text1"/>
              </w:rPr>
              <w:t xml:space="preserve"> Rechecking</w:t>
            </w:r>
          </w:p>
        </w:tc>
        <w:tc>
          <w:tcPr>
            <w:tcW w:w="424" w:type="dxa"/>
          </w:tcPr>
          <w:p w14:paraId="77FD5AD0"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25" w:type="dxa"/>
          </w:tcPr>
          <w:p w14:paraId="4D91D346"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24" w:type="dxa"/>
          </w:tcPr>
          <w:p w14:paraId="6E630C0E"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565" w:type="dxa"/>
          </w:tcPr>
          <w:p w14:paraId="68D256F1"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24" w:type="dxa"/>
          </w:tcPr>
          <w:p w14:paraId="685E3E14"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48" w:type="dxa"/>
          </w:tcPr>
          <w:p w14:paraId="02808001"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26" w:type="dxa"/>
          </w:tcPr>
          <w:p w14:paraId="16BB47B6"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567" w:type="dxa"/>
          </w:tcPr>
          <w:p w14:paraId="29BABE14"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25" w:type="dxa"/>
          </w:tcPr>
          <w:p w14:paraId="7C1ACF24"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567" w:type="dxa"/>
          </w:tcPr>
          <w:p w14:paraId="2B899C07"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567" w:type="dxa"/>
          </w:tcPr>
          <w:p w14:paraId="59338D6F"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567" w:type="dxa"/>
          </w:tcPr>
          <w:p w14:paraId="29C5D3D0"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425" w:type="dxa"/>
          </w:tcPr>
          <w:p w14:paraId="255B890A"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567" w:type="dxa"/>
            <w:shd w:val="clear" w:color="auto" w:fill="124F1A" w:themeFill="accent3" w:themeFillShade="BF"/>
          </w:tcPr>
          <w:p w14:paraId="43A4FA22"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567" w:type="dxa"/>
            <w:shd w:val="clear" w:color="auto" w:fill="124F1A" w:themeFill="accent3" w:themeFillShade="BF"/>
          </w:tcPr>
          <w:p w14:paraId="2B1CB85B"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567" w:type="dxa"/>
          </w:tcPr>
          <w:p w14:paraId="07D931E9" w14:textId="77777777" w:rsidR="00481CB3" w:rsidRPr="00EC19AE" w:rsidRDefault="00481CB3" w:rsidP="005415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r>
      <w:tr w:rsidR="00481CB3" w:rsidRPr="00EC19AE" w14:paraId="471E80E4" w14:textId="77777777" w:rsidTr="005415F8">
        <w:tc>
          <w:tcPr>
            <w:cnfStyle w:val="001000000000" w:firstRow="0" w:lastRow="0" w:firstColumn="1" w:lastColumn="0" w:oddVBand="0" w:evenVBand="0" w:oddHBand="0" w:evenHBand="0" w:firstRowFirstColumn="0" w:firstRowLastColumn="0" w:lastRowFirstColumn="0" w:lastRowLastColumn="0"/>
            <w:tcW w:w="2818" w:type="dxa"/>
          </w:tcPr>
          <w:p w14:paraId="1E4CD886" w14:textId="77777777" w:rsidR="00481CB3" w:rsidRPr="00FB2556" w:rsidRDefault="00481CB3" w:rsidP="005415F8">
            <w:pPr>
              <w:spacing w:line="360" w:lineRule="auto"/>
              <w:jc w:val="both"/>
              <w:rPr>
                <w:rFonts w:ascii="Arial" w:hAnsi="Arial" w:cs="Arial"/>
                <w:b w:val="0"/>
                <w:bCs w:val="0"/>
                <w:color w:val="000000" w:themeColor="text1"/>
              </w:rPr>
            </w:pPr>
            <w:r w:rsidRPr="00FB2556">
              <w:rPr>
                <w:rFonts w:ascii="Arial" w:hAnsi="Arial" w:cs="Arial"/>
                <w:b w:val="0"/>
                <w:bCs w:val="0"/>
                <w:color w:val="000000" w:themeColor="text1"/>
              </w:rPr>
              <w:t xml:space="preserve">Final submission </w:t>
            </w:r>
          </w:p>
        </w:tc>
        <w:tc>
          <w:tcPr>
            <w:tcW w:w="424" w:type="dxa"/>
          </w:tcPr>
          <w:p w14:paraId="051B4568"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25" w:type="dxa"/>
          </w:tcPr>
          <w:p w14:paraId="02424728"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24" w:type="dxa"/>
          </w:tcPr>
          <w:p w14:paraId="43B068A0"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565" w:type="dxa"/>
          </w:tcPr>
          <w:p w14:paraId="61AAAA93"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24" w:type="dxa"/>
          </w:tcPr>
          <w:p w14:paraId="6B5EC22F"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48" w:type="dxa"/>
          </w:tcPr>
          <w:p w14:paraId="2D4C7DC9"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26" w:type="dxa"/>
          </w:tcPr>
          <w:p w14:paraId="6A825378"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567" w:type="dxa"/>
          </w:tcPr>
          <w:p w14:paraId="24C91F6D"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25" w:type="dxa"/>
          </w:tcPr>
          <w:p w14:paraId="52C7639A"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567" w:type="dxa"/>
          </w:tcPr>
          <w:p w14:paraId="4644DDF7"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567" w:type="dxa"/>
          </w:tcPr>
          <w:p w14:paraId="5B043075"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567" w:type="dxa"/>
          </w:tcPr>
          <w:p w14:paraId="4AC3EFA4"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425" w:type="dxa"/>
          </w:tcPr>
          <w:p w14:paraId="59CD3913"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567" w:type="dxa"/>
          </w:tcPr>
          <w:p w14:paraId="31136738"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567" w:type="dxa"/>
          </w:tcPr>
          <w:p w14:paraId="506B969A"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567" w:type="dxa"/>
            <w:shd w:val="clear" w:color="auto" w:fill="FF0000"/>
          </w:tcPr>
          <w:p w14:paraId="4A7D61D2" w14:textId="77777777" w:rsidR="00481CB3" w:rsidRPr="00EC19AE" w:rsidRDefault="00481CB3" w:rsidP="005415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r>
    </w:tbl>
    <w:p w14:paraId="43FB1025" w14:textId="77777777" w:rsidR="000232B3" w:rsidRDefault="000232B3" w:rsidP="00787C9A">
      <w:pPr>
        <w:spacing w:line="360" w:lineRule="auto"/>
        <w:jc w:val="both"/>
        <w:rPr>
          <w:rFonts w:ascii="Arial" w:hAnsi="Arial" w:cs="Arial"/>
        </w:rPr>
      </w:pPr>
    </w:p>
    <w:p w14:paraId="34243073" w14:textId="77777777" w:rsidR="00C4686A" w:rsidRDefault="00C4686A" w:rsidP="00787C9A">
      <w:pPr>
        <w:spacing w:line="360" w:lineRule="auto"/>
        <w:jc w:val="both"/>
        <w:rPr>
          <w:rFonts w:ascii="Arial" w:hAnsi="Arial" w:cs="Arial"/>
        </w:rPr>
      </w:pPr>
    </w:p>
    <w:p w14:paraId="6512442C" w14:textId="77777777" w:rsidR="00C4686A" w:rsidRDefault="00C4686A" w:rsidP="00787C9A">
      <w:pPr>
        <w:spacing w:line="360" w:lineRule="auto"/>
        <w:jc w:val="both"/>
        <w:rPr>
          <w:rFonts w:ascii="Arial" w:hAnsi="Arial" w:cs="Arial"/>
        </w:rPr>
      </w:pPr>
    </w:p>
    <w:p w14:paraId="682EDA14" w14:textId="77777777" w:rsidR="00C4686A" w:rsidRDefault="00C4686A" w:rsidP="00787C9A">
      <w:pPr>
        <w:spacing w:line="360" w:lineRule="auto"/>
        <w:jc w:val="both"/>
        <w:rPr>
          <w:rFonts w:ascii="Arial" w:hAnsi="Arial" w:cs="Arial"/>
        </w:rPr>
      </w:pPr>
    </w:p>
    <w:p w14:paraId="595B5C13" w14:textId="77777777" w:rsidR="00C4686A" w:rsidRDefault="00C4686A" w:rsidP="00787C9A">
      <w:pPr>
        <w:spacing w:line="360" w:lineRule="auto"/>
        <w:jc w:val="both"/>
        <w:rPr>
          <w:rFonts w:ascii="Arial" w:hAnsi="Arial" w:cs="Arial"/>
        </w:rPr>
      </w:pPr>
    </w:p>
    <w:p w14:paraId="6B16A032" w14:textId="77777777" w:rsidR="00B74156" w:rsidRDefault="00B74156" w:rsidP="00787C9A">
      <w:pPr>
        <w:spacing w:line="360" w:lineRule="auto"/>
        <w:jc w:val="both"/>
        <w:rPr>
          <w:rFonts w:ascii="Arial" w:hAnsi="Arial" w:cs="Arial"/>
        </w:rPr>
      </w:pPr>
    </w:p>
    <w:p w14:paraId="5365EAB2" w14:textId="663091BB" w:rsidR="00C4686A" w:rsidRDefault="00C4686A" w:rsidP="00B24D83">
      <w:pPr>
        <w:pStyle w:val="Heading1"/>
      </w:pPr>
      <w:bookmarkStart w:id="13" w:name="_Toc216515681"/>
      <w:r>
        <w:t>References</w:t>
      </w:r>
      <w:bookmarkEnd w:id="13"/>
    </w:p>
    <w:p w14:paraId="7E4D7877" w14:textId="77777777" w:rsidR="00B24D83" w:rsidRPr="00B24D83" w:rsidRDefault="00B24D83" w:rsidP="00B24D83">
      <w:pPr>
        <w:spacing w:line="360" w:lineRule="auto"/>
        <w:jc w:val="both"/>
        <w:rPr>
          <w:rFonts w:ascii="Arial" w:hAnsi="Arial" w:cs="Arial"/>
        </w:rPr>
      </w:pPr>
      <w:r w:rsidRPr="00B24D83">
        <w:rPr>
          <w:rFonts w:ascii="Arial" w:hAnsi="Arial" w:cs="Arial"/>
        </w:rPr>
        <w:t xml:space="preserve">Anti-Bullying Alliance (2024), </w:t>
      </w:r>
      <w:hyperlink r:id="rId8" w:history="1">
        <w:r w:rsidRPr="00B24D83">
          <w:rPr>
            <w:rStyle w:val="Hyperlink"/>
            <w:rFonts w:ascii="Arial" w:hAnsi="Arial" w:cs="Arial"/>
          </w:rPr>
          <w:t>https://www.antibullyingpro.com/support-and-advice-articles/in-depth-facts-and-statistics-on-bullying-and-cyberbullying-behaviour</w:t>
        </w:r>
      </w:hyperlink>
    </w:p>
    <w:p w14:paraId="7D13717A" w14:textId="77777777" w:rsidR="00B24D83" w:rsidRPr="00B24D83" w:rsidRDefault="00B24D83" w:rsidP="00B24D83">
      <w:pPr>
        <w:spacing w:line="360" w:lineRule="auto"/>
        <w:jc w:val="both"/>
        <w:rPr>
          <w:rFonts w:ascii="Arial" w:hAnsi="Arial" w:cs="Arial"/>
        </w:rPr>
      </w:pPr>
      <w:r w:rsidRPr="00B24D83">
        <w:rPr>
          <w:rFonts w:ascii="Arial" w:hAnsi="Arial" w:cs="Arial"/>
        </w:rPr>
        <w:t>Baylis, M., (2023). Police Decision-Making Processes When Addressing Antisocial Behaviour Among Young People in England and Poland. </w:t>
      </w:r>
      <w:r w:rsidRPr="00B24D83">
        <w:rPr>
          <w:rFonts w:ascii="Arial" w:hAnsi="Arial" w:cs="Arial"/>
          <w:i/>
          <w:iCs/>
        </w:rPr>
        <w:t>Unpublished Mphil thesis. University of Huddersfield</w:t>
      </w:r>
      <w:r w:rsidRPr="00B24D83">
        <w:rPr>
          <w:rFonts w:ascii="Arial" w:hAnsi="Arial" w:cs="Arial"/>
        </w:rPr>
        <w:t>.</w:t>
      </w:r>
    </w:p>
    <w:p w14:paraId="6750E54C" w14:textId="588C3F60" w:rsidR="007425D0" w:rsidRDefault="007425D0" w:rsidP="00B24D83">
      <w:pPr>
        <w:spacing w:line="360" w:lineRule="auto"/>
        <w:jc w:val="both"/>
        <w:rPr>
          <w:rFonts w:ascii="Arial" w:hAnsi="Arial" w:cs="Arial"/>
        </w:rPr>
      </w:pPr>
      <w:r w:rsidRPr="007425D0">
        <w:rPr>
          <w:rFonts w:ascii="Arial" w:hAnsi="Arial" w:cs="Arial"/>
        </w:rPr>
        <w:t xml:space="preserve">Biagioni, S., Baroni, M., Melis, F., Baldini, F., Menicucci, D., Potente, R. and Molinaro, S., </w:t>
      </w:r>
      <w:r w:rsidR="00A85A87">
        <w:rPr>
          <w:rFonts w:ascii="Arial" w:hAnsi="Arial" w:cs="Arial"/>
        </w:rPr>
        <w:t>(</w:t>
      </w:r>
      <w:r w:rsidRPr="007425D0">
        <w:rPr>
          <w:rFonts w:ascii="Arial" w:hAnsi="Arial" w:cs="Arial"/>
        </w:rPr>
        <w:t>2023</w:t>
      </w:r>
      <w:r w:rsidR="00A85A87">
        <w:rPr>
          <w:rFonts w:ascii="Arial" w:hAnsi="Arial" w:cs="Arial"/>
        </w:rPr>
        <w:t>)</w:t>
      </w:r>
      <w:r w:rsidRPr="007425D0">
        <w:rPr>
          <w:rFonts w:ascii="Arial" w:hAnsi="Arial" w:cs="Arial"/>
        </w:rPr>
        <w:t>. Cyberbullying roles and the use of psychoactive substances: a systematic review. </w:t>
      </w:r>
      <w:r w:rsidRPr="007425D0">
        <w:rPr>
          <w:rFonts w:ascii="Arial" w:hAnsi="Arial" w:cs="Arial"/>
          <w:i/>
          <w:iCs/>
        </w:rPr>
        <w:t>Adolescent research review</w:t>
      </w:r>
      <w:r w:rsidRPr="007425D0">
        <w:rPr>
          <w:rFonts w:ascii="Arial" w:hAnsi="Arial" w:cs="Arial"/>
        </w:rPr>
        <w:t>, </w:t>
      </w:r>
      <w:r w:rsidRPr="007425D0">
        <w:rPr>
          <w:rFonts w:ascii="Arial" w:hAnsi="Arial" w:cs="Arial"/>
          <w:i/>
          <w:iCs/>
        </w:rPr>
        <w:t>8</w:t>
      </w:r>
      <w:r w:rsidRPr="007425D0">
        <w:rPr>
          <w:rFonts w:ascii="Arial" w:hAnsi="Arial" w:cs="Arial"/>
        </w:rPr>
        <w:t>(4), pp.423-455.</w:t>
      </w:r>
    </w:p>
    <w:p w14:paraId="0AA3AE47" w14:textId="1447369B" w:rsidR="006E4FAD" w:rsidRDefault="006E4FAD" w:rsidP="00B24D83">
      <w:pPr>
        <w:spacing w:line="360" w:lineRule="auto"/>
        <w:jc w:val="both"/>
        <w:rPr>
          <w:rFonts w:ascii="Arial" w:hAnsi="Arial" w:cs="Arial"/>
        </w:rPr>
      </w:pPr>
      <w:r w:rsidRPr="006E4FAD">
        <w:rPr>
          <w:rFonts w:ascii="Arial" w:hAnsi="Arial" w:cs="Arial"/>
        </w:rPr>
        <w:t xml:space="preserve">Braun, V. and Clarke, V., </w:t>
      </w:r>
      <w:r w:rsidR="00A85A87">
        <w:rPr>
          <w:rFonts w:ascii="Arial" w:hAnsi="Arial" w:cs="Arial"/>
        </w:rPr>
        <w:t>(</w:t>
      </w:r>
      <w:r w:rsidRPr="006E4FAD">
        <w:rPr>
          <w:rFonts w:ascii="Arial" w:hAnsi="Arial" w:cs="Arial"/>
        </w:rPr>
        <w:t>2021</w:t>
      </w:r>
      <w:r w:rsidR="00A85A87">
        <w:rPr>
          <w:rFonts w:ascii="Arial" w:hAnsi="Arial" w:cs="Arial"/>
        </w:rPr>
        <w:t>)</w:t>
      </w:r>
      <w:r w:rsidRPr="006E4FAD">
        <w:rPr>
          <w:rFonts w:ascii="Arial" w:hAnsi="Arial" w:cs="Arial"/>
        </w:rPr>
        <w:t>. One size fits all? What counts as quality practice in (reflexive) thematic analysis?. </w:t>
      </w:r>
      <w:r w:rsidRPr="006E4FAD">
        <w:rPr>
          <w:rFonts w:ascii="Arial" w:hAnsi="Arial" w:cs="Arial"/>
          <w:i/>
          <w:iCs/>
        </w:rPr>
        <w:t>Qualitative research in psychology</w:t>
      </w:r>
      <w:r w:rsidRPr="006E4FAD">
        <w:rPr>
          <w:rFonts w:ascii="Arial" w:hAnsi="Arial" w:cs="Arial"/>
        </w:rPr>
        <w:t>, </w:t>
      </w:r>
      <w:r w:rsidRPr="006E4FAD">
        <w:rPr>
          <w:rFonts w:ascii="Arial" w:hAnsi="Arial" w:cs="Arial"/>
          <w:i/>
          <w:iCs/>
        </w:rPr>
        <w:t>18</w:t>
      </w:r>
      <w:r w:rsidRPr="006E4FAD">
        <w:rPr>
          <w:rFonts w:ascii="Arial" w:hAnsi="Arial" w:cs="Arial"/>
        </w:rPr>
        <w:t>(3), pp.328-352.</w:t>
      </w:r>
    </w:p>
    <w:p w14:paraId="3BBB3109" w14:textId="18E4E4E3" w:rsidR="001A398E" w:rsidRDefault="001A398E" w:rsidP="00B24D83">
      <w:pPr>
        <w:spacing w:line="360" w:lineRule="auto"/>
        <w:jc w:val="both"/>
        <w:rPr>
          <w:rFonts w:ascii="Arial" w:hAnsi="Arial" w:cs="Arial"/>
        </w:rPr>
      </w:pPr>
      <w:r w:rsidRPr="001A398E">
        <w:rPr>
          <w:rFonts w:ascii="Arial" w:hAnsi="Arial" w:cs="Arial"/>
        </w:rPr>
        <w:t xml:space="preserve">CIURBEA, F.E., MARINESCU, V., RODIDEAL, A.A., NEAGU, A.E. and Rada, C., </w:t>
      </w:r>
      <w:r w:rsidR="00A85A87">
        <w:rPr>
          <w:rFonts w:ascii="Arial" w:hAnsi="Arial" w:cs="Arial"/>
        </w:rPr>
        <w:t>(</w:t>
      </w:r>
      <w:r w:rsidRPr="001A398E">
        <w:rPr>
          <w:rFonts w:ascii="Arial" w:hAnsi="Arial" w:cs="Arial"/>
        </w:rPr>
        <w:t>2025</w:t>
      </w:r>
      <w:r w:rsidR="00A85A87">
        <w:rPr>
          <w:rFonts w:ascii="Arial" w:hAnsi="Arial" w:cs="Arial"/>
        </w:rPr>
        <w:t>)</w:t>
      </w:r>
      <w:r w:rsidRPr="001A398E">
        <w:rPr>
          <w:rFonts w:ascii="Arial" w:hAnsi="Arial" w:cs="Arial"/>
        </w:rPr>
        <w:t>. Adolescents and violence: A systematic review of protective and risk factors. </w:t>
      </w:r>
      <w:r w:rsidRPr="001A398E">
        <w:rPr>
          <w:rFonts w:ascii="Arial" w:hAnsi="Arial" w:cs="Arial"/>
          <w:i/>
          <w:iCs/>
        </w:rPr>
        <w:t>Anthropological Researches and Studies</w:t>
      </w:r>
      <w:r w:rsidRPr="001A398E">
        <w:rPr>
          <w:rFonts w:ascii="Arial" w:hAnsi="Arial" w:cs="Arial"/>
        </w:rPr>
        <w:t>, </w:t>
      </w:r>
      <w:r w:rsidRPr="001A398E">
        <w:rPr>
          <w:rFonts w:ascii="Arial" w:hAnsi="Arial" w:cs="Arial"/>
          <w:i/>
          <w:iCs/>
        </w:rPr>
        <w:t>15</w:t>
      </w:r>
      <w:r w:rsidRPr="001A398E">
        <w:rPr>
          <w:rFonts w:ascii="Arial" w:hAnsi="Arial" w:cs="Arial"/>
        </w:rPr>
        <w:t>, pp.1-29.</w:t>
      </w:r>
    </w:p>
    <w:p w14:paraId="6DF54616" w14:textId="2D734F6F" w:rsidR="00B24D83" w:rsidRPr="00B24D83" w:rsidRDefault="00B24D83" w:rsidP="00B24D83">
      <w:pPr>
        <w:spacing w:line="360" w:lineRule="auto"/>
        <w:jc w:val="both"/>
        <w:rPr>
          <w:rFonts w:ascii="Arial" w:hAnsi="Arial" w:cs="Arial"/>
        </w:rPr>
      </w:pPr>
      <w:r w:rsidRPr="00B24D83">
        <w:rPr>
          <w:rFonts w:ascii="Arial" w:hAnsi="Arial" w:cs="Arial"/>
        </w:rPr>
        <w:t>Coutinho, L., Lencastre, J.A. and Tomás, A.M., (2025). Cyberbullying: A Comparative Analysis Between the Results of a Scoping Study and a Questionnaire Applied to Students. </w:t>
      </w:r>
      <w:r w:rsidRPr="00B24D83">
        <w:rPr>
          <w:rFonts w:ascii="Arial" w:hAnsi="Arial" w:cs="Arial"/>
          <w:i/>
          <w:iCs/>
        </w:rPr>
        <w:t>Frontiers in Computer Science</w:t>
      </w:r>
      <w:r w:rsidRPr="00B24D83">
        <w:rPr>
          <w:rFonts w:ascii="Arial" w:hAnsi="Arial" w:cs="Arial"/>
        </w:rPr>
        <w:t>, </w:t>
      </w:r>
      <w:r w:rsidRPr="00B24D83">
        <w:rPr>
          <w:rFonts w:ascii="Arial" w:hAnsi="Arial" w:cs="Arial"/>
          <w:i/>
          <w:iCs/>
        </w:rPr>
        <w:t>7</w:t>
      </w:r>
      <w:r w:rsidRPr="00B24D83">
        <w:rPr>
          <w:rFonts w:ascii="Arial" w:hAnsi="Arial" w:cs="Arial"/>
        </w:rPr>
        <w:t>, p.1506046.</w:t>
      </w:r>
    </w:p>
    <w:p w14:paraId="377EBF36" w14:textId="10D9B1A5" w:rsidR="00275D4D" w:rsidRDefault="00275D4D" w:rsidP="00B24D83">
      <w:pPr>
        <w:spacing w:line="360" w:lineRule="auto"/>
        <w:jc w:val="both"/>
        <w:rPr>
          <w:rFonts w:ascii="Arial" w:hAnsi="Arial" w:cs="Arial"/>
        </w:rPr>
      </w:pPr>
      <w:r w:rsidRPr="00275D4D">
        <w:rPr>
          <w:rFonts w:ascii="Arial" w:hAnsi="Arial" w:cs="Arial"/>
        </w:rPr>
        <w:t xml:space="preserve">Ederio, N.T., Inocian, E.P., Calaca, N.I. and Espiritu, J.G.M., </w:t>
      </w:r>
      <w:r w:rsidR="00A85A87">
        <w:rPr>
          <w:rFonts w:ascii="Arial" w:hAnsi="Arial" w:cs="Arial"/>
        </w:rPr>
        <w:t>(</w:t>
      </w:r>
      <w:r w:rsidRPr="00275D4D">
        <w:rPr>
          <w:rFonts w:ascii="Arial" w:hAnsi="Arial" w:cs="Arial"/>
        </w:rPr>
        <w:t>2023</w:t>
      </w:r>
      <w:r w:rsidR="00A85A87">
        <w:rPr>
          <w:rFonts w:ascii="Arial" w:hAnsi="Arial" w:cs="Arial"/>
        </w:rPr>
        <w:t>)</w:t>
      </w:r>
      <w:r w:rsidRPr="00275D4D">
        <w:rPr>
          <w:rFonts w:ascii="Arial" w:hAnsi="Arial" w:cs="Arial"/>
        </w:rPr>
        <w:t>. Ethical research practices in educational institutions: A literature review. </w:t>
      </w:r>
      <w:r w:rsidRPr="00275D4D">
        <w:rPr>
          <w:rFonts w:ascii="Arial" w:hAnsi="Arial" w:cs="Arial"/>
          <w:i/>
          <w:iCs/>
        </w:rPr>
        <w:t>International Journal of Current Science Research and Review</w:t>
      </w:r>
      <w:r w:rsidRPr="00275D4D">
        <w:rPr>
          <w:rFonts w:ascii="Arial" w:hAnsi="Arial" w:cs="Arial"/>
        </w:rPr>
        <w:t>, </w:t>
      </w:r>
      <w:r w:rsidRPr="00275D4D">
        <w:rPr>
          <w:rFonts w:ascii="Arial" w:hAnsi="Arial" w:cs="Arial"/>
          <w:i/>
          <w:iCs/>
        </w:rPr>
        <w:t>6</w:t>
      </w:r>
      <w:r w:rsidRPr="00275D4D">
        <w:rPr>
          <w:rFonts w:ascii="Arial" w:hAnsi="Arial" w:cs="Arial"/>
        </w:rPr>
        <w:t>(5), pp.2709-2724.</w:t>
      </w:r>
    </w:p>
    <w:p w14:paraId="44F7F014" w14:textId="3FB8FF85" w:rsidR="009800C8" w:rsidRDefault="009800C8" w:rsidP="00B24D83">
      <w:pPr>
        <w:spacing w:line="360" w:lineRule="auto"/>
        <w:jc w:val="both"/>
        <w:rPr>
          <w:rFonts w:ascii="Arial" w:hAnsi="Arial" w:cs="Arial"/>
        </w:rPr>
      </w:pPr>
      <w:r w:rsidRPr="009800C8">
        <w:rPr>
          <w:rFonts w:ascii="Arial" w:hAnsi="Arial" w:cs="Arial"/>
        </w:rPr>
        <w:t xml:space="preserve">Elliott-Mainwaring, H., </w:t>
      </w:r>
      <w:r w:rsidR="00900F3D">
        <w:rPr>
          <w:rFonts w:ascii="Arial" w:hAnsi="Arial" w:cs="Arial"/>
        </w:rPr>
        <w:t>(</w:t>
      </w:r>
      <w:r w:rsidRPr="009800C8">
        <w:rPr>
          <w:rFonts w:ascii="Arial" w:hAnsi="Arial" w:cs="Arial"/>
        </w:rPr>
        <w:t>2021</w:t>
      </w:r>
      <w:r w:rsidR="00900F3D">
        <w:rPr>
          <w:rFonts w:ascii="Arial" w:hAnsi="Arial" w:cs="Arial"/>
        </w:rPr>
        <w:t>)</w:t>
      </w:r>
      <w:r w:rsidRPr="009800C8">
        <w:rPr>
          <w:rFonts w:ascii="Arial" w:hAnsi="Arial" w:cs="Arial"/>
        </w:rPr>
        <w:t>. Exploring using NVivo software to facilitate inductive coding for thematic narrative synthesis. </w:t>
      </w:r>
      <w:r w:rsidRPr="009800C8">
        <w:rPr>
          <w:rFonts w:ascii="Arial" w:hAnsi="Arial" w:cs="Arial"/>
          <w:i/>
          <w:iCs/>
        </w:rPr>
        <w:t>British Journal of Midwifery</w:t>
      </w:r>
      <w:r w:rsidRPr="009800C8">
        <w:rPr>
          <w:rFonts w:ascii="Arial" w:hAnsi="Arial" w:cs="Arial"/>
        </w:rPr>
        <w:t>, </w:t>
      </w:r>
      <w:r w:rsidRPr="009800C8">
        <w:rPr>
          <w:rFonts w:ascii="Arial" w:hAnsi="Arial" w:cs="Arial"/>
          <w:i/>
          <w:iCs/>
        </w:rPr>
        <w:t>29</w:t>
      </w:r>
      <w:r w:rsidRPr="009800C8">
        <w:rPr>
          <w:rFonts w:ascii="Arial" w:hAnsi="Arial" w:cs="Arial"/>
        </w:rPr>
        <w:t>(11), pp.628-632.</w:t>
      </w:r>
    </w:p>
    <w:p w14:paraId="758EA211" w14:textId="796579A0" w:rsidR="00B24D83" w:rsidRPr="00B24D83" w:rsidRDefault="00B24D83" w:rsidP="00B24D83">
      <w:pPr>
        <w:spacing w:line="360" w:lineRule="auto"/>
        <w:jc w:val="both"/>
        <w:rPr>
          <w:rFonts w:ascii="Arial" w:hAnsi="Arial" w:cs="Arial"/>
        </w:rPr>
      </w:pPr>
      <w:r w:rsidRPr="00B24D83">
        <w:rPr>
          <w:rFonts w:ascii="Arial" w:hAnsi="Arial" w:cs="Arial"/>
        </w:rPr>
        <w:t>Farrington, D.P., (2021). Youth crime and antisocial behaviour. In </w:t>
      </w:r>
      <w:r w:rsidRPr="00B24D83">
        <w:rPr>
          <w:rFonts w:ascii="Arial" w:hAnsi="Arial" w:cs="Arial"/>
          <w:i/>
          <w:iCs/>
        </w:rPr>
        <w:t>The social child</w:t>
      </w:r>
      <w:r w:rsidRPr="00B24D83">
        <w:rPr>
          <w:rFonts w:ascii="Arial" w:hAnsi="Arial" w:cs="Arial"/>
        </w:rPr>
        <w:t> (pp. 353-392). Psychology Press.</w:t>
      </w:r>
    </w:p>
    <w:p w14:paraId="7BEC4B8D" w14:textId="77777777" w:rsidR="00B24D83" w:rsidRDefault="00B24D83" w:rsidP="00B24D83">
      <w:pPr>
        <w:spacing w:line="360" w:lineRule="auto"/>
        <w:jc w:val="both"/>
        <w:rPr>
          <w:rFonts w:ascii="Arial" w:hAnsi="Arial" w:cs="Arial"/>
        </w:rPr>
      </w:pPr>
      <w:r w:rsidRPr="00B24D83">
        <w:rPr>
          <w:rFonts w:ascii="Arial" w:hAnsi="Arial" w:cs="Arial"/>
        </w:rPr>
        <w:t>Fitzsimons, E. and Villadsen, A., (2021). Substance use and antisocial behaviour in adolescence. </w:t>
      </w:r>
      <w:r w:rsidRPr="00B24D83">
        <w:rPr>
          <w:rFonts w:ascii="Arial" w:hAnsi="Arial" w:cs="Arial"/>
          <w:i/>
          <w:iCs/>
        </w:rPr>
        <w:t>no. February</w:t>
      </w:r>
      <w:r w:rsidRPr="00B24D83">
        <w:rPr>
          <w:rFonts w:ascii="Arial" w:hAnsi="Arial" w:cs="Arial"/>
        </w:rPr>
        <w:t>, pp.1-8.</w:t>
      </w:r>
    </w:p>
    <w:p w14:paraId="06A645B2" w14:textId="184F65B4" w:rsidR="001A4F9D" w:rsidRDefault="001A4F9D" w:rsidP="00B24D83">
      <w:pPr>
        <w:spacing w:line="360" w:lineRule="auto"/>
        <w:jc w:val="both"/>
        <w:rPr>
          <w:rFonts w:ascii="Arial" w:hAnsi="Arial" w:cs="Arial"/>
        </w:rPr>
      </w:pPr>
      <w:r w:rsidRPr="001A4F9D">
        <w:rPr>
          <w:rFonts w:ascii="Arial" w:hAnsi="Arial" w:cs="Arial"/>
        </w:rPr>
        <w:t xml:space="preserve">Flemming, K. and Noyes, J., </w:t>
      </w:r>
      <w:r w:rsidR="00283227">
        <w:rPr>
          <w:rFonts w:ascii="Arial" w:hAnsi="Arial" w:cs="Arial"/>
        </w:rPr>
        <w:t>(</w:t>
      </w:r>
      <w:r w:rsidRPr="001A4F9D">
        <w:rPr>
          <w:rFonts w:ascii="Arial" w:hAnsi="Arial" w:cs="Arial"/>
        </w:rPr>
        <w:t>2021</w:t>
      </w:r>
      <w:r w:rsidR="00283227">
        <w:rPr>
          <w:rFonts w:ascii="Arial" w:hAnsi="Arial" w:cs="Arial"/>
        </w:rPr>
        <w:t>)</w:t>
      </w:r>
      <w:r w:rsidRPr="001A4F9D">
        <w:rPr>
          <w:rFonts w:ascii="Arial" w:hAnsi="Arial" w:cs="Arial"/>
        </w:rPr>
        <w:t>. Qualitative evidence synthesis: where are we at?. </w:t>
      </w:r>
      <w:r w:rsidRPr="001A4F9D">
        <w:rPr>
          <w:rFonts w:ascii="Arial" w:hAnsi="Arial" w:cs="Arial"/>
          <w:i/>
          <w:iCs/>
        </w:rPr>
        <w:t>International Journal of Qualitative Methods</w:t>
      </w:r>
      <w:r w:rsidRPr="001A4F9D">
        <w:rPr>
          <w:rFonts w:ascii="Arial" w:hAnsi="Arial" w:cs="Arial"/>
        </w:rPr>
        <w:t>, </w:t>
      </w:r>
      <w:r w:rsidRPr="001A4F9D">
        <w:rPr>
          <w:rFonts w:ascii="Arial" w:hAnsi="Arial" w:cs="Arial"/>
          <w:i/>
          <w:iCs/>
        </w:rPr>
        <w:t>20</w:t>
      </w:r>
      <w:r w:rsidRPr="001A4F9D">
        <w:rPr>
          <w:rFonts w:ascii="Arial" w:hAnsi="Arial" w:cs="Arial"/>
        </w:rPr>
        <w:t>, p.1609406921993276.</w:t>
      </w:r>
    </w:p>
    <w:p w14:paraId="068DA1A7" w14:textId="3306C332" w:rsidR="006666E2" w:rsidRPr="00B24D83" w:rsidRDefault="006666E2" w:rsidP="00B24D83">
      <w:pPr>
        <w:spacing w:line="360" w:lineRule="auto"/>
        <w:jc w:val="both"/>
        <w:rPr>
          <w:rFonts w:ascii="Arial" w:hAnsi="Arial" w:cs="Arial"/>
        </w:rPr>
      </w:pPr>
      <w:r w:rsidRPr="006666E2">
        <w:rPr>
          <w:rFonts w:ascii="Arial" w:hAnsi="Arial" w:cs="Arial"/>
        </w:rPr>
        <w:t xml:space="preserve">Fowler, S.A. and Jewell, S.T., </w:t>
      </w:r>
      <w:r w:rsidR="001866B1">
        <w:rPr>
          <w:rFonts w:ascii="Arial" w:hAnsi="Arial" w:cs="Arial"/>
        </w:rPr>
        <w:t>(</w:t>
      </w:r>
      <w:r w:rsidRPr="006666E2">
        <w:rPr>
          <w:rFonts w:ascii="Arial" w:hAnsi="Arial" w:cs="Arial"/>
        </w:rPr>
        <w:t>2022</w:t>
      </w:r>
      <w:r w:rsidR="001866B1">
        <w:rPr>
          <w:rFonts w:ascii="Arial" w:hAnsi="Arial" w:cs="Arial"/>
        </w:rPr>
        <w:t>)</w:t>
      </w:r>
      <w:r w:rsidRPr="006666E2">
        <w:rPr>
          <w:rFonts w:ascii="Arial" w:hAnsi="Arial" w:cs="Arial"/>
        </w:rPr>
        <w:t>. Database Searching. </w:t>
      </w:r>
      <w:r w:rsidRPr="006666E2">
        <w:rPr>
          <w:rFonts w:ascii="Arial" w:hAnsi="Arial" w:cs="Arial"/>
          <w:i/>
          <w:iCs/>
        </w:rPr>
        <w:t>Piecing Together Systematic Reviews and Other Evidence Systheses</w:t>
      </w:r>
      <w:r w:rsidRPr="006666E2">
        <w:rPr>
          <w:rFonts w:ascii="Arial" w:hAnsi="Arial" w:cs="Arial"/>
        </w:rPr>
        <w:t>, pp.93-110.</w:t>
      </w:r>
    </w:p>
    <w:p w14:paraId="331B5749" w14:textId="77777777" w:rsidR="00B24D83" w:rsidRDefault="00B24D83" w:rsidP="00B24D83">
      <w:pPr>
        <w:spacing w:line="360" w:lineRule="auto"/>
        <w:jc w:val="both"/>
        <w:rPr>
          <w:rFonts w:ascii="Arial" w:hAnsi="Arial" w:cs="Arial"/>
        </w:rPr>
      </w:pPr>
      <w:r w:rsidRPr="00B24D83">
        <w:rPr>
          <w:rFonts w:ascii="Arial" w:hAnsi="Arial" w:cs="Arial"/>
        </w:rPr>
        <w:t>Halford, E., Dixon, A. and Farrell, G., (2022). Anti-social behaviour in the coronavirus pandemic. </w:t>
      </w:r>
      <w:r w:rsidRPr="00B24D83">
        <w:rPr>
          <w:rFonts w:ascii="Arial" w:hAnsi="Arial" w:cs="Arial"/>
          <w:i/>
          <w:iCs/>
        </w:rPr>
        <w:t>Crime science</w:t>
      </w:r>
      <w:r w:rsidRPr="00B24D83">
        <w:rPr>
          <w:rFonts w:ascii="Arial" w:hAnsi="Arial" w:cs="Arial"/>
        </w:rPr>
        <w:t>, </w:t>
      </w:r>
      <w:r w:rsidRPr="00B24D83">
        <w:rPr>
          <w:rFonts w:ascii="Arial" w:hAnsi="Arial" w:cs="Arial"/>
          <w:i/>
          <w:iCs/>
        </w:rPr>
        <w:t>11</w:t>
      </w:r>
      <w:r w:rsidRPr="00B24D83">
        <w:rPr>
          <w:rFonts w:ascii="Arial" w:hAnsi="Arial" w:cs="Arial"/>
        </w:rPr>
        <w:t>(1), p.6.</w:t>
      </w:r>
    </w:p>
    <w:p w14:paraId="0D505693" w14:textId="7DA81A7F" w:rsidR="00DB6B5B" w:rsidRDefault="00DB6B5B" w:rsidP="00B24D83">
      <w:pPr>
        <w:spacing w:line="360" w:lineRule="auto"/>
        <w:jc w:val="both"/>
        <w:rPr>
          <w:rFonts w:ascii="Arial" w:hAnsi="Arial" w:cs="Arial"/>
        </w:rPr>
      </w:pPr>
      <w:r w:rsidRPr="00DB6B5B">
        <w:rPr>
          <w:rFonts w:ascii="Arial" w:hAnsi="Arial" w:cs="Arial"/>
        </w:rPr>
        <w:t xml:space="preserve">Khan, N., </w:t>
      </w:r>
      <w:r w:rsidR="001866B1">
        <w:rPr>
          <w:rFonts w:ascii="Arial" w:hAnsi="Arial" w:cs="Arial"/>
        </w:rPr>
        <w:t>(</w:t>
      </w:r>
      <w:r w:rsidRPr="00DB6B5B">
        <w:rPr>
          <w:rFonts w:ascii="Arial" w:hAnsi="Arial" w:cs="Arial"/>
        </w:rPr>
        <w:t>2024</w:t>
      </w:r>
      <w:r w:rsidR="001866B1">
        <w:rPr>
          <w:rFonts w:ascii="Arial" w:hAnsi="Arial" w:cs="Arial"/>
        </w:rPr>
        <w:t>)</w:t>
      </w:r>
      <w:r w:rsidRPr="00DB6B5B">
        <w:rPr>
          <w:rFonts w:ascii="Arial" w:hAnsi="Arial" w:cs="Arial"/>
        </w:rPr>
        <w:t>. Research Ethics in Education and Training. </w:t>
      </w:r>
      <w:r w:rsidRPr="00DB6B5B">
        <w:rPr>
          <w:rFonts w:ascii="Arial" w:hAnsi="Arial" w:cs="Arial"/>
          <w:i/>
          <w:iCs/>
        </w:rPr>
        <w:t>Ethical Frameworks in Special Education: A Guide for Researchers (Volume 2nd)</w:t>
      </w:r>
      <w:r w:rsidRPr="00DB6B5B">
        <w:rPr>
          <w:rFonts w:ascii="Arial" w:hAnsi="Arial" w:cs="Arial"/>
        </w:rPr>
        <w:t>, p.79.</w:t>
      </w:r>
    </w:p>
    <w:p w14:paraId="45B6A219" w14:textId="7757843C" w:rsidR="006702CA" w:rsidRDefault="006702CA" w:rsidP="00B24D83">
      <w:pPr>
        <w:spacing w:line="360" w:lineRule="auto"/>
        <w:jc w:val="both"/>
        <w:rPr>
          <w:rFonts w:ascii="Arial" w:hAnsi="Arial" w:cs="Arial"/>
        </w:rPr>
      </w:pPr>
      <w:r w:rsidRPr="006702CA">
        <w:rPr>
          <w:rFonts w:ascii="Arial" w:hAnsi="Arial" w:cs="Arial"/>
        </w:rPr>
        <w:t xml:space="preserve">Llorent, V.J., Seade-Mejía, C., Núñez-Flores, M. and Vélez-Calvo, X., </w:t>
      </w:r>
      <w:r w:rsidR="00C46A0C">
        <w:rPr>
          <w:rFonts w:ascii="Arial" w:hAnsi="Arial" w:cs="Arial"/>
        </w:rPr>
        <w:t>(</w:t>
      </w:r>
      <w:r w:rsidRPr="006702CA">
        <w:rPr>
          <w:rFonts w:ascii="Arial" w:hAnsi="Arial" w:cs="Arial"/>
        </w:rPr>
        <w:t>2025</w:t>
      </w:r>
      <w:r w:rsidR="00C46A0C">
        <w:rPr>
          <w:rFonts w:ascii="Arial" w:hAnsi="Arial" w:cs="Arial"/>
        </w:rPr>
        <w:t>)</w:t>
      </w:r>
      <w:r w:rsidRPr="006702CA">
        <w:rPr>
          <w:rFonts w:ascii="Arial" w:hAnsi="Arial" w:cs="Arial"/>
        </w:rPr>
        <w:t>. Social, Emotional, and Moral Competencies in Primary Education as Protective Factors Against Bullying, Cyberbullying, and Other Antisocial Behaviors During the COVID-19 Lockdown. </w:t>
      </w:r>
      <w:r w:rsidRPr="006702CA">
        <w:rPr>
          <w:rFonts w:ascii="Arial" w:hAnsi="Arial" w:cs="Arial"/>
          <w:i/>
          <w:iCs/>
        </w:rPr>
        <w:t>Journal of School Violence</w:t>
      </w:r>
      <w:r w:rsidRPr="006702CA">
        <w:rPr>
          <w:rFonts w:ascii="Arial" w:hAnsi="Arial" w:cs="Arial"/>
        </w:rPr>
        <w:t>, pp.1-12.</w:t>
      </w:r>
    </w:p>
    <w:p w14:paraId="6A2AB978" w14:textId="7EAFC0C9" w:rsidR="00311273" w:rsidRDefault="00311273" w:rsidP="00B24D83">
      <w:pPr>
        <w:spacing w:line="360" w:lineRule="auto"/>
        <w:jc w:val="both"/>
        <w:rPr>
          <w:rFonts w:ascii="Arial" w:hAnsi="Arial" w:cs="Arial"/>
        </w:rPr>
      </w:pPr>
      <w:r w:rsidRPr="00311273">
        <w:rPr>
          <w:rFonts w:ascii="Arial" w:hAnsi="Arial" w:cs="Arial"/>
        </w:rPr>
        <w:t xml:space="preserve">Maras, K., Sweiry, A., Villadsen, A. and Fitzsimons, E., </w:t>
      </w:r>
      <w:r w:rsidR="00C46A0C">
        <w:rPr>
          <w:rFonts w:ascii="Arial" w:hAnsi="Arial" w:cs="Arial"/>
        </w:rPr>
        <w:t>(</w:t>
      </w:r>
      <w:r w:rsidRPr="00311273">
        <w:rPr>
          <w:rFonts w:ascii="Arial" w:hAnsi="Arial" w:cs="Arial"/>
        </w:rPr>
        <w:t>2024</w:t>
      </w:r>
      <w:r w:rsidR="00C46A0C">
        <w:rPr>
          <w:rFonts w:ascii="Arial" w:hAnsi="Arial" w:cs="Arial"/>
        </w:rPr>
        <w:t>)</w:t>
      </w:r>
      <w:r w:rsidRPr="00311273">
        <w:rPr>
          <w:rFonts w:ascii="Arial" w:hAnsi="Arial" w:cs="Arial"/>
        </w:rPr>
        <w:t>. Cyber offending predictors and pathways in middle adolescence: Evidence from the UK Millennium Cohort Study. </w:t>
      </w:r>
      <w:r w:rsidRPr="00311273">
        <w:rPr>
          <w:rFonts w:ascii="Arial" w:hAnsi="Arial" w:cs="Arial"/>
          <w:i/>
          <w:iCs/>
        </w:rPr>
        <w:t>Computers in Human Behavior</w:t>
      </w:r>
      <w:r w:rsidRPr="00311273">
        <w:rPr>
          <w:rFonts w:ascii="Arial" w:hAnsi="Arial" w:cs="Arial"/>
        </w:rPr>
        <w:t>, </w:t>
      </w:r>
      <w:r w:rsidRPr="00311273">
        <w:rPr>
          <w:rFonts w:ascii="Arial" w:hAnsi="Arial" w:cs="Arial"/>
          <w:i/>
          <w:iCs/>
        </w:rPr>
        <w:t>151</w:t>
      </w:r>
      <w:r w:rsidRPr="00311273">
        <w:rPr>
          <w:rFonts w:ascii="Arial" w:hAnsi="Arial" w:cs="Arial"/>
        </w:rPr>
        <w:t>, p.108011.</w:t>
      </w:r>
    </w:p>
    <w:p w14:paraId="37CB1370" w14:textId="0BF51C65" w:rsidR="006E4FAD" w:rsidRDefault="006E4FAD" w:rsidP="00B24D83">
      <w:pPr>
        <w:spacing w:line="360" w:lineRule="auto"/>
        <w:jc w:val="both"/>
        <w:rPr>
          <w:rFonts w:ascii="Arial" w:hAnsi="Arial" w:cs="Arial"/>
        </w:rPr>
      </w:pPr>
      <w:r w:rsidRPr="006E4FAD">
        <w:rPr>
          <w:rFonts w:ascii="Arial" w:hAnsi="Arial" w:cs="Arial"/>
        </w:rPr>
        <w:t xml:space="preserve">Mishra, S. and Dey, A.K., </w:t>
      </w:r>
      <w:r w:rsidR="0007680A">
        <w:rPr>
          <w:rFonts w:ascii="Arial" w:hAnsi="Arial" w:cs="Arial"/>
        </w:rPr>
        <w:t>(</w:t>
      </w:r>
      <w:r w:rsidRPr="006E4FAD">
        <w:rPr>
          <w:rFonts w:ascii="Arial" w:hAnsi="Arial" w:cs="Arial"/>
        </w:rPr>
        <w:t>2022</w:t>
      </w:r>
      <w:r w:rsidR="0007680A">
        <w:rPr>
          <w:rFonts w:ascii="Arial" w:hAnsi="Arial" w:cs="Arial"/>
        </w:rPr>
        <w:t>)</w:t>
      </w:r>
      <w:r w:rsidRPr="006E4FAD">
        <w:rPr>
          <w:rFonts w:ascii="Arial" w:hAnsi="Arial" w:cs="Arial"/>
        </w:rPr>
        <w:t>. Understanding and identifying ‘themes’ in qualitative case study research. </w:t>
      </w:r>
      <w:r w:rsidRPr="006E4FAD">
        <w:rPr>
          <w:rFonts w:ascii="Arial" w:hAnsi="Arial" w:cs="Arial"/>
          <w:i/>
          <w:iCs/>
        </w:rPr>
        <w:t>South Asian Journal of Business and Management Cases</w:t>
      </w:r>
      <w:r w:rsidRPr="006E4FAD">
        <w:rPr>
          <w:rFonts w:ascii="Arial" w:hAnsi="Arial" w:cs="Arial"/>
        </w:rPr>
        <w:t>, </w:t>
      </w:r>
      <w:r w:rsidRPr="006E4FAD">
        <w:rPr>
          <w:rFonts w:ascii="Arial" w:hAnsi="Arial" w:cs="Arial"/>
          <w:i/>
          <w:iCs/>
        </w:rPr>
        <w:t>11</w:t>
      </w:r>
      <w:r w:rsidRPr="006E4FAD">
        <w:rPr>
          <w:rFonts w:ascii="Arial" w:hAnsi="Arial" w:cs="Arial"/>
        </w:rPr>
        <w:t>(3), pp.187-192.</w:t>
      </w:r>
    </w:p>
    <w:p w14:paraId="425CDBDA" w14:textId="51FF09B5" w:rsidR="006C757E" w:rsidRPr="00B24D83" w:rsidRDefault="006C757E" w:rsidP="00B24D83">
      <w:pPr>
        <w:spacing w:line="360" w:lineRule="auto"/>
        <w:jc w:val="both"/>
        <w:rPr>
          <w:rFonts w:ascii="Arial" w:hAnsi="Arial" w:cs="Arial"/>
        </w:rPr>
      </w:pPr>
      <w:r w:rsidRPr="006C757E">
        <w:rPr>
          <w:rFonts w:ascii="Arial" w:hAnsi="Arial" w:cs="Arial"/>
        </w:rPr>
        <w:t xml:space="preserve">Moore, J., </w:t>
      </w:r>
      <w:r w:rsidR="0007680A">
        <w:rPr>
          <w:rFonts w:ascii="Arial" w:hAnsi="Arial" w:cs="Arial"/>
        </w:rPr>
        <w:t>(</w:t>
      </w:r>
      <w:r w:rsidRPr="006C757E">
        <w:rPr>
          <w:rFonts w:ascii="Arial" w:hAnsi="Arial" w:cs="Arial"/>
        </w:rPr>
        <w:t>2023</w:t>
      </w:r>
      <w:r w:rsidR="0007680A">
        <w:rPr>
          <w:rFonts w:ascii="Arial" w:hAnsi="Arial" w:cs="Arial"/>
        </w:rPr>
        <w:t>)</w:t>
      </w:r>
      <w:r w:rsidRPr="006C757E">
        <w:rPr>
          <w:rFonts w:ascii="Arial" w:hAnsi="Arial" w:cs="Arial"/>
        </w:rPr>
        <w:t>. Literature Review Project When being bad feels good: A systematic review exploring the relationship between positive emotion and antisocial behaviour in children and adolescents. </w:t>
      </w:r>
      <w:r w:rsidRPr="006C757E">
        <w:rPr>
          <w:rFonts w:ascii="Arial" w:hAnsi="Arial" w:cs="Arial"/>
          <w:i/>
          <w:iCs/>
        </w:rPr>
        <w:t>Main Research Portfolio Submitted in Part Fulfilment of the requirements for the Degree of Doctorate in Clinical Psychology</w:t>
      </w:r>
      <w:r w:rsidRPr="006C757E">
        <w:rPr>
          <w:rFonts w:ascii="Arial" w:hAnsi="Arial" w:cs="Arial"/>
        </w:rPr>
        <w:t>, p.10.</w:t>
      </w:r>
    </w:p>
    <w:p w14:paraId="3AF0571F" w14:textId="77777777" w:rsidR="00B24D83" w:rsidRDefault="00B24D83" w:rsidP="00B24D83">
      <w:pPr>
        <w:spacing w:line="360" w:lineRule="auto"/>
        <w:jc w:val="both"/>
        <w:rPr>
          <w:rFonts w:ascii="Arial" w:hAnsi="Arial" w:cs="Arial"/>
        </w:rPr>
      </w:pPr>
      <w:r w:rsidRPr="00B24D83">
        <w:rPr>
          <w:rFonts w:ascii="Arial" w:hAnsi="Arial" w:cs="Arial"/>
        </w:rPr>
        <w:t>Muser, J., Whitten, T., Virgara, J., Connell, N. and Tzoumakis, S., (2025). Can universal school-based social and emotional learning programs reduce early antisocial behaviours? A systematic review and meta-analysis. </w:t>
      </w:r>
      <w:r w:rsidRPr="00B24D83">
        <w:rPr>
          <w:rFonts w:ascii="Arial" w:hAnsi="Arial" w:cs="Arial"/>
          <w:i/>
          <w:iCs/>
        </w:rPr>
        <w:t>International Journal of Behavioral Development</w:t>
      </w:r>
      <w:r w:rsidRPr="00B24D83">
        <w:rPr>
          <w:rFonts w:ascii="Arial" w:hAnsi="Arial" w:cs="Arial"/>
        </w:rPr>
        <w:t>, p.01650254251361872.</w:t>
      </w:r>
    </w:p>
    <w:p w14:paraId="0D40B7A8" w14:textId="4B3CCAF9" w:rsidR="006666E2" w:rsidRPr="00B24D83" w:rsidRDefault="006666E2" w:rsidP="00B24D83">
      <w:pPr>
        <w:spacing w:line="360" w:lineRule="auto"/>
        <w:jc w:val="both"/>
        <w:rPr>
          <w:rFonts w:ascii="Arial" w:hAnsi="Arial" w:cs="Arial"/>
        </w:rPr>
      </w:pPr>
      <w:r w:rsidRPr="006666E2">
        <w:rPr>
          <w:rFonts w:ascii="Arial" w:hAnsi="Arial" w:cs="Arial"/>
        </w:rPr>
        <w:t xml:space="preserve">Munasinghe, D. and Ranasinghe, S., </w:t>
      </w:r>
      <w:r w:rsidR="0007680A">
        <w:rPr>
          <w:rFonts w:ascii="Arial" w:hAnsi="Arial" w:cs="Arial"/>
        </w:rPr>
        <w:t>(</w:t>
      </w:r>
      <w:r w:rsidRPr="006666E2">
        <w:rPr>
          <w:rFonts w:ascii="Arial" w:hAnsi="Arial" w:cs="Arial"/>
        </w:rPr>
        <w:t>2023</w:t>
      </w:r>
      <w:r w:rsidR="0007680A">
        <w:rPr>
          <w:rFonts w:ascii="Arial" w:hAnsi="Arial" w:cs="Arial"/>
        </w:rPr>
        <w:t>)</w:t>
      </w:r>
      <w:r w:rsidRPr="006666E2">
        <w:rPr>
          <w:rFonts w:ascii="Arial" w:hAnsi="Arial" w:cs="Arial"/>
        </w:rPr>
        <w:t>. How to conduct a literature review effectively using effective searching techniques. </w:t>
      </w:r>
      <w:r w:rsidRPr="006666E2">
        <w:rPr>
          <w:rFonts w:ascii="Arial" w:hAnsi="Arial" w:cs="Arial"/>
          <w:i/>
          <w:iCs/>
        </w:rPr>
        <w:t>The Sri Lankan Journal of Orthopaedic Surgery</w:t>
      </w:r>
      <w:r w:rsidRPr="006666E2">
        <w:rPr>
          <w:rFonts w:ascii="Arial" w:hAnsi="Arial" w:cs="Arial"/>
        </w:rPr>
        <w:t>, </w:t>
      </w:r>
      <w:r w:rsidRPr="006666E2">
        <w:rPr>
          <w:rFonts w:ascii="Arial" w:hAnsi="Arial" w:cs="Arial"/>
          <w:i/>
          <w:iCs/>
        </w:rPr>
        <w:t>9</w:t>
      </w:r>
      <w:r w:rsidRPr="006666E2">
        <w:rPr>
          <w:rFonts w:ascii="Arial" w:hAnsi="Arial" w:cs="Arial"/>
        </w:rPr>
        <w:t>(1).</w:t>
      </w:r>
    </w:p>
    <w:p w14:paraId="314B24AB" w14:textId="77777777" w:rsidR="00B24D83" w:rsidRPr="00B24D83" w:rsidRDefault="00B24D83" w:rsidP="00B24D83">
      <w:pPr>
        <w:spacing w:line="360" w:lineRule="auto"/>
        <w:jc w:val="both"/>
        <w:rPr>
          <w:rFonts w:ascii="Arial" w:hAnsi="Arial" w:cs="Arial"/>
        </w:rPr>
      </w:pPr>
      <w:r w:rsidRPr="00B24D83">
        <w:rPr>
          <w:rFonts w:ascii="Arial" w:hAnsi="Arial" w:cs="Arial"/>
        </w:rPr>
        <w:t xml:space="preserve">NHS England (2024), </w:t>
      </w:r>
      <w:hyperlink r:id="rId9" w:history="1">
        <w:r w:rsidRPr="00B24D83">
          <w:rPr>
            <w:rStyle w:val="Hyperlink"/>
            <w:rFonts w:ascii="Arial" w:hAnsi="Arial" w:cs="Arial"/>
          </w:rPr>
          <w:t>https://digital.nhs.uk/data-and-information/publications/statistical/smoking-drinking-and-drug-use-among-young-people-in-england/2023</w:t>
        </w:r>
      </w:hyperlink>
    </w:p>
    <w:p w14:paraId="2ACA76E2" w14:textId="77777777" w:rsidR="00B24D83" w:rsidRPr="00B24D83" w:rsidRDefault="00B24D83" w:rsidP="00B24D83">
      <w:pPr>
        <w:spacing w:line="360" w:lineRule="auto"/>
        <w:jc w:val="both"/>
        <w:rPr>
          <w:rFonts w:ascii="Arial" w:hAnsi="Arial" w:cs="Arial"/>
        </w:rPr>
      </w:pPr>
      <w:r w:rsidRPr="00B24D83">
        <w:rPr>
          <w:rFonts w:ascii="Arial" w:hAnsi="Arial" w:cs="Arial"/>
        </w:rPr>
        <w:t>O’Connell, M., (2023). Assessing Patterns of Anti-Social and Risky Behaviour in the Millennium Cohort Study—What Are the Roles of SES (Socio-Economic Status), Cognitive Ability and Personality?. </w:t>
      </w:r>
      <w:r w:rsidRPr="00B24D83">
        <w:rPr>
          <w:rFonts w:ascii="Arial" w:hAnsi="Arial" w:cs="Arial"/>
          <w:i/>
          <w:iCs/>
        </w:rPr>
        <w:t>Behavioral Sciences</w:t>
      </w:r>
      <w:r w:rsidRPr="00B24D83">
        <w:rPr>
          <w:rFonts w:ascii="Arial" w:hAnsi="Arial" w:cs="Arial"/>
        </w:rPr>
        <w:t>, </w:t>
      </w:r>
      <w:r w:rsidRPr="00B24D83">
        <w:rPr>
          <w:rFonts w:ascii="Arial" w:hAnsi="Arial" w:cs="Arial"/>
          <w:i/>
          <w:iCs/>
        </w:rPr>
        <w:t>13</w:t>
      </w:r>
      <w:r w:rsidRPr="00B24D83">
        <w:rPr>
          <w:rFonts w:ascii="Arial" w:hAnsi="Arial" w:cs="Arial"/>
        </w:rPr>
        <w:t>(1), p.46.</w:t>
      </w:r>
    </w:p>
    <w:p w14:paraId="343F8FDF" w14:textId="77777777" w:rsidR="00B24D83" w:rsidRPr="00B24D83" w:rsidRDefault="00B24D83" w:rsidP="00B24D83">
      <w:pPr>
        <w:spacing w:line="360" w:lineRule="auto"/>
        <w:jc w:val="both"/>
        <w:rPr>
          <w:rFonts w:ascii="Arial" w:hAnsi="Arial" w:cs="Arial"/>
        </w:rPr>
      </w:pPr>
      <w:r w:rsidRPr="00B24D83">
        <w:rPr>
          <w:rFonts w:ascii="Arial" w:hAnsi="Arial" w:cs="Arial"/>
        </w:rPr>
        <w:t xml:space="preserve">ONS (2020), Online bullying in England and Wales: year ending March 2020. </w:t>
      </w:r>
      <w:hyperlink r:id="rId10" w:history="1">
        <w:r w:rsidRPr="00B24D83">
          <w:rPr>
            <w:rStyle w:val="Hyperlink"/>
            <w:rFonts w:ascii="Arial" w:hAnsi="Arial" w:cs="Arial"/>
          </w:rPr>
          <w:t>https://www.ons.gov.uk/peoplepopulationandcommunity/crimeandjustice/bulletins/onlinebullyinginenglandandwales/yearendingmarch2020</w:t>
        </w:r>
      </w:hyperlink>
    </w:p>
    <w:p w14:paraId="057F3AB4" w14:textId="77777777" w:rsidR="00B24D83" w:rsidRPr="00B24D83" w:rsidRDefault="00B24D83" w:rsidP="00B24D83">
      <w:pPr>
        <w:spacing w:line="360" w:lineRule="auto"/>
        <w:jc w:val="both"/>
        <w:rPr>
          <w:rFonts w:ascii="Arial" w:hAnsi="Arial" w:cs="Arial"/>
        </w:rPr>
      </w:pPr>
      <w:r w:rsidRPr="00B24D83">
        <w:rPr>
          <w:rFonts w:ascii="Arial" w:hAnsi="Arial" w:cs="Arial"/>
        </w:rPr>
        <w:t>Otto, C., Kaman, A., Erhart, M., Barkmann, C., Klasen, F., Schlack, R. and Ravens-Sieberer, U., (2021). Risk and resource factors of antisocial behaviour in children and adolescents: results of the longitudinal BELLA study. </w:t>
      </w:r>
      <w:r w:rsidRPr="00B24D83">
        <w:rPr>
          <w:rFonts w:ascii="Arial" w:hAnsi="Arial" w:cs="Arial"/>
          <w:i/>
          <w:iCs/>
        </w:rPr>
        <w:t>Child and adolescent psychiatry and mental health</w:t>
      </w:r>
      <w:r w:rsidRPr="00B24D83">
        <w:rPr>
          <w:rFonts w:ascii="Arial" w:hAnsi="Arial" w:cs="Arial"/>
        </w:rPr>
        <w:t>, </w:t>
      </w:r>
      <w:r w:rsidRPr="00B24D83">
        <w:rPr>
          <w:rFonts w:ascii="Arial" w:hAnsi="Arial" w:cs="Arial"/>
          <w:i/>
          <w:iCs/>
        </w:rPr>
        <w:t>15</w:t>
      </w:r>
      <w:r w:rsidRPr="00B24D83">
        <w:rPr>
          <w:rFonts w:ascii="Arial" w:hAnsi="Arial" w:cs="Arial"/>
        </w:rPr>
        <w:t>(1), p.61.</w:t>
      </w:r>
    </w:p>
    <w:p w14:paraId="3F3D2C05" w14:textId="7EFFBF7B" w:rsidR="009800C8" w:rsidRDefault="009800C8" w:rsidP="00B24D83">
      <w:pPr>
        <w:spacing w:line="360" w:lineRule="auto"/>
        <w:jc w:val="both"/>
        <w:rPr>
          <w:rFonts w:ascii="Arial" w:hAnsi="Arial" w:cs="Arial"/>
        </w:rPr>
      </w:pPr>
      <w:r w:rsidRPr="009800C8">
        <w:rPr>
          <w:rFonts w:ascii="Arial" w:hAnsi="Arial" w:cs="Arial"/>
        </w:rPr>
        <w:t xml:space="preserve">Paulus, T.M., </w:t>
      </w:r>
      <w:r w:rsidR="00BC254D">
        <w:rPr>
          <w:rFonts w:ascii="Arial" w:hAnsi="Arial" w:cs="Arial"/>
        </w:rPr>
        <w:t>(</w:t>
      </w:r>
      <w:r w:rsidRPr="009800C8">
        <w:rPr>
          <w:rFonts w:ascii="Arial" w:hAnsi="Arial" w:cs="Arial"/>
        </w:rPr>
        <w:t>2023</w:t>
      </w:r>
      <w:r w:rsidR="00BC254D">
        <w:rPr>
          <w:rFonts w:ascii="Arial" w:hAnsi="Arial" w:cs="Arial"/>
        </w:rPr>
        <w:t>)</w:t>
      </w:r>
      <w:r w:rsidRPr="009800C8">
        <w:rPr>
          <w:rFonts w:ascii="Arial" w:hAnsi="Arial" w:cs="Arial"/>
        </w:rPr>
        <w:t>. Using qualitative data analysis software to support digital research workflows. </w:t>
      </w:r>
      <w:r w:rsidRPr="009800C8">
        <w:rPr>
          <w:rFonts w:ascii="Arial" w:hAnsi="Arial" w:cs="Arial"/>
          <w:i/>
          <w:iCs/>
        </w:rPr>
        <w:t>Human Resource Development Review</w:t>
      </w:r>
      <w:r w:rsidRPr="009800C8">
        <w:rPr>
          <w:rFonts w:ascii="Arial" w:hAnsi="Arial" w:cs="Arial"/>
        </w:rPr>
        <w:t>, </w:t>
      </w:r>
      <w:r w:rsidRPr="009800C8">
        <w:rPr>
          <w:rFonts w:ascii="Arial" w:hAnsi="Arial" w:cs="Arial"/>
          <w:i/>
          <w:iCs/>
        </w:rPr>
        <w:t>22</w:t>
      </w:r>
      <w:r w:rsidRPr="009800C8">
        <w:rPr>
          <w:rFonts w:ascii="Arial" w:hAnsi="Arial" w:cs="Arial"/>
        </w:rPr>
        <w:t>(1), pp.139-148.</w:t>
      </w:r>
    </w:p>
    <w:p w14:paraId="7CFBB2F3" w14:textId="21F49678" w:rsidR="00B24D83" w:rsidRPr="00B24D83" w:rsidRDefault="00B24D83" w:rsidP="00B24D83">
      <w:pPr>
        <w:spacing w:line="360" w:lineRule="auto"/>
        <w:jc w:val="both"/>
        <w:rPr>
          <w:rFonts w:ascii="Arial" w:hAnsi="Arial" w:cs="Arial"/>
        </w:rPr>
      </w:pPr>
      <w:r w:rsidRPr="00B24D83">
        <w:rPr>
          <w:rFonts w:ascii="Arial" w:hAnsi="Arial" w:cs="Arial"/>
        </w:rPr>
        <w:t>Picoito, J., Santos, C. and Nunes, C., (2021). Emotional and behavioural pathways to adolescent substance use and antisocial behaviour: results from the UK Millennium Cohort Study. </w:t>
      </w:r>
      <w:r w:rsidRPr="00B24D83">
        <w:rPr>
          <w:rFonts w:ascii="Arial" w:hAnsi="Arial" w:cs="Arial"/>
          <w:i/>
          <w:iCs/>
        </w:rPr>
        <w:t>European child &amp; adolescent psychiatry</w:t>
      </w:r>
      <w:r w:rsidRPr="00B24D83">
        <w:rPr>
          <w:rFonts w:ascii="Arial" w:hAnsi="Arial" w:cs="Arial"/>
        </w:rPr>
        <w:t>, </w:t>
      </w:r>
      <w:r w:rsidRPr="00B24D83">
        <w:rPr>
          <w:rFonts w:ascii="Arial" w:hAnsi="Arial" w:cs="Arial"/>
          <w:i/>
          <w:iCs/>
        </w:rPr>
        <w:t>30</w:t>
      </w:r>
      <w:r w:rsidRPr="00B24D83">
        <w:rPr>
          <w:rFonts w:ascii="Arial" w:hAnsi="Arial" w:cs="Arial"/>
        </w:rPr>
        <w:t>(11), pp.1813-1823.</w:t>
      </w:r>
    </w:p>
    <w:p w14:paraId="2B62E900" w14:textId="4B514E46" w:rsidR="00B94E4A" w:rsidRDefault="00B94E4A" w:rsidP="00B24D83">
      <w:pPr>
        <w:spacing w:line="360" w:lineRule="auto"/>
        <w:jc w:val="both"/>
        <w:rPr>
          <w:rFonts w:ascii="Arial" w:hAnsi="Arial" w:cs="Arial"/>
        </w:rPr>
      </w:pPr>
      <w:r w:rsidRPr="00B94E4A">
        <w:rPr>
          <w:rFonts w:ascii="Arial" w:hAnsi="Arial" w:cs="Arial"/>
        </w:rPr>
        <w:t xml:space="preserve">Pichel, R., Feijóo, S., Isorna, M., Varela, J. and Rial, A., </w:t>
      </w:r>
      <w:r w:rsidR="009F6E00">
        <w:rPr>
          <w:rFonts w:ascii="Arial" w:hAnsi="Arial" w:cs="Arial"/>
        </w:rPr>
        <w:t>(</w:t>
      </w:r>
      <w:r w:rsidRPr="00B94E4A">
        <w:rPr>
          <w:rFonts w:ascii="Arial" w:hAnsi="Arial" w:cs="Arial"/>
        </w:rPr>
        <w:t>2022</w:t>
      </w:r>
      <w:r w:rsidR="009F6E00">
        <w:rPr>
          <w:rFonts w:ascii="Arial" w:hAnsi="Arial" w:cs="Arial"/>
        </w:rPr>
        <w:t>)</w:t>
      </w:r>
      <w:r w:rsidRPr="00B94E4A">
        <w:rPr>
          <w:rFonts w:ascii="Arial" w:hAnsi="Arial" w:cs="Arial"/>
        </w:rPr>
        <w:t>. Analysis of the relationship between school bullying, cyberbullying, and substance use. </w:t>
      </w:r>
      <w:r w:rsidRPr="00B94E4A">
        <w:rPr>
          <w:rFonts w:ascii="Arial" w:hAnsi="Arial" w:cs="Arial"/>
          <w:i/>
          <w:iCs/>
        </w:rPr>
        <w:t>Children and youth services review</w:t>
      </w:r>
      <w:r w:rsidRPr="00B94E4A">
        <w:rPr>
          <w:rFonts w:ascii="Arial" w:hAnsi="Arial" w:cs="Arial"/>
        </w:rPr>
        <w:t>, </w:t>
      </w:r>
      <w:r w:rsidRPr="00B94E4A">
        <w:rPr>
          <w:rFonts w:ascii="Arial" w:hAnsi="Arial" w:cs="Arial"/>
          <w:i/>
          <w:iCs/>
        </w:rPr>
        <w:t>134</w:t>
      </w:r>
      <w:r w:rsidRPr="00B94E4A">
        <w:rPr>
          <w:rFonts w:ascii="Arial" w:hAnsi="Arial" w:cs="Arial"/>
        </w:rPr>
        <w:t>, p.106369.</w:t>
      </w:r>
    </w:p>
    <w:p w14:paraId="2A788DB5" w14:textId="2FF10655" w:rsidR="004C75D8" w:rsidRDefault="004C75D8" w:rsidP="00B24D83">
      <w:pPr>
        <w:spacing w:line="360" w:lineRule="auto"/>
        <w:jc w:val="both"/>
        <w:rPr>
          <w:rFonts w:ascii="Arial" w:hAnsi="Arial" w:cs="Arial"/>
        </w:rPr>
      </w:pPr>
      <w:r w:rsidRPr="004C75D8">
        <w:rPr>
          <w:rFonts w:ascii="Arial" w:hAnsi="Arial" w:cs="Arial"/>
        </w:rPr>
        <w:t xml:space="preserve">Rao, S. and Moon, K., </w:t>
      </w:r>
      <w:r w:rsidR="002C6A78">
        <w:rPr>
          <w:rFonts w:ascii="Arial" w:hAnsi="Arial" w:cs="Arial"/>
        </w:rPr>
        <w:t>(</w:t>
      </w:r>
      <w:r w:rsidRPr="004C75D8">
        <w:rPr>
          <w:rFonts w:ascii="Arial" w:hAnsi="Arial" w:cs="Arial"/>
        </w:rPr>
        <w:t>2021</w:t>
      </w:r>
      <w:r w:rsidR="002C6A78">
        <w:rPr>
          <w:rFonts w:ascii="Arial" w:hAnsi="Arial" w:cs="Arial"/>
        </w:rPr>
        <w:t>)</w:t>
      </w:r>
      <w:r w:rsidRPr="004C75D8">
        <w:rPr>
          <w:rFonts w:ascii="Arial" w:hAnsi="Arial" w:cs="Arial"/>
        </w:rPr>
        <w:t>. Literature search for systematic reviews. In </w:t>
      </w:r>
      <w:r w:rsidRPr="004C75D8">
        <w:rPr>
          <w:rFonts w:ascii="Arial" w:hAnsi="Arial" w:cs="Arial"/>
          <w:i/>
          <w:iCs/>
        </w:rPr>
        <w:t>Principles and practice of systematic reviews and meta-analysis</w:t>
      </w:r>
      <w:r w:rsidRPr="004C75D8">
        <w:rPr>
          <w:rFonts w:ascii="Arial" w:hAnsi="Arial" w:cs="Arial"/>
        </w:rPr>
        <w:t> (pp. 11-31). Springer, Cham.</w:t>
      </w:r>
    </w:p>
    <w:p w14:paraId="5F0D10E2" w14:textId="62E5F7DE" w:rsidR="00B24D83" w:rsidRPr="00B24D83" w:rsidRDefault="00B24D83" w:rsidP="00B24D83">
      <w:pPr>
        <w:spacing w:line="360" w:lineRule="auto"/>
        <w:jc w:val="both"/>
        <w:rPr>
          <w:rFonts w:ascii="Arial" w:hAnsi="Arial" w:cs="Arial"/>
        </w:rPr>
      </w:pPr>
      <w:r w:rsidRPr="00B24D83">
        <w:rPr>
          <w:rFonts w:ascii="Arial" w:hAnsi="Arial" w:cs="Arial"/>
        </w:rPr>
        <w:t>Reid, J.A., Chenneville, T., Gardy, S.M. and Baglivio, M.T., (2022). An exploratory study of COVID-19’s impact on psychological distress and antisocial behavior among justice-involved youth. </w:t>
      </w:r>
      <w:r w:rsidRPr="00B24D83">
        <w:rPr>
          <w:rFonts w:ascii="Arial" w:hAnsi="Arial" w:cs="Arial"/>
          <w:i/>
          <w:iCs/>
        </w:rPr>
        <w:t>Crime &amp; Delinquency</w:t>
      </w:r>
      <w:r w:rsidRPr="00B24D83">
        <w:rPr>
          <w:rFonts w:ascii="Arial" w:hAnsi="Arial" w:cs="Arial"/>
        </w:rPr>
        <w:t>, </w:t>
      </w:r>
      <w:r w:rsidRPr="00B24D83">
        <w:rPr>
          <w:rFonts w:ascii="Arial" w:hAnsi="Arial" w:cs="Arial"/>
          <w:i/>
          <w:iCs/>
        </w:rPr>
        <w:t>68</w:t>
      </w:r>
      <w:r w:rsidRPr="00B24D83">
        <w:rPr>
          <w:rFonts w:ascii="Arial" w:hAnsi="Arial" w:cs="Arial"/>
        </w:rPr>
        <w:t>(8), pp.1271-1291.</w:t>
      </w:r>
    </w:p>
    <w:p w14:paraId="78B81135" w14:textId="761D2BA0" w:rsidR="007425D0" w:rsidRDefault="007425D0" w:rsidP="00B24D83">
      <w:pPr>
        <w:spacing w:line="360" w:lineRule="auto"/>
        <w:jc w:val="both"/>
        <w:rPr>
          <w:rFonts w:ascii="Arial" w:hAnsi="Arial" w:cs="Arial"/>
        </w:rPr>
      </w:pPr>
      <w:r w:rsidRPr="007425D0">
        <w:rPr>
          <w:rFonts w:ascii="Arial" w:hAnsi="Arial" w:cs="Arial"/>
        </w:rPr>
        <w:t xml:space="preserve">Saha, R., Ahlawat, S., Akram, U., Jangbahadur, U., Dhaigude, A.S., Sharma, P. and Kumar, S., </w:t>
      </w:r>
      <w:r w:rsidR="00F0701B">
        <w:rPr>
          <w:rFonts w:ascii="Arial" w:hAnsi="Arial" w:cs="Arial"/>
        </w:rPr>
        <w:t>(</w:t>
      </w:r>
      <w:r w:rsidRPr="007425D0">
        <w:rPr>
          <w:rFonts w:ascii="Arial" w:hAnsi="Arial" w:cs="Arial"/>
        </w:rPr>
        <w:t>2024</w:t>
      </w:r>
      <w:r w:rsidR="00F0701B">
        <w:rPr>
          <w:rFonts w:ascii="Arial" w:hAnsi="Arial" w:cs="Arial"/>
        </w:rPr>
        <w:t>)</w:t>
      </w:r>
      <w:r w:rsidRPr="007425D0">
        <w:rPr>
          <w:rFonts w:ascii="Arial" w:hAnsi="Arial" w:cs="Arial"/>
        </w:rPr>
        <w:t>. Online abuse: a systematic literature review and future research agenda. </w:t>
      </w:r>
      <w:r w:rsidRPr="007425D0">
        <w:rPr>
          <w:rFonts w:ascii="Arial" w:hAnsi="Arial" w:cs="Arial"/>
          <w:i/>
          <w:iCs/>
        </w:rPr>
        <w:t>International Journal of Conflict Management</w:t>
      </w:r>
      <w:r w:rsidRPr="007425D0">
        <w:rPr>
          <w:rFonts w:ascii="Arial" w:hAnsi="Arial" w:cs="Arial"/>
        </w:rPr>
        <w:t>, </w:t>
      </w:r>
      <w:r w:rsidRPr="007425D0">
        <w:rPr>
          <w:rFonts w:ascii="Arial" w:hAnsi="Arial" w:cs="Arial"/>
          <w:i/>
          <w:iCs/>
        </w:rPr>
        <w:t>35</w:t>
      </w:r>
      <w:r w:rsidRPr="007425D0">
        <w:rPr>
          <w:rFonts w:ascii="Arial" w:hAnsi="Arial" w:cs="Arial"/>
        </w:rPr>
        <w:t>(5), pp.887-917.</w:t>
      </w:r>
    </w:p>
    <w:p w14:paraId="03DB946F" w14:textId="49EB16E9" w:rsidR="00C218A9" w:rsidRDefault="00C218A9" w:rsidP="00B24D83">
      <w:pPr>
        <w:spacing w:line="360" w:lineRule="auto"/>
        <w:jc w:val="both"/>
        <w:rPr>
          <w:rFonts w:ascii="Arial" w:hAnsi="Arial" w:cs="Arial"/>
        </w:rPr>
      </w:pPr>
      <w:r w:rsidRPr="00C218A9">
        <w:rPr>
          <w:rFonts w:ascii="Arial" w:hAnsi="Arial" w:cs="Arial"/>
        </w:rPr>
        <w:t xml:space="preserve">Samara, M., Massarwi, A.A., El-Asam, A., Hammuda, S., Smith, P.K. and Morsi, H., </w:t>
      </w:r>
      <w:r w:rsidR="001524ED">
        <w:rPr>
          <w:rFonts w:ascii="Arial" w:hAnsi="Arial" w:cs="Arial"/>
        </w:rPr>
        <w:t>(</w:t>
      </w:r>
      <w:r w:rsidRPr="00C218A9">
        <w:rPr>
          <w:rFonts w:ascii="Arial" w:hAnsi="Arial" w:cs="Arial"/>
        </w:rPr>
        <w:t>2021</w:t>
      </w:r>
      <w:r w:rsidR="001524ED">
        <w:rPr>
          <w:rFonts w:ascii="Arial" w:hAnsi="Arial" w:cs="Arial"/>
        </w:rPr>
        <w:t>)</w:t>
      </w:r>
      <w:r w:rsidRPr="00C218A9">
        <w:rPr>
          <w:rFonts w:ascii="Arial" w:hAnsi="Arial" w:cs="Arial"/>
        </w:rPr>
        <w:t>. The mediating role of bullying and victimisation on the relationship between problematic internet use and substance abuse among adolescents in the UK: The parent–child relationship as a moderator. </w:t>
      </w:r>
      <w:r w:rsidRPr="00C218A9">
        <w:rPr>
          <w:rFonts w:ascii="Arial" w:hAnsi="Arial" w:cs="Arial"/>
          <w:i/>
          <w:iCs/>
        </w:rPr>
        <w:t>Frontiers in psychiatry</w:t>
      </w:r>
      <w:r w:rsidRPr="00C218A9">
        <w:rPr>
          <w:rFonts w:ascii="Arial" w:hAnsi="Arial" w:cs="Arial"/>
        </w:rPr>
        <w:t>, </w:t>
      </w:r>
      <w:r w:rsidRPr="00C218A9">
        <w:rPr>
          <w:rFonts w:ascii="Arial" w:hAnsi="Arial" w:cs="Arial"/>
          <w:i/>
          <w:iCs/>
        </w:rPr>
        <w:t>12</w:t>
      </w:r>
      <w:r w:rsidRPr="00C218A9">
        <w:rPr>
          <w:rFonts w:ascii="Arial" w:hAnsi="Arial" w:cs="Arial"/>
        </w:rPr>
        <w:t>, p.493385.</w:t>
      </w:r>
    </w:p>
    <w:p w14:paraId="134D8AA4" w14:textId="2678D04B" w:rsidR="00B24D83" w:rsidRPr="00B24D83" w:rsidRDefault="00B24D83" w:rsidP="00B24D83">
      <w:pPr>
        <w:spacing w:line="360" w:lineRule="auto"/>
        <w:jc w:val="both"/>
        <w:rPr>
          <w:rFonts w:ascii="Arial" w:hAnsi="Arial" w:cs="Arial"/>
        </w:rPr>
      </w:pPr>
      <w:r w:rsidRPr="00B24D83">
        <w:rPr>
          <w:rFonts w:ascii="Arial" w:hAnsi="Arial" w:cs="Arial"/>
        </w:rPr>
        <w:t>Throuvala, M.A., Griffiths, M.D., Rennoldson, M. and Kuss, D.J., (2021), May. Psychosocial skills as a protective factor and other teacher recommendations for online harms prevention in schools: A qualitative analysis. In </w:t>
      </w:r>
      <w:r w:rsidRPr="00B24D83">
        <w:rPr>
          <w:rFonts w:ascii="Arial" w:hAnsi="Arial" w:cs="Arial"/>
          <w:i/>
          <w:iCs/>
        </w:rPr>
        <w:t>Frontiers in Education</w:t>
      </w:r>
      <w:r w:rsidRPr="00B24D83">
        <w:rPr>
          <w:rFonts w:ascii="Arial" w:hAnsi="Arial" w:cs="Arial"/>
        </w:rPr>
        <w:t> (Vol. 6, p. 648512). Frontiers Media SA.</w:t>
      </w:r>
    </w:p>
    <w:p w14:paraId="331B98C6" w14:textId="46B34271" w:rsidR="00DB6B5B" w:rsidRDefault="00DB6B5B" w:rsidP="00B24D83">
      <w:pPr>
        <w:spacing w:line="360" w:lineRule="auto"/>
        <w:jc w:val="both"/>
        <w:rPr>
          <w:rFonts w:ascii="Arial" w:hAnsi="Arial" w:cs="Arial"/>
        </w:rPr>
      </w:pPr>
      <w:r w:rsidRPr="00DB6B5B">
        <w:rPr>
          <w:rFonts w:ascii="Arial" w:hAnsi="Arial" w:cs="Arial"/>
        </w:rPr>
        <w:t xml:space="preserve">Thiga, M., Kimeto, P. and Walekhwa, M., </w:t>
      </w:r>
      <w:r w:rsidR="006A512E">
        <w:rPr>
          <w:rFonts w:ascii="Arial" w:hAnsi="Arial" w:cs="Arial"/>
        </w:rPr>
        <w:t>(</w:t>
      </w:r>
      <w:r w:rsidRPr="00DB6B5B">
        <w:rPr>
          <w:rFonts w:ascii="Arial" w:hAnsi="Arial" w:cs="Arial"/>
        </w:rPr>
        <w:t>2024</w:t>
      </w:r>
      <w:r w:rsidR="006A512E">
        <w:rPr>
          <w:rFonts w:ascii="Arial" w:hAnsi="Arial" w:cs="Arial"/>
        </w:rPr>
        <w:t>)</w:t>
      </w:r>
      <w:r w:rsidRPr="00DB6B5B">
        <w:rPr>
          <w:rFonts w:ascii="Arial" w:hAnsi="Arial" w:cs="Arial"/>
        </w:rPr>
        <w:t>. An integrated framework for scientific and ethical review of research proposals. </w:t>
      </w:r>
      <w:r w:rsidRPr="00DB6B5B">
        <w:rPr>
          <w:rFonts w:ascii="Arial" w:hAnsi="Arial" w:cs="Arial"/>
          <w:i/>
          <w:iCs/>
        </w:rPr>
        <w:t>Journal of Research and Academic Writing</w:t>
      </w:r>
      <w:r w:rsidRPr="00DB6B5B">
        <w:rPr>
          <w:rFonts w:ascii="Arial" w:hAnsi="Arial" w:cs="Arial"/>
        </w:rPr>
        <w:t>, </w:t>
      </w:r>
      <w:r w:rsidRPr="00DB6B5B">
        <w:rPr>
          <w:rFonts w:ascii="Arial" w:hAnsi="Arial" w:cs="Arial"/>
          <w:i/>
          <w:iCs/>
        </w:rPr>
        <w:t>1</w:t>
      </w:r>
      <w:r w:rsidRPr="00DB6B5B">
        <w:rPr>
          <w:rFonts w:ascii="Arial" w:hAnsi="Arial" w:cs="Arial"/>
        </w:rPr>
        <w:t>(2), pp.35-54.</w:t>
      </w:r>
    </w:p>
    <w:p w14:paraId="20CC7592" w14:textId="5E45B41D" w:rsidR="00B24D83" w:rsidRPr="00B24D83" w:rsidRDefault="00B24D83" w:rsidP="00B24D83">
      <w:pPr>
        <w:spacing w:line="360" w:lineRule="auto"/>
        <w:jc w:val="both"/>
        <w:rPr>
          <w:rFonts w:ascii="Arial" w:hAnsi="Arial" w:cs="Arial"/>
        </w:rPr>
      </w:pPr>
      <w:r w:rsidRPr="00B24D83">
        <w:rPr>
          <w:rFonts w:ascii="Arial" w:hAnsi="Arial" w:cs="Arial"/>
        </w:rPr>
        <w:t>Vannucci, A. and McCauley Ohannessian, C., (2019). Social media use subgroups differentially predict psychosocial well-being during early adolescence. </w:t>
      </w:r>
      <w:r w:rsidRPr="00B24D83">
        <w:rPr>
          <w:rFonts w:ascii="Arial" w:hAnsi="Arial" w:cs="Arial"/>
          <w:i/>
          <w:iCs/>
        </w:rPr>
        <w:t>Journal of youth and adolescence</w:t>
      </w:r>
      <w:r w:rsidRPr="00B24D83">
        <w:rPr>
          <w:rFonts w:ascii="Arial" w:hAnsi="Arial" w:cs="Arial"/>
        </w:rPr>
        <w:t>, </w:t>
      </w:r>
      <w:r w:rsidRPr="00B24D83">
        <w:rPr>
          <w:rFonts w:ascii="Arial" w:hAnsi="Arial" w:cs="Arial"/>
          <w:i/>
          <w:iCs/>
        </w:rPr>
        <w:t>48</w:t>
      </w:r>
      <w:r w:rsidRPr="00B24D83">
        <w:rPr>
          <w:rFonts w:ascii="Arial" w:hAnsi="Arial" w:cs="Arial"/>
        </w:rPr>
        <w:t>(8), pp.1469-1493.</w:t>
      </w:r>
    </w:p>
    <w:p w14:paraId="27DB4F5F" w14:textId="77777777" w:rsidR="00C4686A" w:rsidRPr="00B24D83" w:rsidRDefault="00C4686A" w:rsidP="00B24D83">
      <w:pPr>
        <w:spacing w:line="360" w:lineRule="auto"/>
        <w:jc w:val="both"/>
        <w:rPr>
          <w:rFonts w:ascii="Arial" w:hAnsi="Arial" w:cs="Arial"/>
          <w:lang w:eastAsia="en-GB"/>
        </w:rPr>
      </w:pPr>
    </w:p>
    <w:sectPr w:rsidR="00C4686A" w:rsidRPr="00B24D83" w:rsidSect="005422C2">
      <w:footerReference w:type="default" r:id="rId1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5AD641" w14:textId="77777777" w:rsidR="00994F27" w:rsidRDefault="00994F27" w:rsidP="005422C2">
      <w:pPr>
        <w:spacing w:after="0" w:line="240" w:lineRule="auto"/>
      </w:pPr>
      <w:r>
        <w:separator/>
      </w:r>
    </w:p>
  </w:endnote>
  <w:endnote w:type="continuationSeparator" w:id="0">
    <w:p w14:paraId="0E0F7228" w14:textId="77777777" w:rsidR="00994F27" w:rsidRDefault="00994F27" w:rsidP="005422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hruti">
    <w:panose1 w:val="020B0502040204020203"/>
    <w:charset w:val="00"/>
    <w:family w:val="swiss"/>
    <w:pitch w:val="variable"/>
    <w:sig w:usb0="0004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4180106"/>
      <w:docPartObj>
        <w:docPartGallery w:val="Page Numbers (Bottom of Page)"/>
        <w:docPartUnique/>
      </w:docPartObj>
    </w:sdtPr>
    <w:sdtEndPr/>
    <w:sdtContent>
      <w:p w14:paraId="12001A67" w14:textId="6A43BAC3" w:rsidR="005422C2" w:rsidRDefault="005422C2">
        <w:pPr>
          <w:pStyle w:val="Footer"/>
          <w:jc w:val="right"/>
        </w:pPr>
        <w:r>
          <w:fldChar w:fldCharType="begin"/>
        </w:r>
        <w:r>
          <w:instrText>PAGE   \* MERGEFORMAT</w:instrText>
        </w:r>
        <w:r>
          <w:fldChar w:fldCharType="separate"/>
        </w:r>
        <w:r>
          <w:t>2</w:t>
        </w:r>
        <w:r>
          <w:fldChar w:fldCharType="end"/>
        </w:r>
      </w:p>
    </w:sdtContent>
  </w:sdt>
  <w:p w14:paraId="6A3BC84D" w14:textId="77777777" w:rsidR="005422C2" w:rsidRDefault="005422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334F83" w14:textId="77777777" w:rsidR="00994F27" w:rsidRDefault="00994F27" w:rsidP="005422C2">
      <w:pPr>
        <w:spacing w:after="0" w:line="240" w:lineRule="auto"/>
      </w:pPr>
      <w:r>
        <w:separator/>
      </w:r>
    </w:p>
  </w:footnote>
  <w:footnote w:type="continuationSeparator" w:id="0">
    <w:p w14:paraId="3976D937" w14:textId="77777777" w:rsidR="00994F27" w:rsidRDefault="00994F27" w:rsidP="005422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F68EA"/>
    <w:multiLevelType w:val="hybridMultilevel"/>
    <w:tmpl w:val="4A9A73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2A7740"/>
    <w:multiLevelType w:val="hybridMultilevel"/>
    <w:tmpl w:val="47DAC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FF3AF0"/>
    <w:multiLevelType w:val="hybridMultilevel"/>
    <w:tmpl w:val="981CE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8778052">
    <w:abstractNumId w:val="0"/>
  </w:num>
  <w:num w:numId="2" w16cid:durableId="727461897">
    <w:abstractNumId w:val="1"/>
  </w:num>
  <w:num w:numId="3" w16cid:durableId="20543090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945"/>
    <w:rsid w:val="000232B3"/>
    <w:rsid w:val="0007680A"/>
    <w:rsid w:val="000C085C"/>
    <w:rsid w:val="000C79F0"/>
    <w:rsid w:val="001524ED"/>
    <w:rsid w:val="001866B1"/>
    <w:rsid w:val="001A398E"/>
    <w:rsid w:val="001A4F9D"/>
    <w:rsid w:val="00237F24"/>
    <w:rsid w:val="00275D4D"/>
    <w:rsid w:val="00283227"/>
    <w:rsid w:val="002C6A78"/>
    <w:rsid w:val="00310E2A"/>
    <w:rsid w:val="00311273"/>
    <w:rsid w:val="003254DD"/>
    <w:rsid w:val="00341CDC"/>
    <w:rsid w:val="003A5F10"/>
    <w:rsid w:val="003B007F"/>
    <w:rsid w:val="003B3EDF"/>
    <w:rsid w:val="0040603E"/>
    <w:rsid w:val="0041640D"/>
    <w:rsid w:val="00423F55"/>
    <w:rsid w:val="00424CDF"/>
    <w:rsid w:val="00432C22"/>
    <w:rsid w:val="00481CB3"/>
    <w:rsid w:val="0049404D"/>
    <w:rsid w:val="004C75D8"/>
    <w:rsid w:val="004E6EB2"/>
    <w:rsid w:val="005422C2"/>
    <w:rsid w:val="006666E2"/>
    <w:rsid w:val="00666DA7"/>
    <w:rsid w:val="006702CA"/>
    <w:rsid w:val="006A512E"/>
    <w:rsid w:val="006C5BBB"/>
    <w:rsid w:val="006C757E"/>
    <w:rsid w:val="006E4FAD"/>
    <w:rsid w:val="00715F50"/>
    <w:rsid w:val="007425D0"/>
    <w:rsid w:val="007508C8"/>
    <w:rsid w:val="00787C9A"/>
    <w:rsid w:val="007C5E6A"/>
    <w:rsid w:val="00806EE1"/>
    <w:rsid w:val="00822418"/>
    <w:rsid w:val="008515E3"/>
    <w:rsid w:val="008B787A"/>
    <w:rsid w:val="008C1867"/>
    <w:rsid w:val="008D47EB"/>
    <w:rsid w:val="00900F3D"/>
    <w:rsid w:val="00903671"/>
    <w:rsid w:val="0093658E"/>
    <w:rsid w:val="009800C8"/>
    <w:rsid w:val="00994F27"/>
    <w:rsid w:val="009C2C1D"/>
    <w:rsid w:val="009F6E00"/>
    <w:rsid w:val="00A22F03"/>
    <w:rsid w:val="00A30EFD"/>
    <w:rsid w:val="00A40637"/>
    <w:rsid w:val="00A65B86"/>
    <w:rsid w:val="00A75945"/>
    <w:rsid w:val="00A85A87"/>
    <w:rsid w:val="00A85B59"/>
    <w:rsid w:val="00AA5E7E"/>
    <w:rsid w:val="00AD2370"/>
    <w:rsid w:val="00AF3A6A"/>
    <w:rsid w:val="00B22A67"/>
    <w:rsid w:val="00B24D83"/>
    <w:rsid w:val="00B27FB0"/>
    <w:rsid w:val="00B74156"/>
    <w:rsid w:val="00B94E4A"/>
    <w:rsid w:val="00BC254D"/>
    <w:rsid w:val="00C218A9"/>
    <w:rsid w:val="00C4686A"/>
    <w:rsid w:val="00C46A0C"/>
    <w:rsid w:val="00C57006"/>
    <w:rsid w:val="00C82724"/>
    <w:rsid w:val="00C95B91"/>
    <w:rsid w:val="00CD6321"/>
    <w:rsid w:val="00D420DE"/>
    <w:rsid w:val="00D7531C"/>
    <w:rsid w:val="00DB6B5B"/>
    <w:rsid w:val="00E31728"/>
    <w:rsid w:val="00E34877"/>
    <w:rsid w:val="00ED7BE7"/>
    <w:rsid w:val="00F0701B"/>
    <w:rsid w:val="00F771BB"/>
    <w:rsid w:val="00FE2392"/>
  </w:rsids>
  <m:mathPr>
    <m:mathFont m:val="Cambria Math"/>
    <m:brkBin m:val="before"/>
    <m:brkBinSub m:val="--"/>
    <m:smallFrac m:val="0"/>
    <m:dispDef/>
    <m:lMargin m:val="0"/>
    <m:rMargin m:val="0"/>
    <m:defJc m:val="centerGroup"/>
    <m:wrapIndent m:val="1440"/>
    <m:intLim m:val="subSup"/>
    <m:naryLim m:val="undOvr"/>
  </m:mathPr>
  <w:themeFontLang w:val="en-GB"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4F90E"/>
  <w15:chartTrackingRefBased/>
  <w15:docId w15:val="{2B263F9F-D7AD-4A2F-80D8-95A59E531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3A6A"/>
  </w:style>
  <w:style w:type="paragraph" w:styleId="Heading1">
    <w:name w:val="heading 1"/>
    <w:basedOn w:val="Normal"/>
    <w:next w:val="Normal"/>
    <w:link w:val="Heading1Char"/>
    <w:autoRedefine/>
    <w:uiPriority w:val="9"/>
    <w:qFormat/>
    <w:rsid w:val="0093658E"/>
    <w:pPr>
      <w:keepNext/>
      <w:keepLines/>
      <w:spacing w:before="240" w:after="0" w:line="259" w:lineRule="auto"/>
      <w:outlineLvl w:val="0"/>
    </w:pPr>
    <w:rPr>
      <w:rFonts w:ascii="Arial" w:eastAsiaTheme="majorEastAsia" w:hAnsi="Arial" w:cstheme="majorBidi"/>
      <w:b/>
      <w:color w:val="000000" w:themeColor="text1"/>
      <w:kern w:val="0"/>
      <w:sz w:val="28"/>
      <w:szCs w:val="32"/>
      <w:lang w:eastAsia="en-GB"/>
      <w14:ligatures w14:val="none"/>
    </w:rPr>
  </w:style>
  <w:style w:type="paragraph" w:styleId="Heading2">
    <w:name w:val="heading 2"/>
    <w:next w:val="Normal"/>
    <w:link w:val="Heading2Char"/>
    <w:autoRedefine/>
    <w:uiPriority w:val="9"/>
    <w:unhideWhenUsed/>
    <w:qFormat/>
    <w:rsid w:val="009C2C1D"/>
    <w:pPr>
      <w:keepNext/>
      <w:keepLines/>
      <w:spacing w:after="152" w:line="265" w:lineRule="auto"/>
      <w:ind w:left="10" w:right="2" w:hanging="10"/>
      <w:outlineLvl w:val="1"/>
    </w:pPr>
    <w:rPr>
      <w:rFonts w:ascii="Arial" w:eastAsia="Times New Roman" w:hAnsi="Arial" w:cs="Times New Roman"/>
      <w:b/>
      <w:color w:val="000000"/>
    </w:rPr>
  </w:style>
  <w:style w:type="paragraph" w:styleId="Heading3">
    <w:name w:val="heading 3"/>
    <w:basedOn w:val="Normal"/>
    <w:next w:val="Normal"/>
    <w:link w:val="Heading3Char"/>
    <w:uiPriority w:val="9"/>
    <w:semiHidden/>
    <w:unhideWhenUsed/>
    <w:qFormat/>
    <w:rsid w:val="00A759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59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59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59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59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59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59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658E"/>
    <w:rPr>
      <w:rFonts w:ascii="Arial" w:eastAsiaTheme="majorEastAsia" w:hAnsi="Arial" w:cstheme="majorBidi"/>
      <w:b/>
      <w:color w:val="000000" w:themeColor="text1"/>
      <w:kern w:val="0"/>
      <w:sz w:val="28"/>
      <w:szCs w:val="32"/>
      <w:lang w:eastAsia="en-GB"/>
      <w14:ligatures w14:val="none"/>
    </w:rPr>
  </w:style>
  <w:style w:type="character" w:customStyle="1" w:styleId="Heading2Char">
    <w:name w:val="Heading 2 Char"/>
    <w:basedOn w:val="DefaultParagraphFont"/>
    <w:link w:val="Heading2"/>
    <w:uiPriority w:val="9"/>
    <w:rsid w:val="009C2C1D"/>
    <w:rPr>
      <w:rFonts w:ascii="Arial" w:eastAsia="Times New Roman" w:hAnsi="Arial" w:cs="Times New Roman"/>
      <w:b/>
      <w:color w:val="000000"/>
    </w:rPr>
  </w:style>
  <w:style w:type="character" w:customStyle="1" w:styleId="Heading3Char">
    <w:name w:val="Heading 3 Char"/>
    <w:basedOn w:val="DefaultParagraphFont"/>
    <w:link w:val="Heading3"/>
    <w:uiPriority w:val="9"/>
    <w:semiHidden/>
    <w:rsid w:val="00A759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59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59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59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59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59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5945"/>
    <w:rPr>
      <w:rFonts w:eastAsiaTheme="majorEastAsia" w:cstheme="majorBidi"/>
      <w:color w:val="272727" w:themeColor="text1" w:themeTint="D8"/>
    </w:rPr>
  </w:style>
  <w:style w:type="paragraph" w:styleId="Title">
    <w:name w:val="Title"/>
    <w:basedOn w:val="Normal"/>
    <w:next w:val="Normal"/>
    <w:link w:val="TitleChar"/>
    <w:uiPriority w:val="10"/>
    <w:qFormat/>
    <w:rsid w:val="00A759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59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59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59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5945"/>
    <w:pPr>
      <w:spacing w:before="160"/>
      <w:jc w:val="center"/>
    </w:pPr>
    <w:rPr>
      <w:i/>
      <w:iCs/>
      <w:color w:val="404040" w:themeColor="text1" w:themeTint="BF"/>
    </w:rPr>
  </w:style>
  <w:style w:type="character" w:customStyle="1" w:styleId="QuoteChar">
    <w:name w:val="Quote Char"/>
    <w:basedOn w:val="DefaultParagraphFont"/>
    <w:link w:val="Quote"/>
    <w:uiPriority w:val="29"/>
    <w:rsid w:val="00A75945"/>
    <w:rPr>
      <w:i/>
      <w:iCs/>
      <w:color w:val="404040" w:themeColor="text1" w:themeTint="BF"/>
    </w:rPr>
  </w:style>
  <w:style w:type="paragraph" w:styleId="ListParagraph">
    <w:name w:val="List Paragraph"/>
    <w:basedOn w:val="Normal"/>
    <w:uiPriority w:val="34"/>
    <w:qFormat/>
    <w:rsid w:val="00A75945"/>
    <w:pPr>
      <w:ind w:left="720"/>
      <w:contextualSpacing/>
    </w:pPr>
  </w:style>
  <w:style w:type="character" w:styleId="IntenseEmphasis">
    <w:name w:val="Intense Emphasis"/>
    <w:basedOn w:val="DefaultParagraphFont"/>
    <w:uiPriority w:val="21"/>
    <w:qFormat/>
    <w:rsid w:val="00A75945"/>
    <w:rPr>
      <w:i/>
      <w:iCs/>
      <w:color w:val="0F4761" w:themeColor="accent1" w:themeShade="BF"/>
    </w:rPr>
  </w:style>
  <w:style w:type="paragraph" w:styleId="IntenseQuote">
    <w:name w:val="Intense Quote"/>
    <w:basedOn w:val="Normal"/>
    <w:next w:val="Normal"/>
    <w:link w:val="IntenseQuoteChar"/>
    <w:uiPriority w:val="30"/>
    <w:qFormat/>
    <w:rsid w:val="00A759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5945"/>
    <w:rPr>
      <w:i/>
      <w:iCs/>
      <w:color w:val="0F4761" w:themeColor="accent1" w:themeShade="BF"/>
    </w:rPr>
  </w:style>
  <w:style w:type="character" w:styleId="IntenseReference">
    <w:name w:val="Intense Reference"/>
    <w:basedOn w:val="DefaultParagraphFont"/>
    <w:uiPriority w:val="32"/>
    <w:qFormat/>
    <w:rsid w:val="00A75945"/>
    <w:rPr>
      <w:b/>
      <w:bCs/>
      <w:smallCaps/>
      <w:color w:val="0F4761" w:themeColor="accent1" w:themeShade="BF"/>
      <w:spacing w:val="5"/>
    </w:rPr>
  </w:style>
  <w:style w:type="table" w:styleId="GridTable6Colorful-Accent5">
    <w:name w:val="Grid Table 6 Colorful Accent 5"/>
    <w:basedOn w:val="TableNormal"/>
    <w:uiPriority w:val="51"/>
    <w:rsid w:val="00A65B86"/>
    <w:pPr>
      <w:spacing w:after="0" w:line="240" w:lineRule="auto"/>
    </w:pPr>
    <w:rPr>
      <w:rFonts w:cs="Shruti"/>
      <w:color w:val="77206D" w:themeColor="accent5" w:themeShade="BF"/>
      <w:sz w:val="22"/>
      <w:szCs w:val="22"/>
      <w:lang w:bidi="gu-IN"/>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character" w:styleId="Hyperlink">
    <w:name w:val="Hyperlink"/>
    <w:basedOn w:val="DefaultParagraphFont"/>
    <w:uiPriority w:val="99"/>
    <w:unhideWhenUsed/>
    <w:rsid w:val="00B24D83"/>
    <w:rPr>
      <w:color w:val="467886" w:themeColor="hyperlink"/>
      <w:u w:val="single"/>
    </w:rPr>
  </w:style>
  <w:style w:type="paragraph" w:styleId="Header">
    <w:name w:val="header"/>
    <w:basedOn w:val="Normal"/>
    <w:link w:val="HeaderChar"/>
    <w:uiPriority w:val="99"/>
    <w:unhideWhenUsed/>
    <w:rsid w:val="005422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22C2"/>
  </w:style>
  <w:style w:type="paragraph" w:styleId="Footer">
    <w:name w:val="footer"/>
    <w:basedOn w:val="Normal"/>
    <w:link w:val="FooterChar"/>
    <w:uiPriority w:val="99"/>
    <w:unhideWhenUsed/>
    <w:rsid w:val="005422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22C2"/>
  </w:style>
  <w:style w:type="paragraph" w:styleId="TOCHeading">
    <w:name w:val="TOC Heading"/>
    <w:basedOn w:val="Heading1"/>
    <w:next w:val="Normal"/>
    <w:uiPriority w:val="39"/>
    <w:unhideWhenUsed/>
    <w:qFormat/>
    <w:rsid w:val="005422C2"/>
    <w:pPr>
      <w:outlineLvl w:val="9"/>
    </w:pPr>
    <w:rPr>
      <w:rFonts w:asciiTheme="majorHAnsi" w:hAnsiTheme="majorHAnsi"/>
      <w:b w:val="0"/>
      <w:color w:val="0F4761" w:themeColor="accent1" w:themeShade="BF"/>
      <w:sz w:val="32"/>
    </w:rPr>
  </w:style>
  <w:style w:type="paragraph" w:styleId="TOC1">
    <w:name w:val="toc 1"/>
    <w:basedOn w:val="Normal"/>
    <w:next w:val="Normal"/>
    <w:autoRedefine/>
    <w:uiPriority w:val="39"/>
    <w:unhideWhenUsed/>
    <w:rsid w:val="005422C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ntibullyingpro.com/support-and-advice-articles/in-depth-facts-and-statistics-on-bullying-and-cyberbullying-behaviou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ons.gov.uk/peoplepopulationandcommunity/crimeandjustice/bulletins/onlinebullyinginenglandandwales/yearendingmarch2020" TargetMode="External"/><Relationship Id="rId4" Type="http://schemas.openxmlformats.org/officeDocument/2006/relationships/webSettings" Target="webSettings.xml"/><Relationship Id="rId9" Type="http://schemas.openxmlformats.org/officeDocument/2006/relationships/hyperlink" Target="https://digital.nhs.uk/data-and-information/publications/statistical/smoking-drinking-and-drug-use-among-young-people-in-england/2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16</Pages>
  <Words>4568</Words>
  <Characters>26040</Characters>
  <Application>Microsoft Office Word</Application>
  <DocSecurity>4</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GAZALA SHAHJADA</dc:creator>
  <cp:keywords/>
  <dc:description/>
  <cp:lastModifiedBy>Jay Chauhan</cp:lastModifiedBy>
  <cp:revision>2</cp:revision>
  <dcterms:created xsi:type="dcterms:W3CDTF">2025-12-14T13:51:00Z</dcterms:created>
  <dcterms:modified xsi:type="dcterms:W3CDTF">2025-12-14T13:51:00Z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ef53ada6-e073-4ab7-b4e9-5fec5b98af12</vt:lpwstr>
  </property>
</Properties>
</file>