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Arial" w:hAnsi="Arial" w:cs="Arial" w:eastAsiaTheme="minorHAnsi"/>
          <w:color w:val="5B9BD5" w:themeColor="accent1"/>
          <w:sz w:val="24"/>
          <w:szCs w:val="24"/>
          <w:lang w:val="en-GB"/>
          <w14:textFill>
            <w14:solidFill>
              <w14:schemeClr w14:val="accent1"/>
            </w14:solidFill>
          </w14:textFill>
        </w:rPr>
        <w:id w:val="-1522475554"/>
        <w:docPartObj>
          <w:docPartGallery w:val="AutoText"/>
        </w:docPartObj>
      </w:sdtPr>
      <w:sdtEndPr>
        <w:rPr>
          <w:rFonts w:ascii="Arial" w:hAnsi="Arial" w:cs="Arial" w:eastAsiaTheme="minorEastAsia"/>
          <w:color w:val="auto"/>
          <w:sz w:val="24"/>
          <w:szCs w:val="24"/>
          <w:lang w:val="en-GB"/>
        </w:rPr>
      </w:sdtEndPr>
      <w:sdtContent>
        <w:p>
          <w:pPr>
            <w:pStyle w:val="16"/>
            <w:spacing w:before="1540" w:after="240" w:line="480" w:lineRule="auto"/>
            <w:jc w:val="center"/>
            <w:rPr>
              <w:rFonts w:ascii="Arial" w:hAnsi="Arial" w:cs="Arial"/>
              <w:color w:val="5B9BD5" w:themeColor="accent1"/>
              <w:sz w:val="24"/>
              <w:szCs w:val="24"/>
              <w14:textFill>
                <w14:solidFill>
                  <w14:schemeClr w14:val="accent1"/>
                </w14:solidFill>
              </w14:textFill>
            </w:rPr>
          </w:pPr>
          <w:r>
            <w:rPr>
              <w:rFonts w:ascii="Arial" w:hAnsi="Arial" w:cs="Arial"/>
              <w:color w:val="5B9BD5" w:themeColor="accent1"/>
              <w:sz w:val="24"/>
              <w:szCs w:val="24"/>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16" w:name="_GoBack"/>
          <w:bookmarkEnd w:id="16"/>
        </w:p>
        <w:sdt>
          <w:sdtPr>
            <w:rPr>
              <w:rFonts w:ascii="Arial" w:hAnsi="Arial" w:cs="Arial" w:eastAsiaTheme="majorEastAsia"/>
              <w:caps/>
              <w:color w:val="5B9BD5" w:themeColor="accent1"/>
              <w:sz w:val="32"/>
              <w:szCs w:val="32"/>
              <w14:textFill>
                <w14:solidFill>
                  <w14:schemeClr w14:val="accent1"/>
                </w14:solidFill>
              </w14:textFill>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Fonts w:ascii="Arial" w:hAnsi="Arial" w:cs="Arial" w:eastAsiaTheme="majorEastAsia"/>
              <w:caps/>
              <w:color w:val="5B9BD5" w:themeColor="accent1"/>
              <w:sz w:val="32"/>
              <w:szCs w:val="32"/>
              <w14:textFill>
                <w14:solidFill>
                  <w14:schemeClr w14:val="accent1"/>
                </w14:solidFill>
              </w14:textFill>
            </w:rPr>
          </w:sdtEndPr>
          <w:sdtContent>
            <w:p>
              <w:pPr>
                <w:pStyle w:val="16"/>
                <w:pBdr>
                  <w:top w:val="single" w:color="5B9BD5" w:themeColor="accent1" w:sz="6" w:space="6"/>
                  <w:bottom w:val="single" w:color="5B9BD5" w:themeColor="accent1" w:sz="6" w:space="6"/>
                </w:pBdr>
                <w:spacing w:after="240" w:line="480" w:lineRule="auto"/>
                <w:jc w:val="center"/>
                <w:rPr>
                  <w:rFonts w:ascii="Arial" w:hAnsi="Arial" w:cs="Arial" w:eastAsiaTheme="majorEastAsia"/>
                  <w:caps/>
                  <w:color w:val="5B9BD5" w:themeColor="accent1"/>
                  <w:sz w:val="32"/>
                  <w:szCs w:val="32"/>
                  <w14:textFill>
                    <w14:solidFill>
                      <w14:schemeClr w14:val="accent1"/>
                    </w14:solidFill>
                  </w14:textFill>
                </w:rPr>
              </w:pPr>
              <w:r>
                <w:rPr>
                  <w:rFonts w:hint="eastAsia" w:ascii="Arial" w:hAnsi="Arial" w:cs="Arial" w:eastAsiaTheme="majorEastAsia"/>
                  <w:caps/>
                  <w:color w:val="5B9BD5" w:themeColor="accent1"/>
                  <w:sz w:val="32"/>
                  <w:szCs w:val="32"/>
                  <w:lang w:eastAsia="zh-CN"/>
                  <w14:textFill>
                    <w14:solidFill>
                      <w14:schemeClr w14:val="accent1"/>
                    </w14:solidFill>
                  </w14:textFill>
                </w:rPr>
                <w:t>Case study of change management process</w:t>
              </w:r>
            </w:p>
          </w:sdtContent>
        </w:sdt>
        <w:p>
          <w:pPr>
            <w:pStyle w:val="16"/>
            <w:spacing w:line="480" w:lineRule="auto"/>
            <w:jc w:val="center"/>
            <w:rPr>
              <w:rFonts w:ascii="Arial" w:hAnsi="Arial" w:cs="Arial"/>
              <w:color w:val="5B9BD5" w:themeColor="accent1"/>
              <w:sz w:val="24"/>
              <w:szCs w:val="24"/>
              <w14:textFill>
                <w14:solidFill>
                  <w14:schemeClr w14:val="accent1"/>
                </w14:solidFill>
              </w14:textFill>
            </w:rPr>
          </w:pPr>
          <w:sdt>
            <w:sdtPr>
              <w:rPr>
                <w:rFonts w:ascii="Arial" w:hAnsi="Arial" w:cs="Arial"/>
                <w:color w:val="5B9BD5" w:themeColor="accent1"/>
                <w:sz w:val="24"/>
                <w:szCs w:val="24"/>
                <w14:textFill>
                  <w14:solidFill>
                    <w14:schemeClr w14:val="accent1"/>
                  </w14:solidFill>
                </w14:textFill>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5B9BD5" w:themeColor="accent1"/>
                <w:sz w:val="24"/>
                <w:szCs w:val="24"/>
                <w14:textFill>
                  <w14:solidFill>
                    <w14:schemeClr w14:val="accent1"/>
                  </w14:solidFill>
                </w14:textFill>
              </w:rPr>
            </w:sdtEndPr>
            <w:sdtContent>
              <w:r>
                <w:rPr>
                  <w:rFonts w:ascii="Arial" w:hAnsi="Arial" w:cs="Arial"/>
                  <w:color w:val="5B9BD5" w:themeColor="accent1"/>
                  <w:sz w:val="24"/>
                  <w:szCs w:val="24"/>
                  <w14:textFill>
                    <w14:solidFill>
                      <w14:schemeClr w14:val="accent1"/>
                    </w14:solidFill>
                  </w14:textFill>
                </w:rPr>
                <w:t>DLH’s Case</w:t>
              </w:r>
            </w:sdtContent>
          </w:sdt>
          <w:r>
            <w:rPr>
              <w:rFonts w:ascii="Arial" w:hAnsi="Arial" w:cs="Arial"/>
              <w:color w:val="5B9BD5" w:themeColor="accent1"/>
              <w:sz w:val="24"/>
              <w:szCs w:val="24"/>
              <w14:textFill>
                <w14:solidFill>
                  <w14:schemeClr w14:val="accent1"/>
                </w14:solidFill>
              </w14:textFill>
            </w:rPr>
            <w:t xml:space="preserve"> During COVID-19</w:t>
          </w:r>
        </w:p>
        <w:p>
          <w:pPr>
            <w:pStyle w:val="16"/>
            <w:spacing w:before="480" w:line="480" w:lineRule="auto"/>
            <w:jc w:val="center"/>
            <w:rPr>
              <w:rFonts w:ascii="Arial" w:hAnsi="Arial" w:cs="Arial"/>
              <w:color w:val="5B9BD5" w:themeColor="accent1"/>
              <w:sz w:val="24"/>
              <w:szCs w:val="24"/>
              <w14:textFill>
                <w14:solidFill>
                  <w14:schemeClr w14:val="accent1"/>
                </w14:solidFill>
              </w14:textFill>
            </w:rPr>
          </w:pPr>
          <w:r>
            <w:rPr>
              <w:rFonts w:ascii="Arial" w:hAnsi="Arial" w:cs="Arial"/>
              <w:color w:val="5B9BD5" w:themeColor="accent1"/>
              <w:sz w:val="24"/>
              <w:szCs w:val="24"/>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9372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9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dataBinding w:prefixMappings="xmlns:ns0='http://schemas.microsoft.com/office/2006/coverPageProps' " w:xpath="/ns0:CoverPageProperties[1]/ns0:PublishDate[1]" w:storeItemID="{55AF091B-3C7A-41E3-B477-F2FDAA23CFDA}"/>
                                  <w:date w:fullDate="2023-05-02T00:00:00Z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6"/>
                                      <w:spacing w:after="40"/>
                                      <w:jc w:val="center"/>
                                      <w:rPr>
                                        <w:caps/>
                                        <w:color w:val="5B9BD5" w:themeColor="accent1"/>
                                        <w:sz w:val="28"/>
                                        <w:szCs w:val="28"/>
                                        <w14:textFill>
                                          <w14:solidFill>
                                            <w14:schemeClr w14:val="accent1"/>
                                          </w14:solidFill>
                                        </w14:textFill>
                                      </w:rPr>
                                    </w:pPr>
                                    <w:r>
                                      <w:rPr>
                                        <w:rFonts w:hint="eastAsia" w:cstheme="minorBidi"/>
                                        <w:caps/>
                                        <w:color w:val="5B9BD5" w:themeColor="accent1"/>
                                        <w:sz w:val="28"/>
                                        <w:szCs w:val="28"/>
                                        <w:lang w:val="en-US" w:eastAsia="zh-CN" w:bidi="ar-SA"/>
                                        <w14:textFill>
                                          <w14:solidFill>
                                            <w14:schemeClr w14:val="accent1"/>
                                          </w14:solidFill>
                                        </w14:textFill>
                                      </w:rPr>
                                      <w:t>May 2, 2023</w:t>
                                    </w:r>
                                  </w:p>
                                </w:sdtContent>
                              </w:sdt>
                              <w:p>
                                <w:pPr>
                                  <w:pStyle w:val="16"/>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6"/>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72pt;margin-top:715.6pt;height:46.7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yI7LN1wAAAAQBAAAPAAAAAAAAAAEAIAAAACIAAABkcnMvZG93bnJldi54bWxQSwECFAAU&#10;AAAACACHTuJA9PnvXysCAABnBAAADgAAAAAAAAABACAAAAAmAQAAZHJzL2Uyb0RvYy54bWxQSwUG&#10;AAAAAAYABgBZAQAAww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dataBinding w:prefixMappings="xmlns:ns0='http://schemas.microsoft.com/office/2006/coverPageProps' " w:xpath="/ns0:CoverPageProperties[1]/ns0:PublishDate[1]" w:storeItemID="{55AF091B-3C7A-41E3-B477-F2FDAA23CFDA}"/>
                            <w:date w:fullDate="2023-05-02T00:00:00Z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6"/>
                                <w:spacing w:after="40"/>
                                <w:jc w:val="center"/>
                                <w:rPr>
                                  <w:caps/>
                                  <w:color w:val="5B9BD5" w:themeColor="accent1"/>
                                  <w:sz w:val="28"/>
                                  <w:szCs w:val="28"/>
                                  <w14:textFill>
                                    <w14:solidFill>
                                      <w14:schemeClr w14:val="accent1"/>
                                    </w14:solidFill>
                                  </w14:textFill>
                                </w:rPr>
                              </w:pPr>
                              <w:r>
                                <w:rPr>
                                  <w:rFonts w:hint="eastAsia" w:cstheme="minorBidi"/>
                                  <w:caps/>
                                  <w:color w:val="5B9BD5" w:themeColor="accent1"/>
                                  <w:sz w:val="28"/>
                                  <w:szCs w:val="28"/>
                                  <w:lang w:val="en-US" w:eastAsia="zh-CN" w:bidi="ar-SA"/>
                                  <w14:textFill>
                                    <w14:solidFill>
                                      <w14:schemeClr w14:val="accent1"/>
                                    </w14:solidFill>
                                  </w14:textFill>
                                </w:rPr>
                                <w:t>May 2, 2023</w:t>
                              </w:r>
                            </w:p>
                          </w:sdtContent>
                        </w:sdt>
                        <w:p>
                          <w:pPr>
                            <w:pStyle w:val="16"/>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6"/>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rFonts w:ascii="Arial" w:hAnsi="Arial" w:cs="Arial"/>
              <w:color w:val="5B9BD5" w:themeColor="accent1"/>
              <w:sz w:val="24"/>
              <w:szCs w:val="24"/>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after="0" w:line="480" w:lineRule="auto"/>
            <w:ind w:firstLine="0"/>
            <w:jc w:val="center"/>
            <w:textAlignment w:val="auto"/>
            <w:outlineLvl w:val="9"/>
            <w:rPr>
              <w:rFonts w:hint="eastAsia" w:ascii="Times New Roman" w:hAnsi="Times New Roman" w:eastAsia="宋体" w:cs="Times New Roman"/>
              <w:b/>
              <w:bCs/>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80" w:lineRule="auto"/>
            <w:ind w:firstLine="0"/>
            <w:jc w:val="center"/>
            <w:textAlignment w:val="auto"/>
            <w:outlineLvl w:val="9"/>
            <w:rPr>
              <w:rFonts w:hint="eastAsia" w:ascii="Times New Roman" w:hAnsi="Times New Roman" w:eastAsia="宋体" w:cs="Times New Roman"/>
              <w:b/>
              <w:bCs/>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80" w:lineRule="auto"/>
            <w:ind w:firstLine="0"/>
            <w:jc w:val="center"/>
            <w:textAlignment w:val="auto"/>
            <w:outlineLvl w:val="9"/>
            <w:rPr>
              <w:rFonts w:hint="eastAsia" w:ascii="Times New Roman" w:hAnsi="Times New Roman" w:eastAsia="宋体" w:cs="Times New Roman"/>
              <w:b/>
              <w:bCs/>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80" w:lineRule="auto"/>
            <w:ind w:firstLine="0"/>
            <w:jc w:val="center"/>
            <w:textAlignment w:val="auto"/>
            <w:outlineLvl w:val="9"/>
            <w:rPr>
              <w:rFonts w:hint="eastAsia" w:ascii="Times New Roman" w:hAnsi="Times New Roman" w:eastAsia="宋体" w:cs="Times New Roman"/>
              <w:b/>
              <w:bCs/>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80" w:lineRule="auto"/>
            <w:ind w:firstLine="0"/>
            <w:jc w:val="center"/>
            <w:textAlignment w:val="auto"/>
            <w:outlineLvl w:val="9"/>
            <w:rPr>
              <w:rFonts w:hint="default" w:ascii="Times New Roman" w:hAnsi="Times New Roman" w:eastAsia="宋体" w:cs="Times New Roman"/>
              <w:b/>
              <w:bCs/>
              <w:kern w:val="2"/>
              <w:sz w:val="24"/>
              <w:szCs w:val="24"/>
              <w:lang w:val="en-US" w:eastAsia="zh-CN"/>
            </w:rPr>
          </w:pPr>
          <w:r>
            <w:rPr>
              <w:rFonts w:hint="eastAsia" w:ascii="Times New Roman" w:hAnsi="Times New Roman" w:eastAsia="宋体" w:cs="Times New Roman"/>
              <w:b/>
              <w:bCs/>
              <w:kern w:val="2"/>
              <w:sz w:val="24"/>
              <w:szCs w:val="24"/>
              <w:lang w:val="en-US" w:eastAsia="zh-CN"/>
            </w:rPr>
            <w:t xml:space="preserve">NAME:   </w:t>
          </w:r>
          <w:r>
            <w:rPr>
              <w:rFonts w:hint="eastAsia" w:ascii="Times New Roman" w:hAnsi="Times New Roman" w:eastAsia="宋体" w:cs="Times New Roman"/>
              <w:b/>
              <w:bCs/>
              <w:color w:val="5B9BD5" w:themeColor="accent1"/>
              <w:kern w:val="2"/>
              <w:sz w:val="24"/>
              <w:szCs w:val="24"/>
              <w:lang w:val="en-US" w:eastAsia="zh-CN"/>
              <w14:textFill>
                <w14:solidFill>
                  <w14:schemeClr w14:val="accent1"/>
                </w14:solidFill>
              </w14:textFill>
            </w:rPr>
            <w:t xml:space="preserve"> Tian Gan</w:t>
          </w:r>
        </w:p>
        <w:p>
          <w:pPr>
            <w:keepNext w:val="0"/>
            <w:keepLines w:val="0"/>
            <w:pageBreakBefore w:val="0"/>
            <w:widowControl w:val="0"/>
            <w:kinsoku/>
            <w:wordWrap/>
            <w:overflowPunct/>
            <w:topLinePunct w:val="0"/>
            <w:autoSpaceDE/>
            <w:autoSpaceDN/>
            <w:bidi w:val="0"/>
            <w:adjustRightInd/>
            <w:snapToGrid/>
            <w:spacing w:after="0" w:line="480" w:lineRule="auto"/>
            <w:ind w:firstLine="0"/>
            <w:jc w:val="center"/>
            <w:textAlignment w:val="auto"/>
            <w:outlineLvl w:val="9"/>
            <w:rPr>
              <w:rFonts w:hint="eastAsia" w:ascii="Times New Roman" w:hAnsi="Times New Roman" w:eastAsia="宋体" w:cs="Times New Roman"/>
              <w:b/>
              <w:bCs/>
              <w:color w:val="FF0000"/>
              <w:kern w:val="2"/>
              <w:sz w:val="24"/>
              <w:szCs w:val="24"/>
              <w:lang w:val="en-US" w:eastAsia="zh-CN"/>
            </w:rPr>
          </w:pPr>
          <w:r>
            <w:rPr>
              <w:rFonts w:hint="eastAsia" w:ascii="Times New Roman" w:hAnsi="Times New Roman" w:eastAsia="宋体" w:cs="Times New Roman"/>
              <w:b/>
              <w:bCs/>
              <w:kern w:val="2"/>
              <w:sz w:val="24"/>
              <w:szCs w:val="24"/>
              <w:lang w:val="en-US" w:eastAsia="zh-CN"/>
            </w:rPr>
            <w:t xml:space="preserve">STUDENT NUMBER:   </w:t>
          </w:r>
          <w:r>
            <w:rPr>
              <w:rFonts w:hint="eastAsia" w:ascii="Times New Roman" w:hAnsi="Times New Roman" w:eastAsia="宋体" w:cs="Times New Roman"/>
              <w:b/>
              <w:bCs/>
              <w:color w:val="5B9BD5" w:themeColor="accent1"/>
              <w:kern w:val="2"/>
              <w:sz w:val="24"/>
              <w:szCs w:val="24"/>
              <w:lang w:val="en-US" w:eastAsia="zh-CN"/>
              <w14:textFill>
                <w14:solidFill>
                  <w14:schemeClr w14:val="accent1"/>
                </w14:solidFill>
              </w14:textFill>
            </w:rPr>
            <w:t>2206225</w:t>
          </w:r>
        </w:p>
        <w:p>
          <w:pPr>
            <w:pStyle w:val="2"/>
            <w:spacing w:line="480" w:lineRule="auto"/>
            <w:rPr>
              <w:rFonts w:ascii="Arial" w:hAnsi="Arial" w:cs="Arial"/>
              <w:sz w:val="24"/>
              <w:szCs w:val="24"/>
            </w:rPr>
          </w:pPr>
        </w:p>
        <w:p>
          <w:pPr>
            <w:pStyle w:val="2"/>
            <w:spacing w:line="480" w:lineRule="auto"/>
            <w:rPr>
              <w:rFonts w:ascii="Arial" w:hAnsi="Arial" w:cs="Arial"/>
              <w:sz w:val="24"/>
              <w:szCs w:val="24"/>
            </w:rPr>
          </w:pPr>
          <w:r>
            <w:rPr>
              <w:rFonts w:ascii="Arial" w:hAnsi="Arial" w:cs="Arial"/>
              <w:sz w:val="24"/>
              <w:szCs w:val="24"/>
            </w:rPr>
            <w:br w:type="page"/>
          </w:r>
          <w:bookmarkStart w:id="0" w:name="_Toc133940829"/>
          <w:r>
            <w:t>Executive Summary</w:t>
          </w:r>
          <w:bookmarkEnd w:id="0"/>
        </w:p>
        <w:p>
          <w:pPr>
            <w:spacing w:line="480" w:lineRule="auto"/>
            <w:ind w:firstLine="720"/>
            <w:jc w:val="both"/>
            <w:rPr>
              <w:rFonts w:ascii="Arial" w:hAnsi="Arial" w:cs="Arial"/>
              <w:sz w:val="24"/>
              <w:szCs w:val="24"/>
            </w:rPr>
          </w:pPr>
          <w:r>
            <w:rPr>
              <w:rFonts w:ascii="Arial" w:hAnsi="Arial" w:cs="Arial"/>
              <w:sz w:val="24"/>
              <w:szCs w:val="24"/>
            </w:rPr>
            <w:t xml:space="preserve">This report critically studies a case of DLH’s change management process in response to COVID-19. It is comprised of four parts. Part 1 introduces the background information of DLH and justifies why the company needed to change. COVID-19 had strongly disturbed the world order and economy and affected the aviation industry. DLH needed to respond to the incident by changing </w:t>
          </w:r>
          <w:r>
            <w:rPr>
              <w:rFonts w:ascii="Arial" w:hAnsi="Arial" w:cs="Arial"/>
              <w:sz w:val="24"/>
              <w:szCs w:val="24"/>
              <w:lang w:val="en-US"/>
            </w:rPr>
            <w:t xml:space="preserve">its operations. </w:t>
          </w:r>
          <w:r>
            <w:rPr>
              <w:rFonts w:ascii="Arial" w:hAnsi="Arial" w:cs="Arial"/>
              <w:sz w:val="24"/>
              <w:szCs w:val="24"/>
            </w:rPr>
            <w:t>Part 2 describes and analyses how the company implemented the change. The company had four change activities, including receiving government support, implementing hygiene protocols, improving after-sales service quality and introducing new routes. The change process meets Lewin’s three-stage model as a planned change process. Part 3 evaluates the company’s change management process in terms of business environment analysis, force field analysis and stakeholder analysis. The change process is evaluated by both external and internal business environment models, including the PESTLE and SWOT models, suggesting opportunities and threats. The force field analysis suggests that the change management process could be justified because the driver factors had a larger total score than the resistance factors. The stakeholder analysis suggests that the process had strong supporters, weak supporters, strong opponents and weak opponents. Part 4 evaluates the effectiveness of the company’s change management process and suggests recommendations for further improvement.</w:t>
          </w:r>
        </w:p>
        <w:p>
          <w:pPr>
            <w:spacing w:line="480" w:lineRule="auto"/>
            <w:rPr>
              <w:rFonts w:ascii="Arial" w:hAnsi="Arial" w:cs="Arial"/>
              <w:sz w:val="24"/>
              <w:szCs w:val="24"/>
            </w:rPr>
          </w:pPr>
          <w:r>
            <w:rPr>
              <w:rFonts w:ascii="Arial" w:hAnsi="Arial" w:cs="Arial"/>
              <w:sz w:val="24"/>
              <w:szCs w:val="24"/>
            </w:rPr>
            <w:br w:type="page"/>
          </w:r>
        </w:p>
        <w:sdt>
          <w:sdtPr>
            <w:rPr>
              <w:lang w:val="en-GB"/>
            </w:rPr>
            <w:id w:val="-1297214018"/>
            <w:docPartObj>
              <w:docPartGallery w:val="Table of Contents"/>
              <w:docPartUnique/>
            </w:docPartObj>
          </w:sdtPr>
          <w:sdtEndPr>
            <w:rPr>
              <w:rFonts w:ascii="Arial" w:hAnsi="Arial" w:cs="Arial" w:eastAsiaTheme="minorEastAsia"/>
              <w:b/>
              <w:bCs/>
              <w:color w:val="000000" w:themeColor="text1"/>
              <w:sz w:val="24"/>
              <w:szCs w:val="24"/>
              <w:lang w:val="en-GB"/>
              <w14:textFill>
                <w14:solidFill>
                  <w14:schemeClr w14:val="tx1"/>
                </w14:solidFill>
              </w14:textFill>
            </w:rPr>
          </w:sdtEndPr>
          <w:sdtContent>
            <w:p>
              <w:pPr>
                <w:pStyle w:val="2"/>
                <w:spacing w:line="480" w:lineRule="auto"/>
              </w:pPr>
              <w:r>
                <w:t>Table of Contents</w:t>
              </w:r>
            </w:p>
            <w:p>
              <w:pPr>
                <w:pStyle w:val="8"/>
                <w:tabs>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TOC \o "1-3" \h \z \u </w:instrText>
              </w:r>
              <w:r>
                <w:rPr>
                  <w:rFonts w:ascii="Arial" w:hAnsi="Arial" w:cs="Arial"/>
                  <w:color w:val="000000" w:themeColor="text1"/>
                  <w:sz w:val="24"/>
                  <w:szCs w:val="24"/>
                  <w14:textFill>
                    <w14:solidFill>
                      <w14:schemeClr w14:val="tx1"/>
                    </w14:solidFill>
                  </w14:textFill>
                </w:rPr>
                <w:fldChar w:fldCharType="separate"/>
              </w:r>
              <w:r>
                <w:fldChar w:fldCharType="begin"/>
              </w:r>
              <w:r>
                <w:instrText xml:space="preserve"> HYPERLINK \l "_Toc133940829" </w:instrText>
              </w:r>
              <w:r>
                <w:fldChar w:fldCharType="separate"/>
              </w:r>
              <w:r>
                <w:rPr>
                  <w:rStyle w:val="15"/>
                  <w:rFonts w:ascii="Arial" w:hAnsi="Arial" w:cs="Arial"/>
                  <w:color w:val="000000" w:themeColor="text1"/>
                  <w:sz w:val="24"/>
                  <w:szCs w:val="24"/>
                  <w14:textFill>
                    <w14:solidFill>
                      <w14:schemeClr w14:val="tx1"/>
                    </w14:solidFill>
                  </w14:textFill>
                </w:rPr>
                <w:t>Executive Summary</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_Toc133940829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8"/>
                <w:tabs>
                  <w:tab w:val="left" w:pos="42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"_Toc133940830" </w:instrText>
              </w:r>
              <w:r>
                <w:fldChar w:fldCharType="separate"/>
              </w:r>
              <w:r>
                <w:rPr>
                  <w:rStyle w:val="15"/>
                  <w:rFonts w:ascii="Arial" w:hAnsi="Arial" w:cs="Arial"/>
                  <w:color w:val="000000" w:themeColor="text1"/>
                  <w:sz w:val="24"/>
                  <w:szCs w:val="24"/>
                  <w14:textFill>
                    <w14:solidFill>
                      <w14:schemeClr w14:val="tx1"/>
                    </w14:solidFill>
                  </w14:textFill>
                </w:rPr>
                <w:t>1.</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Introduction</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_Toc133940830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3</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9"/>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"_Toc133940831" </w:instrText>
              </w:r>
              <w:r>
                <w:fldChar w:fldCharType="separate"/>
              </w:r>
              <w:r>
                <w:rPr>
                  <w:rStyle w:val="15"/>
                  <w:rFonts w:ascii="Arial" w:hAnsi="Arial" w:cs="Arial"/>
                  <w:color w:val="000000" w:themeColor="text1"/>
                  <w:sz w:val="24"/>
                  <w:szCs w:val="24"/>
                  <w14:textFill>
                    <w14:solidFill>
                      <w14:schemeClr w14:val="tx1"/>
                    </w14:solidFill>
                  </w14:textFill>
                </w:rPr>
                <w:t>1.1.</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shd w:val="clear" w:color="auto" w:fill="FFFFFF"/>
                  <w14:textFill>
                    <w14:solidFill>
                      <w14:schemeClr w14:val="tx1"/>
                    </w14:solidFill>
                  </w14:textFill>
                </w:rPr>
                <w:t>Introduction to the Organisation</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_Toc133940831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3</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9"/>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"_Toc133940832" </w:instrText>
              </w:r>
              <w:r>
                <w:fldChar w:fldCharType="separate"/>
              </w:r>
              <w:r>
                <w:rPr>
                  <w:rStyle w:val="15"/>
                  <w:rFonts w:ascii="Arial" w:hAnsi="Arial" w:cs="Arial"/>
                  <w:color w:val="000000" w:themeColor="text1"/>
                  <w:sz w:val="24"/>
                  <w:szCs w:val="24"/>
                  <w14:textFill>
                    <w14:solidFill>
                      <w14:schemeClr w14:val="tx1"/>
                    </w14:solidFill>
                  </w14:textFill>
                </w:rPr>
                <w:t>1.2.</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shd w:val="clear" w:color="auto" w:fill="FFFFFF"/>
                  <w14:textFill>
                    <w14:solidFill>
                      <w14:schemeClr w14:val="tx1"/>
                    </w14:solidFill>
                  </w14:textFill>
                </w:rPr>
                <w:t>Change Management</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_Toc133940832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3</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9"/>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"_Toc133940833" </w:instrText>
              </w:r>
              <w:r>
                <w:fldChar w:fldCharType="separate"/>
              </w:r>
              <w:r>
                <w:rPr>
                  <w:rStyle w:val="15"/>
                  <w:rFonts w:ascii="Arial" w:hAnsi="Arial" w:cs="Arial"/>
                  <w:color w:val="000000" w:themeColor="text1"/>
                  <w:sz w:val="24"/>
                  <w:szCs w:val="24"/>
                  <w14:textFill>
                    <w14:solidFill>
                      <w14:schemeClr w14:val="tx1"/>
                    </w14:solidFill>
                  </w14:textFill>
                </w:rPr>
                <w:t>1.3.</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shd w:val="clear" w:color="auto" w:fill="FFFFFF"/>
                  <w14:textFill>
                    <w14:solidFill>
                      <w14:schemeClr w14:val="tx1"/>
                    </w14:solidFill>
                  </w14:textFill>
                </w:rPr>
                <w:t>Reasons For DLH to Change</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_Toc133940833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4</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9"/>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"_Toc133940834" </w:instrText>
              </w:r>
              <w:r>
                <w:fldChar w:fldCharType="separate"/>
              </w:r>
              <w:r>
                <w:rPr>
                  <w:rStyle w:val="15"/>
                  <w:rFonts w:ascii="Arial" w:hAnsi="Arial" w:cs="Arial"/>
                  <w:color w:val="000000" w:themeColor="text1"/>
                  <w:sz w:val="24"/>
                  <w:szCs w:val="24"/>
                  <w14:textFill>
                    <w14:solidFill>
                      <w14:schemeClr w14:val="tx1"/>
                    </w14:solidFill>
                  </w14:textFill>
                </w:rPr>
                <w:t>1.4.</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shd w:val="clear" w:color="auto" w:fill="FFFFFF"/>
                  <w14:textFill>
                    <w14:solidFill>
                      <w14:schemeClr w14:val="tx1"/>
                    </w14:solidFill>
                  </w14:textFill>
                </w:rPr>
                <w:t>Report Structure</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_Toc133940834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4</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8"/>
                <w:tabs>
                  <w:tab w:val="left" w:pos="42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"_Toc133940835" </w:instrText>
              </w:r>
              <w:r>
                <w:fldChar w:fldCharType="separate"/>
              </w:r>
              <w:r>
                <w:rPr>
                  <w:rStyle w:val="15"/>
                  <w:rFonts w:ascii="Arial" w:hAnsi="Arial" w:cs="Arial"/>
                  <w:color w:val="000000" w:themeColor="text1"/>
                  <w:sz w:val="24"/>
                  <w:szCs w:val="24"/>
                  <w14:textFill>
                    <w14:solidFill>
                      <w14:schemeClr w14:val="tx1"/>
                    </w14:solidFill>
                  </w14:textFill>
                </w:rPr>
                <w:t>2.</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Implementation of Change Management</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_Toc133940835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5</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8"/>
                <w:tabs>
                  <w:tab w:val="left" w:pos="42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"_Toc133940836" </w:instrText>
              </w:r>
              <w:r>
                <w:fldChar w:fldCharType="separate"/>
              </w:r>
              <w:r>
                <w:rPr>
                  <w:rStyle w:val="15"/>
                  <w:rFonts w:ascii="Arial" w:hAnsi="Arial" w:cs="Arial"/>
                  <w:color w:val="000000" w:themeColor="text1"/>
                  <w:sz w:val="24"/>
                  <w:szCs w:val="24"/>
                  <w14:textFill>
                    <w14:solidFill>
                      <w14:schemeClr w14:val="tx1"/>
                    </w14:solidFill>
                  </w14:textFill>
                </w:rPr>
                <w:t>3.</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Evaluation of DLH’s Change Management Model</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_Toc133940836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7</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9"/>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"_Toc133940837" </w:instrText>
              </w:r>
              <w:r>
                <w:fldChar w:fldCharType="separate"/>
              </w:r>
              <w:r>
                <w:rPr>
                  <w:rStyle w:val="15"/>
                  <w:rFonts w:ascii="Arial" w:hAnsi="Arial" w:cs="Arial"/>
                  <w:color w:val="000000" w:themeColor="text1"/>
                  <w:sz w:val="24"/>
                  <w:szCs w:val="24"/>
                  <w14:textFill>
                    <w14:solidFill>
                      <w14:schemeClr w14:val="tx1"/>
                    </w14:solidFill>
                  </w14:textFill>
                </w:rPr>
                <w:t>3.1.</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Business Environmental Analysis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_Toc133940837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8</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9"/>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"_Toc133940838" </w:instrText>
              </w:r>
              <w:r>
                <w:fldChar w:fldCharType="separate"/>
              </w:r>
              <w:r>
                <w:rPr>
                  <w:rStyle w:val="15"/>
                  <w:rFonts w:ascii="Arial" w:hAnsi="Arial" w:cs="Arial"/>
                  <w:color w:val="000000" w:themeColor="text1"/>
                  <w:sz w:val="24"/>
                  <w:szCs w:val="24"/>
                  <w14:textFill>
                    <w14:solidFill>
                      <w14:schemeClr w14:val="tx1"/>
                    </w14:solidFill>
                  </w14:textFill>
                </w:rPr>
                <w:t>3.2.</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Force Field Analysis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_Toc133940838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12</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5"/>
                <w:tabs>
                  <w:tab w:val="left" w:pos="1680"/>
                  <w:tab w:val="right" w:leader="dot" w:pos="9016"/>
                </w:tabs>
                <w:spacing w:line="480" w:lineRule="auto"/>
                <w:ind w:left="880"/>
                <w:rPr>
                  <w:rFonts w:ascii="Arial" w:hAnsi="Arial" w:cs="Arial"/>
                  <w:color w:val="000000" w:themeColor="text1"/>
                  <w:sz w:val="24"/>
                  <w:szCs w:val="24"/>
                  <w14:textFill>
                    <w14:solidFill>
                      <w14:schemeClr w14:val="tx1"/>
                    </w14:solidFill>
                  </w14:textFill>
                </w:rPr>
              </w:pPr>
              <w:r>
                <w:fldChar w:fldCharType="begin"/>
              </w:r>
              <w:r>
                <w:instrText xml:space="preserve"> HYPERLINK \l "_Toc133940839" </w:instrText>
              </w:r>
              <w:r>
                <w:fldChar w:fldCharType="separate"/>
              </w:r>
              <w:r>
                <w:rPr>
                  <w:rStyle w:val="15"/>
                  <w:rFonts w:ascii="Arial" w:hAnsi="Arial" w:cs="Arial"/>
                  <w:color w:val="000000" w:themeColor="text1"/>
                  <w:sz w:val="24"/>
                  <w:szCs w:val="24"/>
                  <w14:textFill>
                    <w14:solidFill>
                      <w14:schemeClr w14:val="tx1"/>
                    </w14:solidFill>
                  </w14:textFill>
                </w:rPr>
                <w:t>3.2.1.</w:t>
              </w:r>
              <w:r>
                <w:rPr>
                  <w:rFonts w:ascii="Arial" w:hAnsi="Arial" w:cs="Arial"/>
                  <w:color w:val="000000" w:themeColor="text1"/>
                  <w:sz w:val="24"/>
                  <w:szCs w:val="24"/>
                  <w14:textFill>
                    <w14:solidFill>
                      <w14:schemeClr w14:val="tx1"/>
                    </w14:solidFill>
                  </w14:textFill>
                </w:rPr>
                <w:tab/>
              </w:r>
              <w:r>
                <w:rPr>
                  <w:rStyle w:val="15"/>
                  <w:rFonts w:ascii="Arial" w:hAnsi="Arial" w:cs="Arial"/>
                  <w:color w:val="000000" w:themeColor="text1"/>
                  <w:sz w:val="24"/>
                  <w:szCs w:val="24"/>
                  <w14:textFill>
                    <w14:solidFill>
                      <w14:schemeClr w14:val="tx1"/>
                    </w14:solidFill>
                  </w14:textFill>
                </w:rPr>
                <w:t>Driver Factors to Change</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_Toc133940839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12</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5"/>
                <w:tabs>
                  <w:tab w:val="left" w:pos="1680"/>
                  <w:tab w:val="right" w:leader="dot" w:pos="9016"/>
                </w:tabs>
                <w:spacing w:line="480" w:lineRule="auto"/>
                <w:ind w:left="880"/>
                <w:rPr>
                  <w:rFonts w:ascii="Arial" w:hAnsi="Arial" w:cs="Arial"/>
                  <w:color w:val="000000" w:themeColor="text1"/>
                  <w:sz w:val="24"/>
                  <w:szCs w:val="24"/>
                  <w14:textFill>
                    <w14:solidFill>
                      <w14:schemeClr w14:val="tx1"/>
                    </w14:solidFill>
                  </w14:textFill>
                </w:rPr>
              </w:pPr>
              <w:r>
                <w:fldChar w:fldCharType="begin"/>
              </w:r>
              <w:r>
                <w:instrText xml:space="preserve"> HYPERLINK \l "_Toc133940840" </w:instrText>
              </w:r>
              <w:r>
                <w:fldChar w:fldCharType="separate"/>
              </w:r>
              <w:r>
                <w:rPr>
                  <w:rStyle w:val="15"/>
                  <w:rFonts w:ascii="Arial" w:hAnsi="Arial" w:cs="Arial"/>
                  <w:color w:val="000000" w:themeColor="text1"/>
                  <w:sz w:val="24"/>
                  <w:szCs w:val="24"/>
                  <w14:textFill>
                    <w14:solidFill>
                      <w14:schemeClr w14:val="tx1"/>
                    </w14:solidFill>
                  </w14:textFill>
                </w:rPr>
                <w:t>3.2.2.</w:t>
              </w:r>
              <w:r>
                <w:rPr>
                  <w:rFonts w:ascii="Arial" w:hAnsi="Arial" w:cs="Arial"/>
                  <w:color w:val="000000" w:themeColor="text1"/>
                  <w:sz w:val="24"/>
                  <w:szCs w:val="24"/>
                  <w14:textFill>
                    <w14:solidFill>
                      <w14:schemeClr w14:val="tx1"/>
                    </w14:solidFill>
                  </w14:textFill>
                </w:rPr>
                <w:tab/>
              </w:r>
              <w:r>
                <w:rPr>
                  <w:rStyle w:val="15"/>
                  <w:rFonts w:ascii="Arial" w:hAnsi="Arial" w:cs="Arial"/>
                  <w:color w:val="000000" w:themeColor="text1"/>
                  <w:sz w:val="24"/>
                  <w:szCs w:val="24"/>
                  <w14:textFill>
                    <w14:solidFill>
                      <w14:schemeClr w14:val="tx1"/>
                    </w14:solidFill>
                  </w14:textFill>
                </w:rPr>
                <w:t>Resistance Factors to Change and Solutions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_Toc133940840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14</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9"/>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"_Toc133940841" </w:instrText>
              </w:r>
              <w:r>
                <w:fldChar w:fldCharType="separate"/>
              </w:r>
              <w:r>
                <w:rPr>
                  <w:rStyle w:val="15"/>
                  <w:rFonts w:ascii="Arial" w:hAnsi="Arial" w:cs="Arial"/>
                  <w:color w:val="000000" w:themeColor="text1"/>
                  <w:sz w:val="24"/>
                  <w:szCs w:val="24"/>
                  <w14:textFill>
                    <w14:solidFill>
                      <w14:schemeClr w14:val="tx1"/>
                    </w14:solidFill>
                  </w14:textFill>
                </w:rPr>
                <w:t>3.3.</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Stakeholder Analysis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_Toc133940841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15</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8"/>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"_Toc133940842" </w:instrText>
              </w:r>
              <w:r>
                <w:fldChar w:fldCharType="separate"/>
              </w:r>
              <w:r>
                <w:rPr>
                  <w:rStyle w:val="15"/>
                  <w:rFonts w:ascii="Arial" w:hAnsi="Arial" w:cs="Arial"/>
                  <w:color w:val="000000" w:themeColor="text1"/>
                  <w:sz w:val="24"/>
                  <w:szCs w:val="24"/>
                  <w14:textFill>
                    <w14:solidFill>
                      <w14:schemeClr w14:val="tx1"/>
                    </w14:solidFill>
                  </w14:textFill>
                </w:rPr>
                <w:t>4.</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Evaluation of Effectiveness of DLH’s Change Management Process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_Toc133940842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16</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8"/>
                <w:tabs>
                  <w:tab w:val="left" w:pos="840"/>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"_Toc133940843" </w:instrText>
              </w:r>
              <w:r>
                <w:fldChar w:fldCharType="separate"/>
              </w:r>
              <w:r>
                <w:rPr>
                  <w:rStyle w:val="15"/>
                  <w:rFonts w:ascii="Arial" w:hAnsi="Arial" w:cs="Arial"/>
                  <w:color w:val="000000" w:themeColor="text1"/>
                  <w:sz w:val="24"/>
                  <w:szCs w:val="24"/>
                  <w14:textFill>
                    <w14:solidFill>
                      <w14:schemeClr w14:val="tx1"/>
                    </w14:solidFill>
                  </w14:textFill>
                </w:rPr>
                <w:t>5.</w:t>
              </w:r>
              <w:r>
                <w:rPr>
                  <w:rFonts w:ascii="Arial" w:hAnsi="Arial" w:cs="Arial"/>
                  <w:color w:val="000000" w:themeColor="text1"/>
                  <w:kern w:val="2"/>
                  <w:sz w:val="24"/>
                  <w:szCs w:val="24"/>
                  <w:lang w:val="en-US" w:eastAsia="zh-CN"/>
                  <w14:textFill>
                    <w14:solidFill>
                      <w14:schemeClr w14:val="tx1"/>
                    </w14:solidFill>
                  </w14:textFill>
                  <w14:ligatures w14:val="standardContextual"/>
                </w:rPr>
                <w:tab/>
              </w:r>
              <w:r>
                <w:rPr>
                  <w:rStyle w:val="15"/>
                  <w:rFonts w:ascii="Arial" w:hAnsi="Arial" w:cs="Arial"/>
                  <w:color w:val="000000" w:themeColor="text1"/>
                  <w:sz w:val="24"/>
                  <w:szCs w:val="24"/>
                  <w14:textFill>
                    <w14:solidFill>
                      <w14:schemeClr w14:val="tx1"/>
                    </w14:solidFill>
                  </w14:textFill>
                </w:rPr>
                <w:t>Conclusion and Recommendations</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_Toc133940843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17</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pStyle w:val="8"/>
                <w:tabs>
                  <w:tab w:val="right" w:leader="dot" w:pos="9016"/>
                </w:tabs>
                <w:spacing w:line="480" w:lineRule="auto"/>
                <w:rPr>
                  <w:rFonts w:ascii="Arial" w:hAnsi="Arial" w:cs="Arial"/>
                  <w:color w:val="000000" w:themeColor="text1"/>
                  <w:kern w:val="2"/>
                  <w:sz w:val="24"/>
                  <w:szCs w:val="24"/>
                  <w:lang w:val="en-US" w:eastAsia="zh-CN"/>
                  <w14:textFill>
                    <w14:solidFill>
                      <w14:schemeClr w14:val="tx1"/>
                    </w14:solidFill>
                  </w14:textFill>
                  <w14:ligatures w14:val="standardContextual"/>
                </w:rPr>
              </w:pPr>
              <w:r>
                <w:fldChar w:fldCharType="begin"/>
              </w:r>
              <w:r>
                <w:instrText xml:space="preserve"> HYPERLINK \l "_Toc133940844" </w:instrText>
              </w:r>
              <w:r>
                <w:fldChar w:fldCharType="separate"/>
              </w:r>
              <w:r>
                <w:rPr>
                  <w:rStyle w:val="15"/>
                  <w:rFonts w:ascii="Arial" w:hAnsi="Arial" w:cs="Arial"/>
                  <w:color w:val="000000" w:themeColor="text1"/>
                  <w:sz w:val="24"/>
                  <w:szCs w:val="24"/>
                  <w14:textFill>
                    <w14:solidFill>
                      <w14:schemeClr w14:val="tx1"/>
                    </w14:solidFill>
                  </w14:textFill>
                </w:rPr>
                <w:t>Bibliography</w:t>
              </w:r>
              <w:r>
                <w:rPr>
                  <w:rFonts w:ascii="Arial" w:hAnsi="Arial" w:cs="Arial"/>
                  <w:color w:val="000000" w:themeColor="text1"/>
                  <w:sz w:val="24"/>
                  <w:szCs w:val="24"/>
                  <w14:textFill>
                    <w14:solidFill>
                      <w14:schemeClr w14:val="tx1"/>
                    </w14:solidFill>
                  </w14:textFill>
                </w:rPr>
                <w:tab/>
              </w:r>
              <w:r>
                <w:rPr>
                  <w:rFonts w:ascii="Arial" w:hAnsi="Arial" w:cs="Arial"/>
                  <w:color w:val="000000" w:themeColor="text1"/>
                  <w:sz w:val="24"/>
                  <w:szCs w:val="24"/>
                  <w14:textFill>
                    <w14:solidFill>
                      <w14:schemeClr w14:val="tx1"/>
                    </w14:solidFill>
                  </w14:textFill>
                </w:rPr>
                <w:fldChar w:fldCharType="begin"/>
              </w:r>
              <w:r>
                <w:rPr>
                  <w:rFonts w:ascii="Arial" w:hAnsi="Arial" w:cs="Arial"/>
                  <w:color w:val="000000" w:themeColor="text1"/>
                  <w:sz w:val="24"/>
                  <w:szCs w:val="24"/>
                  <w14:textFill>
                    <w14:solidFill>
                      <w14:schemeClr w14:val="tx1"/>
                    </w14:solidFill>
                  </w14:textFill>
                </w:rPr>
                <w:instrText xml:space="preserve"> PAGEREF _Toc133940844 \h </w:instrText>
              </w:r>
              <w:r>
                <w:rPr>
                  <w:rFonts w:ascii="Arial" w:hAnsi="Arial" w:cs="Arial"/>
                  <w:color w:val="000000" w:themeColor="text1"/>
                  <w:sz w:val="24"/>
                  <w:szCs w:val="24"/>
                  <w14:textFill>
                    <w14:solidFill>
                      <w14:schemeClr w14:val="tx1"/>
                    </w14:solidFill>
                  </w14:textFill>
                </w:rPr>
                <w:fldChar w:fldCharType="separate"/>
              </w:r>
              <w:r>
                <w:rPr>
                  <w:rFonts w:ascii="Arial" w:hAnsi="Arial" w:cs="Arial"/>
                  <w:color w:val="000000" w:themeColor="text1"/>
                  <w:sz w:val="24"/>
                  <w:szCs w:val="24"/>
                  <w14:textFill>
                    <w14:solidFill>
                      <w14:schemeClr w14:val="tx1"/>
                    </w14:solidFill>
                  </w14:textFill>
                </w:rPr>
                <w:t>19</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fldChar w:fldCharType="end"/>
              </w:r>
            </w:p>
            <w:p>
              <w:pPr>
                <w:spacing w:line="480" w:lineRule="auto"/>
                <w:rPr>
                  <w:rFonts w:ascii="Arial" w:hAnsi="Arial" w:cs="Arial"/>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fldChar w:fldCharType="end"/>
              </w:r>
              <w:r>
                <w:rPr>
                  <w:rFonts w:ascii="Arial" w:hAnsi="Arial" w:cs="Arial"/>
                  <w:b/>
                  <w:bCs/>
                  <w:color w:val="000000" w:themeColor="text1"/>
                  <w:sz w:val="24"/>
                  <w:szCs w:val="24"/>
                  <w14:textFill>
                    <w14:solidFill>
                      <w14:schemeClr w14:val="tx1"/>
                    </w14:solidFill>
                  </w14:textFill>
                </w:rPr>
                <w:t xml:space="preserve"> </w:t>
              </w:r>
            </w:p>
          </w:sdtContent>
        </w:sdt>
        <w:p>
          <w:pPr>
            <w:spacing w:line="480" w:lineRule="auto"/>
            <w:rPr>
              <w:rFonts w:ascii="Arial" w:hAnsi="Arial" w:cs="Arial"/>
              <w:sz w:val="24"/>
              <w:szCs w:val="24"/>
            </w:rPr>
          </w:pPr>
          <w:r>
            <w:rPr>
              <w:rFonts w:ascii="Arial" w:hAnsi="Arial" w:cs="Arial"/>
              <w:sz w:val="24"/>
              <w:szCs w:val="24"/>
            </w:rPr>
            <w:br w:type="page"/>
          </w:r>
        </w:p>
        <w:p>
          <w:pPr>
            <w:pStyle w:val="2"/>
            <w:numPr>
              <w:ilvl w:val="0"/>
              <w:numId w:val="1"/>
            </w:numPr>
            <w:spacing w:line="480" w:lineRule="auto"/>
            <w:jc w:val="both"/>
            <w:rPr>
              <w:rFonts w:ascii="Arial" w:hAnsi="Arial" w:cs="Arial"/>
              <w:sz w:val="24"/>
              <w:szCs w:val="24"/>
            </w:rPr>
          </w:pPr>
          <w:bookmarkStart w:id="1" w:name="_Toc133940830"/>
          <w:r>
            <w:rPr>
              <w:rFonts w:ascii="Arial" w:hAnsi="Arial" w:cs="Arial"/>
              <w:sz w:val="24"/>
              <w:szCs w:val="24"/>
            </w:rPr>
            <w:t>Introduction</w:t>
          </w:r>
          <w:bookmarkEnd w:id="1"/>
        </w:p>
        <w:p>
          <w:pPr>
            <w:pStyle w:val="3"/>
            <w:numPr>
              <w:ilvl w:val="1"/>
              <w:numId w:val="1"/>
            </w:numPr>
            <w:spacing w:line="480" w:lineRule="auto"/>
            <w:rPr>
              <w:rFonts w:ascii="Arial" w:hAnsi="Arial" w:cs="Arial"/>
              <w:sz w:val="24"/>
              <w:szCs w:val="24"/>
              <w:shd w:val="clear" w:color="auto" w:fill="FFFFFF"/>
            </w:rPr>
          </w:pPr>
          <w:bookmarkStart w:id="2" w:name="_Toc133940831"/>
          <w:r>
            <w:rPr>
              <w:rFonts w:ascii="Arial" w:hAnsi="Arial" w:cs="Arial"/>
              <w:sz w:val="24"/>
              <w:szCs w:val="24"/>
              <w:shd w:val="clear" w:color="auto" w:fill="FFFFFF"/>
            </w:rPr>
            <w:t xml:space="preserve">Introduction to the </w:t>
          </w:r>
          <w:bookmarkEnd w:id="2"/>
          <w:r>
            <w:rPr>
              <w:rFonts w:hint="eastAsia" w:ascii="Arial" w:hAnsi="Arial" w:cs="Arial"/>
              <w:sz w:val="24"/>
              <w:szCs w:val="24"/>
              <w:shd w:val="clear" w:color="auto" w:fill="FFFFFF"/>
              <w:lang w:eastAsia="zh-CN"/>
            </w:rPr>
            <w:t>Organization</w:t>
          </w:r>
        </w:p>
        <w:p>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Deutsche Lufthansa AG, known as Lufthansa or DLH, is a German airline. The airline company was founded in 1953 but can date back to 1926 when Deutsche Luft</w:t>
          </w:r>
          <w:r>
            <w:rPr>
              <w:rFonts w:hint="eastAsia" w:ascii="Arial" w:hAnsi="Arial" w:cs="Arial"/>
              <w:color w:val="222222"/>
              <w:sz w:val="24"/>
              <w:szCs w:val="24"/>
              <w:shd w:val="clear" w:color="auto" w:fill="FFFFFF"/>
              <w:lang w:val="en-US" w:eastAsia="zh-CN"/>
            </w:rPr>
            <w:t>h</w:t>
          </w:r>
          <w:r>
            <w:rPr>
              <w:rFonts w:ascii="Arial" w:hAnsi="Arial" w:cs="Arial"/>
              <w:color w:val="222222"/>
              <w:sz w:val="24"/>
              <w:szCs w:val="24"/>
              <w:shd w:val="clear" w:color="auto" w:fill="FFFFFF"/>
            </w:rPr>
            <w:t>ansa was formed. Living through the second world war, DLH has become one of the largest airline companies in Europe. The company’s fleet is comprised of 710 planes, covering Airbus A220, A319, A320, A330, A340, A350, A380, Boeing 747, 767, 777, 787, 777F, and Bombardier CRJ, Q-Series (DLH, 2022). The company provides 620 routes to 71 countries, among which 61 are domestic routes and 559 are international routes (Monondo, n.d.). Its business operations cover not only passenger transport but also cargo transport, catering service and technical maintenance service. DLH has been committed to sustainability, with its focus on carbon emission reduction and waste reduction.</w:t>
          </w:r>
        </w:p>
        <w:p>
          <w:pPr>
            <w:pStyle w:val="3"/>
            <w:numPr>
              <w:ilvl w:val="1"/>
              <w:numId w:val="1"/>
            </w:numPr>
            <w:spacing w:line="480" w:lineRule="auto"/>
            <w:rPr>
              <w:rFonts w:ascii="Arial" w:hAnsi="Arial" w:cs="Arial"/>
              <w:sz w:val="24"/>
              <w:szCs w:val="24"/>
              <w:shd w:val="clear" w:color="auto" w:fill="FFFFFF"/>
            </w:rPr>
          </w:pPr>
          <w:bookmarkStart w:id="3" w:name="_Toc133940832"/>
          <w:r>
            <w:rPr>
              <w:rFonts w:ascii="Arial" w:hAnsi="Arial" w:cs="Arial"/>
              <w:sz w:val="24"/>
              <w:szCs w:val="24"/>
              <w:shd w:val="clear" w:color="auto" w:fill="FFFFFF"/>
            </w:rPr>
            <w:t>Change Management</w:t>
          </w:r>
          <w:bookmarkEnd w:id="3"/>
        </w:p>
        <w:p>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 xml:space="preserve">Change management refers to the process of transitioning individuals, groups, </w:t>
          </w:r>
          <w:r>
            <w:rPr>
              <w:rFonts w:hint="eastAsia" w:ascii="Arial" w:hAnsi="Arial" w:cs="Arial"/>
              <w:color w:val="222222"/>
              <w:sz w:val="24"/>
              <w:szCs w:val="24"/>
              <w:shd w:val="clear" w:color="auto" w:fill="FFFFFF"/>
              <w:lang w:eastAsia="zh-CN"/>
            </w:rPr>
            <w:t>organization</w:t>
          </w:r>
          <w:r>
            <w:rPr>
              <w:rFonts w:hint="eastAsia" w:ascii="Arial" w:hAnsi="Arial" w:cs="Arial"/>
              <w:color w:val="222222"/>
              <w:sz w:val="24"/>
              <w:szCs w:val="24"/>
              <w:shd w:val="clear" w:color="auto" w:fill="FFFFFF"/>
              <w:lang w:val="en-US" w:eastAsia="zh-CN"/>
            </w:rPr>
            <w:t>s</w:t>
          </w:r>
          <w:r>
            <w:rPr>
              <w:rFonts w:ascii="Arial" w:hAnsi="Arial" w:cs="Arial"/>
              <w:color w:val="222222"/>
              <w:sz w:val="24"/>
              <w:szCs w:val="24"/>
              <w:shd w:val="clear" w:color="auto" w:fill="FFFFFF"/>
            </w:rPr>
            <w:t xml:space="preserve">, structures and projects within an </w:t>
          </w:r>
          <w:r>
            <w:rPr>
              <w:rFonts w:hint="eastAsia" w:ascii="Arial" w:hAnsi="Arial" w:cs="Arial"/>
              <w:color w:val="222222"/>
              <w:sz w:val="24"/>
              <w:szCs w:val="24"/>
              <w:shd w:val="clear" w:color="auto" w:fill="FFFFFF"/>
              <w:lang w:eastAsia="zh-CN"/>
            </w:rPr>
            <w:t>organization</w:t>
          </w:r>
          <w:r>
            <w:rPr>
              <w:rFonts w:ascii="Arial" w:hAnsi="Arial" w:cs="Arial"/>
              <w:color w:val="222222"/>
              <w:sz w:val="24"/>
              <w:szCs w:val="24"/>
              <w:shd w:val="clear" w:color="auto" w:fill="FFFFFF"/>
            </w:rPr>
            <w:t xml:space="preserve"> from one state to another for the purpose of implementing the change effectively and efficiently with minimal disruption to business operations (Lauer, 2010). Within the scope of business, change management means that the scope of a business must be transitioned in a way to meet changing situations. A constant thing in business is change, which means that a business is unlikely to keep the status quo forever (By, 2005). When the environment, regardless of external environment or internal environment, changes, the business is supposed to adapt itself to the change.</w:t>
          </w:r>
        </w:p>
        <w:p>
          <w:pPr>
            <w:pStyle w:val="3"/>
            <w:numPr>
              <w:ilvl w:val="1"/>
              <w:numId w:val="1"/>
            </w:numPr>
            <w:spacing w:line="480" w:lineRule="auto"/>
            <w:rPr>
              <w:rFonts w:ascii="Arial" w:hAnsi="Arial" w:cs="Arial"/>
              <w:sz w:val="24"/>
              <w:szCs w:val="24"/>
              <w:shd w:val="clear" w:color="auto" w:fill="FFFFFF"/>
            </w:rPr>
          </w:pPr>
          <w:bookmarkStart w:id="4" w:name="_Toc133940833"/>
          <w:r>
            <w:rPr>
              <w:rFonts w:ascii="Arial" w:hAnsi="Arial" w:cs="Arial"/>
              <w:sz w:val="24"/>
              <w:szCs w:val="24"/>
              <w:shd w:val="clear" w:color="auto" w:fill="FFFFFF"/>
            </w:rPr>
            <w:t>Reasons For DLH to Change</w:t>
          </w:r>
          <w:bookmarkEnd w:id="4"/>
        </w:p>
        <w:p>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 xml:space="preserve">DLH faced several reasons to consider </w:t>
          </w:r>
          <w:r>
            <w:rPr>
              <w:rFonts w:hint="eastAsia" w:ascii="Arial" w:hAnsi="Arial" w:cs="Arial"/>
              <w:color w:val="222222"/>
              <w:sz w:val="24"/>
              <w:szCs w:val="24"/>
              <w:shd w:val="clear" w:color="auto" w:fill="FFFFFF"/>
              <w:lang w:eastAsia="zh-CN"/>
            </w:rPr>
            <w:t>organizational</w:t>
          </w:r>
          <w:r>
            <w:rPr>
              <w:rFonts w:ascii="Arial" w:hAnsi="Arial" w:cs="Arial"/>
              <w:color w:val="222222"/>
              <w:sz w:val="24"/>
              <w:szCs w:val="24"/>
              <w:shd w:val="clear" w:color="auto" w:fill="FFFFFF"/>
            </w:rPr>
            <w:t xml:space="preserve"> change. In the long term, the United States dominated in the international airlines industry due to its economic power, followed by Europe (Fulton, 2022). Although DLH was one of the largest airlines companies in Europe and had the majority of its routes in the international market, it still could not dominate the international market. In this large context, DLH was subject to short-term and middle-term changes in the industry. In the middle term, the US dollar had been fluctuated due to the country’s contracting fiscal policy, which increased the company’s operations cost of international air transport (Excelsior, 2023). In the short term, COVID-19 breaking out in December 2019 had strongly disturbed the world order and economy. Most countries had social distancing policies, which significantly reduced the demand for transborder travel (Shortall et al., 2022). As such, the supply exceeded the demand in the market, causing some small airlines companies in crisis. Therefore, DLH should change its current operations to sustain profitability of its business.</w:t>
          </w:r>
        </w:p>
        <w:p>
          <w:pPr>
            <w:pStyle w:val="3"/>
            <w:numPr>
              <w:ilvl w:val="1"/>
              <w:numId w:val="1"/>
            </w:numPr>
            <w:spacing w:line="480" w:lineRule="auto"/>
            <w:rPr>
              <w:rFonts w:ascii="Arial" w:hAnsi="Arial" w:cs="Arial"/>
              <w:sz w:val="24"/>
              <w:szCs w:val="24"/>
              <w:shd w:val="clear" w:color="auto" w:fill="FFFFFF"/>
            </w:rPr>
          </w:pPr>
          <w:bookmarkStart w:id="5" w:name="_Toc133940834"/>
          <w:r>
            <w:rPr>
              <w:rFonts w:ascii="Arial" w:hAnsi="Arial" w:cs="Arial"/>
              <w:sz w:val="24"/>
              <w:szCs w:val="24"/>
              <w:shd w:val="clear" w:color="auto" w:fill="FFFFFF"/>
            </w:rPr>
            <w:t>Report Structure</w:t>
          </w:r>
          <w:bookmarkEnd w:id="5"/>
        </w:p>
        <w:p>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This report is comprised of four parts. Part 1 introduces the background information of DLH and justifies why the company needed to change. Part 2 describes and analyses how the company implemented the change. Part 3 evaluates the company’s change management process in terms of business environment analysis, force field analysis and stakeholder analysis. Part 4 evaluates the effectiveness of the company’s change management process and suggests recommendations for further improvement.</w:t>
          </w:r>
        </w:p>
        <w:p>
          <w:pPr>
            <w:pStyle w:val="2"/>
            <w:numPr>
              <w:ilvl w:val="0"/>
              <w:numId w:val="1"/>
            </w:numPr>
            <w:spacing w:line="480" w:lineRule="auto"/>
            <w:jc w:val="both"/>
            <w:rPr>
              <w:rFonts w:ascii="Arial" w:hAnsi="Arial" w:cs="Arial"/>
              <w:sz w:val="24"/>
              <w:szCs w:val="24"/>
            </w:rPr>
          </w:pPr>
          <w:bookmarkStart w:id="6" w:name="_Toc133940835"/>
          <w:r>
            <w:rPr>
              <w:rFonts w:ascii="Arial" w:hAnsi="Arial" w:cs="Arial"/>
              <w:sz w:val="24"/>
              <w:szCs w:val="24"/>
            </w:rPr>
            <w:t>Implementation of Change Management</w:t>
          </w:r>
          <w:bookmarkEnd w:id="6"/>
        </w:p>
        <w:p>
          <w:pPr>
            <w:spacing w:line="480" w:lineRule="auto"/>
            <w:ind w:firstLine="720"/>
            <w:jc w:val="both"/>
            <w:rPr>
              <w:rFonts w:ascii="Arial" w:hAnsi="Arial" w:cs="Arial"/>
              <w:sz w:val="24"/>
              <w:szCs w:val="24"/>
            </w:rPr>
          </w:pPr>
          <w:r>
            <w:rPr>
              <w:rFonts w:ascii="Arial" w:hAnsi="Arial" w:cs="Arial"/>
              <w:sz w:val="24"/>
              <w:szCs w:val="24"/>
            </w:rPr>
            <w:t>To deal with the change in recent years, DLH implemented several activities. First, the company adjusted its management strategy to be better align with the governmental and environmental regulations. For example, the company reduced flight schedules during COVID-19 to respond to government regulations that focused on social distancing (Seet, 2022). it also received financial support from the German government to help maintain its operations during the pandemic (Harper, 2021). Second, the company ensured employee health during COVID-19. For example, it implemented comprehensive hygiene protocols among its crew members. The company required that its crew members and passengers should mandatorily wear masks on board. It installed high-efficiency particulate air filters to improve air quality in the aircrafts (DLH, 2021). It also required regular disinfection and cleaning of surfaces on board. Thirdly, the company improved its service quality to sustain customer satisfaction and customer loyalty. For example, it renegotiated with suppliers and improved quality of after-sales services. Finally, the company developed new services during COVID-19. As COVID-19 reduced customers’ demands for travel, competition in the aviation industry became higher. DLH introduced new routes and services by investing in more energy-efficient aircrafts and budget-friendly routes for customers (Albers &amp; Rundshagen, 2020). In this way, the company was able to increase its competitiveness as opposed to low-cost carriers.</w:t>
          </w:r>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DLH’s change management can be analysed using Lewin’s three-stage model. According to the model, a change management process is comprised of three stages, including unfreezing, changing and refreezing (Bargal et al., 1992). DLH’s change management process aligns with the three stages. First, the unfreezing stage means that an </w:t>
          </w:r>
          <w:r>
            <w:rPr>
              <w:rFonts w:hint="eastAsia" w:ascii="Arial" w:hAnsi="Arial" w:cs="Arial"/>
              <w:sz w:val="24"/>
              <w:szCs w:val="24"/>
              <w:lang w:eastAsia="zh-CN"/>
            </w:rPr>
            <w:t>organization</w:t>
          </w:r>
          <w:r>
            <w:rPr>
              <w:rFonts w:ascii="Arial" w:hAnsi="Arial" w:cs="Arial"/>
              <w:sz w:val="24"/>
              <w:szCs w:val="24"/>
            </w:rPr>
            <w:t xml:space="preserve"> prepares itself for change by creating awareness that it needs to change and it should overcome barriers to change. DLH recognised the need for change because COVID-19 caused a major crisis in the industry. If the company did not change its strategies and operations, the company was likely to suffer financial losses. The company also communicated the need for change with its stakeholders, particularly shareholders and employees (Rinser, 2021). By communication with shareholders, the company was able to confirm the new strategy of competing with low-cost carriers. Through communication with employees, the company could implement the strategy.</w:t>
          </w:r>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The changing stage involves specific activities needed to implement the change management process. DLH’s change management process has been mentioned earlier, including receiving government support, implementing hygiene protocols, improving after-sales service quality and introducing new routes.</w:t>
          </w:r>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The refreezing stage means that an </w:t>
          </w:r>
          <w:r>
            <w:rPr>
              <w:rFonts w:hint="eastAsia" w:ascii="Arial" w:hAnsi="Arial" w:cs="Arial"/>
              <w:sz w:val="24"/>
              <w:szCs w:val="24"/>
              <w:lang w:eastAsia="zh-CN"/>
            </w:rPr>
            <w:t>organization</w:t>
          </w:r>
          <w:r>
            <w:rPr>
              <w:rFonts w:ascii="Arial" w:hAnsi="Arial" w:cs="Arial"/>
              <w:sz w:val="24"/>
              <w:szCs w:val="24"/>
            </w:rPr>
            <w:t xml:space="preserve"> </w:t>
          </w:r>
          <w:r>
            <w:rPr>
              <w:rFonts w:hint="eastAsia" w:ascii="Arial" w:hAnsi="Arial" w:cs="Arial"/>
              <w:sz w:val="24"/>
              <w:szCs w:val="24"/>
              <w:lang w:eastAsia="zh-CN"/>
            </w:rPr>
            <w:t>institutionalizes</w:t>
          </w:r>
          <w:r>
            <w:rPr>
              <w:rFonts w:ascii="Arial" w:hAnsi="Arial" w:cs="Arial"/>
              <w:sz w:val="24"/>
              <w:szCs w:val="24"/>
            </w:rPr>
            <w:t xml:space="preserve"> the changed state as part of its </w:t>
          </w:r>
          <w:r>
            <w:rPr>
              <w:rFonts w:hint="eastAsia" w:ascii="Arial" w:hAnsi="Arial" w:cs="Arial"/>
              <w:sz w:val="24"/>
              <w:szCs w:val="24"/>
              <w:lang w:eastAsia="zh-CN"/>
            </w:rPr>
            <w:t>organizational</w:t>
          </w:r>
          <w:r>
            <w:rPr>
              <w:rFonts w:ascii="Arial" w:hAnsi="Arial" w:cs="Arial"/>
              <w:sz w:val="24"/>
              <w:szCs w:val="24"/>
            </w:rPr>
            <w:t xml:space="preserve"> structure and culture. For example, after the pandemic, DLH continued to provide flexible work arrangements and mental health support for its employees (Gorlich &amp; Stadelmann, 2020). In this way, the change management process was </w:t>
          </w:r>
          <w:r>
            <w:rPr>
              <w:rFonts w:hint="eastAsia" w:ascii="Arial" w:hAnsi="Arial" w:cs="Arial"/>
              <w:sz w:val="24"/>
              <w:szCs w:val="24"/>
              <w:lang w:eastAsia="zh-CN"/>
            </w:rPr>
            <w:t>institutionalized</w:t>
          </w:r>
          <w:r>
            <w:rPr>
              <w:rFonts w:ascii="Arial" w:hAnsi="Arial" w:cs="Arial"/>
              <w:sz w:val="24"/>
              <w:szCs w:val="24"/>
            </w:rPr>
            <w:t>.</w:t>
          </w:r>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In addition to Lewin’s three-stage model, DLH’s change management process can be analysed in terms of the change approach. In general, there are two change approaches, including planned change and emergent change. While planned change is an intentional, deliberate and structured change process, an emergent change is usually an unexpected and unplanned change process (Bamford &amp; Forrester, 2003). Although COVID-19 occurred as an unexpected event, DLH’s change management process should be regarded as a planned change. This is because emergent change is usually driven bottom-up initiatives arising from daily activities of employees and interactions with customers and planned change is usually driven by a specific objective or goal (Wee &amp; Taylor, 2018). DLH made the change because it had a specific goal of overcoming difficulties caused by COVID-19. Also, the company’s change management process was top-down, linear and sequential. According to Lewin’s three-step model, it can be seen that the company’s change activities were well-defined and the outcomes could be predetermined.</w:t>
          </w:r>
        </w:p>
        <w:p>
          <w:pPr>
            <w:spacing w:line="480" w:lineRule="auto"/>
            <w:ind w:firstLine="720"/>
            <w:jc w:val="both"/>
            <w:rPr>
              <w:rFonts w:ascii="Arial" w:hAnsi="Arial" w:cs="Arial"/>
              <w:sz w:val="24"/>
              <w:szCs w:val="24"/>
            </w:rPr>
          </w:pPr>
          <w:r>
            <w:rPr>
              <w:rFonts w:ascii="Arial" w:hAnsi="Arial" w:cs="Arial"/>
              <w:sz w:val="24"/>
              <w:szCs w:val="24"/>
            </w:rPr>
            <w:t>By using planned change, DLH could be effective to achieve its goals. The goals were determined to deal with the problems caused by COVID-19. As such, the change process could be highly oriented to achieve the goals. Also, DLH could easily measure the effectiveness of the change management process. For example, since the change management plan was supposed to turn around the company’s undesirable financial performance, the plan’s performance could be evaluated by the company’s key financial performance indicators such as sales and profits. This will be analysed later in the report. However, planned change has its weaknesses. According to Harzing and Hofstede (1996), planned change may lack flexibility and may not help unexpected development or change. For example, when new major change occurs, DLH’s change management process to deal with COVID-19 may not work efficiently.</w:t>
          </w:r>
        </w:p>
        <w:p>
          <w:pPr>
            <w:pStyle w:val="2"/>
            <w:numPr>
              <w:ilvl w:val="0"/>
              <w:numId w:val="1"/>
            </w:numPr>
            <w:spacing w:line="480" w:lineRule="auto"/>
            <w:jc w:val="both"/>
            <w:rPr>
              <w:rFonts w:ascii="Arial" w:hAnsi="Arial" w:cs="Arial"/>
              <w:sz w:val="24"/>
              <w:szCs w:val="24"/>
            </w:rPr>
          </w:pPr>
          <w:bookmarkStart w:id="7" w:name="_Toc133940836"/>
          <w:r>
            <w:rPr>
              <w:rFonts w:ascii="Arial" w:hAnsi="Arial" w:cs="Arial"/>
              <w:sz w:val="24"/>
              <w:szCs w:val="24"/>
            </w:rPr>
            <w:t>Evaluation of DLH’s Change Management Model</w:t>
          </w:r>
          <w:bookmarkEnd w:id="7"/>
        </w:p>
        <w:p>
          <w:pPr>
            <w:spacing w:line="480" w:lineRule="auto"/>
            <w:jc w:val="both"/>
            <w:rPr>
              <w:rFonts w:ascii="Arial" w:hAnsi="Arial" w:cs="Arial"/>
              <w:sz w:val="24"/>
              <w:szCs w:val="24"/>
            </w:rPr>
          </w:pPr>
          <w:r>
            <w:rPr>
              <w:rFonts w:ascii="Arial" w:hAnsi="Arial" w:cs="Arial"/>
              <w:sz w:val="24"/>
              <w:szCs w:val="24"/>
            </w:rPr>
            <w:t>This report will evaluate DLH’s change management process in three aspects. Firstly, it will evaluate the company’s change process in terms of its business environment. Secondly, it will evaluate the change process in terms of force field anaylsis. Thirdly, it will evaluate the change process in terms of stakeholders.</w:t>
          </w:r>
        </w:p>
        <w:p>
          <w:pPr>
            <w:pStyle w:val="3"/>
            <w:numPr>
              <w:ilvl w:val="1"/>
              <w:numId w:val="1"/>
            </w:numPr>
            <w:spacing w:line="480" w:lineRule="auto"/>
            <w:rPr>
              <w:rFonts w:ascii="Arial" w:hAnsi="Arial" w:cs="Arial"/>
              <w:sz w:val="24"/>
              <w:szCs w:val="24"/>
            </w:rPr>
          </w:pPr>
          <w:bookmarkStart w:id="8" w:name="_Toc133940837"/>
          <w:r>
            <w:rPr>
              <w:rFonts w:ascii="Arial" w:hAnsi="Arial" w:cs="Arial"/>
              <w:sz w:val="24"/>
              <w:szCs w:val="24"/>
            </w:rPr>
            <w:t>Business Environmental Analysis</w:t>
          </w:r>
          <w:bookmarkEnd w:id="8"/>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Business environment is paramount for change management. On the one hand, a change process is implemented usually because an </w:t>
          </w:r>
          <w:r>
            <w:rPr>
              <w:rFonts w:hint="eastAsia" w:ascii="Arial" w:hAnsi="Arial" w:cs="Arial"/>
              <w:sz w:val="24"/>
              <w:szCs w:val="24"/>
              <w:lang w:eastAsia="zh-CN"/>
            </w:rPr>
            <w:t>organization</w:t>
          </w:r>
          <w:r>
            <w:rPr>
              <w:rFonts w:ascii="Arial" w:hAnsi="Arial" w:cs="Arial"/>
              <w:sz w:val="24"/>
              <w:szCs w:val="24"/>
            </w:rPr>
            <w:t xml:space="preserve"> faces change or challenge in the business environment. On the other hand, business environment can significantly influence how an </w:t>
          </w:r>
          <w:r>
            <w:rPr>
              <w:rFonts w:hint="eastAsia" w:ascii="Arial" w:hAnsi="Arial" w:cs="Arial"/>
              <w:sz w:val="24"/>
              <w:szCs w:val="24"/>
              <w:lang w:eastAsia="zh-CN"/>
            </w:rPr>
            <w:t>organization's</w:t>
          </w:r>
          <w:r>
            <w:rPr>
              <w:rFonts w:ascii="Arial" w:hAnsi="Arial" w:cs="Arial"/>
              <w:sz w:val="24"/>
              <w:szCs w:val="24"/>
            </w:rPr>
            <w:t xml:space="preserve"> change management process is effectively implemented (Kettinger &amp; Grover, 1995).</w:t>
          </w:r>
        </w:p>
        <w:p>
          <w:pPr>
            <w:spacing w:line="480" w:lineRule="auto"/>
            <w:ind w:firstLine="720"/>
            <w:jc w:val="both"/>
            <w:rPr>
              <w:rFonts w:ascii="Arial" w:hAnsi="Arial" w:cs="Arial"/>
              <w:sz w:val="24"/>
              <w:szCs w:val="24"/>
            </w:rPr>
          </w:pPr>
          <w:r>
            <w:rPr>
              <w:rFonts w:ascii="Arial" w:hAnsi="Arial" w:cs="Arial"/>
              <w:sz w:val="24"/>
              <w:szCs w:val="24"/>
            </w:rPr>
            <w:t xml:space="preserve">This report will analyse DLH’s external and internal business environment. Specifically, the external business environment is analysed by using the PESTLE model. According to the model, an </w:t>
          </w:r>
          <w:r>
            <w:rPr>
              <w:rFonts w:hint="eastAsia" w:ascii="Arial" w:hAnsi="Arial" w:cs="Arial"/>
              <w:sz w:val="24"/>
              <w:szCs w:val="24"/>
              <w:lang w:eastAsia="zh-CN"/>
            </w:rPr>
            <w:t>organization</w:t>
          </w:r>
          <w:r>
            <w:rPr>
              <w:rFonts w:ascii="Arial" w:hAnsi="Arial" w:cs="Arial"/>
              <w:sz w:val="24"/>
              <w:szCs w:val="24"/>
            </w:rPr>
            <w:t xml:space="preserve"> has six dimensions of external environment, including political, economic, social, technological, environmental and le</w:t>
          </w:r>
          <w:r>
            <w:rPr>
              <w:rFonts w:ascii="Arial" w:hAnsi="Arial" w:cs="Arial"/>
              <w:color w:val="000000" w:themeColor="text1"/>
              <w:sz w:val="24"/>
              <w:szCs w:val="24"/>
              <w14:textFill>
                <w14:solidFill>
                  <w14:schemeClr w14:val="tx1"/>
                </w14:solidFill>
              </w14:textFill>
            </w:rPr>
            <w:t xml:space="preserve">gal factors (Armstrong et al., 2014). </w:t>
          </w:r>
          <w:r>
            <w:rPr>
              <w:rFonts w:ascii="Arial" w:hAnsi="Arial" w:cs="Arial"/>
              <w:sz w:val="24"/>
              <w:szCs w:val="24"/>
            </w:rPr>
            <w:t xml:space="preserve">Table 1 summarises the result of the PESTLE analysis. It can be seen that DLH faced undesirable political environment. This was because the government requirement on social distancing prevented customers from </w:t>
          </w:r>
          <w:r>
            <w:rPr>
              <w:rFonts w:ascii="Arial" w:hAnsi="Arial" w:cs="Arial"/>
              <w:sz w:val="24"/>
              <w:szCs w:val="24"/>
              <w:lang w:eastAsia="zh-CN"/>
            </w:rPr>
            <w:t>taki</w:t>
          </w:r>
          <w:r>
            <w:rPr>
              <w:rFonts w:ascii="Arial" w:hAnsi="Arial" w:cs="Arial"/>
              <w:sz w:val="24"/>
              <w:szCs w:val="24"/>
            </w:rPr>
            <w:t>ng flights. Besides, the social distancing policy was an epitome of a mega trend of anti-globalisation, which also prevented customers from travelling internationally. As most of DLH’s routes were international, the ant-globalisation trend indicated that the company’s change management process could be challenged. The company faced undesirable economic environment. COVID-19 severely disrupted the world’s economy, reducing customers’ disposable income. As flight travel was usually more expensive than road travel and railway travel, reduced disposable income meant that customers were less likely to choose the company’s services. However, the economic environment also indicated an opportunity for the company’s change management. Since it introduced low-cost flight service, customers could be encouraged to use its service during COVID-19. The social environment was also undesirable for the company’s change management. COVID-19 resulted in high social distancing, which reduced customers’ demand for travelling. As such, even the company could introduce low-cost flight service, it might not appeal to sufficient customers. The technological environment was preferable for DLH’s change management. On the one hand, technological advancement in collaborative work enhanced the possibility of flexible work arrangements. For example, when DLH implemented mental health support for employees, they did not have to be physically present. Rather, thanks to collaborative information technology such as Microsoft Teams, employees could attend training remotely (Crick &amp; Crick, 2020). In addition, technological advancement in social media could help the company improve its after-sales service quality. For example, the popularity of short-formed video social media platforms such as Tik Tok could help improve customer engagement. When customers saw videos about how the company prepared for its flight service, they could perceive the company’s service quality. The environmental factor was desirable for the company’s change management. This was because customers had increased awareness of sustainable development and environmental protection. As such, DLH’s change management plan of focusing on low-cost and sustainable flights could be an opportunity. As for the legal environment, it was preferable for the company. The German government had strong support for the aviation industry. As such, DLH’s change management could benefit from the government support.</w:t>
          </w:r>
        </w:p>
        <w:p>
          <w:pPr>
            <w:spacing w:line="480" w:lineRule="auto"/>
            <w:jc w:val="center"/>
            <w:rPr>
              <w:rFonts w:ascii="Arial" w:hAnsi="Arial" w:cs="Arial"/>
              <w:b/>
              <w:bCs/>
              <w:sz w:val="24"/>
              <w:szCs w:val="24"/>
            </w:rPr>
          </w:pPr>
          <w:r>
            <w:rPr>
              <w:rFonts w:ascii="Arial" w:hAnsi="Arial" w:cs="Arial"/>
              <w:b/>
              <w:bCs/>
              <w:sz w:val="24"/>
              <w:szCs w:val="24"/>
            </w:rPr>
            <w:t>Table 1 PESTLE Analysis for DLH</w:t>
          </w:r>
        </w:p>
        <w:tbl>
          <w:tblPr>
            <w:tblStyle w:val="12"/>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Political:</w:t>
                </w:r>
              </w:p>
              <w:p>
                <w:pPr>
                  <w:pStyle w:val="22"/>
                  <w:numPr>
                    <w:ilvl w:val="0"/>
                    <w:numId w:val="2"/>
                  </w:numPr>
                  <w:spacing w:line="480" w:lineRule="auto"/>
                  <w:ind w:firstLineChars="0"/>
                  <w:rPr>
                    <w:rFonts w:ascii="Arial" w:hAnsi="Arial" w:cs="Arial"/>
                    <w:sz w:val="24"/>
                    <w:lang w:val="en-GB"/>
                  </w:rPr>
                </w:pPr>
                <w:r>
                  <w:rPr>
                    <w:rFonts w:ascii="Arial" w:hAnsi="Arial" w:cs="Arial"/>
                    <w:sz w:val="24"/>
                    <w:lang w:val="en-GB"/>
                  </w:rPr>
                  <w:t>Policy regulations on social distancing</w:t>
                </w:r>
              </w:p>
              <w:p>
                <w:pPr>
                  <w:pStyle w:val="22"/>
                  <w:numPr>
                    <w:ilvl w:val="0"/>
                    <w:numId w:val="2"/>
                  </w:numPr>
                  <w:spacing w:line="480" w:lineRule="auto"/>
                  <w:ind w:firstLineChars="0"/>
                  <w:rPr>
                    <w:rFonts w:ascii="Arial" w:hAnsi="Arial" w:cs="Arial"/>
                    <w:sz w:val="24"/>
                    <w:lang w:val="en-GB"/>
                  </w:rPr>
                </w:pPr>
                <w:r>
                  <w:rPr>
                    <w:rFonts w:ascii="Arial" w:hAnsi="Arial" w:cs="Arial"/>
                    <w:sz w:val="24"/>
                    <w:lang w:val="en-GB"/>
                  </w:rPr>
                  <w:t>A mega trend of anti-globalisation</w:t>
                </w:r>
              </w:p>
            </w:tc>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Economic:</w:t>
                </w:r>
              </w:p>
              <w:p>
                <w:pPr>
                  <w:pStyle w:val="22"/>
                  <w:numPr>
                    <w:ilvl w:val="0"/>
                    <w:numId w:val="3"/>
                  </w:numPr>
                  <w:spacing w:line="480" w:lineRule="auto"/>
                  <w:ind w:firstLineChars="0"/>
                  <w:rPr>
                    <w:rFonts w:ascii="Arial" w:hAnsi="Arial" w:cs="Arial"/>
                    <w:sz w:val="24"/>
                    <w:lang w:val="en-GB"/>
                  </w:rPr>
                </w:pPr>
                <w:r>
                  <w:rPr>
                    <w:rFonts w:ascii="Arial" w:hAnsi="Arial" w:cs="Arial"/>
                    <w:sz w:val="24"/>
                    <w:lang w:val="en-GB"/>
                  </w:rPr>
                  <w:t>Economic downturn caused by COVID-19</w:t>
                </w:r>
              </w:p>
              <w:p>
                <w:pPr>
                  <w:pStyle w:val="22"/>
                  <w:numPr>
                    <w:ilvl w:val="0"/>
                    <w:numId w:val="3"/>
                  </w:numPr>
                  <w:spacing w:line="480" w:lineRule="auto"/>
                  <w:ind w:firstLineChars="0"/>
                  <w:rPr>
                    <w:rFonts w:ascii="Arial" w:hAnsi="Arial" w:cs="Arial"/>
                    <w:sz w:val="24"/>
                    <w:lang w:val="en-GB"/>
                  </w:rPr>
                </w:pPr>
                <w:r>
                  <w:rPr>
                    <w:rFonts w:ascii="Arial" w:hAnsi="Arial" w:cs="Arial"/>
                    <w:sz w:val="24"/>
                    <w:lang w:val="en-GB"/>
                  </w:rPr>
                  <w:t>Reduced disposable income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Social:</w:t>
                </w:r>
              </w:p>
              <w:p>
                <w:pPr>
                  <w:pStyle w:val="22"/>
                  <w:numPr>
                    <w:ilvl w:val="0"/>
                    <w:numId w:val="4"/>
                  </w:numPr>
                  <w:spacing w:line="480" w:lineRule="auto"/>
                  <w:ind w:firstLineChars="0"/>
                  <w:rPr>
                    <w:rFonts w:ascii="Arial" w:hAnsi="Arial" w:cs="Arial"/>
                    <w:sz w:val="24"/>
                    <w:lang w:val="en-GB"/>
                  </w:rPr>
                </w:pPr>
                <w:r>
                  <w:rPr>
                    <w:rFonts w:ascii="Arial" w:hAnsi="Arial" w:cs="Arial"/>
                    <w:sz w:val="24"/>
                    <w:lang w:val="en-GB"/>
                  </w:rPr>
                  <w:t>Large social distance</w:t>
                </w:r>
              </w:p>
              <w:p>
                <w:pPr>
                  <w:pStyle w:val="22"/>
                  <w:numPr>
                    <w:ilvl w:val="0"/>
                    <w:numId w:val="4"/>
                  </w:numPr>
                  <w:spacing w:line="480" w:lineRule="auto"/>
                  <w:ind w:firstLineChars="0"/>
                  <w:rPr>
                    <w:rFonts w:ascii="Arial" w:hAnsi="Arial" w:cs="Arial"/>
                    <w:sz w:val="24"/>
                    <w:lang w:val="en-GB"/>
                  </w:rPr>
                </w:pPr>
                <w:r>
                  <w:rPr>
                    <w:rFonts w:ascii="Arial" w:hAnsi="Arial" w:cs="Arial"/>
                    <w:sz w:val="24"/>
                    <w:lang w:val="en-GB"/>
                  </w:rPr>
                  <w:t>Reduced demand for travelling</w:t>
                </w:r>
              </w:p>
              <w:p>
                <w:pPr>
                  <w:pStyle w:val="22"/>
                  <w:numPr>
                    <w:ilvl w:val="0"/>
                    <w:numId w:val="4"/>
                  </w:numPr>
                  <w:spacing w:line="480" w:lineRule="auto"/>
                  <w:ind w:firstLineChars="0"/>
                  <w:rPr>
                    <w:rFonts w:ascii="Arial" w:hAnsi="Arial" w:cs="Arial"/>
                    <w:sz w:val="24"/>
                    <w:lang w:val="en-GB"/>
                  </w:rPr>
                </w:pPr>
                <w:r>
                  <w:rPr>
                    <w:rFonts w:ascii="Arial" w:hAnsi="Arial" w:cs="Arial"/>
                    <w:sz w:val="24"/>
                    <w:lang w:val="en-GB"/>
                  </w:rPr>
                  <w:t>Increased demand for sustainable travel</w:t>
                </w:r>
              </w:p>
            </w:tc>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Technological:</w:t>
                </w:r>
              </w:p>
              <w:p>
                <w:pPr>
                  <w:pStyle w:val="22"/>
                  <w:numPr>
                    <w:ilvl w:val="0"/>
                    <w:numId w:val="5"/>
                  </w:numPr>
                  <w:spacing w:line="480" w:lineRule="auto"/>
                  <w:ind w:firstLineChars="0"/>
                  <w:rPr>
                    <w:rFonts w:ascii="Arial" w:hAnsi="Arial" w:cs="Arial"/>
                    <w:sz w:val="24"/>
                    <w:lang w:val="en-GB"/>
                  </w:rPr>
                </w:pPr>
                <w:r>
                  <w:rPr>
                    <w:rFonts w:ascii="Arial" w:hAnsi="Arial" w:cs="Arial"/>
                    <w:sz w:val="24"/>
                    <w:lang w:val="en-GB"/>
                  </w:rPr>
                  <w:t>Technological advancement in information</w:t>
                </w:r>
              </w:p>
              <w:p>
                <w:pPr>
                  <w:pStyle w:val="22"/>
                  <w:numPr>
                    <w:ilvl w:val="0"/>
                    <w:numId w:val="5"/>
                  </w:numPr>
                  <w:spacing w:line="480" w:lineRule="auto"/>
                  <w:ind w:firstLineChars="0"/>
                  <w:rPr>
                    <w:rFonts w:ascii="Arial" w:hAnsi="Arial" w:cs="Arial"/>
                    <w:sz w:val="24"/>
                    <w:lang w:val="en-GB"/>
                  </w:rPr>
                </w:pPr>
                <w:r>
                  <w:rPr>
                    <w:rFonts w:ascii="Arial" w:hAnsi="Arial" w:cs="Arial"/>
                    <w:sz w:val="24"/>
                    <w:lang w:val="en-GB"/>
                  </w:rPr>
                  <w:t>Technological advancement in social media</w:t>
                </w:r>
              </w:p>
              <w:p>
                <w:pPr>
                  <w:pStyle w:val="22"/>
                  <w:numPr>
                    <w:ilvl w:val="0"/>
                    <w:numId w:val="5"/>
                  </w:numPr>
                  <w:spacing w:line="480" w:lineRule="auto"/>
                  <w:ind w:firstLineChars="0"/>
                  <w:rPr>
                    <w:rFonts w:ascii="Arial" w:hAnsi="Arial" w:cs="Arial"/>
                    <w:sz w:val="24"/>
                    <w:lang w:val="en-GB"/>
                  </w:rPr>
                </w:pPr>
                <w:r>
                  <w:rPr>
                    <w:rFonts w:ascii="Arial" w:hAnsi="Arial" w:cs="Arial"/>
                    <w:sz w:val="24"/>
                    <w:lang w:val="en-GB"/>
                  </w:rPr>
                  <w:t>Technological advancement in collaborative 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Environmental:</w:t>
                </w:r>
              </w:p>
              <w:p>
                <w:pPr>
                  <w:pStyle w:val="22"/>
                  <w:numPr>
                    <w:ilvl w:val="0"/>
                    <w:numId w:val="6"/>
                  </w:numPr>
                  <w:spacing w:line="480" w:lineRule="auto"/>
                  <w:ind w:firstLineChars="0"/>
                  <w:rPr>
                    <w:rFonts w:ascii="Arial" w:hAnsi="Arial" w:cs="Arial"/>
                    <w:sz w:val="24"/>
                    <w:lang w:val="en-GB"/>
                  </w:rPr>
                </w:pPr>
                <w:r>
                  <w:rPr>
                    <w:rFonts w:ascii="Arial" w:hAnsi="Arial" w:cs="Arial"/>
                    <w:sz w:val="24"/>
                    <w:lang w:val="en-GB"/>
                  </w:rPr>
                  <w:t>Increasing awareness of environmental friendliness</w:t>
                </w:r>
              </w:p>
              <w:p>
                <w:pPr>
                  <w:pStyle w:val="22"/>
                  <w:numPr>
                    <w:ilvl w:val="0"/>
                    <w:numId w:val="6"/>
                  </w:numPr>
                  <w:spacing w:line="480" w:lineRule="auto"/>
                  <w:ind w:firstLineChars="0"/>
                  <w:rPr>
                    <w:rFonts w:ascii="Arial" w:hAnsi="Arial" w:cs="Arial"/>
                    <w:sz w:val="24"/>
                    <w:lang w:val="en-GB"/>
                  </w:rPr>
                </w:pPr>
                <w:r>
                  <w:rPr>
                    <w:rFonts w:ascii="Arial" w:hAnsi="Arial" w:cs="Arial"/>
                    <w:sz w:val="24"/>
                    <w:lang w:val="en-GB"/>
                  </w:rPr>
                  <w:t>Focus on sustainable development</w:t>
                </w:r>
              </w:p>
            </w:tc>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Legal:</w:t>
                </w:r>
              </w:p>
              <w:p>
                <w:pPr>
                  <w:pStyle w:val="22"/>
                  <w:numPr>
                    <w:ilvl w:val="0"/>
                    <w:numId w:val="7"/>
                  </w:numPr>
                  <w:spacing w:line="480" w:lineRule="auto"/>
                  <w:ind w:firstLineChars="0"/>
                  <w:rPr>
                    <w:rFonts w:ascii="Arial" w:hAnsi="Arial" w:cs="Arial"/>
                    <w:sz w:val="24"/>
                    <w:lang w:val="en-GB"/>
                  </w:rPr>
                </w:pPr>
                <w:r>
                  <w:rPr>
                    <w:rFonts w:ascii="Arial" w:hAnsi="Arial" w:cs="Arial"/>
                    <w:sz w:val="24"/>
                    <w:lang w:val="en-GB"/>
                  </w:rPr>
                  <w:t>Legal compliance</w:t>
                </w:r>
              </w:p>
              <w:p>
                <w:pPr>
                  <w:pStyle w:val="22"/>
                  <w:numPr>
                    <w:ilvl w:val="0"/>
                    <w:numId w:val="7"/>
                  </w:numPr>
                  <w:spacing w:line="480" w:lineRule="auto"/>
                  <w:ind w:firstLineChars="0"/>
                  <w:rPr>
                    <w:rFonts w:ascii="Arial" w:hAnsi="Arial" w:cs="Arial"/>
                    <w:sz w:val="24"/>
                    <w:lang w:val="en-GB"/>
                  </w:rPr>
                </w:pPr>
                <w:r>
                  <w:rPr>
                    <w:rFonts w:ascii="Arial" w:hAnsi="Arial" w:cs="Arial"/>
                    <w:sz w:val="24"/>
                    <w:lang w:val="en-GB"/>
                  </w:rPr>
                  <w:t>Government support</w:t>
                </w:r>
              </w:p>
            </w:tc>
          </w:tr>
        </w:tbl>
        <w:p>
          <w:pPr>
            <w:spacing w:line="480" w:lineRule="auto"/>
            <w:jc w:val="both"/>
            <w:rPr>
              <w:rFonts w:ascii="Arial" w:hAnsi="Arial" w:cs="Arial"/>
              <w:sz w:val="24"/>
              <w:szCs w:val="24"/>
              <w:lang w:eastAsia="zh-CN"/>
            </w:rPr>
          </w:pPr>
          <w:r>
            <w:rPr>
              <w:rFonts w:ascii="Arial" w:hAnsi="Arial" w:cs="Arial"/>
              <w:sz w:val="24"/>
              <w:szCs w:val="24"/>
            </w:rPr>
            <w:tab/>
          </w:r>
          <w:r>
            <w:rPr>
              <w:rFonts w:ascii="Arial" w:hAnsi="Arial" w:cs="Arial"/>
              <w:sz w:val="24"/>
              <w:szCs w:val="24"/>
            </w:rPr>
            <w:t xml:space="preserve">In addition to the external business environment, this report analyses the company’s internal business environment. According to Armstrong et al. (2014), the SWOT analysis has four components, including strengths, weaknesses, opportunities and threats. Table 2 </w:t>
          </w:r>
          <w:r>
            <w:rPr>
              <w:rFonts w:hint="eastAsia" w:ascii="Arial" w:hAnsi="Arial" w:cs="Arial"/>
              <w:sz w:val="24"/>
              <w:szCs w:val="24"/>
              <w:lang w:eastAsia="zh-CN"/>
            </w:rPr>
            <w:t>summarizes</w:t>
          </w:r>
          <w:r>
            <w:rPr>
              <w:rFonts w:ascii="Arial" w:hAnsi="Arial" w:cs="Arial"/>
              <w:sz w:val="24"/>
              <w:szCs w:val="24"/>
            </w:rPr>
            <w:t xml:space="preserve"> the result of the SWOT analysis for the company’s change management. DLH had strengths because the company had a large number of fleet and well-known brand recognition. This indicated that customers were likely to perceive and accept its new low-cost flight service. However, when the company reduced the number of fleet and introduced the low-cost flight service, it had the possibility of losing its high-end customers. Besides, as most airline companies targeted low-cost flight service in response to COVID-19, it could result in </w:t>
          </w:r>
          <w:r>
            <w:rPr>
              <w:rFonts w:hint="eastAsia" w:ascii="Arial" w:hAnsi="Arial" w:cs="Arial"/>
              <w:sz w:val="24"/>
              <w:szCs w:val="24"/>
              <w:lang w:eastAsia="zh-CN"/>
            </w:rPr>
            <w:t>homogenization</w:t>
          </w:r>
          <w:r>
            <w:rPr>
              <w:rFonts w:ascii="Arial" w:hAnsi="Arial" w:cs="Arial"/>
              <w:sz w:val="24"/>
              <w:szCs w:val="24"/>
            </w:rPr>
            <w:t xml:space="preserve"> of aviation business, reducing the company’s uniqueness. In terms of opportunities, customers had increasing demands for low-cost flight service due to COVID-19. This meant that DLH’s low-cost flight service could help the company sustain sales. Besides, as the vaccination process kept deepening, customers were more likely to travel by air. Therefore, the company’s improvement of after-sales service quality could become increasingly important. When customers perceived its service quality, they were more likely to consume its service again. Nevertheless, DLH’s change management faced threats of the long-term impact of COVID-19 and the intensive competition in the aviation industry. Although COVID-19 could go away as a pandemic, its long-term impact on economy and society could still remain. For example, an economic downturn could be around the corner in the post-COVID era (McElwee et al., 2020). This suggested that DLH’s change management process should be kept </w:t>
          </w:r>
          <w:r>
            <w:rPr>
              <w:rFonts w:hint="eastAsia" w:ascii="Arial" w:hAnsi="Arial" w:cs="Arial"/>
              <w:sz w:val="24"/>
              <w:szCs w:val="24"/>
              <w:lang w:eastAsia="zh-CN"/>
            </w:rPr>
            <w:t>institutionalized</w:t>
          </w:r>
          <w:r>
            <w:rPr>
              <w:rFonts w:ascii="Arial" w:hAnsi="Arial" w:cs="Arial"/>
              <w:sz w:val="24"/>
              <w:szCs w:val="24"/>
            </w:rPr>
            <w:t xml:space="preserve"> in the long term.</w:t>
          </w:r>
        </w:p>
        <w:p>
          <w:pPr>
            <w:spacing w:line="480" w:lineRule="auto"/>
            <w:jc w:val="center"/>
            <w:rPr>
              <w:rFonts w:ascii="Arial" w:hAnsi="Arial" w:cs="Arial"/>
              <w:b/>
              <w:bCs/>
              <w:sz w:val="24"/>
              <w:szCs w:val="24"/>
            </w:rPr>
          </w:pPr>
          <w:r>
            <w:rPr>
              <w:rFonts w:ascii="Arial" w:hAnsi="Arial" w:cs="Arial"/>
              <w:b/>
              <w:bCs/>
              <w:sz w:val="24"/>
              <w:szCs w:val="24"/>
            </w:rPr>
            <w:t>Table 2 SWOT Analysis for DLH</w:t>
          </w:r>
        </w:p>
        <w:tbl>
          <w:tblPr>
            <w:tblStyle w:val="12"/>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Strengths:</w:t>
                </w:r>
              </w:p>
              <w:p>
                <w:pPr>
                  <w:pStyle w:val="22"/>
                  <w:numPr>
                    <w:ilvl w:val="0"/>
                    <w:numId w:val="8"/>
                  </w:numPr>
                  <w:spacing w:line="480" w:lineRule="auto"/>
                  <w:ind w:firstLineChars="0"/>
                  <w:rPr>
                    <w:rFonts w:ascii="Arial" w:hAnsi="Arial" w:cs="Arial"/>
                    <w:sz w:val="24"/>
                    <w:lang w:val="en-GB"/>
                  </w:rPr>
                </w:pPr>
                <w:r>
                  <w:rPr>
                    <w:rFonts w:ascii="Arial" w:hAnsi="Arial" w:cs="Arial"/>
                    <w:sz w:val="24"/>
                    <w:lang w:val="en-GB"/>
                  </w:rPr>
                  <w:t>A large flight fleet</w:t>
                </w:r>
              </w:p>
              <w:p>
                <w:pPr>
                  <w:pStyle w:val="22"/>
                  <w:numPr>
                    <w:ilvl w:val="0"/>
                    <w:numId w:val="8"/>
                  </w:numPr>
                  <w:spacing w:line="480" w:lineRule="auto"/>
                  <w:ind w:firstLineChars="0"/>
                  <w:rPr>
                    <w:rFonts w:ascii="Arial" w:hAnsi="Arial" w:cs="Arial"/>
                    <w:sz w:val="24"/>
                    <w:lang w:val="en-GB"/>
                  </w:rPr>
                </w:pPr>
                <w:r>
                  <w:rPr>
                    <w:rFonts w:ascii="Arial" w:hAnsi="Arial" w:cs="Arial"/>
                    <w:sz w:val="24"/>
                    <w:lang w:val="en-GB"/>
                  </w:rPr>
                  <w:t>Well-known brand recognition</w:t>
                </w:r>
              </w:p>
              <w:p>
                <w:pPr>
                  <w:pStyle w:val="22"/>
                  <w:numPr>
                    <w:ilvl w:val="0"/>
                    <w:numId w:val="8"/>
                  </w:numPr>
                  <w:spacing w:line="480" w:lineRule="auto"/>
                  <w:ind w:firstLineChars="0"/>
                  <w:rPr>
                    <w:rFonts w:ascii="Arial" w:hAnsi="Arial" w:cs="Arial"/>
                    <w:sz w:val="24"/>
                    <w:lang w:val="en-GB"/>
                  </w:rPr>
                </w:pPr>
                <w:r>
                  <w:rPr>
                    <w:rFonts w:ascii="Arial" w:hAnsi="Arial" w:cs="Arial"/>
                    <w:sz w:val="24"/>
                    <w:lang w:val="en-GB"/>
                  </w:rPr>
                  <w:t>A well-established customer base</w:t>
                </w:r>
              </w:p>
              <w:p>
                <w:pPr>
                  <w:pStyle w:val="22"/>
                  <w:numPr>
                    <w:ilvl w:val="0"/>
                    <w:numId w:val="8"/>
                  </w:numPr>
                  <w:spacing w:line="480" w:lineRule="auto"/>
                  <w:ind w:firstLineChars="0"/>
                  <w:rPr>
                    <w:rFonts w:ascii="Arial" w:hAnsi="Arial" w:cs="Arial"/>
                    <w:sz w:val="24"/>
                    <w:lang w:val="en-GB"/>
                  </w:rPr>
                </w:pPr>
                <w:r>
                  <w:rPr>
                    <w:rFonts w:ascii="Arial" w:hAnsi="Arial" w:cs="Arial"/>
                    <w:sz w:val="24"/>
                    <w:lang w:val="en-GB"/>
                  </w:rPr>
                  <w:t>Strong technical support</w:t>
                </w:r>
              </w:p>
            </w:tc>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Weaknesses:</w:t>
                </w:r>
              </w:p>
              <w:p>
                <w:pPr>
                  <w:pStyle w:val="22"/>
                  <w:numPr>
                    <w:ilvl w:val="0"/>
                    <w:numId w:val="9"/>
                  </w:numPr>
                  <w:spacing w:line="480" w:lineRule="auto"/>
                  <w:ind w:firstLineChars="0"/>
                  <w:rPr>
                    <w:rFonts w:ascii="Arial" w:hAnsi="Arial" w:cs="Arial"/>
                    <w:sz w:val="24"/>
                    <w:lang w:val="en-GB"/>
                  </w:rPr>
                </w:pPr>
                <w:r>
                  <w:rPr>
                    <w:rFonts w:ascii="Arial" w:hAnsi="Arial" w:cs="Arial"/>
                    <w:sz w:val="24"/>
                    <w:lang w:val="en-GB"/>
                  </w:rPr>
                  <w:t>A lack of focus on high-end customers</w:t>
                </w:r>
              </w:p>
              <w:p>
                <w:pPr>
                  <w:pStyle w:val="22"/>
                  <w:numPr>
                    <w:ilvl w:val="0"/>
                    <w:numId w:val="9"/>
                  </w:numPr>
                  <w:spacing w:line="480" w:lineRule="auto"/>
                  <w:ind w:firstLineChars="0"/>
                  <w:rPr>
                    <w:rFonts w:ascii="Arial" w:hAnsi="Arial" w:cs="Arial"/>
                    <w:sz w:val="24"/>
                    <w:lang w:val="en-GB"/>
                  </w:rPr>
                </w:pPr>
                <w:r>
                  <w:rPr>
                    <w:rFonts w:hint="eastAsia" w:ascii="Arial" w:hAnsi="Arial" w:cs="Arial"/>
                    <w:sz w:val="24"/>
                    <w:lang w:val="en-GB" w:eastAsia="zh-CN"/>
                  </w:rPr>
                  <w:t>Homogenization</w:t>
                </w:r>
                <w:r>
                  <w:rPr>
                    <w:rFonts w:ascii="Arial" w:hAnsi="Arial" w:cs="Arial"/>
                    <w:sz w:val="24"/>
                    <w:lang w:val="en-GB"/>
                  </w:rPr>
                  <w:t xml:space="preserve"> of aviation business</w:t>
                </w:r>
              </w:p>
              <w:p>
                <w:pPr>
                  <w:pStyle w:val="22"/>
                  <w:numPr>
                    <w:ilvl w:val="0"/>
                    <w:numId w:val="9"/>
                  </w:numPr>
                  <w:spacing w:line="480" w:lineRule="auto"/>
                  <w:ind w:firstLineChars="0"/>
                  <w:rPr>
                    <w:rFonts w:ascii="Arial" w:hAnsi="Arial" w:cs="Arial"/>
                    <w:sz w:val="24"/>
                    <w:lang w:val="en-GB"/>
                  </w:rPr>
                </w:pPr>
                <w:r>
                  <w:rPr>
                    <w:rFonts w:ascii="Arial" w:hAnsi="Arial" w:cs="Arial"/>
                    <w:sz w:val="24"/>
                    <w:lang w:val="en-GB"/>
                  </w:rPr>
                  <w:t>Safety concerns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Opportunities:</w:t>
                </w:r>
              </w:p>
              <w:p>
                <w:pPr>
                  <w:pStyle w:val="22"/>
                  <w:numPr>
                    <w:ilvl w:val="0"/>
                    <w:numId w:val="10"/>
                  </w:numPr>
                  <w:spacing w:line="480" w:lineRule="auto"/>
                  <w:ind w:firstLineChars="0"/>
                  <w:rPr>
                    <w:rFonts w:ascii="Arial" w:hAnsi="Arial" w:cs="Arial"/>
                    <w:sz w:val="24"/>
                    <w:lang w:val="en-GB"/>
                  </w:rPr>
                </w:pPr>
                <w:r>
                  <w:rPr>
                    <w:rFonts w:ascii="Arial" w:hAnsi="Arial" w:cs="Arial"/>
                    <w:sz w:val="24"/>
                    <w:lang w:val="en-GB"/>
                  </w:rPr>
                  <w:t>Customers’ demand for low-budget travel</w:t>
                </w:r>
              </w:p>
              <w:p>
                <w:pPr>
                  <w:pStyle w:val="22"/>
                  <w:numPr>
                    <w:ilvl w:val="0"/>
                    <w:numId w:val="10"/>
                  </w:numPr>
                  <w:spacing w:line="480" w:lineRule="auto"/>
                  <w:ind w:firstLineChars="0"/>
                  <w:rPr>
                    <w:rFonts w:ascii="Arial" w:hAnsi="Arial" w:cs="Arial"/>
                    <w:sz w:val="24"/>
                    <w:lang w:val="en-GB"/>
                  </w:rPr>
                </w:pPr>
                <w:r>
                  <w:rPr>
                    <w:rFonts w:ascii="Arial" w:hAnsi="Arial" w:cs="Arial"/>
                    <w:sz w:val="24"/>
                    <w:lang w:val="en-GB"/>
                  </w:rPr>
                  <w:t xml:space="preserve">Vaccine </w:t>
                </w:r>
                <w:r>
                  <w:rPr>
                    <w:rFonts w:hint="eastAsia" w:ascii="Arial" w:hAnsi="Arial" w:cs="Arial"/>
                    <w:sz w:val="24"/>
                    <w:lang w:val="en-GB" w:eastAsia="zh-CN"/>
                  </w:rPr>
                  <w:t>popularization</w:t>
                </w:r>
              </w:p>
              <w:p>
                <w:pPr>
                  <w:pStyle w:val="22"/>
                  <w:numPr>
                    <w:ilvl w:val="0"/>
                    <w:numId w:val="10"/>
                  </w:numPr>
                  <w:spacing w:line="480" w:lineRule="auto"/>
                  <w:ind w:firstLineChars="0"/>
                  <w:rPr>
                    <w:rFonts w:ascii="Arial" w:hAnsi="Arial" w:cs="Arial"/>
                    <w:sz w:val="24"/>
                    <w:lang w:val="en-GB"/>
                  </w:rPr>
                </w:pPr>
                <w:r>
                  <w:rPr>
                    <w:rFonts w:ascii="Arial" w:hAnsi="Arial" w:cs="Arial"/>
                    <w:sz w:val="24"/>
                    <w:lang w:val="en-GB"/>
                  </w:rPr>
                  <w:t>Government support</w:t>
                </w:r>
              </w:p>
              <w:p>
                <w:pPr>
                  <w:pStyle w:val="22"/>
                  <w:numPr>
                    <w:ilvl w:val="0"/>
                    <w:numId w:val="10"/>
                  </w:numPr>
                  <w:spacing w:line="480" w:lineRule="auto"/>
                  <w:ind w:firstLineChars="0"/>
                  <w:rPr>
                    <w:rFonts w:ascii="Arial" w:hAnsi="Arial" w:cs="Arial"/>
                    <w:sz w:val="24"/>
                    <w:lang w:val="en-GB"/>
                  </w:rPr>
                </w:pPr>
                <w:r>
                  <w:rPr>
                    <w:rFonts w:ascii="Arial" w:hAnsi="Arial" w:cs="Arial"/>
                    <w:sz w:val="24"/>
                    <w:lang w:val="en-GB"/>
                  </w:rPr>
                  <w:t>Technological development</w:t>
                </w:r>
              </w:p>
            </w:tc>
            <w:tc>
              <w:tcPr>
                <w:tcW w:w="4148"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Threats:</w:t>
                </w:r>
              </w:p>
              <w:p>
                <w:pPr>
                  <w:pStyle w:val="22"/>
                  <w:numPr>
                    <w:ilvl w:val="0"/>
                    <w:numId w:val="11"/>
                  </w:numPr>
                  <w:spacing w:line="480" w:lineRule="auto"/>
                  <w:ind w:firstLineChars="0"/>
                  <w:rPr>
                    <w:rFonts w:ascii="Arial" w:hAnsi="Arial" w:cs="Arial"/>
                    <w:sz w:val="24"/>
                    <w:lang w:val="en-GB"/>
                  </w:rPr>
                </w:pPr>
                <w:r>
                  <w:rPr>
                    <w:rFonts w:ascii="Arial" w:hAnsi="Arial" w:cs="Arial"/>
                    <w:sz w:val="24"/>
                    <w:lang w:val="en-GB"/>
                  </w:rPr>
                  <w:t>Long-term impact of COVID-19</w:t>
                </w:r>
              </w:p>
              <w:p>
                <w:pPr>
                  <w:pStyle w:val="22"/>
                  <w:numPr>
                    <w:ilvl w:val="0"/>
                    <w:numId w:val="11"/>
                  </w:numPr>
                  <w:spacing w:line="480" w:lineRule="auto"/>
                  <w:ind w:firstLineChars="0"/>
                  <w:rPr>
                    <w:rFonts w:ascii="Arial" w:hAnsi="Arial" w:cs="Arial"/>
                    <w:sz w:val="24"/>
                    <w:lang w:val="en-GB"/>
                  </w:rPr>
                </w:pPr>
                <w:r>
                  <w:rPr>
                    <w:rFonts w:ascii="Arial" w:hAnsi="Arial" w:cs="Arial"/>
                    <w:sz w:val="24"/>
                    <w:lang w:val="en-GB"/>
                  </w:rPr>
                  <w:t>Intensive competition in the aviation industry</w:t>
                </w:r>
              </w:p>
              <w:p>
                <w:pPr>
                  <w:pStyle w:val="22"/>
                  <w:numPr>
                    <w:ilvl w:val="0"/>
                    <w:numId w:val="11"/>
                  </w:numPr>
                  <w:spacing w:line="480" w:lineRule="auto"/>
                  <w:ind w:firstLineChars="0"/>
                  <w:rPr>
                    <w:rFonts w:ascii="Arial" w:hAnsi="Arial" w:cs="Arial"/>
                    <w:sz w:val="24"/>
                    <w:lang w:val="en-GB"/>
                  </w:rPr>
                </w:pPr>
                <w:r>
                  <w:rPr>
                    <w:rFonts w:ascii="Arial" w:hAnsi="Arial" w:cs="Arial"/>
                    <w:sz w:val="24"/>
                    <w:lang w:val="en-GB"/>
                  </w:rPr>
                  <w:t>Fluctuation of the exchange rate of the US dollar</w:t>
                </w:r>
              </w:p>
            </w:tc>
          </w:tr>
        </w:tbl>
        <w:p>
          <w:pPr>
            <w:spacing w:line="480" w:lineRule="auto"/>
            <w:jc w:val="both"/>
            <w:rPr>
              <w:rFonts w:ascii="Arial" w:hAnsi="Arial" w:cs="Arial"/>
              <w:sz w:val="24"/>
              <w:szCs w:val="24"/>
            </w:rPr>
          </w:pPr>
        </w:p>
        <w:p>
          <w:pPr>
            <w:pStyle w:val="3"/>
            <w:numPr>
              <w:ilvl w:val="1"/>
              <w:numId w:val="1"/>
            </w:numPr>
            <w:spacing w:line="480" w:lineRule="auto"/>
            <w:rPr>
              <w:rFonts w:ascii="Arial" w:hAnsi="Arial" w:cs="Arial"/>
              <w:sz w:val="24"/>
              <w:szCs w:val="24"/>
            </w:rPr>
          </w:pPr>
          <w:bookmarkStart w:id="9" w:name="_Toc133940838"/>
          <w:r>
            <w:rPr>
              <w:rFonts w:ascii="Arial" w:hAnsi="Arial" w:cs="Arial"/>
              <w:sz w:val="24"/>
              <w:szCs w:val="24"/>
            </w:rPr>
            <w:t>Force Field Analysis</w:t>
          </w:r>
          <w:bookmarkEnd w:id="9"/>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Force field analysis is a tool for analysing the factors that drive or constrain a change process</w:t>
          </w:r>
          <w:r>
            <w:rPr>
              <w:rFonts w:ascii="Arial" w:hAnsi="Arial" w:cs="Arial"/>
              <w:color w:val="000000" w:themeColor="text1"/>
              <w:sz w:val="24"/>
              <w:szCs w:val="24"/>
              <w14:textFill>
                <w14:solidFill>
                  <w14:schemeClr w14:val="tx1"/>
                </w14:solidFill>
              </w14:textFill>
            </w:rPr>
            <w:t>. According to Lewin (1951), a fo</w:t>
          </w:r>
          <w:r>
            <w:rPr>
              <w:rFonts w:ascii="Arial" w:hAnsi="Arial" w:cs="Arial"/>
              <w:sz w:val="24"/>
              <w:szCs w:val="24"/>
            </w:rPr>
            <w:t xml:space="preserve">rce field analysis recognises and compares driver factors and resistance </w:t>
          </w:r>
          <w:r>
            <w:rPr>
              <w:rFonts w:ascii="Arial" w:hAnsi="Arial" w:cs="Arial"/>
              <w:sz w:val="24"/>
              <w:szCs w:val="24"/>
              <w:lang w:eastAsia="zh-CN"/>
            </w:rPr>
            <w:t>fac</w:t>
          </w:r>
          <w:r>
            <w:rPr>
              <w:rFonts w:ascii="Arial" w:hAnsi="Arial" w:cs="Arial"/>
              <w:sz w:val="24"/>
              <w:szCs w:val="24"/>
            </w:rPr>
            <w:t>tors of a change process. When the driver factors have a total score exceeding that of the resistance factors, the change process is justified to occur. Figure 1 shows the force field analysis of DLH’s change management process. Each factor is evaluated by a score between 1 and 5. While 1 means that the factor is the least influential, 5 means that the factor is the largest influential. It can be seen that the change management process could be justified because the driver factors had a larger total score than the resistance factors.</w:t>
          </w:r>
        </w:p>
        <w:p>
          <w:pPr>
            <w:spacing w:line="480" w:lineRule="auto"/>
            <w:jc w:val="both"/>
            <w:rPr>
              <w:rFonts w:ascii="Arial" w:hAnsi="Arial" w:cs="Arial"/>
              <w:sz w:val="24"/>
              <w:szCs w:val="24"/>
            </w:rPr>
          </w:pPr>
          <w:r>
            <w:rPr>
              <w:rFonts w:ascii="Arial" w:hAnsi="Arial" w:cs="Arial"/>
              <w:sz w:val="24"/>
              <w:szCs w:val="24"/>
            </w:rPr>
            <w:drawing>
              <wp:inline distT="0" distB="0" distL="0" distR="0">
                <wp:extent cx="5274310" cy="1831975"/>
                <wp:effectExtent l="0" t="0" r="0" b="0"/>
                <wp:docPr id="2" name="图片 2" descr="图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标&#10;&#10;描述已自动生成"/>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1831975"/>
                        </a:xfrm>
                        <a:prstGeom prst="rect">
                          <a:avLst/>
                        </a:prstGeom>
                      </pic:spPr>
                    </pic:pic>
                  </a:graphicData>
                </a:graphic>
              </wp:inline>
            </w:drawing>
          </w:r>
        </w:p>
        <w:p>
          <w:pPr>
            <w:spacing w:line="480" w:lineRule="auto"/>
            <w:jc w:val="center"/>
            <w:rPr>
              <w:rFonts w:ascii="Arial" w:hAnsi="Arial" w:cs="Arial"/>
              <w:b/>
              <w:bCs/>
              <w:sz w:val="24"/>
              <w:szCs w:val="24"/>
            </w:rPr>
          </w:pPr>
          <w:r>
            <w:rPr>
              <w:rFonts w:ascii="Arial" w:hAnsi="Arial" w:cs="Arial"/>
              <w:b/>
              <w:bCs/>
              <w:sz w:val="24"/>
              <w:szCs w:val="24"/>
            </w:rPr>
            <w:t>Figure 1 Force Field Analysis of DLH’s Change Management Process</w:t>
          </w:r>
        </w:p>
        <w:p>
          <w:pPr>
            <w:pStyle w:val="4"/>
            <w:numPr>
              <w:ilvl w:val="2"/>
              <w:numId w:val="1"/>
            </w:numPr>
            <w:spacing w:line="480" w:lineRule="auto"/>
            <w:rPr>
              <w:rFonts w:ascii="Arial" w:hAnsi="Arial" w:cs="Arial"/>
              <w:b w:val="0"/>
              <w:bCs w:val="0"/>
              <w:color w:val="2E75B6" w:themeColor="accent1" w:themeShade="BF"/>
              <w:sz w:val="24"/>
              <w:szCs w:val="24"/>
            </w:rPr>
          </w:pPr>
          <w:bookmarkStart w:id="10" w:name="_Toc133940839"/>
          <w:r>
            <w:rPr>
              <w:rFonts w:ascii="Arial" w:hAnsi="Arial" w:cs="Arial"/>
              <w:b w:val="0"/>
              <w:bCs w:val="0"/>
              <w:color w:val="2E75B6" w:themeColor="accent1" w:themeShade="BF"/>
              <w:sz w:val="24"/>
              <w:szCs w:val="24"/>
            </w:rPr>
            <w:t>Driver Factors to Change</w:t>
          </w:r>
          <w:bookmarkEnd w:id="10"/>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The report recognises five driver factors, including reduced revenue, fluctuation in exchange rate, </w:t>
          </w:r>
          <w:r>
            <w:rPr>
              <w:rFonts w:hint="eastAsia" w:ascii="Arial" w:hAnsi="Arial" w:cs="Arial"/>
              <w:sz w:val="24"/>
              <w:szCs w:val="24"/>
              <w:lang w:eastAsia="zh-CN"/>
            </w:rPr>
            <w:t>digitization</w:t>
          </w:r>
          <w:r>
            <w:rPr>
              <w:rFonts w:ascii="Arial" w:hAnsi="Arial" w:cs="Arial"/>
              <w:sz w:val="24"/>
              <w:szCs w:val="24"/>
            </w:rPr>
            <w:t>, competition and leadership.</w:t>
          </w:r>
        </w:p>
        <w:p>
          <w:pPr>
            <w:spacing w:line="480" w:lineRule="auto"/>
            <w:jc w:val="both"/>
            <w:rPr>
              <w:rFonts w:ascii="Arial" w:hAnsi="Arial" w:cs="Arial"/>
              <w:sz w:val="24"/>
              <w:szCs w:val="24"/>
            </w:rPr>
          </w:pPr>
          <w:r>
            <w:rPr>
              <w:rFonts w:ascii="Arial" w:hAnsi="Arial" w:cs="Arial"/>
              <w:sz w:val="24"/>
              <w:szCs w:val="24"/>
            </w:rPr>
            <w:tab/>
          </w:r>
          <w:r>
            <w:rPr>
              <w:rFonts w:ascii="Arial" w:hAnsi="Arial" w:cs="Arial"/>
              <w:b/>
              <w:bCs/>
              <w:sz w:val="24"/>
              <w:szCs w:val="24"/>
            </w:rPr>
            <w:t>Reduced revenue (5)</w:t>
          </w:r>
          <w:r>
            <w:rPr>
              <w:rFonts w:ascii="Arial" w:hAnsi="Arial" w:cs="Arial"/>
              <w:sz w:val="24"/>
              <w:szCs w:val="24"/>
            </w:rPr>
            <w:t xml:space="preserve">. COVID-19 significantly reduced DLH’s revenue. According to </w:t>
          </w:r>
          <w:r>
            <w:rPr>
              <w:rFonts w:ascii="Arial" w:hAnsi="Arial" w:cs="Arial"/>
              <w:color w:val="000000" w:themeColor="text1"/>
              <w:sz w:val="24"/>
              <w:szCs w:val="24"/>
              <w14:textFill>
                <w14:solidFill>
                  <w14:schemeClr w14:val="tx1"/>
                </w14:solidFill>
              </w14:textFill>
            </w:rPr>
            <w:t>Macrotrends (2023), DL</w:t>
          </w:r>
          <w:r>
            <w:rPr>
              <w:rFonts w:ascii="Arial" w:hAnsi="Arial" w:cs="Arial"/>
              <w:sz w:val="24"/>
              <w:szCs w:val="24"/>
            </w:rPr>
            <w:t>H’s quarterly revenue reached a historic high of US $62.057 billion in Q3 2018 but dropped to a historic high of US $10.503 billion in Q1 2021. The revenue reduction strongly motivated the company to implement the change process. If the revenue could not be turned around, the company were likely to suffer high financial loss.</w:t>
          </w:r>
        </w:p>
        <w:p>
          <w:pPr>
            <w:spacing w:line="480" w:lineRule="auto"/>
            <w:jc w:val="both"/>
            <w:rPr>
              <w:rFonts w:ascii="Arial" w:hAnsi="Arial" w:cs="Arial"/>
              <w:sz w:val="24"/>
              <w:szCs w:val="24"/>
            </w:rPr>
          </w:pPr>
          <w:r>
            <w:rPr>
              <w:rFonts w:ascii="Arial" w:hAnsi="Arial" w:cs="Arial"/>
              <w:sz w:val="24"/>
              <w:szCs w:val="24"/>
            </w:rPr>
            <w:tab/>
          </w:r>
          <w:r>
            <w:rPr>
              <w:rFonts w:ascii="Arial" w:hAnsi="Arial" w:cs="Arial"/>
              <w:b/>
              <w:bCs/>
              <w:sz w:val="24"/>
              <w:szCs w:val="24"/>
            </w:rPr>
            <w:t>Fluctuation in exchange rate (3)</w:t>
          </w:r>
          <w:r>
            <w:rPr>
              <w:rFonts w:ascii="Arial" w:hAnsi="Arial" w:cs="Arial"/>
              <w:sz w:val="24"/>
              <w:szCs w:val="24"/>
            </w:rPr>
            <w:t>. The US dollar exchange rate was influenced during COVID-19. According to Goog</w:t>
          </w:r>
          <w:r>
            <w:rPr>
              <w:rFonts w:ascii="Arial" w:hAnsi="Arial" w:cs="Arial"/>
              <w:color w:val="000000" w:themeColor="text1"/>
              <w:sz w:val="24"/>
              <w:szCs w:val="24"/>
              <w14:textFill>
                <w14:solidFill>
                  <w14:schemeClr w14:val="tx1"/>
                </w14:solidFill>
              </w14:textFill>
            </w:rPr>
            <w:t>le (2023), the US dollar exch</w:t>
          </w:r>
          <w:r>
            <w:rPr>
              <w:rFonts w:ascii="Arial" w:hAnsi="Arial" w:cs="Arial"/>
              <w:sz w:val="24"/>
              <w:szCs w:val="24"/>
            </w:rPr>
            <w:t>ange rate in terms of euro dropped during COVID-19 in 2021 and then kept increasing. This suggested that DLH had to keep as much US dollar as possible to avoid asset deprecation. As such, the company needed to facilitate the change for incentivisation of its international operations.</w:t>
          </w:r>
        </w:p>
        <w:p>
          <w:pPr>
            <w:spacing w:line="480" w:lineRule="auto"/>
            <w:ind w:firstLine="420"/>
            <w:jc w:val="both"/>
            <w:rPr>
              <w:rFonts w:ascii="Arial" w:hAnsi="Arial" w:cs="Arial"/>
              <w:sz w:val="24"/>
              <w:szCs w:val="24"/>
            </w:rPr>
          </w:pPr>
          <w:r>
            <w:rPr>
              <w:rFonts w:ascii="Arial" w:hAnsi="Arial" w:cs="Arial"/>
              <w:b/>
              <w:bCs/>
              <w:sz w:val="24"/>
              <w:szCs w:val="24"/>
            </w:rPr>
            <w:t>Digitali</w:t>
          </w:r>
          <w:r>
            <w:rPr>
              <w:rFonts w:hint="eastAsia" w:ascii="Arial" w:hAnsi="Arial" w:cs="Arial"/>
              <w:b/>
              <w:bCs/>
              <w:sz w:val="24"/>
              <w:szCs w:val="24"/>
              <w:lang w:val="en-US" w:eastAsia="zh-CN"/>
            </w:rPr>
            <w:t>z</w:t>
          </w:r>
          <w:r>
            <w:rPr>
              <w:rFonts w:ascii="Arial" w:hAnsi="Arial" w:cs="Arial"/>
              <w:b/>
              <w:bCs/>
              <w:sz w:val="24"/>
              <w:szCs w:val="24"/>
            </w:rPr>
            <w:t>ation (4)</w:t>
          </w:r>
          <w:r>
            <w:rPr>
              <w:rFonts w:ascii="Arial" w:hAnsi="Arial" w:cs="Arial"/>
              <w:sz w:val="24"/>
              <w:szCs w:val="24"/>
            </w:rPr>
            <w:t>. Digitali</w:t>
          </w:r>
          <w:r>
            <w:rPr>
              <w:rFonts w:hint="eastAsia" w:ascii="Arial" w:hAnsi="Arial" w:cs="Arial"/>
              <w:sz w:val="24"/>
              <w:szCs w:val="24"/>
              <w:lang w:val="en-US" w:eastAsia="zh-CN"/>
            </w:rPr>
            <w:t>z</w:t>
          </w:r>
          <w:r>
            <w:rPr>
              <w:rFonts w:ascii="Arial" w:hAnsi="Arial" w:cs="Arial"/>
              <w:sz w:val="24"/>
              <w:szCs w:val="24"/>
            </w:rPr>
            <w:t>ation meant that digital technology was significantly improved during COVID-19. In particular, collaborative technology was improved as a result of the surging demand for remote working (</w:t>
          </w:r>
          <w:r>
            <w:rPr>
              <w:rFonts w:ascii="Arial" w:hAnsi="Arial" w:cs="Arial"/>
              <w:sz w:val="24"/>
              <w:szCs w:val="24"/>
              <w:lang w:val="en-AU"/>
            </w:rPr>
            <w:t>Horgan</w:t>
          </w:r>
          <w:r>
            <w:rPr>
              <w:rFonts w:ascii="Arial" w:hAnsi="Arial" w:cs="Arial"/>
              <w:sz w:val="24"/>
              <w:szCs w:val="24"/>
            </w:rPr>
            <w:t xml:space="preserve"> et al., 2020). This drove the company to embrace the </w:t>
          </w:r>
          <w:r>
            <w:rPr>
              <w:rFonts w:hint="eastAsia" w:ascii="Arial" w:hAnsi="Arial" w:cs="Arial"/>
              <w:sz w:val="24"/>
              <w:szCs w:val="24"/>
              <w:lang w:eastAsia="zh-CN"/>
            </w:rPr>
            <w:t>organizational</w:t>
          </w:r>
          <w:r>
            <w:rPr>
              <w:rFonts w:ascii="Arial" w:hAnsi="Arial" w:cs="Arial"/>
              <w:sz w:val="24"/>
              <w:szCs w:val="24"/>
            </w:rPr>
            <w:t xml:space="preserve"> change to improve its operations efficiency.</w:t>
          </w:r>
        </w:p>
        <w:p>
          <w:pPr>
            <w:spacing w:line="480" w:lineRule="auto"/>
            <w:ind w:firstLine="420"/>
            <w:jc w:val="both"/>
            <w:rPr>
              <w:rFonts w:ascii="Arial" w:hAnsi="Arial" w:cs="Arial"/>
              <w:sz w:val="24"/>
              <w:szCs w:val="24"/>
            </w:rPr>
          </w:pPr>
          <w:r>
            <w:rPr>
              <w:rFonts w:ascii="Arial" w:hAnsi="Arial" w:cs="Arial"/>
              <w:b/>
              <w:bCs/>
              <w:sz w:val="24"/>
              <w:szCs w:val="24"/>
            </w:rPr>
            <w:t>Competition (4)</w:t>
          </w:r>
          <w:r>
            <w:rPr>
              <w:rFonts w:ascii="Arial" w:hAnsi="Arial" w:cs="Arial"/>
              <w:sz w:val="24"/>
              <w:szCs w:val="24"/>
            </w:rPr>
            <w:t>. Competition in the aviation industry became increasingly high during COVID-19. Since social distancing policy significantly reduced the demand for travel, the supply-demand balance was removed, shifting pressure to the supply side. This meant that DLH had to compete with other airlines companies for a shrunk market size. As such, it had to change its operations for higher competitiveness.</w:t>
          </w:r>
        </w:p>
        <w:p>
          <w:pPr>
            <w:spacing w:line="480" w:lineRule="auto"/>
            <w:ind w:firstLine="420"/>
            <w:jc w:val="both"/>
            <w:rPr>
              <w:rFonts w:ascii="Arial" w:hAnsi="Arial" w:cs="Arial"/>
              <w:sz w:val="24"/>
              <w:szCs w:val="24"/>
            </w:rPr>
          </w:pPr>
          <w:r>
            <w:rPr>
              <w:rFonts w:ascii="Arial" w:hAnsi="Arial" w:cs="Arial"/>
              <w:b/>
              <w:bCs/>
              <w:sz w:val="24"/>
              <w:szCs w:val="24"/>
            </w:rPr>
            <w:t>Leadership (3)</w:t>
          </w:r>
          <w:r>
            <w:rPr>
              <w:rFonts w:ascii="Arial" w:hAnsi="Arial" w:cs="Arial"/>
              <w:sz w:val="24"/>
              <w:szCs w:val="24"/>
            </w:rPr>
            <w:t>. DLH had a leadership style that focused on collaboration, teamwork and innovation (Rinser, 2021). The focus on innovation indicated that the company had the ability and ritual to deal with problems by proposing and evaluating innovative ideas. As such, when the company faced challenges during COVID-19, it was supposed to make change to the status quo.</w:t>
          </w:r>
        </w:p>
        <w:p>
          <w:pPr>
            <w:pStyle w:val="4"/>
            <w:numPr>
              <w:ilvl w:val="2"/>
              <w:numId w:val="1"/>
            </w:numPr>
            <w:spacing w:line="480" w:lineRule="auto"/>
            <w:rPr>
              <w:rFonts w:ascii="Arial" w:hAnsi="Arial" w:cs="Arial"/>
              <w:b w:val="0"/>
              <w:bCs w:val="0"/>
              <w:color w:val="2E75B6" w:themeColor="accent1" w:themeShade="BF"/>
              <w:sz w:val="24"/>
              <w:szCs w:val="24"/>
            </w:rPr>
          </w:pPr>
          <w:bookmarkStart w:id="11" w:name="_Toc133940840"/>
          <w:r>
            <w:rPr>
              <w:rFonts w:ascii="Arial" w:hAnsi="Arial" w:cs="Arial"/>
              <w:b w:val="0"/>
              <w:bCs w:val="0"/>
              <w:color w:val="2E75B6" w:themeColor="accent1" w:themeShade="BF"/>
              <w:sz w:val="24"/>
              <w:szCs w:val="24"/>
            </w:rPr>
            <w:t>Resistance Factors to Change and Solutions</w:t>
          </w:r>
          <w:bookmarkEnd w:id="11"/>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The report recognises five resistance </w:t>
          </w:r>
          <w:r>
            <w:rPr>
              <w:rFonts w:ascii="Arial" w:hAnsi="Arial" w:cs="Arial"/>
              <w:sz w:val="24"/>
              <w:szCs w:val="24"/>
              <w:lang w:eastAsia="zh-CN"/>
            </w:rPr>
            <w:t>f</w:t>
          </w:r>
          <w:r>
            <w:rPr>
              <w:rFonts w:ascii="Arial" w:hAnsi="Arial" w:cs="Arial"/>
              <w:sz w:val="24"/>
              <w:szCs w:val="24"/>
            </w:rPr>
            <w:t xml:space="preserve">actors to the change management process, including work pressure, fear of the unknown, a lack of communication, a lack of perceived benefit and </w:t>
          </w:r>
          <w:r>
            <w:rPr>
              <w:rFonts w:hint="eastAsia" w:ascii="Arial" w:hAnsi="Arial" w:cs="Arial"/>
              <w:sz w:val="24"/>
              <w:szCs w:val="24"/>
              <w:lang w:eastAsia="zh-CN"/>
            </w:rPr>
            <w:t>organizational</w:t>
          </w:r>
          <w:r>
            <w:rPr>
              <w:rFonts w:ascii="Arial" w:hAnsi="Arial" w:cs="Arial"/>
              <w:sz w:val="24"/>
              <w:szCs w:val="24"/>
            </w:rPr>
            <w:t xml:space="preserve"> structure.</w:t>
          </w:r>
        </w:p>
        <w:p>
          <w:pPr>
            <w:spacing w:line="480" w:lineRule="auto"/>
            <w:ind w:firstLine="720"/>
            <w:jc w:val="both"/>
            <w:rPr>
              <w:rFonts w:ascii="Arial" w:hAnsi="Arial" w:cs="Arial"/>
              <w:sz w:val="24"/>
              <w:szCs w:val="24"/>
            </w:rPr>
          </w:pPr>
          <w:r>
            <w:rPr>
              <w:rFonts w:ascii="Arial" w:hAnsi="Arial" w:cs="Arial"/>
              <w:b/>
              <w:bCs/>
              <w:sz w:val="24"/>
              <w:szCs w:val="24"/>
            </w:rPr>
            <w:t>Work pressure (4)</w:t>
          </w:r>
          <w:r>
            <w:rPr>
              <w:rFonts w:ascii="Arial" w:hAnsi="Arial" w:cs="Arial"/>
              <w:sz w:val="24"/>
              <w:szCs w:val="24"/>
            </w:rPr>
            <w:t>. Employees could feel stressed and overwhelmed during the time of the change management process because employees could feel increased workload and new job responsibility. For example, they had to provide higher-quality after-sales service to customers and analyse the new low-cost flight segment. To reduce work pressure, DLH clarified expectations and set reasonable goals for employees (</w:t>
          </w:r>
          <w:r>
            <w:rPr>
              <w:rFonts w:ascii="Arial" w:hAnsi="Arial" w:cs="Arial"/>
              <w:sz w:val="24"/>
              <w:szCs w:val="24"/>
              <w:lang w:val="en-AU"/>
            </w:rPr>
            <w:t>Flemming</w:t>
          </w:r>
          <w:r>
            <w:rPr>
              <w:rFonts w:ascii="Arial" w:hAnsi="Arial" w:cs="Arial"/>
              <w:sz w:val="24"/>
              <w:szCs w:val="24"/>
            </w:rPr>
            <w:t xml:space="preserve"> et al., 2021). As such, employees should know when they could achieve the goals of the change process.</w:t>
          </w:r>
        </w:p>
        <w:p>
          <w:pPr>
            <w:spacing w:line="480" w:lineRule="auto"/>
            <w:ind w:firstLine="720"/>
            <w:jc w:val="both"/>
            <w:rPr>
              <w:rFonts w:ascii="Arial" w:hAnsi="Arial" w:cs="Arial"/>
              <w:sz w:val="24"/>
              <w:szCs w:val="24"/>
            </w:rPr>
          </w:pPr>
          <w:r>
            <w:rPr>
              <w:rFonts w:ascii="Arial" w:hAnsi="Arial" w:cs="Arial"/>
              <w:b/>
              <w:bCs/>
              <w:sz w:val="24"/>
              <w:szCs w:val="24"/>
            </w:rPr>
            <w:t>Fear of the unknown (5)</w:t>
          </w:r>
          <w:r>
            <w:rPr>
              <w:rFonts w:ascii="Arial" w:hAnsi="Arial" w:cs="Arial"/>
              <w:sz w:val="24"/>
              <w:szCs w:val="24"/>
            </w:rPr>
            <w:t xml:space="preserve">. Employees can feel unsettled about change, when they are unsure how the change could influence their roles or responsibilities. To reduce the resistance factor, the company provided clear and transparent communication with employees, explaining why the change was necessary and how it could impact them </w:t>
          </w:r>
          <w:r>
            <w:rPr>
              <w:rFonts w:ascii="Arial" w:hAnsi="Arial" w:cs="Arial"/>
              <w:color w:val="000000" w:themeColor="text1"/>
              <w:sz w:val="24"/>
              <w:szCs w:val="24"/>
              <w14:textFill>
                <w14:solidFill>
                  <w14:schemeClr w14:val="tx1"/>
                </w14:solidFill>
              </w14:textFill>
            </w:rPr>
            <w:t>(Rinser, 2021). Whe</w:t>
          </w:r>
          <w:r>
            <w:rPr>
              <w:rFonts w:ascii="Arial" w:hAnsi="Arial" w:cs="Arial"/>
              <w:sz w:val="24"/>
              <w:szCs w:val="24"/>
            </w:rPr>
            <w:t>n employees realised that the change process had positive outcomes, they could feel sure of it.</w:t>
          </w:r>
        </w:p>
        <w:p>
          <w:pPr>
            <w:spacing w:line="480" w:lineRule="auto"/>
            <w:ind w:firstLine="720"/>
            <w:jc w:val="both"/>
            <w:rPr>
              <w:rFonts w:ascii="Arial" w:hAnsi="Arial" w:cs="Arial"/>
              <w:sz w:val="24"/>
              <w:szCs w:val="24"/>
            </w:rPr>
          </w:pPr>
          <w:r>
            <w:rPr>
              <w:rFonts w:ascii="Arial" w:hAnsi="Arial" w:cs="Arial"/>
              <w:b/>
              <w:bCs/>
              <w:sz w:val="24"/>
              <w:szCs w:val="24"/>
            </w:rPr>
            <w:t>A lack of communication (2)</w:t>
          </w:r>
          <w:r>
            <w:rPr>
              <w:rFonts w:ascii="Arial" w:hAnsi="Arial" w:cs="Arial"/>
              <w:sz w:val="24"/>
              <w:szCs w:val="24"/>
            </w:rPr>
            <w:t xml:space="preserve">. A lack of communication can lead to misunderstanding, mistrust and confusion during </w:t>
          </w:r>
          <w:r>
            <w:rPr>
              <w:rFonts w:hint="eastAsia" w:ascii="Arial" w:hAnsi="Arial" w:cs="Arial"/>
              <w:sz w:val="24"/>
              <w:szCs w:val="24"/>
              <w:lang w:eastAsia="zh-CN"/>
            </w:rPr>
            <w:t>organizational</w:t>
          </w:r>
          <w:r>
            <w:rPr>
              <w:rFonts w:ascii="Arial" w:hAnsi="Arial" w:cs="Arial"/>
              <w:sz w:val="24"/>
              <w:szCs w:val="24"/>
            </w:rPr>
            <w:t xml:space="preserve"> change (</w:t>
          </w:r>
          <w:r>
            <w:rPr>
              <w:rFonts w:ascii="Arial" w:hAnsi="Arial" w:cs="Arial"/>
              <w:sz w:val="24"/>
              <w:szCs w:val="24"/>
              <w:lang w:val="en-AU"/>
            </w:rPr>
            <w:t>Endrejat</w:t>
          </w:r>
          <w:r>
            <w:rPr>
              <w:rFonts w:ascii="Arial" w:hAnsi="Arial" w:cs="Arial"/>
              <w:sz w:val="24"/>
              <w:szCs w:val="24"/>
            </w:rPr>
            <w:t>e et al., 2020). To deal with the resistance factor, the company had open and regular communication with employees, to keep them informed of the status quo of the change process. In this way, employees could be clear of the ongoing process of the change.</w:t>
          </w:r>
        </w:p>
        <w:p>
          <w:pPr>
            <w:spacing w:line="480" w:lineRule="auto"/>
            <w:ind w:firstLine="720"/>
            <w:jc w:val="both"/>
            <w:rPr>
              <w:rFonts w:ascii="Arial" w:hAnsi="Arial" w:cs="Arial"/>
              <w:sz w:val="24"/>
              <w:szCs w:val="24"/>
              <w:lang w:eastAsia="zh-CN"/>
            </w:rPr>
          </w:pPr>
          <w:r>
            <w:rPr>
              <w:rFonts w:ascii="Arial" w:hAnsi="Arial" w:cs="Arial"/>
              <w:b/>
              <w:bCs/>
              <w:sz w:val="24"/>
              <w:szCs w:val="24"/>
            </w:rPr>
            <w:t>A lack of perceived benefit (1)</w:t>
          </w:r>
          <w:r>
            <w:rPr>
              <w:rFonts w:ascii="Arial" w:hAnsi="Arial" w:cs="Arial"/>
              <w:sz w:val="24"/>
              <w:szCs w:val="24"/>
            </w:rPr>
            <w:t xml:space="preserve">. </w:t>
          </w:r>
          <w:r>
            <w:rPr>
              <w:rFonts w:ascii="Arial" w:hAnsi="Arial" w:cs="Arial"/>
              <w:sz w:val="24"/>
              <w:szCs w:val="24"/>
              <w:lang w:eastAsia="zh-CN"/>
            </w:rPr>
            <w:t>A</w:t>
          </w:r>
          <w:r>
            <w:rPr>
              <w:rFonts w:ascii="Arial" w:hAnsi="Arial" w:cs="Arial"/>
              <w:sz w:val="24"/>
              <w:szCs w:val="24"/>
            </w:rPr>
            <w:t xml:space="preserve"> lack of perceived benefit means that employees may resist change if they cannot foresee the benefit of the change the </w:t>
          </w:r>
          <w:r>
            <w:rPr>
              <w:rFonts w:hint="eastAsia" w:ascii="Arial" w:hAnsi="Arial" w:cs="Arial"/>
              <w:sz w:val="24"/>
              <w:szCs w:val="24"/>
              <w:lang w:eastAsia="zh-CN"/>
            </w:rPr>
            <w:t>organization</w:t>
          </w:r>
          <w:r>
            <w:rPr>
              <w:rFonts w:ascii="Arial" w:hAnsi="Arial" w:cs="Arial"/>
              <w:sz w:val="24"/>
              <w:szCs w:val="24"/>
            </w:rPr>
            <w:t xml:space="preserve"> and themselves. DLH dealt with the problem by clearly communicating the expected benefit. For example, if the company could turn around its revenue through the change process, employees should have higher income.</w:t>
          </w:r>
        </w:p>
        <w:p>
          <w:pPr>
            <w:spacing w:line="480" w:lineRule="auto"/>
            <w:ind w:firstLine="720"/>
            <w:jc w:val="both"/>
            <w:rPr>
              <w:rFonts w:ascii="Arial" w:hAnsi="Arial" w:cs="Arial"/>
              <w:sz w:val="24"/>
              <w:szCs w:val="24"/>
            </w:rPr>
          </w:pPr>
          <w:r>
            <w:rPr>
              <w:rFonts w:hint="eastAsia" w:ascii="Arial" w:hAnsi="Arial" w:cs="Arial"/>
              <w:b/>
              <w:bCs/>
              <w:sz w:val="24"/>
              <w:szCs w:val="24"/>
              <w:lang w:eastAsia="zh-CN"/>
            </w:rPr>
            <w:t>Organizational</w:t>
          </w:r>
          <w:r>
            <w:rPr>
              <w:rFonts w:ascii="Arial" w:hAnsi="Arial" w:cs="Arial"/>
              <w:b/>
              <w:bCs/>
              <w:sz w:val="24"/>
              <w:szCs w:val="24"/>
            </w:rPr>
            <w:t xml:space="preserve"> structure (3).</w:t>
          </w:r>
          <w:r>
            <w:rPr>
              <w:rFonts w:ascii="Arial" w:hAnsi="Arial" w:cs="Arial"/>
              <w:sz w:val="24"/>
              <w:szCs w:val="24"/>
            </w:rPr>
            <w:t xml:space="preserve"> </w:t>
          </w:r>
          <w:r>
            <w:rPr>
              <w:rFonts w:hint="eastAsia" w:ascii="Arial" w:hAnsi="Arial" w:cs="Arial"/>
              <w:sz w:val="24"/>
              <w:szCs w:val="24"/>
              <w:lang w:eastAsia="zh-CN"/>
            </w:rPr>
            <w:t>Organizational</w:t>
          </w:r>
          <w:r>
            <w:rPr>
              <w:rFonts w:ascii="Arial" w:hAnsi="Arial" w:cs="Arial"/>
              <w:sz w:val="24"/>
              <w:szCs w:val="24"/>
            </w:rPr>
            <w:t xml:space="preserve"> structure can hinder </w:t>
          </w:r>
          <w:r>
            <w:rPr>
              <w:rFonts w:hint="eastAsia" w:ascii="Arial" w:hAnsi="Arial" w:cs="Arial"/>
              <w:sz w:val="24"/>
              <w:szCs w:val="24"/>
              <w:lang w:eastAsia="zh-CN"/>
            </w:rPr>
            <w:t>organizational</w:t>
          </w:r>
          <w:r>
            <w:rPr>
              <w:rFonts w:ascii="Arial" w:hAnsi="Arial" w:cs="Arial"/>
              <w:sz w:val="24"/>
              <w:szCs w:val="24"/>
            </w:rPr>
            <w:t xml:space="preserve"> change because it </w:t>
          </w:r>
          <w:r>
            <w:rPr>
              <w:rFonts w:hint="eastAsia" w:ascii="Arial" w:hAnsi="Arial" w:cs="Arial"/>
              <w:sz w:val="24"/>
              <w:szCs w:val="24"/>
              <w:lang w:eastAsia="zh-CN"/>
            </w:rPr>
            <w:t>institutionalizes</w:t>
          </w:r>
          <w:r>
            <w:rPr>
              <w:rFonts w:ascii="Arial" w:hAnsi="Arial" w:cs="Arial"/>
              <w:sz w:val="24"/>
              <w:szCs w:val="24"/>
            </w:rPr>
            <w:t xml:space="preserve"> functions and departments. To deal with the issue, DLH provided training and support for employees so they could be better adapted to the new </w:t>
          </w:r>
          <w:r>
            <w:rPr>
              <w:rFonts w:hint="eastAsia" w:ascii="Arial" w:hAnsi="Arial" w:cs="Arial"/>
              <w:sz w:val="24"/>
              <w:szCs w:val="24"/>
              <w:lang w:eastAsia="zh-CN"/>
            </w:rPr>
            <w:t>organizational</w:t>
          </w:r>
          <w:r>
            <w:rPr>
              <w:rFonts w:ascii="Arial" w:hAnsi="Arial" w:cs="Arial"/>
              <w:sz w:val="24"/>
              <w:szCs w:val="24"/>
            </w:rPr>
            <w:t xml:space="preserve"> structure (</w:t>
          </w:r>
          <w:r>
            <w:rPr>
              <w:rFonts w:ascii="Arial" w:hAnsi="Arial" w:cs="Arial"/>
              <w:sz w:val="24"/>
              <w:szCs w:val="24"/>
              <w:lang w:val="en-AU"/>
            </w:rPr>
            <w:t>Böhm</w:t>
          </w:r>
          <w:r>
            <w:rPr>
              <w:rFonts w:ascii="Arial" w:hAnsi="Arial" w:cs="Arial"/>
              <w:sz w:val="24"/>
              <w:szCs w:val="24"/>
            </w:rPr>
            <w:t xml:space="preserve"> et al., 2022).</w:t>
          </w:r>
        </w:p>
        <w:p>
          <w:pPr>
            <w:pStyle w:val="3"/>
            <w:numPr>
              <w:ilvl w:val="1"/>
              <w:numId w:val="1"/>
            </w:numPr>
            <w:spacing w:line="480" w:lineRule="auto"/>
            <w:rPr>
              <w:rFonts w:ascii="Arial" w:hAnsi="Arial" w:cs="Arial"/>
              <w:sz w:val="24"/>
              <w:szCs w:val="24"/>
            </w:rPr>
          </w:pPr>
          <w:bookmarkStart w:id="12" w:name="_Toc133940841"/>
          <w:r>
            <w:rPr>
              <w:rFonts w:ascii="Arial" w:hAnsi="Arial" w:cs="Arial"/>
              <w:sz w:val="24"/>
              <w:szCs w:val="24"/>
            </w:rPr>
            <w:t>Stakeholder Analysis</w:t>
          </w:r>
          <w:bookmarkEnd w:id="12"/>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Stakeholders refer to individuals or groups that either have high influence on or are influenced by an </w:t>
          </w:r>
          <w:r>
            <w:rPr>
              <w:rFonts w:hint="eastAsia" w:ascii="Arial" w:hAnsi="Arial" w:cs="Arial"/>
              <w:sz w:val="24"/>
              <w:szCs w:val="24"/>
              <w:lang w:eastAsia="zh-CN"/>
            </w:rPr>
            <w:t>organization</w:t>
          </w:r>
          <w:r>
            <w:rPr>
              <w:rFonts w:ascii="Arial" w:hAnsi="Arial" w:cs="Arial"/>
              <w:sz w:val="24"/>
              <w:szCs w:val="24"/>
            </w:rPr>
            <w:t xml:space="preserve"> (</w:t>
          </w:r>
          <w:r>
            <w:rPr>
              <w:rFonts w:ascii="Arial" w:hAnsi="Arial" w:cs="Arial"/>
              <w:sz w:val="24"/>
              <w:szCs w:val="24"/>
              <w:lang w:val="en-AU"/>
            </w:rPr>
            <w:t>Parmar</w:t>
          </w:r>
          <w:r>
            <w:rPr>
              <w:rFonts w:ascii="Arial" w:hAnsi="Arial" w:cs="Arial"/>
              <w:sz w:val="24"/>
              <w:szCs w:val="24"/>
            </w:rPr>
            <w:t xml:space="preserve"> et al., 2010). According to </w:t>
          </w:r>
          <w:r>
            <w:rPr>
              <w:rFonts w:ascii="Arial" w:hAnsi="Arial" w:cs="Arial"/>
              <w:sz w:val="24"/>
              <w:szCs w:val="24"/>
              <w:lang w:val="en-AU"/>
            </w:rPr>
            <w:t>Murray-Webster</w:t>
          </w:r>
          <w:r>
            <w:rPr>
              <w:rFonts w:ascii="Arial" w:hAnsi="Arial" w:cs="Arial"/>
              <w:sz w:val="24"/>
              <w:szCs w:val="24"/>
            </w:rPr>
            <w:t xml:space="preserve"> and</w:t>
          </w:r>
          <w:r>
            <w:rPr>
              <w:rFonts w:ascii="Arial" w:hAnsi="Arial" w:cs="Arial"/>
              <w:sz w:val="24"/>
              <w:szCs w:val="24"/>
              <w:lang w:val="en-AU"/>
            </w:rPr>
            <w:t xml:space="preserve"> Simon </w:t>
          </w:r>
          <w:r>
            <w:rPr>
              <w:rFonts w:ascii="Arial" w:hAnsi="Arial" w:cs="Arial"/>
              <w:sz w:val="24"/>
              <w:szCs w:val="24"/>
            </w:rPr>
            <w:t>(</w:t>
          </w:r>
          <w:r>
            <w:rPr>
              <w:rFonts w:ascii="Arial" w:hAnsi="Arial" w:cs="Arial"/>
              <w:sz w:val="24"/>
              <w:szCs w:val="24"/>
              <w:lang w:val="en-AU"/>
            </w:rPr>
            <w:t>2006</w:t>
          </w:r>
          <w:r>
            <w:rPr>
              <w:rFonts w:ascii="Arial" w:hAnsi="Arial" w:cs="Arial"/>
              <w:sz w:val="24"/>
              <w:szCs w:val="24"/>
            </w:rPr>
            <w:t>), power and interest are two important dimensions to classify and manage stakeholders. When it comes to DLH’s case, the two dimensions are selected as power and attitude. Attitude can influence how stakeholders support or oppose to the company’s change management process. Figure 2 shows the stakeholder analysis for DLH, including 10 stakeholders of shareholders. Specifically, shareholders, senior managers, customers and the government were strong supporters of the change management process. Shareholders and senior managers expected the change because it could help turn around the company’s financial performance. Customers expected the change because they could have lower-cost flight service. The government expected the change because it could stabilise the aviation industry. Suppliers, media and communities were weak supporters of the change management process. Suppliers expected the change because the growth of DLH’s revenue could help improve their own interests. Media supported the change because it could be a good source of news stories. Communities expected the change because they could expect realisation of the company’s corporate social responsibility. The middle-level managers were strong opponents because they could bear high risk and uncertainty. Employees and competitors were weak opponents. The employees might not want to change the status quo. The competitors did not want to see the company increasing competition of the industry.</w:t>
          </w:r>
        </w:p>
        <w:p>
          <w:pPr>
            <w:spacing w:line="480" w:lineRule="auto"/>
            <w:jc w:val="both"/>
            <w:rPr>
              <w:rFonts w:ascii="Arial" w:hAnsi="Arial" w:cs="Arial"/>
              <w:sz w:val="24"/>
              <w:szCs w:val="24"/>
            </w:rPr>
          </w:pPr>
          <w:r>
            <w:rPr>
              <w:rFonts w:ascii="Arial" w:hAnsi="Arial" w:cs="Arial"/>
              <w:sz w:val="24"/>
              <w:szCs w:val="24"/>
            </w:rPr>
            <w:drawing>
              <wp:inline distT="0" distB="0" distL="0" distR="0">
                <wp:extent cx="5274310" cy="3935095"/>
                <wp:effectExtent l="0" t="0" r="0" b="0"/>
                <wp:docPr id="3" name="图片 3" descr="黑暗里有灯光&#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黑暗里有灯光&#10;&#10;中度可信度描述已自动生成"/>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3935095"/>
                        </a:xfrm>
                        <a:prstGeom prst="rect">
                          <a:avLst/>
                        </a:prstGeom>
                      </pic:spPr>
                    </pic:pic>
                  </a:graphicData>
                </a:graphic>
              </wp:inline>
            </w:drawing>
          </w:r>
        </w:p>
        <w:p>
          <w:pPr>
            <w:spacing w:line="480" w:lineRule="auto"/>
            <w:jc w:val="center"/>
            <w:rPr>
              <w:rFonts w:ascii="Arial" w:hAnsi="Arial" w:cs="Arial"/>
              <w:b/>
              <w:bCs/>
              <w:sz w:val="24"/>
              <w:szCs w:val="24"/>
            </w:rPr>
          </w:pPr>
          <w:r>
            <w:rPr>
              <w:rFonts w:ascii="Arial" w:hAnsi="Arial" w:cs="Arial"/>
              <w:b/>
              <w:bCs/>
              <w:sz w:val="24"/>
              <w:szCs w:val="24"/>
            </w:rPr>
            <w:t>Figure 2 Stakeholder Analysis for DLH</w:t>
          </w:r>
        </w:p>
        <w:p>
          <w:pPr>
            <w:pStyle w:val="2"/>
            <w:numPr>
              <w:ilvl w:val="0"/>
              <w:numId w:val="1"/>
            </w:numPr>
            <w:spacing w:line="480" w:lineRule="auto"/>
            <w:jc w:val="both"/>
            <w:rPr>
              <w:rFonts w:ascii="Arial" w:hAnsi="Arial" w:cs="Arial"/>
              <w:sz w:val="24"/>
              <w:szCs w:val="24"/>
            </w:rPr>
          </w:pPr>
          <w:bookmarkStart w:id="13" w:name="_Toc133940842"/>
          <w:r>
            <w:rPr>
              <w:rFonts w:ascii="Arial" w:hAnsi="Arial" w:cs="Arial"/>
              <w:sz w:val="24"/>
              <w:szCs w:val="24"/>
            </w:rPr>
            <w:t>Evaluation of Effectiveness of DLH’s Change Management Process</w:t>
          </w:r>
          <w:bookmarkEnd w:id="13"/>
        </w:p>
        <w:p>
          <w:pPr>
            <w:spacing w:line="480" w:lineRule="auto"/>
            <w:ind w:firstLine="720"/>
            <w:jc w:val="both"/>
            <w:rPr>
              <w:rFonts w:ascii="Arial" w:hAnsi="Arial" w:cs="Arial"/>
              <w:sz w:val="24"/>
              <w:szCs w:val="24"/>
            </w:rPr>
          </w:pPr>
          <w:r>
            <w:rPr>
              <w:rFonts w:ascii="Arial" w:hAnsi="Arial" w:cs="Arial"/>
              <w:sz w:val="24"/>
              <w:szCs w:val="24"/>
            </w:rPr>
            <w:t>The overall effectiveness of DLH’s change management process is evaluated by Kotter’s 8-step model (</w:t>
          </w:r>
          <w:r>
            <w:rPr>
              <w:rFonts w:ascii="Arial" w:hAnsi="Arial" w:cs="Arial"/>
              <w:sz w:val="24"/>
              <w:szCs w:val="24"/>
              <w:lang w:val="en-AU"/>
            </w:rPr>
            <w:t>Appelbaum</w:t>
          </w:r>
          <w:r>
            <w:rPr>
              <w:rFonts w:ascii="Arial" w:hAnsi="Arial" w:cs="Arial"/>
              <w:sz w:val="24"/>
              <w:szCs w:val="24"/>
            </w:rPr>
            <w:t xml:space="preserve"> et al., 2012). The evaluation result is </w:t>
          </w:r>
          <w:r>
            <w:rPr>
              <w:rFonts w:hint="eastAsia" w:ascii="Arial" w:hAnsi="Arial" w:cs="Arial"/>
              <w:sz w:val="24"/>
              <w:szCs w:val="24"/>
              <w:lang w:eastAsia="zh-CN"/>
            </w:rPr>
            <w:t>summarized</w:t>
          </w:r>
          <w:r>
            <w:rPr>
              <w:rFonts w:ascii="Arial" w:hAnsi="Arial" w:cs="Arial"/>
              <w:sz w:val="24"/>
              <w:szCs w:val="24"/>
            </w:rPr>
            <w:t xml:space="preserve"> in table 3.</w:t>
          </w:r>
        </w:p>
        <w:p>
          <w:pPr>
            <w:spacing w:line="480" w:lineRule="auto"/>
            <w:jc w:val="center"/>
            <w:rPr>
              <w:rFonts w:ascii="Arial" w:hAnsi="Arial" w:cs="Arial"/>
              <w:b/>
              <w:bCs/>
              <w:sz w:val="24"/>
              <w:szCs w:val="24"/>
            </w:rPr>
          </w:pPr>
          <w:r>
            <w:rPr>
              <w:rFonts w:ascii="Arial" w:hAnsi="Arial" w:cs="Arial"/>
              <w:b/>
              <w:bCs/>
              <w:sz w:val="24"/>
              <w:szCs w:val="24"/>
            </w:rPr>
            <w:t>Table 3 Evaluation of DLH’s Change Management Process</w:t>
          </w:r>
        </w:p>
        <w:tbl>
          <w:tblPr>
            <w:tblStyle w:val="12"/>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4"/>
            <w:gridCol w:w="884"/>
            <w:gridCol w:w="43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Step</w:t>
                </w:r>
              </w:p>
            </w:tc>
            <w:tc>
              <w:tcPr>
                <w:tcW w:w="850"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Score</w:t>
                </w:r>
              </w:p>
            </w:tc>
            <w:tc>
              <w:tcPr>
                <w:tcW w:w="4332" w:type="dxa"/>
              </w:tcPr>
              <w:p>
                <w:pPr>
                  <w:spacing w:after="0" w:line="480" w:lineRule="auto"/>
                  <w:jc w:val="both"/>
                  <w:rPr>
                    <w:rFonts w:ascii="Arial" w:hAnsi="Arial" w:cs="Arial"/>
                    <w:b/>
                    <w:bCs/>
                    <w:kern w:val="2"/>
                    <w:sz w:val="24"/>
                    <w:szCs w:val="24"/>
                    <w:lang w:val="en-GB" w:eastAsia="zh-CN"/>
                  </w:rPr>
                </w:pPr>
                <w:r>
                  <w:rPr>
                    <w:rFonts w:ascii="Arial" w:hAnsi="Arial" w:cs="Arial"/>
                    <w:b/>
                    <w:bCs/>
                    <w:kern w:val="2"/>
                    <w:sz w:val="24"/>
                    <w:szCs w:val="24"/>
                    <w:lang w:val="en-GB" w:eastAsia="zh-CN"/>
                  </w:rPr>
                  <w:t>Explanation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US" w:eastAsia="zh-CN"/>
                  </w:rPr>
                </w:pPr>
                <w:r>
                  <w:rPr>
                    <w:rFonts w:ascii="Arial" w:hAnsi="Arial" w:cs="Arial"/>
                    <w:kern w:val="2"/>
                    <w:sz w:val="24"/>
                    <w:szCs w:val="24"/>
                    <w:lang w:val="en-GB" w:eastAsia="zh-CN"/>
                  </w:rPr>
                  <w:t>Establishment of a sense of urgency</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8/10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 xml:space="preserve">The </w:t>
                </w:r>
                <w:r>
                  <w:rPr>
                    <w:rFonts w:hint="eastAsia" w:ascii="Arial" w:hAnsi="Arial" w:cs="Arial"/>
                    <w:kern w:val="2"/>
                    <w:sz w:val="24"/>
                    <w:szCs w:val="24"/>
                    <w:lang w:val="en-GB" w:eastAsia="zh-CN"/>
                  </w:rPr>
                  <w:t>organization</w:t>
                </w:r>
                <w:r>
                  <w:rPr>
                    <w:rFonts w:ascii="Arial" w:hAnsi="Arial" w:cs="Arial"/>
                    <w:kern w:val="2"/>
                    <w:sz w:val="24"/>
                    <w:szCs w:val="24"/>
                    <w:lang w:val="en-GB" w:eastAsia="zh-CN"/>
                  </w:rPr>
                  <w:t xml:space="preserve"> perceived an urgency to change because its revenue was severely impaired by COVID-19.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Formation of powerful coalition</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7/10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 xml:space="preserve">The company planned and implemented the change at an </w:t>
                </w:r>
                <w:r>
                  <w:rPr>
                    <w:rFonts w:hint="eastAsia" w:ascii="Arial" w:hAnsi="Arial" w:cs="Arial"/>
                    <w:kern w:val="2"/>
                    <w:sz w:val="24"/>
                    <w:szCs w:val="24"/>
                    <w:lang w:val="en-GB" w:eastAsia="zh-CN"/>
                  </w:rPr>
                  <w:t>organizational</w:t>
                </w:r>
                <w:r>
                  <w:rPr>
                    <w:rFonts w:ascii="Arial" w:hAnsi="Arial" w:cs="Arial"/>
                    <w:kern w:val="2"/>
                    <w:sz w:val="24"/>
                    <w:szCs w:val="24"/>
                    <w:lang w:val="en-GB" w:eastAsia="zh-CN"/>
                  </w:rPr>
                  <w:t xml:space="preserve"> level.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Creation of a vision</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6/10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The company did not explicitly recognise a vision for change, although it had certain expectations of the outcomes of the change.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Communication of the vision</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4/10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The company did not explicitly communicate the vision.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Empowerment upon the vision</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3/10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The company did not empower the vision since it adopted a top-down approach to the change.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Planning for short-term wins</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2/10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The short-term benefit was not obvious as it focused on long-term benefit.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Consolidation and improvement</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6/10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The company’s improvement was continuous.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14" w:type="dxa"/>
              </w:tcPr>
              <w:p>
                <w:pPr>
                  <w:spacing w:after="0" w:line="480" w:lineRule="auto"/>
                  <w:jc w:val="both"/>
                  <w:rPr>
                    <w:rFonts w:ascii="Arial" w:hAnsi="Arial" w:cs="Arial"/>
                    <w:kern w:val="2"/>
                    <w:sz w:val="24"/>
                    <w:szCs w:val="24"/>
                    <w:lang w:val="en-GB" w:eastAsia="zh-CN"/>
                  </w:rPr>
                </w:pPr>
                <w:r>
                  <w:rPr>
                    <w:rFonts w:hint="eastAsia" w:ascii="Arial" w:hAnsi="Arial" w:cs="Arial"/>
                    <w:kern w:val="2"/>
                    <w:sz w:val="24"/>
                    <w:szCs w:val="24"/>
                    <w:lang w:val="en-GB" w:eastAsia="zh-CN"/>
                  </w:rPr>
                  <w:t>Institutionalization</w:t>
                </w:r>
                <w:r>
                  <w:rPr>
                    <w:rFonts w:ascii="Arial" w:hAnsi="Arial" w:cs="Arial"/>
                    <w:kern w:val="2"/>
                    <w:sz w:val="24"/>
                    <w:szCs w:val="24"/>
                    <w:lang w:val="en-GB" w:eastAsia="zh-CN"/>
                  </w:rPr>
                  <w:t xml:space="preserve"> of change</w:t>
                </w:r>
              </w:p>
            </w:tc>
            <w:tc>
              <w:tcPr>
                <w:tcW w:w="850"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8/10</w:t>
                </w:r>
              </w:p>
            </w:tc>
            <w:tc>
              <w:tcPr>
                <w:tcW w:w="4332" w:type="dxa"/>
              </w:tcPr>
              <w:p>
                <w:pPr>
                  <w:spacing w:after="0" w:line="480" w:lineRule="auto"/>
                  <w:jc w:val="both"/>
                  <w:rPr>
                    <w:rFonts w:ascii="Arial" w:hAnsi="Arial" w:cs="Arial"/>
                    <w:kern w:val="2"/>
                    <w:sz w:val="24"/>
                    <w:szCs w:val="24"/>
                    <w:lang w:val="en-GB" w:eastAsia="zh-CN"/>
                  </w:rPr>
                </w:pPr>
                <w:r>
                  <w:rPr>
                    <w:rFonts w:ascii="Arial" w:hAnsi="Arial" w:cs="Arial"/>
                    <w:kern w:val="2"/>
                    <w:sz w:val="24"/>
                    <w:szCs w:val="24"/>
                    <w:lang w:val="en-GB" w:eastAsia="zh-CN"/>
                  </w:rPr>
                  <w:t xml:space="preserve">The company </w:t>
                </w:r>
                <w:r>
                  <w:rPr>
                    <w:rFonts w:hint="eastAsia" w:ascii="Arial" w:hAnsi="Arial" w:cs="Arial"/>
                    <w:kern w:val="2"/>
                    <w:sz w:val="24"/>
                    <w:szCs w:val="24"/>
                    <w:lang w:val="en-GB" w:eastAsia="zh-CN"/>
                  </w:rPr>
                  <w:t>institutionalized</w:t>
                </w:r>
                <w:r>
                  <w:rPr>
                    <w:rFonts w:ascii="Arial" w:hAnsi="Arial" w:cs="Arial"/>
                    <w:kern w:val="2"/>
                    <w:sz w:val="24"/>
                    <w:szCs w:val="24"/>
                    <w:lang w:val="en-GB" w:eastAsia="zh-CN"/>
                  </w:rPr>
                  <w:t xml:space="preserve"> the change as part of its </w:t>
                </w:r>
                <w:r>
                  <w:rPr>
                    <w:rFonts w:hint="eastAsia" w:ascii="Arial" w:hAnsi="Arial" w:cs="Arial"/>
                    <w:kern w:val="2"/>
                    <w:sz w:val="24"/>
                    <w:szCs w:val="24"/>
                    <w:lang w:val="en-GB" w:eastAsia="zh-CN"/>
                  </w:rPr>
                  <w:t>organizational</w:t>
                </w:r>
                <w:r>
                  <w:rPr>
                    <w:rFonts w:ascii="Arial" w:hAnsi="Arial" w:cs="Arial"/>
                    <w:kern w:val="2"/>
                    <w:sz w:val="24"/>
                    <w:szCs w:val="24"/>
                    <w:lang w:val="en-GB" w:eastAsia="zh-CN"/>
                  </w:rPr>
                  <w:t xml:space="preserve"> culture.</w:t>
                </w:r>
              </w:p>
            </w:tc>
          </w:tr>
        </w:tbl>
        <w:p>
          <w:pPr>
            <w:pStyle w:val="2"/>
            <w:numPr>
              <w:ilvl w:val="0"/>
              <w:numId w:val="1"/>
            </w:numPr>
            <w:spacing w:line="480" w:lineRule="auto"/>
            <w:rPr>
              <w:rFonts w:ascii="Arial" w:hAnsi="Arial" w:cs="Arial"/>
              <w:sz w:val="24"/>
              <w:szCs w:val="24"/>
            </w:rPr>
          </w:pPr>
          <w:bookmarkStart w:id="14" w:name="_Toc133940843"/>
          <w:r>
            <w:rPr>
              <w:rFonts w:ascii="Arial" w:hAnsi="Arial" w:cs="Arial"/>
              <w:sz w:val="24"/>
              <w:szCs w:val="24"/>
            </w:rPr>
            <w:t>Conclusion and Recommendations</w:t>
          </w:r>
          <w:bookmarkEnd w:id="14"/>
        </w:p>
        <w:p>
          <w:pPr>
            <w:spacing w:line="480" w:lineRule="auto"/>
            <w:ind w:firstLine="720"/>
            <w:jc w:val="both"/>
            <w:rPr>
              <w:rFonts w:ascii="Arial" w:hAnsi="Arial" w:cs="Arial"/>
              <w:sz w:val="24"/>
              <w:szCs w:val="24"/>
            </w:rPr>
          </w:pPr>
          <w:r>
            <w:rPr>
              <w:rFonts w:ascii="Arial" w:hAnsi="Arial" w:cs="Arial"/>
              <w:sz w:val="24"/>
              <w:szCs w:val="24"/>
            </w:rPr>
            <w:t xml:space="preserve">In conclusion, this report critically studies a case of DLH’s change management process in response to COVID-19. COVID-19 had strongly disturbed the world order and economy and affected the aviation industry. DLH needed to respond to the incident by changing </w:t>
          </w:r>
          <w:r>
            <w:rPr>
              <w:rFonts w:ascii="Arial" w:hAnsi="Arial" w:cs="Arial"/>
              <w:sz w:val="24"/>
              <w:szCs w:val="24"/>
              <w:lang w:val="en-US"/>
            </w:rPr>
            <w:t xml:space="preserve">its operations, including </w:t>
          </w:r>
          <w:r>
            <w:rPr>
              <w:rFonts w:ascii="Arial" w:hAnsi="Arial" w:cs="Arial"/>
              <w:sz w:val="24"/>
              <w:szCs w:val="24"/>
            </w:rPr>
            <w:t>receiving government support, implementing hygiene protocols, improving after-sales service quality and introducing new routes. The change process meets Lewin’s three-stage model as a planned change process. The change process is evaluated by both external and internal business environment models, including the PESTLE and SWOT models, suggesting opportunities and threats. The force field analysis suggests that the change management process could be justified because the driver factors had a larger total score than the resistance factors. The stakeholder analysis suggests that the process had strong supporters, weak supporters, strong opponents and weak opponents.</w:t>
          </w:r>
        </w:p>
        <w:p>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The overall evaluation of DLH’s change management performance suggests three recommendations for the company. First, it should explicitly create a vision for the change. For example, it could </w:t>
          </w:r>
          <w:r>
            <w:rPr>
              <w:rFonts w:hint="eastAsia" w:ascii="Arial" w:hAnsi="Arial" w:cs="Arial"/>
              <w:sz w:val="24"/>
              <w:szCs w:val="24"/>
              <w:lang w:eastAsia="zh-CN"/>
            </w:rPr>
            <w:t>recognize</w:t>
          </w:r>
          <w:r>
            <w:rPr>
              <w:rFonts w:ascii="Arial" w:hAnsi="Arial" w:cs="Arial"/>
              <w:sz w:val="24"/>
              <w:szCs w:val="24"/>
            </w:rPr>
            <w:t xml:space="preserve"> the change at the visionary level so that employees can realise the change is long-term. Second, the company should empower employees by communicating the vision with them. For example, it should enable them to perceive short-term wins so they can be motivated to </w:t>
          </w:r>
          <w:r>
            <w:rPr>
              <w:rFonts w:hint="eastAsia" w:ascii="Arial" w:hAnsi="Arial" w:cs="Arial"/>
              <w:sz w:val="24"/>
              <w:szCs w:val="24"/>
              <w:lang w:eastAsia="zh-CN"/>
            </w:rPr>
            <w:t>institutionalize</w:t>
          </w:r>
          <w:r>
            <w:rPr>
              <w:rFonts w:ascii="Arial" w:hAnsi="Arial" w:cs="Arial"/>
              <w:sz w:val="24"/>
              <w:szCs w:val="24"/>
            </w:rPr>
            <w:t xml:space="preserve"> the change.</w:t>
          </w:r>
        </w:p>
        <w:p>
          <w:pPr>
            <w:spacing w:line="480" w:lineRule="auto"/>
            <w:rPr>
              <w:rFonts w:ascii="Arial" w:hAnsi="Arial" w:cs="Arial" w:eastAsiaTheme="majorEastAsia"/>
              <w:color w:val="2E75B6" w:themeColor="accent1" w:themeShade="BF"/>
              <w:sz w:val="24"/>
              <w:szCs w:val="24"/>
            </w:rPr>
          </w:pPr>
          <w:r>
            <w:rPr>
              <w:rFonts w:ascii="Arial" w:hAnsi="Arial" w:cs="Arial"/>
              <w:sz w:val="24"/>
              <w:szCs w:val="24"/>
            </w:rPr>
            <w:br w:type="page"/>
          </w:r>
        </w:p>
        <w:p>
          <w:pPr>
            <w:pStyle w:val="2"/>
          </w:pPr>
          <w:bookmarkStart w:id="15" w:name="_Toc133940844"/>
          <w:r>
            <w:t>Bibliography</w:t>
          </w:r>
          <w:bookmarkEnd w:id="15"/>
        </w:p>
        <w:p>
          <w:pPr>
            <w:spacing w:line="480" w:lineRule="auto"/>
            <w:ind w:left="420" w:hanging="420"/>
            <w:jc w:val="both"/>
            <w:rPr>
              <w:rFonts w:ascii="Arial" w:hAnsi="Arial" w:cs="Arial"/>
              <w:sz w:val="24"/>
              <w:szCs w:val="24"/>
            </w:rPr>
          </w:pPr>
          <w:r>
            <w:rPr>
              <w:rFonts w:ascii="Arial" w:hAnsi="Arial" w:cs="Arial"/>
              <w:sz w:val="24"/>
              <w:szCs w:val="24"/>
            </w:rPr>
            <w:t>Albers, S., &amp; Rundshagen, V. 2020. European airlines′ strategic responses to the COVID-19 pandemic (January-May, 2020). </w:t>
          </w:r>
          <w:r>
            <w:rPr>
              <w:rFonts w:ascii="Arial" w:hAnsi="Arial" w:cs="Arial"/>
              <w:i/>
              <w:iCs/>
              <w:sz w:val="24"/>
              <w:szCs w:val="24"/>
            </w:rPr>
            <w:t>Journal of air transport management</w:t>
          </w:r>
          <w:r>
            <w:rPr>
              <w:rFonts w:ascii="Arial" w:hAnsi="Arial" w:cs="Arial"/>
              <w:sz w:val="24"/>
              <w:szCs w:val="24"/>
            </w:rPr>
            <w:t>, </w:t>
          </w:r>
          <w:r>
            <w:rPr>
              <w:rFonts w:ascii="Arial" w:hAnsi="Arial" w:cs="Arial"/>
              <w:i/>
              <w:iCs/>
              <w:sz w:val="24"/>
              <w:szCs w:val="24"/>
            </w:rPr>
            <w:t>87</w:t>
          </w:r>
          <w:r>
            <w:rPr>
              <w:rFonts w:ascii="Arial" w:hAnsi="Arial" w:cs="Arial"/>
              <w:sz w:val="24"/>
              <w:szCs w:val="24"/>
            </w:rPr>
            <w:t>, 101863.</w:t>
          </w:r>
        </w:p>
        <w:p>
          <w:pPr>
            <w:spacing w:line="480" w:lineRule="auto"/>
            <w:ind w:left="420" w:hanging="420"/>
            <w:jc w:val="both"/>
            <w:rPr>
              <w:rFonts w:ascii="Arial" w:hAnsi="Arial" w:cs="Arial"/>
              <w:sz w:val="24"/>
              <w:szCs w:val="24"/>
            </w:rPr>
          </w:pPr>
          <w:r>
            <w:rPr>
              <w:rFonts w:ascii="Arial" w:hAnsi="Arial" w:cs="Arial"/>
              <w:sz w:val="24"/>
              <w:szCs w:val="24"/>
              <w:lang w:val="en-AU"/>
            </w:rPr>
            <w:t>Appelbaum, S. H., Habashy, S., Malo, J. L., &amp; Shafiq, H. 2012. Back to the future: revisiting Kotter's 1996 change model. </w:t>
          </w:r>
          <w:r>
            <w:rPr>
              <w:rFonts w:ascii="Arial" w:hAnsi="Arial" w:cs="Arial"/>
              <w:i/>
              <w:iCs/>
              <w:sz w:val="24"/>
              <w:szCs w:val="24"/>
              <w:lang w:val="en-AU"/>
            </w:rPr>
            <w:t>Journal of Management development</w:t>
          </w:r>
          <w:r>
            <w:rPr>
              <w:rFonts w:ascii="Arial" w:hAnsi="Arial" w:cs="Arial"/>
              <w:sz w:val="24"/>
              <w:szCs w:val="24"/>
              <w:lang w:val="en-AU"/>
            </w:rPr>
            <w:t>, </w:t>
          </w:r>
          <w:r>
            <w:rPr>
              <w:rFonts w:ascii="Arial" w:hAnsi="Arial" w:cs="Arial"/>
              <w:i/>
              <w:iCs/>
              <w:sz w:val="24"/>
              <w:szCs w:val="24"/>
              <w:lang w:val="en-AU"/>
            </w:rPr>
            <w:t>31</w:t>
          </w:r>
          <w:r>
            <w:rPr>
              <w:rFonts w:ascii="Arial" w:hAnsi="Arial" w:cs="Arial"/>
              <w:sz w:val="24"/>
              <w:szCs w:val="24"/>
              <w:lang w:val="en-AU"/>
            </w:rPr>
            <w:t>(8), 764-782.</w:t>
          </w:r>
        </w:p>
        <w:p>
          <w:pPr>
            <w:widowControl w:val="0"/>
            <w:spacing w:after="0" w:line="480" w:lineRule="auto"/>
            <w:ind w:left="420" w:hanging="420"/>
            <w:jc w:val="both"/>
            <w:rPr>
              <w:rFonts w:ascii="Arial" w:hAnsi="Arial" w:cs="Arial"/>
              <w:kern w:val="2"/>
              <w:sz w:val="24"/>
              <w:szCs w:val="24"/>
            </w:rPr>
          </w:pPr>
          <w:r>
            <w:rPr>
              <w:rFonts w:ascii="Arial" w:hAnsi="Arial" w:cs="Arial"/>
              <w:sz w:val="24"/>
              <w:szCs w:val="24"/>
            </w:rPr>
            <w:t>Armstrong, G., Adam, S., Denize, S., &amp; Kotler, P. 2014. </w:t>
          </w:r>
          <w:r>
            <w:rPr>
              <w:rFonts w:ascii="Arial" w:hAnsi="Arial" w:cs="Arial"/>
              <w:i/>
              <w:iCs/>
              <w:sz w:val="24"/>
              <w:szCs w:val="24"/>
            </w:rPr>
            <w:t>Principles of marketing</w:t>
          </w:r>
          <w:r>
            <w:rPr>
              <w:rFonts w:ascii="Arial" w:hAnsi="Arial" w:cs="Arial"/>
              <w:sz w:val="24"/>
              <w:szCs w:val="24"/>
            </w:rPr>
            <w:t>. Pearson Australia.</w:t>
          </w:r>
        </w:p>
        <w:p>
          <w:pPr>
            <w:spacing w:line="480" w:lineRule="auto"/>
            <w:ind w:left="420" w:hanging="420"/>
            <w:jc w:val="both"/>
            <w:rPr>
              <w:rFonts w:ascii="Arial" w:hAnsi="Arial" w:cs="Arial"/>
              <w:sz w:val="24"/>
              <w:szCs w:val="24"/>
            </w:rPr>
          </w:pPr>
          <w:r>
            <w:rPr>
              <w:rFonts w:ascii="Arial" w:hAnsi="Arial" w:cs="Arial"/>
              <w:sz w:val="24"/>
              <w:szCs w:val="24"/>
            </w:rPr>
            <w:t>Bamford, D. R., &amp; Forrester, P. L. 2003. Managing planned and emergent change within an operations management environment. </w:t>
          </w:r>
          <w:r>
            <w:rPr>
              <w:rFonts w:ascii="Arial" w:hAnsi="Arial" w:cs="Arial"/>
              <w:i/>
              <w:iCs/>
              <w:sz w:val="24"/>
              <w:szCs w:val="24"/>
            </w:rPr>
            <w:t>International journal of operations &amp; production management</w:t>
          </w:r>
          <w:r>
            <w:rPr>
              <w:rFonts w:ascii="Arial" w:hAnsi="Arial" w:cs="Arial"/>
              <w:sz w:val="24"/>
              <w:szCs w:val="24"/>
            </w:rPr>
            <w:t>, </w:t>
          </w:r>
          <w:r>
            <w:rPr>
              <w:rFonts w:ascii="Arial" w:hAnsi="Arial" w:cs="Arial"/>
              <w:i/>
              <w:iCs/>
              <w:sz w:val="24"/>
              <w:szCs w:val="24"/>
            </w:rPr>
            <w:t>23</w:t>
          </w:r>
          <w:r>
            <w:rPr>
              <w:rFonts w:ascii="Arial" w:hAnsi="Arial" w:cs="Arial"/>
              <w:sz w:val="24"/>
              <w:szCs w:val="24"/>
            </w:rPr>
            <w:t>(5), 546-564.</w:t>
          </w:r>
        </w:p>
        <w:p>
          <w:pPr>
            <w:spacing w:line="480" w:lineRule="auto"/>
            <w:ind w:left="420" w:hanging="420"/>
            <w:jc w:val="both"/>
            <w:rPr>
              <w:rFonts w:ascii="Arial" w:hAnsi="Arial" w:cs="Arial"/>
              <w:sz w:val="24"/>
              <w:szCs w:val="24"/>
            </w:rPr>
          </w:pPr>
          <w:r>
            <w:rPr>
              <w:rFonts w:ascii="Arial" w:hAnsi="Arial" w:cs="Arial"/>
              <w:sz w:val="24"/>
              <w:szCs w:val="24"/>
            </w:rPr>
            <w:t>Bargal, D., Gold, M., &amp; Lewin, M. (1992) Introduction: the heritage of Kurt Lewin. </w:t>
          </w:r>
          <w:r>
            <w:rPr>
              <w:rFonts w:ascii="Arial" w:hAnsi="Arial" w:cs="Arial"/>
              <w:i/>
              <w:iCs/>
              <w:sz w:val="24"/>
              <w:szCs w:val="24"/>
            </w:rPr>
            <w:t>Journal of Social Issues</w:t>
          </w:r>
          <w:r>
            <w:rPr>
              <w:rFonts w:ascii="Arial" w:hAnsi="Arial" w:cs="Arial"/>
              <w:sz w:val="24"/>
              <w:szCs w:val="24"/>
            </w:rPr>
            <w:t>, </w:t>
          </w:r>
          <w:r>
            <w:rPr>
              <w:rFonts w:ascii="Arial" w:hAnsi="Arial" w:cs="Arial"/>
              <w:i/>
              <w:iCs/>
              <w:sz w:val="24"/>
              <w:szCs w:val="24"/>
            </w:rPr>
            <w:t>48</w:t>
          </w:r>
          <w:r>
            <w:rPr>
              <w:rFonts w:ascii="Arial" w:hAnsi="Arial" w:cs="Arial"/>
              <w:sz w:val="24"/>
              <w:szCs w:val="24"/>
            </w:rPr>
            <w:t>(2), 3-13.</w:t>
          </w:r>
        </w:p>
        <w:p>
          <w:pPr>
            <w:spacing w:line="480" w:lineRule="auto"/>
            <w:ind w:left="420" w:hanging="420"/>
            <w:jc w:val="both"/>
            <w:rPr>
              <w:rFonts w:ascii="Arial" w:hAnsi="Arial" w:cs="Arial"/>
              <w:sz w:val="24"/>
              <w:szCs w:val="24"/>
            </w:rPr>
          </w:pPr>
          <w:r>
            <w:rPr>
              <w:rFonts w:ascii="Arial" w:hAnsi="Arial" w:cs="Arial"/>
              <w:sz w:val="24"/>
              <w:szCs w:val="24"/>
              <w:lang w:val="en-AU"/>
            </w:rPr>
            <w:t>Böhm, M., Rott, J., Eggers, J., Grindemann, P., Nakladal, J., Hoffmann, M., &amp; Krcmar, H. 2022. Process mining at Lufthansa CityLine: The path to process excellence. </w:t>
          </w:r>
          <w:r>
            <w:rPr>
              <w:rFonts w:ascii="Arial" w:hAnsi="Arial" w:cs="Arial"/>
              <w:i/>
              <w:iCs/>
              <w:sz w:val="24"/>
              <w:szCs w:val="24"/>
              <w:lang w:val="en-AU"/>
            </w:rPr>
            <w:t>Journal of Information Technology Teaching Cases</w:t>
          </w:r>
          <w:r>
            <w:rPr>
              <w:rFonts w:ascii="Arial" w:hAnsi="Arial" w:cs="Arial"/>
              <w:sz w:val="24"/>
              <w:szCs w:val="24"/>
              <w:lang w:val="en-AU"/>
            </w:rPr>
            <w:t>, </w:t>
          </w:r>
          <w:r>
            <w:rPr>
              <w:rFonts w:ascii="Arial" w:hAnsi="Arial" w:cs="Arial"/>
              <w:i/>
              <w:iCs/>
              <w:sz w:val="24"/>
              <w:szCs w:val="24"/>
              <w:lang w:val="en-AU"/>
            </w:rPr>
            <w:t>12</w:t>
          </w:r>
          <w:r>
            <w:rPr>
              <w:rFonts w:ascii="Arial" w:hAnsi="Arial" w:cs="Arial"/>
              <w:sz w:val="24"/>
              <w:szCs w:val="24"/>
              <w:lang w:val="en-AU"/>
            </w:rPr>
            <w:t>(2), 135-145.</w:t>
          </w:r>
        </w:p>
        <w:p>
          <w:pPr>
            <w:spacing w:line="480" w:lineRule="auto"/>
            <w:ind w:left="420" w:hanging="420"/>
            <w:jc w:val="both"/>
            <w:rPr>
              <w:rFonts w:ascii="Arial" w:hAnsi="Arial" w:cs="Arial"/>
              <w:sz w:val="24"/>
              <w:szCs w:val="24"/>
            </w:rPr>
          </w:pPr>
          <w:r>
            <w:rPr>
              <w:rFonts w:ascii="Arial" w:hAnsi="Arial" w:cs="Arial"/>
              <w:sz w:val="24"/>
              <w:szCs w:val="24"/>
            </w:rPr>
            <w:t>By, R. T. 2005. Organisational change management: A critical review. </w:t>
          </w:r>
          <w:r>
            <w:rPr>
              <w:rFonts w:ascii="Arial" w:hAnsi="Arial" w:cs="Arial"/>
              <w:i/>
              <w:iCs/>
              <w:sz w:val="24"/>
              <w:szCs w:val="24"/>
            </w:rPr>
            <w:t>Journal of change management</w:t>
          </w:r>
          <w:r>
            <w:rPr>
              <w:rFonts w:ascii="Arial" w:hAnsi="Arial" w:cs="Arial"/>
              <w:sz w:val="24"/>
              <w:szCs w:val="24"/>
            </w:rPr>
            <w:t>, </w:t>
          </w:r>
          <w:r>
            <w:rPr>
              <w:rFonts w:ascii="Arial" w:hAnsi="Arial" w:cs="Arial"/>
              <w:i/>
              <w:iCs/>
              <w:sz w:val="24"/>
              <w:szCs w:val="24"/>
            </w:rPr>
            <w:t>5</w:t>
          </w:r>
          <w:r>
            <w:rPr>
              <w:rFonts w:ascii="Arial" w:hAnsi="Arial" w:cs="Arial"/>
              <w:sz w:val="24"/>
              <w:szCs w:val="24"/>
            </w:rPr>
            <w:t>(4), 369-380.</w:t>
          </w:r>
        </w:p>
        <w:p>
          <w:pPr>
            <w:spacing w:line="480" w:lineRule="auto"/>
            <w:ind w:left="420" w:hanging="420"/>
            <w:jc w:val="both"/>
            <w:rPr>
              <w:rFonts w:ascii="Arial" w:hAnsi="Arial" w:cs="Arial"/>
              <w:sz w:val="24"/>
              <w:szCs w:val="24"/>
            </w:rPr>
          </w:pPr>
          <w:r>
            <w:rPr>
              <w:rFonts w:ascii="Arial" w:hAnsi="Arial" w:cs="Arial"/>
              <w:sz w:val="24"/>
              <w:szCs w:val="24"/>
            </w:rPr>
            <w:t>Crick, J. M., &amp; Crick, D. 2020. Coopetition and COVID-19: Collaborative business-to-business marketing strategies in a pandemic crisis. </w:t>
          </w:r>
          <w:r>
            <w:rPr>
              <w:rFonts w:ascii="Arial" w:hAnsi="Arial" w:cs="Arial"/>
              <w:i/>
              <w:iCs/>
              <w:sz w:val="24"/>
              <w:szCs w:val="24"/>
            </w:rPr>
            <w:t>Industrial Marketing Management</w:t>
          </w:r>
          <w:r>
            <w:rPr>
              <w:rFonts w:ascii="Arial" w:hAnsi="Arial" w:cs="Arial"/>
              <w:sz w:val="24"/>
              <w:szCs w:val="24"/>
            </w:rPr>
            <w:t>, </w:t>
          </w:r>
          <w:r>
            <w:rPr>
              <w:rFonts w:ascii="Arial" w:hAnsi="Arial" w:cs="Arial"/>
              <w:i/>
              <w:iCs/>
              <w:sz w:val="24"/>
              <w:szCs w:val="24"/>
            </w:rPr>
            <w:t>88</w:t>
          </w:r>
          <w:r>
            <w:rPr>
              <w:rFonts w:ascii="Arial" w:hAnsi="Arial" w:cs="Arial"/>
              <w:sz w:val="24"/>
              <w:szCs w:val="24"/>
            </w:rPr>
            <w:t>, 206-213.</w:t>
          </w:r>
        </w:p>
        <w:p>
          <w:pPr>
            <w:spacing w:line="480" w:lineRule="auto"/>
            <w:ind w:left="420" w:hanging="420"/>
            <w:jc w:val="both"/>
            <w:rPr>
              <w:rFonts w:ascii="Arial" w:hAnsi="Arial" w:cs="Arial"/>
              <w:sz w:val="24"/>
              <w:szCs w:val="24"/>
            </w:rPr>
          </w:pPr>
          <w:r>
            <w:rPr>
              <w:rFonts w:ascii="Arial" w:hAnsi="Arial" w:cs="Arial"/>
              <w:sz w:val="24"/>
              <w:szCs w:val="24"/>
            </w:rPr>
            <w:t xml:space="preserve">DLH 2021. </w:t>
          </w:r>
          <w:r>
            <w:rPr>
              <w:rFonts w:ascii="Arial" w:hAnsi="Arial" w:cs="Arial"/>
              <w:i/>
              <w:iCs/>
              <w:sz w:val="24"/>
              <w:szCs w:val="24"/>
            </w:rPr>
            <w:t>The HEPA filter in our aircraft ensures a complete air exchange on board every three minutes, removing 99.97% of all viruses and bacteria from the cabin air</w:t>
          </w:r>
          <w:r>
            <w:rPr>
              <w:rFonts w:ascii="Arial" w:hAnsi="Arial" w:cs="Arial"/>
              <w:sz w:val="24"/>
              <w:szCs w:val="24"/>
            </w:rPr>
            <w:t xml:space="preserve">. [Online]. Available at: </w:t>
          </w:r>
          <w:r>
            <w:fldChar w:fldCharType="begin"/>
          </w:r>
          <w:r>
            <w:instrText xml:space="preserve"> HYPERLINK "https://www.facebook.com/Lufthansa/posts/the-hepa-filter-in-our-aircraft-ensures-a-complete-air-exchange-on-board-every-t/10158988879384004/" </w:instrText>
          </w:r>
          <w:r>
            <w:fldChar w:fldCharType="separate"/>
          </w:r>
          <w:r>
            <w:rPr>
              <w:rStyle w:val="15"/>
              <w:rFonts w:ascii="Arial" w:hAnsi="Arial" w:cs="Arial"/>
              <w:sz w:val="24"/>
              <w:szCs w:val="24"/>
            </w:rPr>
            <w:t>https://www.facebook.com/Lufthansa/posts/the-hepa-filter-in-our-aircraft-ensures-a-complete-air-exchange-on-board-every-t/10158988879384004/</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rPr>
            <w:t xml:space="preserve">DLH 2022. </w:t>
          </w:r>
          <w:r>
            <w:rPr>
              <w:rFonts w:ascii="Arial" w:hAnsi="Arial" w:cs="Arial"/>
              <w:i/>
              <w:iCs/>
              <w:sz w:val="24"/>
              <w:szCs w:val="24"/>
            </w:rPr>
            <w:t>Fleet</w:t>
          </w:r>
          <w:r>
            <w:rPr>
              <w:rFonts w:ascii="Arial" w:hAnsi="Arial" w:cs="Arial"/>
              <w:sz w:val="24"/>
              <w:szCs w:val="24"/>
            </w:rPr>
            <w:t xml:space="preserve">. [Online]. Available at: </w:t>
          </w:r>
          <w:r>
            <w:fldChar w:fldCharType="begin"/>
          </w:r>
          <w:r>
            <w:instrText xml:space="preserve"> HYPERLINK "https://investor-relations.lufthansagroup.com/en/corporate-facts/fleet.html" </w:instrText>
          </w:r>
          <w:r>
            <w:fldChar w:fldCharType="separate"/>
          </w:r>
          <w:r>
            <w:rPr>
              <w:rStyle w:val="15"/>
              <w:rFonts w:ascii="Arial" w:hAnsi="Arial" w:cs="Arial"/>
              <w:sz w:val="24"/>
              <w:szCs w:val="24"/>
            </w:rPr>
            <w:t>https://investor-relations.lufthansagroup.com/en/corporate-facts/fleet.html</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lang w:val="en-AU"/>
            </w:rPr>
            <w:t>Endrejat, P. C., Meinecke, A. L., &amp; Kauffeld, S. 2020. Get the crowd going: eliciting and maintaining change readiness through solution-focused communication. </w:t>
          </w:r>
          <w:r>
            <w:rPr>
              <w:rFonts w:ascii="Arial" w:hAnsi="Arial" w:cs="Arial"/>
              <w:i/>
              <w:iCs/>
              <w:sz w:val="24"/>
              <w:szCs w:val="24"/>
              <w:lang w:val="en-AU"/>
            </w:rPr>
            <w:t>Journal of Change Management</w:t>
          </w:r>
          <w:r>
            <w:rPr>
              <w:rFonts w:ascii="Arial" w:hAnsi="Arial" w:cs="Arial"/>
              <w:sz w:val="24"/>
              <w:szCs w:val="24"/>
              <w:lang w:val="en-AU"/>
            </w:rPr>
            <w:t>, </w:t>
          </w:r>
          <w:r>
            <w:rPr>
              <w:rFonts w:ascii="Arial" w:hAnsi="Arial" w:cs="Arial"/>
              <w:i/>
              <w:iCs/>
              <w:sz w:val="24"/>
              <w:szCs w:val="24"/>
              <w:lang w:val="en-AU"/>
            </w:rPr>
            <w:t>20</w:t>
          </w:r>
          <w:r>
            <w:rPr>
              <w:rFonts w:ascii="Arial" w:hAnsi="Arial" w:cs="Arial"/>
              <w:sz w:val="24"/>
              <w:szCs w:val="24"/>
              <w:lang w:val="en-AU"/>
            </w:rPr>
            <w:t>(1), 35-58.</w:t>
          </w:r>
        </w:p>
        <w:p>
          <w:pPr>
            <w:spacing w:line="480" w:lineRule="auto"/>
            <w:ind w:left="420" w:hanging="420"/>
            <w:jc w:val="both"/>
            <w:rPr>
              <w:rFonts w:ascii="Arial" w:hAnsi="Arial" w:cs="Arial"/>
              <w:sz w:val="24"/>
              <w:szCs w:val="24"/>
            </w:rPr>
          </w:pPr>
          <w:r>
            <w:rPr>
              <w:rFonts w:ascii="Arial" w:hAnsi="Arial" w:cs="Arial"/>
              <w:sz w:val="24"/>
              <w:szCs w:val="24"/>
            </w:rPr>
            <w:t xml:space="preserve">Excelsior 2023. </w:t>
          </w:r>
          <w:r>
            <w:rPr>
              <w:rFonts w:ascii="Arial" w:hAnsi="Arial" w:cs="Arial"/>
              <w:i/>
              <w:iCs/>
              <w:sz w:val="24"/>
              <w:szCs w:val="24"/>
            </w:rPr>
            <w:t xml:space="preserve">How Currency Exchange Affects Freight Forwarding Costs. </w:t>
          </w:r>
          <w:r>
            <w:rPr>
              <w:rFonts w:ascii="Arial" w:hAnsi="Arial" w:cs="Arial"/>
              <w:sz w:val="24"/>
              <w:szCs w:val="24"/>
            </w:rPr>
            <w:t xml:space="preserve">[Online]. Available at: </w:t>
          </w:r>
          <w:r>
            <w:fldChar w:fldCharType="begin"/>
          </w:r>
          <w:r>
            <w:instrText xml:space="preserve"> HYPERLINK "https://excelsior.ph/how-currency-exchange-affects-freight-forwarding-costs/" </w:instrText>
          </w:r>
          <w:r>
            <w:fldChar w:fldCharType="separate"/>
          </w:r>
          <w:r>
            <w:rPr>
              <w:rStyle w:val="15"/>
              <w:rFonts w:ascii="Arial" w:hAnsi="Arial" w:cs="Arial"/>
              <w:sz w:val="24"/>
              <w:szCs w:val="24"/>
            </w:rPr>
            <w:t>https://excelsior.ph/how-currency-exchange-affects-freight-forwarding-costs/</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lang w:val="en-AU"/>
            </w:rPr>
            <w:t>Flemming, G., Jonas, H., Kroll, W., Michl, J., &amp; Tetzel, M. H. 2021. Keeping up the dialog: understanding the use of social media by German mobility companies during the Covid-19 pandemic. </w:t>
          </w:r>
          <w:r>
            <w:rPr>
              <w:rFonts w:ascii="Arial" w:hAnsi="Arial" w:cs="Arial"/>
              <w:i/>
              <w:iCs/>
              <w:sz w:val="24"/>
              <w:szCs w:val="24"/>
              <w:lang w:val="en-AU"/>
            </w:rPr>
            <w:t>75399</w:t>
          </w:r>
          <w:r>
            <w:rPr>
              <w:rFonts w:ascii="Arial" w:hAnsi="Arial" w:cs="Arial"/>
              <w:sz w:val="24"/>
              <w:szCs w:val="24"/>
              <w:lang w:val="en-AU"/>
            </w:rPr>
            <w:t>, 39-68.</w:t>
          </w:r>
        </w:p>
        <w:p>
          <w:pPr>
            <w:spacing w:line="480" w:lineRule="auto"/>
            <w:ind w:left="420" w:hanging="420"/>
            <w:jc w:val="both"/>
            <w:rPr>
              <w:rFonts w:ascii="Arial" w:hAnsi="Arial" w:cs="Arial"/>
              <w:sz w:val="24"/>
              <w:szCs w:val="24"/>
            </w:rPr>
          </w:pPr>
          <w:r>
            <w:rPr>
              <w:rFonts w:ascii="Arial" w:hAnsi="Arial" w:cs="Arial"/>
              <w:sz w:val="24"/>
              <w:szCs w:val="24"/>
            </w:rPr>
            <w:t xml:space="preserve">Fulton, D. 2022. </w:t>
          </w:r>
          <w:r>
            <w:rPr>
              <w:rFonts w:ascii="Arial" w:hAnsi="Arial" w:cs="Arial"/>
              <w:i/>
              <w:iCs/>
              <w:sz w:val="24"/>
              <w:szCs w:val="24"/>
            </w:rPr>
            <w:t>US Airports Dominate International Connectivity... For Now</w:t>
          </w:r>
          <w:r>
            <w:rPr>
              <w:rFonts w:ascii="Arial" w:hAnsi="Arial" w:cs="Arial"/>
              <w:sz w:val="24"/>
              <w:szCs w:val="24"/>
            </w:rPr>
            <w:t xml:space="preserve">. [Online]. Available at: </w:t>
          </w:r>
          <w:r>
            <w:fldChar w:fldCharType="begin"/>
          </w:r>
          <w:r>
            <w:instrText xml:space="preserve"> HYPERLINK "https://www.oag.com/blog/us-airports-dominate-megahubs" </w:instrText>
          </w:r>
          <w:r>
            <w:fldChar w:fldCharType="separate"/>
          </w:r>
          <w:r>
            <w:rPr>
              <w:rStyle w:val="15"/>
              <w:rFonts w:ascii="Arial" w:hAnsi="Arial" w:cs="Arial"/>
              <w:sz w:val="24"/>
              <w:szCs w:val="24"/>
            </w:rPr>
            <w:t>https://www.oag.com/blog/us-airports-dominate-megahubs</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rPr>
            <w:t xml:space="preserve">Google 2023. </w:t>
          </w:r>
          <w:r>
            <w:rPr>
              <w:rFonts w:ascii="Arial" w:hAnsi="Arial" w:cs="Arial"/>
              <w:i/>
              <w:iCs/>
              <w:sz w:val="24"/>
              <w:szCs w:val="24"/>
            </w:rPr>
            <w:t>USD/EUR</w:t>
          </w:r>
          <w:r>
            <w:rPr>
              <w:rFonts w:ascii="Arial" w:hAnsi="Arial" w:cs="Arial"/>
              <w:sz w:val="24"/>
              <w:szCs w:val="24"/>
            </w:rPr>
            <w:t xml:space="preserve">. [Online]. Available at: </w:t>
          </w:r>
          <w:r>
            <w:fldChar w:fldCharType="begin"/>
          </w:r>
          <w:r>
            <w:instrText xml:space="preserve"> HYPERLINK "https://www.google.com/finance/quote/USD-EUR?sa=X&amp;ved=2ahUKEwj3-7nbjtb-AhUDrlYBHcFaBZkQmY0JegQIDRAd" </w:instrText>
          </w:r>
          <w:r>
            <w:fldChar w:fldCharType="separate"/>
          </w:r>
          <w:r>
            <w:rPr>
              <w:rStyle w:val="15"/>
              <w:rFonts w:ascii="Arial" w:hAnsi="Arial" w:cs="Arial"/>
              <w:sz w:val="24"/>
              <w:szCs w:val="24"/>
            </w:rPr>
            <w:t>https://www.google.com/finance/quote/USD-EUR?sa=X&amp;ved=2ahUKEwj3-7nbjtb-AhUDrlYBHcFaBZkQmY0JegQIDRAd</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rPr>
            <w:t xml:space="preserve">Gorlich, Y., &amp; Stadelmann, D. 2020. </w:t>
          </w:r>
          <w:r>
            <w:rPr>
              <w:rFonts w:ascii="Arial" w:hAnsi="Arial" w:cs="Arial"/>
              <w:i/>
              <w:iCs/>
              <w:kern w:val="2"/>
              <w:sz w:val="24"/>
              <w:szCs w:val="24"/>
            </w:rPr>
            <w:t>Mental Health of Flying Cabin Crews: Depression, Anxiety, and Stress Before and During the COVID-19 Pandemic</w:t>
          </w:r>
          <w:r>
            <w:rPr>
              <w:rFonts w:ascii="Arial" w:hAnsi="Arial" w:cs="Arial"/>
              <w:sz w:val="24"/>
              <w:szCs w:val="24"/>
            </w:rPr>
            <w:t xml:space="preserve">. [Online]. Available at: </w:t>
          </w:r>
          <w:r>
            <w:fldChar w:fldCharType="begin"/>
          </w:r>
          <w:r>
            <w:instrText xml:space="preserve"> HYPERLINK "https://www.frontiersin.org/articles/10.3389/fpsyg.2020.581496/full" </w:instrText>
          </w:r>
          <w:r>
            <w:fldChar w:fldCharType="separate"/>
          </w:r>
          <w:r>
            <w:rPr>
              <w:rStyle w:val="15"/>
              <w:rFonts w:ascii="Arial" w:hAnsi="Arial" w:cs="Arial"/>
              <w:sz w:val="24"/>
              <w:szCs w:val="24"/>
            </w:rPr>
            <w:t>https://www.frontiersin.org/articles/10.3389/fpsyg.2020.581496/full</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rPr>
            <w:t xml:space="preserve">Harper, L. 2021. </w:t>
          </w:r>
          <w:r>
            <w:rPr>
              <w:rFonts w:ascii="Arial" w:hAnsi="Arial" w:cs="Arial"/>
              <w:i/>
              <w:iCs/>
              <w:sz w:val="24"/>
              <w:szCs w:val="24"/>
            </w:rPr>
            <w:t>Lufthansa Group completes repayment of Covid-19 state aid</w:t>
          </w:r>
          <w:r>
            <w:rPr>
              <w:rFonts w:ascii="Arial" w:hAnsi="Arial" w:cs="Arial"/>
              <w:sz w:val="24"/>
              <w:szCs w:val="24"/>
            </w:rPr>
            <w:t xml:space="preserve">. [Online]. Available at: </w:t>
          </w:r>
          <w:r>
            <w:fldChar w:fldCharType="begin"/>
          </w:r>
          <w:r>
            <w:instrText xml:space="preserve"> HYPERLINK "https://www.flightglobal.com/strategy/lufthansa-group-completes-repayment-of-covid-19-state-aid/146363.article" </w:instrText>
          </w:r>
          <w:r>
            <w:fldChar w:fldCharType="separate"/>
          </w:r>
          <w:r>
            <w:rPr>
              <w:rStyle w:val="15"/>
              <w:rFonts w:ascii="Arial" w:hAnsi="Arial" w:cs="Arial"/>
              <w:sz w:val="24"/>
              <w:szCs w:val="24"/>
            </w:rPr>
            <w:t>https://www.flightglobal.com/strategy/lufthansa-group-completes-repayment-of-covid-19-state-aid/146363.article</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rPr>
            <w:t>Harzing, A., &amp; Hofstede, G. 1996. Planned change in organizations. </w:t>
          </w:r>
          <w:r>
            <w:rPr>
              <w:rFonts w:ascii="Arial" w:hAnsi="Arial" w:cs="Arial"/>
              <w:i/>
              <w:iCs/>
              <w:sz w:val="24"/>
              <w:szCs w:val="24"/>
            </w:rPr>
            <w:t>Research in the Sociology of Organizations</w:t>
          </w:r>
          <w:r>
            <w:rPr>
              <w:rFonts w:ascii="Arial" w:hAnsi="Arial" w:cs="Arial"/>
              <w:sz w:val="24"/>
              <w:szCs w:val="24"/>
            </w:rPr>
            <w:t>, </w:t>
          </w:r>
          <w:r>
            <w:rPr>
              <w:rFonts w:ascii="Arial" w:hAnsi="Arial" w:cs="Arial"/>
              <w:i/>
              <w:iCs/>
              <w:sz w:val="24"/>
              <w:szCs w:val="24"/>
            </w:rPr>
            <w:t>14</w:t>
          </w:r>
          <w:r>
            <w:rPr>
              <w:rFonts w:ascii="Arial" w:hAnsi="Arial" w:cs="Arial"/>
              <w:sz w:val="24"/>
              <w:szCs w:val="24"/>
            </w:rPr>
            <w:t>, 297-340.</w:t>
          </w:r>
        </w:p>
        <w:p>
          <w:pPr>
            <w:spacing w:line="480" w:lineRule="auto"/>
            <w:ind w:left="420" w:hanging="420"/>
            <w:jc w:val="both"/>
            <w:rPr>
              <w:rFonts w:ascii="Arial" w:hAnsi="Arial" w:cs="Arial"/>
              <w:sz w:val="24"/>
              <w:szCs w:val="24"/>
              <w:lang w:val="en-US"/>
            </w:rPr>
          </w:pPr>
          <w:r>
            <w:rPr>
              <w:rFonts w:ascii="Arial" w:hAnsi="Arial" w:cs="Arial"/>
              <w:sz w:val="24"/>
              <w:szCs w:val="24"/>
              <w:lang w:val="en-AU"/>
            </w:rPr>
            <w:t>Horgan, D., Hackett, J., Westphalen, C. B., Kalra, D., Richer, E., Romao, M., ... &amp; Montserrat, A. 2020. Digitalisation and COVID-19: the perfect storm. </w:t>
          </w:r>
          <w:r>
            <w:rPr>
              <w:rFonts w:ascii="Arial" w:hAnsi="Arial" w:cs="Arial"/>
              <w:i/>
              <w:iCs/>
              <w:sz w:val="24"/>
              <w:szCs w:val="24"/>
              <w:lang w:val="en-AU"/>
            </w:rPr>
            <w:t>Biomedicine Hub</w:t>
          </w:r>
          <w:r>
            <w:rPr>
              <w:rFonts w:ascii="Arial" w:hAnsi="Arial" w:cs="Arial"/>
              <w:sz w:val="24"/>
              <w:szCs w:val="24"/>
              <w:lang w:val="en-AU"/>
            </w:rPr>
            <w:t>, </w:t>
          </w:r>
          <w:r>
            <w:rPr>
              <w:rFonts w:ascii="Arial" w:hAnsi="Arial" w:cs="Arial"/>
              <w:i/>
              <w:iCs/>
              <w:sz w:val="24"/>
              <w:szCs w:val="24"/>
              <w:lang w:val="en-AU"/>
            </w:rPr>
            <w:t>5</w:t>
          </w:r>
          <w:r>
            <w:rPr>
              <w:rFonts w:ascii="Arial" w:hAnsi="Arial" w:cs="Arial"/>
              <w:sz w:val="24"/>
              <w:szCs w:val="24"/>
              <w:lang w:val="en-AU"/>
            </w:rPr>
            <w:t>(3), 1-23.</w:t>
          </w:r>
        </w:p>
        <w:p>
          <w:pPr>
            <w:spacing w:line="480" w:lineRule="auto"/>
            <w:ind w:left="420" w:hanging="420"/>
            <w:jc w:val="both"/>
            <w:rPr>
              <w:rFonts w:ascii="Arial" w:hAnsi="Arial" w:cs="Arial"/>
              <w:sz w:val="24"/>
              <w:szCs w:val="24"/>
            </w:rPr>
          </w:pPr>
          <w:r>
            <w:rPr>
              <w:rFonts w:ascii="Arial" w:hAnsi="Arial" w:cs="Arial"/>
              <w:sz w:val="24"/>
              <w:szCs w:val="24"/>
            </w:rPr>
            <w:t>Kettinger, W. J., &amp; Grover, V. 1995. Toward a theory of business process change management. </w:t>
          </w:r>
          <w:r>
            <w:rPr>
              <w:rFonts w:ascii="Arial" w:hAnsi="Arial" w:cs="Arial"/>
              <w:i/>
              <w:iCs/>
              <w:sz w:val="24"/>
              <w:szCs w:val="24"/>
            </w:rPr>
            <w:t>Journal of management information systems</w:t>
          </w:r>
          <w:r>
            <w:rPr>
              <w:rFonts w:ascii="Arial" w:hAnsi="Arial" w:cs="Arial"/>
              <w:sz w:val="24"/>
              <w:szCs w:val="24"/>
            </w:rPr>
            <w:t>, </w:t>
          </w:r>
          <w:r>
            <w:rPr>
              <w:rFonts w:ascii="Arial" w:hAnsi="Arial" w:cs="Arial"/>
              <w:i/>
              <w:iCs/>
              <w:sz w:val="24"/>
              <w:szCs w:val="24"/>
            </w:rPr>
            <w:t>12</w:t>
          </w:r>
          <w:r>
            <w:rPr>
              <w:rFonts w:ascii="Arial" w:hAnsi="Arial" w:cs="Arial"/>
              <w:sz w:val="24"/>
              <w:szCs w:val="24"/>
            </w:rPr>
            <w:t>(1), 9-30.</w:t>
          </w:r>
        </w:p>
        <w:p>
          <w:pPr>
            <w:widowControl w:val="0"/>
            <w:spacing w:line="480" w:lineRule="auto"/>
            <w:ind w:left="420" w:hanging="420"/>
            <w:jc w:val="both"/>
            <w:rPr>
              <w:rFonts w:ascii="Arial" w:hAnsi="Arial" w:cs="Arial"/>
              <w:sz w:val="24"/>
              <w:szCs w:val="24"/>
            </w:rPr>
          </w:pPr>
          <w:r>
            <w:rPr>
              <w:rFonts w:ascii="Arial" w:hAnsi="Arial" w:cs="Arial"/>
              <w:sz w:val="24"/>
              <w:szCs w:val="24"/>
            </w:rPr>
            <w:t>Lauer, T. 2010. </w:t>
          </w:r>
          <w:r>
            <w:rPr>
              <w:rFonts w:ascii="Arial" w:hAnsi="Arial" w:cs="Arial"/>
              <w:i/>
              <w:iCs/>
              <w:sz w:val="24"/>
              <w:szCs w:val="24"/>
            </w:rPr>
            <w:t>Change management</w:t>
          </w:r>
          <w:r>
            <w:rPr>
              <w:rFonts w:ascii="Arial" w:hAnsi="Arial" w:cs="Arial"/>
              <w:sz w:val="24"/>
              <w:szCs w:val="24"/>
            </w:rPr>
            <w:t>. Springer Berlin Heidelberg.</w:t>
          </w:r>
        </w:p>
        <w:p>
          <w:pPr>
            <w:widowControl w:val="0"/>
            <w:spacing w:after="0" w:line="480" w:lineRule="auto"/>
            <w:ind w:left="420" w:hanging="420"/>
            <w:jc w:val="both"/>
            <w:rPr>
              <w:rFonts w:ascii="Arial" w:hAnsi="Arial" w:cs="Arial"/>
              <w:sz w:val="24"/>
              <w:szCs w:val="24"/>
              <w:lang w:val="en-US"/>
            </w:rPr>
          </w:pPr>
          <w:r>
            <w:rPr>
              <w:rFonts w:ascii="Arial" w:hAnsi="Arial" w:cs="Arial"/>
              <w:sz w:val="24"/>
              <w:szCs w:val="24"/>
              <w:lang w:val="en-US"/>
            </w:rPr>
            <w:t xml:space="preserve">Lewin, K. 1951. </w:t>
          </w:r>
          <w:r>
            <w:rPr>
              <w:rFonts w:ascii="Arial" w:hAnsi="Arial" w:cs="Arial"/>
              <w:i/>
              <w:iCs/>
              <w:sz w:val="24"/>
              <w:szCs w:val="24"/>
              <w:lang w:val="en-US"/>
            </w:rPr>
            <w:t xml:space="preserve">Field theory in social science. </w:t>
          </w:r>
          <w:r>
            <w:rPr>
              <w:rFonts w:ascii="Arial" w:hAnsi="Arial" w:cs="Arial"/>
              <w:sz w:val="24"/>
              <w:szCs w:val="24"/>
              <w:lang w:val="en-US"/>
            </w:rPr>
            <w:t xml:space="preserve">New York: Harper and Row. </w:t>
          </w:r>
        </w:p>
        <w:p>
          <w:pPr>
            <w:spacing w:line="480" w:lineRule="auto"/>
            <w:ind w:left="420" w:hanging="420"/>
            <w:jc w:val="both"/>
            <w:rPr>
              <w:rFonts w:ascii="Arial" w:hAnsi="Arial" w:cs="Arial"/>
              <w:sz w:val="24"/>
              <w:szCs w:val="24"/>
            </w:rPr>
          </w:pPr>
          <w:r>
            <w:rPr>
              <w:rFonts w:ascii="Arial" w:hAnsi="Arial" w:cs="Arial"/>
              <w:sz w:val="24"/>
              <w:szCs w:val="24"/>
            </w:rPr>
            <w:t xml:space="preserve">Macrotrends 2023. </w:t>
          </w:r>
          <w:r>
            <w:rPr>
              <w:rFonts w:ascii="Arial" w:hAnsi="Arial" w:cs="Arial"/>
              <w:i/>
              <w:iCs/>
              <w:sz w:val="24"/>
              <w:szCs w:val="24"/>
            </w:rPr>
            <w:t>Deutsche Lufthansa AG Revenue 2010-2022.</w:t>
          </w:r>
          <w:r>
            <w:rPr>
              <w:rFonts w:ascii="Arial" w:hAnsi="Arial" w:cs="Arial"/>
              <w:sz w:val="24"/>
              <w:szCs w:val="24"/>
            </w:rPr>
            <w:t xml:space="preserve"> [Online]. Available at: </w:t>
          </w:r>
          <w:r>
            <w:fldChar w:fldCharType="begin"/>
          </w:r>
          <w:r>
            <w:instrText xml:space="preserve"> HYPERLINK "https://www.macrotrends.net/stocks/charts/DLAKY/deutsche-lufthansa-ag/revenue" </w:instrText>
          </w:r>
          <w:r>
            <w:fldChar w:fldCharType="separate"/>
          </w:r>
          <w:r>
            <w:rPr>
              <w:rStyle w:val="15"/>
              <w:rFonts w:ascii="Arial" w:hAnsi="Arial" w:cs="Arial"/>
              <w:sz w:val="24"/>
              <w:szCs w:val="24"/>
            </w:rPr>
            <w:t>https://www.macrotrends.net/stocks/charts/DLAKY/deutsche-lufthansa-ag/revenue</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rPr>
            <w:t>McElwee, P., Turnout, E., Chiroleu-Assouline, M., Clapp, J., Isenhour, C., Jackson, T., ... &amp; Santos, R. 202). Ensuring a post-COVID economic agenda tackles global biodiversity loss. </w:t>
          </w:r>
          <w:r>
            <w:rPr>
              <w:rFonts w:ascii="Arial" w:hAnsi="Arial" w:cs="Arial"/>
              <w:i/>
              <w:iCs/>
              <w:sz w:val="24"/>
              <w:szCs w:val="24"/>
            </w:rPr>
            <w:t>One Earth</w:t>
          </w:r>
          <w:r>
            <w:rPr>
              <w:rFonts w:ascii="Arial" w:hAnsi="Arial" w:cs="Arial"/>
              <w:sz w:val="24"/>
              <w:szCs w:val="24"/>
            </w:rPr>
            <w:t>, </w:t>
          </w:r>
          <w:r>
            <w:rPr>
              <w:rFonts w:ascii="Arial" w:hAnsi="Arial" w:cs="Arial"/>
              <w:i/>
              <w:iCs/>
              <w:sz w:val="24"/>
              <w:szCs w:val="24"/>
            </w:rPr>
            <w:t>3</w:t>
          </w:r>
          <w:r>
            <w:rPr>
              <w:rFonts w:ascii="Arial" w:hAnsi="Arial" w:cs="Arial"/>
              <w:sz w:val="24"/>
              <w:szCs w:val="24"/>
            </w:rPr>
            <w:t>(4), 448-461.</w:t>
          </w:r>
        </w:p>
        <w:p>
          <w:pPr>
            <w:spacing w:line="480" w:lineRule="auto"/>
            <w:ind w:left="420" w:hanging="420"/>
            <w:jc w:val="both"/>
            <w:rPr>
              <w:rFonts w:ascii="Arial" w:hAnsi="Arial" w:cs="Arial"/>
              <w:sz w:val="24"/>
              <w:szCs w:val="24"/>
            </w:rPr>
          </w:pPr>
          <w:r>
            <w:rPr>
              <w:rFonts w:ascii="Arial" w:hAnsi="Arial" w:cs="Arial"/>
              <w:sz w:val="24"/>
              <w:szCs w:val="24"/>
            </w:rPr>
            <w:t>Momondo n.d.. I</w:t>
          </w:r>
          <w:r>
            <w:rPr>
              <w:rFonts w:ascii="Arial" w:hAnsi="Arial" w:cs="Arial"/>
              <w:i/>
              <w:iCs/>
              <w:sz w:val="24"/>
              <w:szCs w:val="24"/>
            </w:rPr>
            <w:t>nformation about flying with Lufthansa</w:t>
          </w:r>
          <w:r>
            <w:rPr>
              <w:rFonts w:ascii="Arial" w:hAnsi="Arial" w:cs="Arial"/>
              <w:sz w:val="24"/>
              <w:szCs w:val="24"/>
            </w:rPr>
            <w:t xml:space="preserve">. [Online]. Available at: </w:t>
          </w:r>
          <w:r>
            <w:fldChar w:fldCharType="begin"/>
          </w:r>
          <w:r>
            <w:instrText xml:space="preserve"> HYPERLINK "https://www.momondo.com/airlines/lufthansa#:~:text=Where%20does%20Lufthansa%20fly%20to,is%20to%20Frankfurt%20am%20Main" </w:instrText>
          </w:r>
          <w:r>
            <w:fldChar w:fldCharType="separate"/>
          </w:r>
          <w:r>
            <w:rPr>
              <w:rStyle w:val="15"/>
              <w:rFonts w:ascii="Arial" w:hAnsi="Arial" w:cs="Arial"/>
              <w:sz w:val="24"/>
              <w:szCs w:val="24"/>
            </w:rPr>
            <w:t>https://www.momondo.com/airlines/lufthansa#:~:text=Where%20does%20Lufthansa%20fly%20to,is%20to%20Frankfurt%20am%20Main</w:t>
          </w:r>
          <w:r>
            <w:rPr>
              <w:rStyle w:val="15"/>
              <w:rFonts w:ascii="Arial" w:hAnsi="Arial" w:cs="Arial"/>
              <w:sz w:val="24"/>
              <w:szCs w:val="24"/>
            </w:rPr>
            <w:fldChar w:fldCharType="end"/>
          </w:r>
          <w:r>
            <w:rPr>
              <w:rFonts w:ascii="Arial" w:hAnsi="Arial" w:cs="Arial"/>
              <w:sz w:val="24"/>
              <w:szCs w:val="24"/>
            </w:rPr>
            <w:t xml:space="preserve"> [Accessed 1 May 2023].</w:t>
          </w:r>
        </w:p>
        <w:p>
          <w:pPr>
            <w:spacing w:line="480" w:lineRule="auto"/>
            <w:ind w:left="420" w:hanging="420"/>
            <w:jc w:val="both"/>
            <w:rPr>
              <w:rFonts w:ascii="Arial" w:hAnsi="Arial" w:cs="Arial"/>
              <w:sz w:val="24"/>
              <w:szCs w:val="24"/>
            </w:rPr>
          </w:pPr>
          <w:r>
            <w:rPr>
              <w:rFonts w:ascii="Arial" w:hAnsi="Arial" w:cs="Arial"/>
              <w:sz w:val="24"/>
              <w:szCs w:val="24"/>
              <w:lang w:val="en-AU"/>
            </w:rPr>
            <w:t>Murray-Webster, R., &amp; Simon, P. 2006. Making sense of stakeholder mapping. </w:t>
          </w:r>
          <w:r>
            <w:rPr>
              <w:rFonts w:ascii="Arial" w:hAnsi="Arial" w:cs="Arial"/>
              <w:i/>
              <w:iCs/>
              <w:sz w:val="24"/>
              <w:szCs w:val="24"/>
              <w:lang w:val="en-AU"/>
            </w:rPr>
            <w:t>PM World today</w:t>
          </w:r>
          <w:r>
            <w:rPr>
              <w:rFonts w:ascii="Arial" w:hAnsi="Arial" w:cs="Arial"/>
              <w:sz w:val="24"/>
              <w:szCs w:val="24"/>
              <w:lang w:val="en-AU"/>
            </w:rPr>
            <w:t>, </w:t>
          </w:r>
          <w:r>
            <w:rPr>
              <w:rFonts w:ascii="Arial" w:hAnsi="Arial" w:cs="Arial"/>
              <w:i/>
              <w:iCs/>
              <w:sz w:val="24"/>
              <w:szCs w:val="24"/>
              <w:lang w:val="en-AU"/>
            </w:rPr>
            <w:t>8</w:t>
          </w:r>
          <w:r>
            <w:rPr>
              <w:rFonts w:ascii="Arial" w:hAnsi="Arial" w:cs="Arial"/>
              <w:sz w:val="24"/>
              <w:szCs w:val="24"/>
              <w:lang w:val="en-AU"/>
            </w:rPr>
            <w:t>(11), 1-5.</w:t>
          </w:r>
        </w:p>
        <w:p>
          <w:pPr>
            <w:spacing w:line="480" w:lineRule="auto"/>
            <w:ind w:left="420" w:hanging="420"/>
            <w:jc w:val="both"/>
            <w:rPr>
              <w:rFonts w:ascii="Arial" w:hAnsi="Arial" w:cs="Arial"/>
              <w:sz w:val="24"/>
              <w:szCs w:val="24"/>
            </w:rPr>
          </w:pPr>
          <w:r>
            <w:rPr>
              <w:rFonts w:ascii="Arial" w:hAnsi="Arial" w:cs="Arial"/>
              <w:sz w:val="24"/>
              <w:szCs w:val="24"/>
              <w:lang w:val="en-AU"/>
            </w:rPr>
            <w:t>Parmar, B. L., Freeman, R. E., Harrison, J. S., Wicks, A. C., Purnell, L., &amp; De Colle, S. 2010. Stakeholder theory: The state of the art. </w:t>
          </w:r>
          <w:r>
            <w:rPr>
              <w:rFonts w:ascii="Arial" w:hAnsi="Arial" w:cs="Arial"/>
              <w:i/>
              <w:iCs/>
              <w:sz w:val="24"/>
              <w:szCs w:val="24"/>
              <w:lang w:val="en-AU"/>
            </w:rPr>
            <w:t>Academy of Management Annals</w:t>
          </w:r>
          <w:r>
            <w:rPr>
              <w:rFonts w:ascii="Arial" w:hAnsi="Arial" w:cs="Arial"/>
              <w:sz w:val="24"/>
              <w:szCs w:val="24"/>
              <w:lang w:val="en-AU"/>
            </w:rPr>
            <w:t>, </w:t>
          </w:r>
          <w:r>
            <w:rPr>
              <w:rFonts w:ascii="Arial" w:hAnsi="Arial" w:cs="Arial"/>
              <w:i/>
              <w:iCs/>
              <w:sz w:val="24"/>
              <w:szCs w:val="24"/>
              <w:lang w:val="en-AU"/>
            </w:rPr>
            <w:t>4</w:t>
          </w:r>
          <w:r>
            <w:rPr>
              <w:rFonts w:ascii="Arial" w:hAnsi="Arial" w:cs="Arial"/>
              <w:sz w:val="24"/>
              <w:szCs w:val="24"/>
              <w:lang w:val="en-AU"/>
            </w:rPr>
            <w:t>(1), 403-445.</w:t>
          </w:r>
        </w:p>
        <w:p>
          <w:pPr>
            <w:spacing w:line="480" w:lineRule="auto"/>
            <w:ind w:left="420" w:hanging="420"/>
            <w:jc w:val="both"/>
            <w:rPr>
              <w:rFonts w:ascii="Arial" w:hAnsi="Arial" w:cs="Arial"/>
              <w:sz w:val="24"/>
              <w:szCs w:val="24"/>
            </w:rPr>
          </w:pPr>
          <w:r>
            <w:rPr>
              <w:rFonts w:ascii="Arial" w:hAnsi="Arial" w:cs="Arial"/>
              <w:sz w:val="24"/>
              <w:szCs w:val="24"/>
            </w:rPr>
            <w:t>Rinser, M. L. 2021. </w:t>
          </w:r>
          <w:r>
            <w:rPr>
              <w:rFonts w:ascii="Arial" w:hAnsi="Arial" w:cs="Arial"/>
              <w:i/>
              <w:iCs/>
              <w:sz w:val="24"/>
              <w:szCs w:val="24"/>
            </w:rPr>
            <w:t>Lufthansa Group: dealing with strategy in times of COVID-19</w:t>
          </w:r>
          <w:r>
            <w:rPr>
              <w:rFonts w:ascii="Arial" w:hAnsi="Arial" w:cs="Arial"/>
              <w:sz w:val="24"/>
              <w:szCs w:val="24"/>
            </w:rPr>
            <w:t> (Doctoral dissertation).</w:t>
          </w:r>
        </w:p>
        <w:p>
          <w:pPr>
            <w:spacing w:line="480" w:lineRule="auto"/>
            <w:ind w:left="420" w:hanging="420"/>
            <w:jc w:val="both"/>
            <w:rPr>
              <w:rFonts w:ascii="Arial" w:hAnsi="Arial" w:cs="Arial"/>
              <w:sz w:val="24"/>
              <w:szCs w:val="24"/>
            </w:rPr>
          </w:pPr>
          <w:r>
            <w:rPr>
              <w:rFonts w:ascii="Arial" w:hAnsi="Arial" w:cs="Arial"/>
              <w:sz w:val="24"/>
              <w:szCs w:val="24"/>
            </w:rPr>
            <w:t xml:space="preserve">Seet, C. 2022. </w:t>
          </w:r>
          <w:r>
            <w:rPr>
              <w:rFonts w:ascii="Arial" w:hAnsi="Arial" w:cs="Arial"/>
              <w:i/>
              <w:iCs/>
              <w:sz w:val="24"/>
              <w:szCs w:val="24"/>
            </w:rPr>
            <w:t>Lufthansa Cancels Another 2,000 Flights As Chaos Continues</w:t>
          </w:r>
          <w:r>
            <w:rPr>
              <w:rFonts w:ascii="Arial" w:hAnsi="Arial" w:cs="Arial"/>
              <w:sz w:val="24"/>
              <w:szCs w:val="24"/>
            </w:rPr>
            <w:t xml:space="preserve">. [Online]. Available at: </w:t>
          </w:r>
          <w:r>
            <w:fldChar w:fldCharType="begin"/>
          </w:r>
          <w:r>
            <w:instrText xml:space="preserve"> HYPERLINK "https://simpleflying.com/lufthansa-cancels-2000-more-flights/" </w:instrText>
          </w:r>
          <w:r>
            <w:fldChar w:fldCharType="separate"/>
          </w:r>
          <w:r>
            <w:rPr>
              <w:rStyle w:val="15"/>
              <w:rFonts w:ascii="Arial" w:hAnsi="Arial" w:cs="Arial"/>
              <w:sz w:val="24"/>
              <w:szCs w:val="24"/>
            </w:rPr>
            <w:t>https://simpleflying.com/lufthansa-cancels-2000-more-flights/</w:t>
          </w:r>
          <w:r>
            <w:rPr>
              <w:rStyle w:val="15"/>
              <w:rFonts w:ascii="Arial" w:hAnsi="Arial" w:cs="Arial"/>
              <w:sz w:val="24"/>
              <w:szCs w:val="24"/>
            </w:rPr>
            <w:fldChar w:fldCharType="end"/>
          </w:r>
          <w:r>
            <w:rPr>
              <w:rFonts w:ascii="Arial" w:hAnsi="Arial" w:cs="Arial"/>
              <w:sz w:val="24"/>
              <w:szCs w:val="24"/>
            </w:rPr>
            <w:t xml:space="preserve"> [Accessed 1 May 2023].</w:t>
          </w:r>
        </w:p>
        <w:p>
          <w:pPr>
            <w:widowControl w:val="0"/>
            <w:spacing w:line="480" w:lineRule="auto"/>
            <w:ind w:left="420" w:hanging="420"/>
            <w:jc w:val="both"/>
            <w:rPr>
              <w:rFonts w:ascii="Arial" w:hAnsi="Arial" w:cs="Arial"/>
              <w:sz w:val="24"/>
              <w:szCs w:val="24"/>
            </w:rPr>
          </w:pPr>
          <w:r>
            <w:rPr>
              <w:rFonts w:ascii="Arial" w:hAnsi="Arial" w:cs="Arial"/>
              <w:sz w:val="24"/>
              <w:szCs w:val="24"/>
            </w:rPr>
            <w:t>Shortall, R., Mouter, N., &amp; Van Wee, B. 2022. COVID-19 passenger transport measures and their impacts. </w:t>
          </w:r>
          <w:r>
            <w:rPr>
              <w:rFonts w:ascii="Arial" w:hAnsi="Arial" w:cs="Arial"/>
              <w:i/>
              <w:iCs/>
              <w:sz w:val="24"/>
              <w:szCs w:val="24"/>
            </w:rPr>
            <w:t>Transport Reviews</w:t>
          </w:r>
          <w:r>
            <w:rPr>
              <w:rFonts w:ascii="Arial" w:hAnsi="Arial" w:cs="Arial"/>
              <w:sz w:val="24"/>
              <w:szCs w:val="24"/>
            </w:rPr>
            <w:t>, </w:t>
          </w:r>
          <w:r>
            <w:rPr>
              <w:rFonts w:ascii="Arial" w:hAnsi="Arial" w:cs="Arial"/>
              <w:i/>
              <w:iCs/>
              <w:sz w:val="24"/>
              <w:szCs w:val="24"/>
            </w:rPr>
            <w:t>42</w:t>
          </w:r>
          <w:r>
            <w:rPr>
              <w:rFonts w:ascii="Arial" w:hAnsi="Arial" w:cs="Arial"/>
              <w:sz w:val="24"/>
              <w:szCs w:val="24"/>
            </w:rPr>
            <w:t>(4), 441-466.</w:t>
          </w:r>
        </w:p>
        <w:p>
          <w:pPr>
            <w:spacing w:line="480" w:lineRule="auto"/>
            <w:ind w:left="420" w:hanging="420"/>
            <w:jc w:val="both"/>
            <w:rPr>
              <w:rFonts w:ascii="Arial" w:hAnsi="Arial" w:cs="Arial"/>
              <w:sz w:val="24"/>
              <w:szCs w:val="24"/>
            </w:rPr>
          </w:pPr>
          <w:r>
            <w:rPr>
              <w:rFonts w:ascii="Arial" w:hAnsi="Arial" w:cs="Arial"/>
              <w:sz w:val="24"/>
              <w:szCs w:val="24"/>
            </w:rPr>
            <w:t>Wee, E. X., &amp; Taylor, M. S. 2018. Attention to change: A multilevel theory on the process of emergent continuous organizational change. </w:t>
          </w:r>
          <w:r>
            <w:rPr>
              <w:rFonts w:ascii="Arial" w:hAnsi="Arial" w:cs="Arial"/>
              <w:i/>
              <w:iCs/>
              <w:sz w:val="24"/>
              <w:szCs w:val="24"/>
            </w:rPr>
            <w:t>Journal of Applied Psychology</w:t>
          </w:r>
          <w:r>
            <w:rPr>
              <w:rFonts w:ascii="Arial" w:hAnsi="Arial" w:cs="Arial"/>
              <w:sz w:val="24"/>
              <w:szCs w:val="24"/>
            </w:rPr>
            <w:t>, </w:t>
          </w:r>
          <w:r>
            <w:rPr>
              <w:rFonts w:ascii="Arial" w:hAnsi="Arial" w:cs="Arial"/>
              <w:i/>
              <w:iCs/>
              <w:sz w:val="24"/>
              <w:szCs w:val="24"/>
            </w:rPr>
            <w:t>103</w:t>
          </w:r>
          <w:r>
            <w:rPr>
              <w:rFonts w:ascii="Arial" w:hAnsi="Arial" w:cs="Arial"/>
              <w:sz w:val="24"/>
              <w:szCs w:val="24"/>
            </w:rPr>
            <w:t>(1), 1-16.</w:t>
          </w:r>
        </w:p>
        <w:p>
          <w:pPr>
            <w:spacing w:line="480" w:lineRule="auto"/>
            <w:rPr>
              <w:rFonts w:ascii="Arial" w:hAnsi="Arial" w:cs="Arial"/>
              <w:sz w:val="24"/>
              <w:szCs w:val="24"/>
            </w:rPr>
          </w:pPr>
        </w:p>
        <w:p>
          <w:pPr>
            <w:spacing w:line="480" w:lineRule="auto"/>
            <w:rPr>
              <w:rFonts w:ascii="Arial" w:hAnsi="Arial" w:cs="Arial"/>
              <w:sz w:val="24"/>
              <w:szCs w:val="24"/>
            </w:rPr>
          </w:pPr>
        </w:p>
      </w:sdtContent>
    </w:sdt>
    <w:sectPr>
      <w:footerReference r:id="rId5" w:type="default"/>
      <w:footerReference r:id="rId6" w:type="even"/>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libri Light">
    <w:panose1 w:val="020F0302020204030204"/>
    <w:charset w:val="00"/>
    <w:family w:val="swiss"/>
    <w:pitch w:val="default"/>
    <w:sig w:usb0="E4002EFF" w:usb1="C000247B" w:usb2="00000009" w:usb3="00000000" w:csb0="200001FF" w:csb1="00000000"/>
  </w:font>
  <w:font w:name="Wingdings">
    <w:panose1 w:val="05000000000000000000"/>
    <w:charset w:val="00"/>
    <w:family w:val="decorative"/>
    <w:pitch w:val="default"/>
    <w:sig w:usb0="00000000" w:usb1="00000000" w:usb2="00000000" w:usb3="00000000" w:csb0="8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4"/>
        <w:sz w:val="22"/>
        <w:szCs w:val="22"/>
      </w:rPr>
      <w:id w:val="-168110201"/>
      <w:docPartObj>
        <w:docPartGallery w:val="AutoText"/>
      </w:docPartObj>
    </w:sdtPr>
    <w:sdtEndPr>
      <w:rPr>
        <w:rStyle w:val="14"/>
        <w:sz w:val="22"/>
        <w:szCs w:val="22"/>
      </w:rPr>
    </w:sdtEndPr>
    <w:sdtContent>
      <w:p>
        <w:pPr>
          <w:pStyle w:val="6"/>
          <w:framePr w:wrap="auto" w:vAnchor="text" w:hAnchor="margin" w:xAlign="center" w:y="1"/>
          <w:rPr>
            <w:rStyle w:val="14"/>
            <w:sz w:val="22"/>
            <w:szCs w:val="22"/>
          </w:rPr>
        </w:pPr>
        <w:r>
          <w:rPr>
            <w:rStyle w:val="14"/>
            <w:sz w:val="22"/>
            <w:szCs w:val="22"/>
          </w:rPr>
          <w:fldChar w:fldCharType="begin"/>
        </w:r>
        <w:r>
          <w:rPr>
            <w:rStyle w:val="14"/>
            <w:sz w:val="22"/>
            <w:szCs w:val="22"/>
          </w:rPr>
          <w:instrText xml:space="preserve"> PAGE </w:instrText>
        </w:r>
        <w:r>
          <w:rPr>
            <w:rStyle w:val="14"/>
            <w:sz w:val="22"/>
            <w:szCs w:val="22"/>
          </w:rPr>
          <w:fldChar w:fldCharType="separate"/>
        </w:r>
        <w:r>
          <w:rPr>
            <w:rStyle w:val="14"/>
            <w:sz w:val="22"/>
            <w:szCs w:val="22"/>
          </w:rPr>
          <w:t>10</w:t>
        </w:r>
        <w:r>
          <w:rPr>
            <w:rStyle w:val="14"/>
            <w:sz w:val="22"/>
            <w:szCs w:val="22"/>
          </w:rPr>
          <w:fldChar w:fldCharType="end"/>
        </w:r>
      </w:p>
    </w:sdtContent>
  </w:sdt>
  <w:p>
    <w:pPr>
      <w:pStyle w:val="6"/>
      <w:rPr>
        <w:sz w:val="22"/>
        <w:szCs w:val="22"/>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4"/>
      </w:rPr>
      <w:id w:val="-2065248173"/>
      <w:docPartObj>
        <w:docPartGallery w:val="AutoText"/>
      </w:docPartObj>
    </w:sdtPr>
    <w:sdtEndPr>
      <w:rPr>
        <w:rStyle w:val="14"/>
      </w:rPr>
    </w:sdtEndPr>
    <w:sdtContent>
      <w:p>
        <w:pPr>
          <w:pStyle w:val="6"/>
          <w:framePr w:wrap="auto" w:vAnchor="text" w:hAnchor="margin" w:xAlign="center" w:y="1"/>
          <w:rPr>
            <w:rStyle w:val="14"/>
          </w:rPr>
        </w:pPr>
        <w:r>
          <w:rPr>
            <w:rStyle w:val="14"/>
          </w:rPr>
          <w:fldChar w:fldCharType="begin"/>
        </w:r>
        <w:r>
          <w:rPr>
            <w:rStyle w:val="14"/>
          </w:rPr>
          <w:instrText xml:space="preserve"> PAGE </w:instrText>
        </w:r>
        <w:r>
          <w:rPr>
            <w:rStyle w:val="14"/>
          </w:rPr>
          <w:fldChar w:fldCharType="separate"/>
        </w:r>
        <w:r>
          <w:rPr>
            <w:rStyle w:val="14"/>
          </w:rPr>
          <w:t>10</w:t>
        </w:r>
        <w:r>
          <w:rPr>
            <w:rStyle w:val="14"/>
          </w:rP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C54DB3"/>
    <w:multiLevelType w:val="multilevel"/>
    <w:tmpl w:val="03C54DB3"/>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1">
    <w:nsid w:val="086A0977"/>
    <w:multiLevelType w:val="multilevel"/>
    <w:tmpl w:val="086A0977"/>
    <w:lvl w:ilvl="0" w:tentative="0">
      <w:start w:val="1"/>
      <w:numFmt w:val="decimal"/>
      <w:lvlText w:val="%1."/>
      <w:lvlJc w:val="left"/>
      <w:pPr>
        <w:ind w:left="360" w:hanging="360"/>
      </w:pPr>
      <w:rPr>
        <w:rFonts w:hint="default"/>
      </w:rPr>
    </w:lvl>
    <w:lvl w:ilvl="1" w:tentative="0">
      <w:start w:val="1"/>
      <w:numFmt w:val="decimal"/>
      <w:isLgl/>
      <w:lvlText w:val="%1.%2."/>
      <w:lvlJc w:val="left"/>
      <w:pPr>
        <w:ind w:left="720" w:hanging="72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1080" w:hanging="108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440" w:hanging="144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800" w:hanging="1800"/>
      </w:pPr>
      <w:rPr>
        <w:rFonts w:hint="default"/>
      </w:rPr>
    </w:lvl>
    <w:lvl w:ilvl="8" w:tentative="0">
      <w:start w:val="1"/>
      <w:numFmt w:val="decimal"/>
      <w:isLgl/>
      <w:lvlText w:val="%1.%2.%3.%4.%5.%6.%7.%8.%9."/>
      <w:lvlJc w:val="left"/>
      <w:pPr>
        <w:ind w:left="2160" w:hanging="2160"/>
      </w:pPr>
      <w:rPr>
        <w:rFonts w:hint="default"/>
      </w:rPr>
    </w:lvl>
  </w:abstractNum>
  <w:abstractNum w:abstractNumId="2">
    <w:nsid w:val="0B334209"/>
    <w:multiLevelType w:val="multilevel"/>
    <w:tmpl w:val="0B334209"/>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3">
    <w:nsid w:val="10C7559A"/>
    <w:multiLevelType w:val="multilevel"/>
    <w:tmpl w:val="10C7559A"/>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4">
    <w:nsid w:val="17210FB4"/>
    <w:multiLevelType w:val="multilevel"/>
    <w:tmpl w:val="17210FB4"/>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5">
    <w:nsid w:val="1FAB21CA"/>
    <w:multiLevelType w:val="multilevel"/>
    <w:tmpl w:val="1FAB21CA"/>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6">
    <w:nsid w:val="23F80D2A"/>
    <w:multiLevelType w:val="multilevel"/>
    <w:tmpl w:val="23F80D2A"/>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7">
    <w:nsid w:val="265075D9"/>
    <w:multiLevelType w:val="multilevel"/>
    <w:tmpl w:val="265075D9"/>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8">
    <w:nsid w:val="51F27EC6"/>
    <w:multiLevelType w:val="multilevel"/>
    <w:tmpl w:val="51F27EC6"/>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9">
    <w:nsid w:val="6E9647ED"/>
    <w:multiLevelType w:val="multilevel"/>
    <w:tmpl w:val="6E9647ED"/>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10">
    <w:nsid w:val="7E6D668C"/>
    <w:multiLevelType w:val="multilevel"/>
    <w:tmpl w:val="7E6D668C"/>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num w:numId="1">
    <w:abstractNumId w:val="1"/>
  </w:num>
  <w:num w:numId="2">
    <w:abstractNumId w:val="6"/>
  </w:num>
  <w:num w:numId="3">
    <w:abstractNumId w:val="9"/>
  </w:num>
  <w:num w:numId="4">
    <w:abstractNumId w:val="10"/>
  </w:num>
  <w:num w:numId="5">
    <w:abstractNumId w:val="4"/>
  </w:num>
  <w:num w:numId="6">
    <w:abstractNumId w:val="2"/>
  </w:num>
  <w:num w:numId="7">
    <w:abstractNumId w:val="8"/>
  </w:num>
  <w:num w:numId="8">
    <w:abstractNumId w:val="5"/>
  </w:num>
  <w:num w:numId="9">
    <w:abstractNumId w:val="7"/>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U2YWYyMzRhNTVjMWZjODA2NWQ3MTU5ZjQzYmYxMGYifQ=="/>
  </w:docVars>
  <w:rsids>
    <w:rsidRoot w:val="007D1947"/>
    <w:rsid w:val="00107936"/>
    <w:rsid w:val="00115B96"/>
    <w:rsid w:val="003158EC"/>
    <w:rsid w:val="00324CCD"/>
    <w:rsid w:val="00480872"/>
    <w:rsid w:val="004A11F6"/>
    <w:rsid w:val="004D519C"/>
    <w:rsid w:val="007D1947"/>
    <w:rsid w:val="00841CAD"/>
    <w:rsid w:val="009241C8"/>
    <w:rsid w:val="00931CAA"/>
    <w:rsid w:val="00947446"/>
    <w:rsid w:val="00966E6E"/>
    <w:rsid w:val="00A12B58"/>
    <w:rsid w:val="00AA2A91"/>
    <w:rsid w:val="00B14E77"/>
    <w:rsid w:val="00B37BFF"/>
    <w:rsid w:val="00C963FC"/>
    <w:rsid w:val="00CA09F3"/>
    <w:rsid w:val="00CC7931"/>
    <w:rsid w:val="00CD1C88"/>
    <w:rsid w:val="00D854A5"/>
    <w:rsid w:val="00E15338"/>
    <w:rsid w:val="00F20086"/>
    <w:rsid w:val="00FF3689"/>
    <w:rsid w:val="207B2107"/>
    <w:rsid w:val="24CE2FF7"/>
    <w:rsid w:val="4EEA2AD2"/>
    <w:rsid w:val="592D6A2C"/>
    <w:rsid w:val="5B9B762E"/>
    <w:rsid w:val="67A618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US" w:bidi="ar-SA"/>
    </w:rPr>
  </w:style>
  <w:style w:type="paragraph" w:styleId="2">
    <w:name w:val="heading 1"/>
    <w:basedOn w:val="1"/>
    <w:next w:val="1"/>
    <w:link w:val="18"/>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0"/>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25"/>
    <w:semiHidden/>
    <w:unhideWhenUsed/>
    <w:qFormat/>
    <w:uiPriority w:val="9"/>
    <w:pPr>
      <w:keepNext/>
      <w:keepLines/>
      <w:spacing w:before="260" w:after="260" w:line="416" w:lineRule="auto"/>
      <w:outlineLvl w:val="2"/>
    </w:pPr>
    <w:rPr>
      <w:b/>
      <w:bCs/>
      <w:sz w:val="32"/>
      <w:szCs w:val="32"/>
    </w:rPr>
  </w:style>
  <w:style w:type="character" w:default="1" w:styleId="13">
    <w:name w:val="Default Paragraph Font"/>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5">
    <w:name w:val="toc 3"/>
    <w:basedOn w:val="1"/>
    <w:next w:val="1"/>
    <w:unhideWhenUsed/>
    <w:qFormat/>
    <w:uiPriority w:val="39"/>
    <w:pPr>
      <w:ind w:left="840" w:leftChars="400"/>
    </w:pPr>
  </w:style>
  <w:style w:type="paragraph" w:styleId="6">
    <w:name w:val="footer"/>
    <w:basedOn w:val="1"/>
    <w:link w:val="24"/>
    <w:unhideWhenUsed/>
    <w:qFormat/>
    <w:uiPriority w:val="99"/>
    <w:pPr>
      <w:tabs>
        <w:tab w:val="center" w:pos="4153"/>
        <w:tab w:val="right" w:pos="8306"/>
      </w:tabs>
      <w:snapToGrid w:val="0"/>
      <w:spacing w:line="240" w:lineRule="auto"/>
    </w:pPr>
    <w:rPr>
      <w:sz w:val="18"/>
      <w:szCs w:val="18"/>
    </w:rPr>
  </w:style>
  <w:style w:type="paragraph" w:styleId="7">
    <w:name w:val="header"/>
    <w:basedOn w:val="1"/>
    <w:link w:val="23"/>
    <w:unhideWhenUsed/>
    <w:qFormat/>
    <w:uiPriority w:val="99"/>
    <w:pPr>
      <w:tabs>
        <w:tab w:val="center" w:pos="4153"/>
        <w:tab w:val="right" w:pos="8306"/>
      </w:tabs>
      <w:snapToGrid w:val="0"/>
      <w:spacing w:line="240" w:lineRule="auto"/>
      <w:jc w:val="center"/>
    </w:pPr>
    <w:rPr>
      <w:sz w:val="18"/>
      <w:szCs w:val="18"/>
    </w:r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20"/>
    </w:pPr>
  </w:style>
  <w:style w:type="paragraph" w:styleId="10">
    <w:name w:val="Normal (Web)"/>
    <w:basedOn w:val="1"/>
    <w:semiHidden/>
    <w:unhideWhenUsed/>
    <w:uiPriority w:val="99"/>
    <w:pPr>
      <w:widowControl w:val="0"/>
      <w:spacing w:after="0" w:line="240" w:lineRule="auto"/>
      <w:jc w:val="both"/>
    </w:pPr>
    <w:rPr>
      <w:rFonts w:ascii="Times New Roman" w:hAnsi="Times New Roman" w:cs="Times New Roman"/>
      <w:kern w:val="2"/>
      <w:sz w:val="24"/>
      <w:szCs w:val="24"/>
      <w:lang w:val="en-AU" w:eastAsia="zh-CN"/>
    </w:rPr>
  </w:style>
  <w:style w:type="table" w:styleId="12">
    <w:name w:val="Table Grid"/>
    <w:basedOn w:val="11"/>
    <w:uiPriority w:val="39"/>
    <w:pPr>
      <w:spacing w:after="0" w:line="240" w:lineRule="auto"/>
    </w:pPr>
    <w:rPr>
      <w:kern w:val="2"/>
      <w:sz w:val="21"/>
      <w:szCs w:val="24"/>
      <w:lang w:val="en-US"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page number"/>
    <w:basedOn w:val="13"/>
    <w:semiHidden/>
    <w:unhideWhenUsed/>
    <w:qFormat/>
    <w:uiPriority w:val="99"/>
  </w:style>
  <w:style w:type="character" w:styleId="15">
    <w:name w:val="Hyperlink"/>
    <w:basedOn w:val="13"/>
    <w:unhideWhenUsed/>
    <w:uiPriority w:val="99"/>
    <w:rPr>
      <w:color w:val="0563C1" w:themeColor="hyperlink"/>
      <w:u w:val="single"/>
      <w14:textFill>
        <w14:solidFill>
          <w14:schemeClr w14:val="hlink"/>
        </w14:solidFill>
      </w14:textFill>
    </w:rPr>
  </w:style>
  <w:style w:type="paragraph" w:styleId="16">
    <w:name w:val="No Spacing"/>
    <w:link w:val="17"/>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7">
    <w:name w:val="无间隔 字符"/>
    <w:basedOn w:val="13"/>
    <w:link w:val="16"/>
    <w:uiPriority w:val="1"/>
    <w:rPr>
      <w:rFonts w:eastAsiaTheme="minorEastAsia"/>
      <w:lang w:val="en-US"/>
    </w:rPr>
  </w:style>
  <w:style w:type="character" w:customStyle="1" w:styleId="18">
    <w:name w:val="标题 1 字符"/>
    <w:basedOn w:val="13"/>
    <w:link w:val="2"/>
    <w:uiPriority w:val="9"/>
    <w:rPr>
      <w:rFonts w:asciiTheme="majorHAnsi" w:hAnsiTheme="majorHAnsi" w:eastAsiaTheme="majorEastAsia" w:cstheme="majorBidi"/>
      <w:color w:val="2E75B6" w:themeColor="accent1" w:themeShade="BF"/>
      <w:sz w:val="32"/>
      <w:szCs w:val="32"/>
    </w:rPr>
  </w:style>
  <w:style w:type="paragraph" w:customStyle="1" w:styleId="19">
    <w:name w:val="TOC Heading"/>
    <w:basedOn w:val="2"/>
    <w:next w:val="1"/>
    <w:unhideWhenUsed/>
    <w:qFormat/>
    <w:uiPriority w:val="39"/>
    <w:pPr>
      <w:outlineLvl w:val="9"/>
    </w:pPr>
    <w:rPr>
      <w:lang w:val="en-US"/>
    </w:rPr>
  </w:style>
  <w:style w:type="character" w:customStyle="1" w:styleId="20">
    <w:name w:val="标题 2 字符"/>
    <w:basedOn w:val="13"/>
    <w:link w:val="3"/>
    <w:uiPriority w:val="9"/>
    <w:rPr>
      <w:rFonts w:asciiTheme="majorHAnsi" w:hAnsiTheme="majorHAnsi" w:eastAsiaTheme="majorEastAsia" w:cstheme="majorBidi"/>
      <w:color w:val="2E75B6" w:themeColor="accent1" w:themeShade="BF"/>
      <w:sz w:val="26"/>
      <w:szCs w:val="26"/>
    </w:rPr>
  </w:style>
  <w:style w:type="character" w:customStyle="1" w:styleId="21">
    <w:name w:val="Unresolved Mention"/>
    <w:basedOn w:val="13"/>
    <w:semiHidden/>
    <w:unhideWhenUsed/>
    <w:uiPriority w:val="99"/>
    <w:rPr>
      <w:color w:val="605E5C"/>
      <w:shd w:val="clear" w:color="auto" w:fill="E1DFDD"/>
    </w:rPr>
  </w:style>
  <w:style w:type="paragraph" w:styleId="22">
    <w:name w:val="List Paragraph"/>
    <w:basedOn w:val="1"/>
    <w:qFormat/>
    <w:uiPriority w:val="34"/>
    <w:pPr>
      <w:widowControl w:val="0"/>
      <w:spacing w:after="0" w:line="240" w:lineRule="auto"/>
      <w:ind w:firstLine="420" w:firstLineChars="200"/>
      <w:jc w:val="both"/>
    </w:pPr>
    <w:rPr>
      <w:kern w:val="2"/>
      <w:sz w:val="21"/>
      <w:szCs w:val="24"/>
      <w:lang w:val="en-AU" w:eastAsia="zh-CN"/>
    </w:rPr>
  </w:style>
  <w:style w:type="character" w:customStyle="1" w:styleId="23">
    <w:name w:val="页眉 字符"/>
    <w:basedOn w:val="13"/>
    <w:link w:val="7"/>
    <w:uiPriority w:val="99"/>
    <w:rPr>
      <w:sz w:val="18"/>
      <w:szCs w:val="18"/>
    </w:rPr>
  </w:style>
  <w:style w:type="character" w:customStyle="1" w:styleId="24">
    <w:name w:val="页脚 字符"/>
    <w:basedOn w:val="13"/>
    <w:link w:val="6"/>
    <w:qFormat/>
    <w:uiPriority w:val="99"/>
    <w:rPr>
      <w:sz w:val="18"/>
      <w:szCs w:val="18"/>
    </w:rPr>
  </w:style>
  <w:style w:type="character" w:customStyle="1" w:styleId="25">
    <w:name w:val="标题 3 字符"/>
    <w:basedOn w:val="13"/>
    <w:link w:val="4"/>
    <w:semiHidden/>
    <w:uiPriority w:val="9"/>
    <w:rPr>
      <w:b/>
      <w:bCs/>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glossaryDocument" Target="glossary/document.xml"/><Relationship Id="rId16" Type="http://schemas.openxmlformats.org/officeDocument/2006/relationships/fontTable" Target="fontTable.xml"/><Relationship Id="rId15" Type="http://schemas.openxmlformats.org/officeDocument/2006/relationships/customXml" Target="../customXml/item3.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libri Light">
    <w:panose1 w:val="020F0302020204030204"/>
    <w:charset w:val="00"/>
    <w:family w:val="swiss"/>
    <w:pitch w:val="default"/>
    <w:sig w:usb0="E4002EFF" w:usb1="C000247B" w:usb2="00000009" w:usb3="00000000" w:csb0="200001F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bordersDoNotSurroundHeader w:val="1"/>
  <w:bordersDoNotSurroundFooter w:val="1"/>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556D1"/>
    <w:rsid w:val="00242260"/>
    <w:rsid w:val="002450A7"/>
    <w:rsid w:val="003203C2"/>
    <w:rsid w:val="004D25D2"/>
    <w:rsid w:val="008F56F9"/>
    <w:rsid w:val="00A34C42"/>
    <w:rsid w:val="00BA72F8"/>
    <w:rsid w:val="00BC1251"/>
    <w:rsid w:val="00C67429"/>
    <w:rsid w:val="00F064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qFormat/>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2023-05-03T00:00:00</PublishDate>
  <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8E40F2F-9F79-6447-A9DF-A152A99047AF}">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23</Pages>
  <Words>4612</Words>
  <Characters>27774</Characters>
  <Lines>244</Lines>
  <Paragraphs>68</Paragraphs>
  <TotalTime>26</TotalTime>
  <ScaleCrop>false</ScaleCrop>
  <LinksUpToDate>false</LinksUpToDate>
  <CharactersWithSpaces>32426</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2023-05-02T09:12:00Z</dcterms:created>
  <dc:creator>Marie Pitson</dc:creator>
  <cp:lastModifiedBy>gtt</cp:lastModifiedBy>
  <dcterms:modified xsi:type="dcterms:W3CDTF">2023-05-05T17:34:14Z</dcterms:modified>
  <dc:subject>DLH’s Case</dc:subject>
  <dc:title>Case study of change management process</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4586836598E042D7BE55FD38685FA6E9_12</vt:lpwstr>
  </property>
</Properties>
</file>