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CF18E7" w:rsidRDefault="00CF18E7">
      <w:pPr>
        <w:jc w:val="center"/>
        <w:rPr>
          <w:b/>
          <w:sz w:val="40"/>
          <w:szCs w:val="40"/>
        </w:rPr>
      </w:pPr>
    </w:p>
    <w:p w14:paraId="00000002" w14:textId="77777777" w:rsidR="00CF18E7" w:rsidRDefault="00CF18E7">
      <w:pPr>
        <w:jc w:val="center"/>
        <w:rPr>
          <w:b/>
          <w:sz w:val="40"/>
          <w:szCs w:val="40"/>
        </w:rPr>
      </w:pPr>
    </w:p>
    <w:p w14:paraId="00000003" w14:textId="77777777" w:rsidR="00CF18E7" w:rsidRDefault="00CF18E7">
      <w:pPr>
        <w:jc w:val="center"/>
        <w:rPr>
          <w:b/>
          <w:sz w:val="40"/>
          <w:szCs w:val="40"/>
        </w:rPr>
      </w:pPr>
    </w:p>
    <w:p w14:paraId="00000004" w14:textId="77777777" w:rsidR="00CF18E7" w:rsidRDefault="00CF18E7">
      <w:pPr>
        <w:jc w:val="center"/>
        <w:rPr>
          <w:b/>
          <w:sz w:val="40"/>
          <w:szCs w:val="40"/>
        </w:rPr>
      </w:pPr>
    </w:p>
    <w:p w14:paraId="00000005" w14:textId="77777777" w:rsidR="00CF18E7" w:rsidRDefault="00000000">
      <w:pPr>
        <w:jc w:val="center"/>
        <w:rPr>
          <w:b/>
          <w:sz w:val="40"/>
          <w:szCs w:val="40"/>
        </w:rPr>
      </w:pPr>
      <w:r>
        <w:rPr>
          <w:b/>
          <w:sz w:val="40"/>
          <w:szCs w:val="40"/>
        </w:rPr>
        <w:t>Module Title: Criminal Law</w:t>
      </w:r>
    </w:p>
    <w:p w14:paraId="00000006" w14:textId="77777777" w:rsidR="00CF18E7" w:rsidRDefault="00000000">
      <w:pPr>
        <w:jc w:val="center"/>
      </w:pPr>
      <w:r>
        <w:t>Module code: BMPL4009_CARD</w:t>
      </w:r>
    </w:p>
    <w:p w14:paraId="00000007" w14:textId="77777777" w:rsidR="00CF18E7" w:rsidRDefault="00000000">
      <w:pPr>
        <w:jc w:val="center"/>
      </w:pPr>
      <w:r>
        <w:t>Assignment Title: Liability by omission</w:t>
      </w:r>
    </w:p>
    <w:p w14:paraId="00000008" w14:textId="006BFAB6" w:rsidR="00CF18E7" w:rsidRDefault="00000000">
      <w:pPr>
        <w:jc w:val="center"/>
      </w:pPr>
      <w:r>
        <w:t>Student Name:</w:t>
      </w:r>
      <w:r w:rsidR="001318B8">
        <w:t xml:space="preserve"> </w:t>
      </w:r>
      <w:r>
        <w:t>Lidia</w:t>
      </w:r>
      <w:r w:rsidR="00237E65">
        <w:t>-</w:t>
      </w:r>
      <w:r>
        <w:t>Ma</w:t>
      </w:r>
      <w:r w:rsidR="00237E65">
        <w:t>dalina</w:t>
      </w:r>
      <w:r>
        <w:t xml:space="preserve"> </w:t>
      </w:r>
      <w:proofErr w:type="spellStart"/>
      <w:r>
        <w:t>Toader</w:t>
      </w:r>
      <w:proofErr w:type="spellEnd"/>
    </w:p>
    <w:p w14:paraId="00000009" w14:textId="54F614A3" w:rsidR="00CF18E7" w:rsidRDefault="00000000">
      <w:pPr>
        <w:jc w:val="center"/>
      </w:pPr>
      <w:r>
        <w:t xml:space="preserve">Student ID: </w:t>
      </w:r>
      <w:r w:rsidR="00237E65">
        <w:t>2326149</w:t>
      </w:r>
      <w:r>
        <w:br w:type="page"/>
      </w:r>
    </w:p>
    <w:bookmarkStart w:id="0" w:name="_xxe375r540lr" w:colFirst="0" w:colLast="0" w:displacedByCustomXml="next"/>
    <w:bookmarkEnd w:id="0" w:displacedByCustomXml="next"/>
    <w:sdt>
      <w:sdtPr>
        <w:rPr>
          <w:rFonts w:ascii="Arial" w:eastAsia="Arial" w:hAnsi="Arial" w:cs="Arial"/>
          <w:color w:val="auto"/>
          <w:sz w:val="24"/>
          <w:szCs w:val="24"/>
          <w:lang w:val="en-GB" w:eastAsia="en-IN"/>
        </w:rPr>
        <w:id w:val="272906731"/>
        <w:docPartObj>
          <w:docPartGallery w:val="Table of Contents"/>
          <w:docPartUnique/>
        </w:docPartObj>
      </w:sdtPr>
      <w:sdtEndPr>
        <w:rPr>
          <w:b/>
          <w:bCs/>
          <w:noProof/>
        </w:rPr>
      </w:sdtEndPr>
      <w:sdtContent>
        <w:p w14:paraId="28077594" w14:textId="47A377E1" w:rsidR="005C7935" w:rsidRDefault="005C7935">
          <w:pPr>
            <w:pStyle w:val="TOCHeading"/>
          </w:pPr>
          <w:r>
            <w:t>Table of Contents</w:t>
          </w:r>
        </w:p>
        <w:p w14:paraId="44A6377E" w14:textId="783DABCE" w:rsidR="0076051A" w:rsidRDefault="005C7935">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r>
            <w:fldChar w:fldCharType="begin"/>
          </w:r>
          <w:r>
            <w:instrText xml:space="preserve"> TOC \o "1-3" \h \z \u </w:instrText>
          </w:r>
          <w:r>
            <w:fldChar w:fldCharType="separate"/>
          </w:r>
          <w:hyperlink w:anchor="_Toc177571943" w:history="1">
            <w:r w:rsidR="0076051A" w:rsidRPr="00C57165">
              <w:rPr>
                <w:rStyle w:val="Hyperlink"/>
                <w:noProof/>
              </w:rPr>
              <w:t>Introduction</w:t>
            </w:r>
            <w:r w:rsidR="0076051A">
              <w:rPr>
                <w:noProof/>
                <w:webHidden/>
              </w:rPr>
              <w:tab/>
            </w:r>
            <w:r w:rsidR="0076051A">
              <w:rPr>
                <w:noProof/>
                <w:webHidden/>
              </w:rPr>
              <w:fldChar w:fldCharType="begin"/>
            </w:r>
            <w:r w:rsidR="0076051A">
              <w:rPr>
                <w:noProof/>
                <w:webHidden/>
              </w:rPr>
              <w:instrText xml:space="preserve"> PAGEREF _Toc177571943 \h </w:instrText>
            </w:r>
            <w:r w:rsidR="0076051A">
              <w:rPr>
                <w:noProof/>
                <w:webHidden/>
              </w:rPr>
            </w:r>
            <w:r w:rsidR="0076051A">
              <w:rPr>
                <w:noProof/>
                <w:webHidden/>
              </w:rPr>
              <w:fldChar w:fldCharType="separate"/>
            </w:r>
            <w:r w:rsidR="00237E65">
              <w:rPr>
                <w:noProof/>
                <w:webHidden/>
              </w:rPr>
              <w:t>3</w:t>
            </w:r>
            <w:r w:rsidR="0076051A">
              <w:rPr>
                <w:noProof/>
                <w:webHidden/>
              </w:rPr>
              <w:fldChar w:fldCharType="end"/>
            </w:r>
          </w:hyperlink>
        </w:p>
        <w:p w14:paraId="37ABA48E" w14:textId="00C8828F" w:rsidR="0076051A" w:rsidRDefault="0076051A">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77571944" w:history="1">
            <w:r w:rsidRPr="00C57165">
              <w:rPr>
                <w:rStyle w:val="Hyperlink"/>
                <w:noProof/>
              </w:rPr>
              <w:t>Task A</w:t>
            </w:r>
            <w:r>
              <w:rPr>
                <w:noProof/>
                <w:webHidden/>
              </w:rPr>
              <w:tab/>
            </w:r>
            <w:r>
              <w:rPr>
                <w:noProof/>
                <w:webHidden/>
              </w:rPr>
              <w:fldChar w:fldCharType="begin"/>
            </w:r>
            <w:r>
              <w:rPr>
                <w:noProof/>
                <w:webHidden/>
              </w:rPr>
              <w:instrText xml:space="preserve"> PAGEREF _Toc177571944 \h </w:instrText>
            </w:r>
            <w:r>
              <w:rPr>
                <w:noProof/>
                <w:webHidden/>
              </w:rPr>
            </w:r>
            <w:r>
              <w:rPr>
                <w:noProof/>
                <w:webHidden/>
              </w:rPr>
              <w:fldChar w:fldCharType="separate"/>
            </w:r>
            <w:r w:rsidR="00237E65">
              <w:rPr>
                <w:noProof/>
                <w:webHidden/>
              </w:rPr>
              <w:t>4</w:t>
            </w:r>
            <w:r>
              <w:rPr>
                <w:noProof/>
                <w:webHidden/>
              </w:rPr>
              <w:fldChar w:fldCharType="end"/>
            </w:r>
          </w:hyperlink>
        </w:p>
        <w:p w14:paraId="4ED4B5E0" w14:textId="2CBFA007" w:rsidR="0076051A" w:rsidRDefault="0076051A">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77571945" w:history="1">
            <w:r w:rsidRPr="00C57165">
              <w:rPr>
                <w:rStyle w:val="Hyperlink"/>
                <w:noProof/>
              </w:rPr>
              <w:t>General duty to act in criminal law</w:t>
            </w:r>
            <w:r>
              <w:rPr>
                <w:noProof/>
                <w:webHidden/>
              </w:rPr>
              <w:tab/>
            </w:r>
            <w:r>
              <w:rPr>
                <w:noProof/>
                <w:webHidden/>
              </w:rPr>
              <w:fldChar w:fldCharType="begin"/>
            </w:r>
            <w:r>
              <w:rPr>
                <w:noProof/>
                <w:webHidden/>
              </w:rPr>
              <w:instrText xml:space="preserve"> PAGEREF _Toc177571945 \h </w:instrText>
            </w:r>
            <w:r>
              <w:rPr>
                <w:noProof/>
                <w:webHidden/>
              </w:rPr>
            </w:r>
            <w:r>
              <w:rPr>
                <w:noProof/>
                <w:webHidden/>
              </w:rPr>
              <w:fldChar w:fldCharType="separate"/>
            </w:r>
            <w:r w:rsidR="00237E65">
              <w:rPr>
                <w:noProof/>
                <w:webHidden/>
              </w:rPr>
              <w:t>4</w:t>
            </w:r>
            <w:r>
              <w:rPr>
                <w:noProof/>
                <w:webHidden/>
              </w:rPr>
              <w:fldChar w:fldCharType="end"/>
            </w:r>
          </w:hyperlink>
        </w:p>
        <w:p w14:paraId="5152277E" w14:textId="79CB4BC0" w:rsidR="0076051A" w:rsidRDefault="0076051A">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77571946" w:history="1">
            <w:r w:rsidRPr="00C57165">
              <w:rPr>
                <w:rStyle w:val="Hyperlink"/>
                <w:noProof/>
              </w:rPr>
              <w:t>Requirements for a crime to be committed by omission</w:t>
            </w:r>
            <w:r>
              <w:rPr>
                <w:noProof/>
                <w:webHidden/>
              </w:rPr>
              <w:tab/>
            </w:r>
            <w:r>
              <w:rPr>
                <w:noProof/>
                <w:webHidden/>
              </w:rPr>
              <w:fldChar w:fldCharType="begin"/>
            </w:r>
            <w:r>
              <w:rPr>
                <w:noProof/>
                <w:webHidden/>
              </w:rPr>
              <w:instrText xml:space="preserve"> PAGEREF _Toc177571946 \h </w:instrText>
            </w:r>
            <w:r>
              <w:rPr>
                <w:noProof/>
                <w:webHidden/>
              </w:rPr>
            </w:r>
            <w:r>
              <w:rPr>
                <w:noProof/>
                <w:webHidden/>
              </w:rPr>
              <w:fldChar w:fldCharType="separate"/>
            </w:r>
            <w:r w:rsidR="00237E65">
              <w:rPr>
                <w:noProof/>
                <w:webHidden/>
              </w:rPr>
              <w:t>5</w:t>
            </w:r>
            <w:r>
              <w:rPr>
                <w:noProof/>
                <w:webHidden/>
              </w:rPr>
              <w:fldChar w:fldCharType="end"/>
            </w:r>
          </w:hyperlink>
        </w:p>
        <w:p w14:paraId="57C1F3CC" w14:textId="57C14003" w:rsidR="0076051A" w:rsidRDefault="0076051A">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77571947" w:history="1">
            <w:r w:rsidRPr="00C57165">
              <w:rPr>
                <w:rStyle w:val="Hyperlink"/>
                <w:noProof/>
              </w:rPr>
              <w:t>The statutory duty to act is present.</w:t>
            </w:r>
            <w:r>
              <w:rPr>
                <w:noProof/>
                <w:webHidden/>
              </w:rPr>
              <w:tab/>
            </w:r>
            <w:r>
              <w:rPr>
                <w:noProof/>
                <w:webHidden/>
              </w:rPr>
              <w:fldChar w:fldCharType="begin"/>
            </w:r>
            <w:r>
              <w:rPr>
                <w:noProof/>
                <w:webHidden/>
              </w:rPr>
              <w:instrText xml:space="preserve"> PAGEREF _Toc177571947 \h </w:instrText>
            </w:r>
            <w:r>
              <w:rPr>
                <w:noProof/>
                <w:webHidden/>
              </w:rPr>
            </w:r>
            <w:r>
              <w:rPr>
                <w:noProof/>
                <w:webHidden/>
              </w:rPr>
              <w:fldChar w:fldCharType="separate"/>
            </w:r>
            <w:r w:rsidR="00237E65">
              <w:rPr>
                <w:noProof/>
                <w:webHidden/>
              </w:rPr>
              <w:t>6</w:t>
            </w:r>
            <w:r>
              <w:rPr>
                <w:noProof/>
                <w:webHidden/>
              </w:rPr>
              <w:fldChar w:fldCharType="end"/>
            </w:r>
          </w:hyperlink>
        </w:p>
        <w:p w14:paraId="46B2CFF2" w14:textId="3B8A7529" w:rsidR="0076051A" w:rsidRDefault="0076051A">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77571948" w:history="1">
            <w:r w:rsidRPr="00C57165">
              <w:rPr>
                <w:rStyle w:val="Hyperlink"/>
                <w:noProof/>
              </w:rPr>
              <w:t>Contractual/ duty based on office be present</w:t>
            </w:r>
            <w:r>
              <w:rPr>
                <w:noProof/>
                <w:webHidden/>
              </w:rPr>
              <w:tab/>
            </w:r>
            <w:r>
              <w:rPr>
                <w:noProof/>
                <w:webHidden/>
              </w:rPr>
              <w:fldChar w:fldCharType="begin"/>
            </w:r>
            <w:r>
              <w:rPr>
                <w:noProof/>
                <w:webHidden/>
              </w:rPr>
              <w:instrText xml:space="preserve"> PAGEREF _Toc177571948 \h </w:instrText>
            </w:r>
            <w:r>
              <w:rPr>
                <w:noProof/>
                <w:webHidden/>
              </w:rPr>
            </w:r>
            <w:r>
              <w:rPr>
                <w:noProof/>
                <w:webHidden/>
              </w:rPr>
              <w:fldChar w:fldCharType="separate"/>
            </w:r>
            <w:r w:rsidR="00237E65">
              <w:rPr>
                <w:noProof/>
                <w:webHidden/>
              </w:rPr>
              <w:t>6</w:t>
            </w:r>
            <w:r>
              <w:rPr>
                <w:noProof/>
                <w:webHidden/>
              </w:rPr>
              <w:fldChar w:fldCharType="end"/>
            </w:r>
          </w:hyperlink>
        </w:p>
        <w:p w14:paraId="54E053E6" w14:textId="031420EB" w:rsidR="0076051A" w:rsidRDefault="0076051A">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77571949" w:history="1">
            <w:r w:rsidRPr="00C57165">
              <w:rPr>
                <w:rStyle w:val="Hyperlink"/>
                <w:noProof/>
              </w:rPr>
              <w:t>A duty to act arises from assumed responsibility.</w:t>
            </w:r>
            <w:r>
              <w:rPr>
                <w:noProof/>
                <w:webHidden/>
              </w:rPr>
              <w:tab/>
            </w:r>
            <w:r>
              <w:rPr>
                <w:noProof/>
                <w:webHidden/>
              </w:rPr>
              <w:fldChar w:fldCharType="begin"/>
            </w:r>
            <w:r>
              <w:rPr>
                <w:noProof/>
                <w:webHidden/>
              </w:rPr>
              <w:instrText xml:space="preserve"> PAGEREF _Toc177571949 \h </w:instrText>
            </w:r>
            <w:r>
              <w:rPr>
                <w:noProof/>
                <w:webHidden/>
              </w:rPr>
            </w:r>
            <w:r>
              <w:rPr>
                <w:noProof/>
                <w:webHidden/>
              </w:rPr>
              <w:fldChar w:fldCharType="separate"/>
            </w:r>
            <w:r w:rsidR="00237E65">
              <w:rPr>
                <w:noProof/>
                <w:webHidden/>
              </w:rPr>
              <w:t>7</w:t>
            </w:r>
            <w:r>
              <w:rPr>
                <w:noProof/>
                <w:webHidden/>
              </w:rPr>
              <w:fldChar w:fldCharType="end"/>
            </w:r>
          </w:hyperlink>
        </w:p>
        <w:p w14:paraId="3CFF885B" w14:textId="3BFE3831" w:rsidR="0076051A" w:rsidRDefault="0076051A">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77571950" w:history="1">
            <w:r w:rsidRPr="00C57165">
              <w:rPr>
                <w:rStyle w:val="Hyperlink"/>
                <w:noProof/>
              </w:rPr>
              <w:t>TASK B</w:t>
            </w:r>
            <w:r>
              <w:rPr>
                <w:noProof/>
                <w:webHidden/>
              </w:rPr>
              <w:tab/>
            </w:r>
            <w:r>
              <w:rPr>
                <w:noProof/>
                <w:webHidden/>
              </w:rPr>
              <w:fldChar w:fldCharType="begin"/>
            </w:r>
            <w:r>
              <w:rPr>
                <w:noProof/>
                <w:webHidden/>
              </w:rPr>
              <w:instrText xml:space="preserve"> PAGEREF _Toc177571950 \h </w:instrText>
            </w:r>
            <w:r>
              <w:rPr>
                <w:noProof/>
                <w:webHidden/>
              </w:rPr>
            </w:r>
            <w:r>
              <w:rPr>
                <w:noProof/>
                <w:webHidden/>
              </w:rPr>
              <w:fldChar w:fldCharType="separate"/>
            </w:r>
            <w:r w:rsidR="00237E65">
              <w:rPr>
                <w:noProof/>
                <w:webHidden/>
              </w:rPr>
              <w:t>8</w:t>
            </w:r>
            <w:r>
              <w:rPr>
                <w:noProof/>
                <w:webHidden/>
              </w:rPr>
              <w:fldChar w:fldCharType="end"/>
            </w:r>
          </w:hyperlink>
        </w:p>
        <w:p w14:paraId="321ED0D1" w14:textId="02293076" w:rsidR="0076051A" w:rsidRDefault="0076051A">
          <w:pPr>
            <w:pStyle w:val="TOC2"/>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77571951" w:history="1">
            <w:r w:rsidRPr="00C57165">
              <w:rPr>
                <w:rStyle w:val="Hyperlink"/>
                <w:noProof/>
              </w:rPr>
              <w:t>Argumentative discussion on the general duty within the criminal law of England and Wales</w:t>
            </w:r>
            <w:r>
              <w:rPr>
                <w:noProof/>
                <w:webHidden/>
              </w:rPr>
              <w:tab/>
            </w:r>
            <w:r>
              <w:rPr>
                <w:noProof/>
                <w:webHidden/>
              </w:rPr>
              <w:fldChar w:fldCharType="begin"/>
            </w:r>
            <w:r>
              <w:rPr>
                <w:noProof/>
                <w:webHidden/>
              </w:rPr>
              <w:instrText xml:space="preserve"> PAGEREF _Toc177571951 \h </w:instrText>
            </w:r>
            <w:r>
              <w:rPr>
                <w:noProof/>
                <w:webHidden/>
              </w:rPr>
            </w:r>
            <w:r>
              <w:rPr>
                <w:noProof/>
                <w:webHidden/>
              </w:rPr>
              <w:fldChar w:fldCharType="separate"/>
            </w:r>
            <w:r w:rsidR="00237E65">
              <w:rPr>
                <w:noProof/>
                <w:webHidden/>
              </w:rPr>
              <w:t>8</w:t>
            </w:r>
            <w:r>
              <w:rPr>
                <w:noProof/>
                <w:webHidden/>
              </w:rPr>
              <w:fldChar w:fldCharType="end"/>
            </w:r>
          </w:hyperlink>
        </w:p>
        <w:p w14:paraId="633DBFE2" w14:textId="634B0212" w:rsidR="0076051A" w:rsidRDefault="0076051A">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77571952" w:history="1">
            <w:r w:rsidRPr="00C57165">
              <w:rPr>
                <w:rStyle w:val="Hyperlink"/>
                <w:noProof/>
              </w:rPr>
              <w:t>Conclusion</w:t>
            </w:r>
            <w:r>
              <w:rPr>
                <w:noProof/>
                <w:webHidden/>
              </w:rPr>
              <w:tab/>
            </w:r>
            <w:r>
              <w:rPr>
                <w:noProof/>
                <w:webHidden/>
              </w:rPr>
              <w:fldChar w:fldCharType="begin"/>
            </w:r>
            <w:r>
              <w:rPr>
                <w:noProof/>
                <w:webHidden/>
              </w:rPr>
              <w:instrText xml:space="preserve"> PAGEREF _Toc177571952 \h </w:instrText>
            </w:r>
            <w:r>
              <w:rPr>
                <w:noProof/>
                <w:webHidden/>
              </w:rPr>
            </w:r>
            <w:r>
              <w:rPr>
                <w:noProof/>
                <w:webHidden/>
              </w:rPr>
              <w:fldChar w:fldCharType="separate"/>
            </w:r>
            <w:r w:rsidR="00237E65">
              <w:rPr>
                <w:noProof/>
                <w:webHidden/>
              </w:rPr>
              <w:t>10</w:t>
            </w:r>
            <w:r>
              <w:rPr>
                <w:noProof/>
                <w:webHidden/>
              </w:rPr>
              <w:fldChar w:fldCharType="end"/>
            </w:r>
          </w:hyperlink>
        </w:p>
        <w:p w14:paraId="52F738C3" w14:textId="16938527" w:rsidR="0076051A" w:rsidRDefault="0076051A">
          <w:pPr>
            <w:pStyle w:val="TOC1"/>
            <w:tabs>
              <w:tab w:val="right" w:leader="dot" w:pos="9019"/>
            </w:tabs>
            <w:rPr>
              <w:rFonts w:asciiTheme="minorHAnsi" w:eastAsiaTheme="minorEastAsia" w:hAnsiTheme="minorHAnsi" w:cstheme="minorBidi"/>
              <w:noProof/>
              <w:kern w:val="2"/>
              <w:sz w:val="22"/>
              <w:szCs w:val="22"/>
              <w:lang w:val="en-IN"/>
              <w14:ligatures w14:val="standardContextual"/>
            </w:rPr>
          </w:pPr>
          <w:hyperlink w:anchor="_Toc177571953" w:history="1">
            <w:r w:rsidRPr="00C57165">
              <w:rPr>
                <w:rStyle w:val="Hyperlink"/>
                <w:noProof/>
              </w:rPr>
              <w:t>References</w:t>
            </w:r>
            <w:r>
              <w:rPr>
                <w:noProof/>
                <w:webHidden/>
              </w:rPr>
              <w:tab/>
            </w:r>
            <w:r>
              <w:rPr>
                <w:noProof/>
                <w:webHidden/>
              </w:rPr>
              <w:fldChar w:fldCharType="begin"/>
            </w:r>
            <w:r>
              <w:rPr>
                <w:noProof/>
                <w:webHidden/>
              </w:rPr>
              <w:instrText xml:space="preserve"> PAGEREF _Toc177571953 \h </w:instrText>
            </w:r>
            <w:r>
              <w:rPr>
                <w:noProof/>
                <w:webHidden/>
              </w:rPr>
            </w:r>
            <w:r>
              <w:rPr>
                <w:noProof/>
                <w:webHidden/>
              </w:rPr>
              <w:fldChar w:fldCharType="separate"/>
            </w:r>
            <w:r w:rsidR="00237E65">
              <w:rPr>
                <w:noProof/>
                <w:webHidden/>
              </w:rPr>
              <w:t>11</w:t>
            </w:r>
            <w:r>
              <w:rPr>
                <w:noProof/>
                <w:webHidden/>
              </w:rPr>
              <w:fldChar w:fldCharType="end"/>
            </w:r>
          </w:hyperlink>
        </w:p>
        <w:p w14:paraId="41367E6A" w14:textId="71496DC0" w:rsidR="005C7935" w:rsidRDefault="005C7935">
          <w:r>
            <w:rPr>
              <w:b/>
              <w:bCs/>
              <w:noProof/>
            </w:rPr>
            <w:fldChar w:fldCharType="end"/>
          </w:r>
        </w:p>
      </w:sdtContent>
    </w:sdt>
    <w:p w14:paraId="101DB4AB" w14:textId="77777777" w:rsidR="005C7935" w:rsidRDefault="005C7935">
      <w:pPr>
        <w:rPr>
          <w:b/>
          <w:sz w:val="28"/>
          <w:szCs w:val="28"/>
        </w:rPr>
      </w:pPr>
      <w:r>
        <w:br w:type="page"/>
      </w:r>
    </w:p>
    <w:p w14:paraId="0000000A" w14:textId="35EAE9F2" w:rsidR="00CF18E7" w:rsidRDefault="00000000">
      <w:pPr>
        <w:pStyle w:val="Heading1"/>
      </w:pPr>
      <w:bookmarkStart w:id="1" w:name="_Toc177571943"/>
      <w:r>
        <w:lastRenderedPageBreak/>
        <w:t>Introduction</w:t>
      </w:r>
      <w:bookmarkEnd w:id="1"/>
      <w:r>
        <w:t xml:space="preserve"> </w:t>
      </w:r>
    </w:p>
    <w:p w14:paraId="0000000B" w14:textId="0DB9A292" w:rsidR="00CF18E7" w:rsidRDefault="00000000">
      <w:r w:rsidRPr="00237E65">
        <w:rPr>
          <w:color w:val="000000" w:themeColor="text1"/>
        </w:rPr>
        <w:t xml:space="preserve">An assignment will be framed to </w:t>
      </w:r>
      <w:r w:rsidR="00905136" w:rsidRPr="00237E65">
        <w:rPr>
          <w:color w:val="000000" w:themeColor="text1"/>
        </w:rPr>
        <w:t xml:space="preserve">develop concrete knowledge on General act within the criminal law of the UK. </w:t>
      </w:r>
      <w:r>
        <w:t xml:space="preserve">Criminal practices are conducted under varied circumstances. Henceforth implication of the general act signifies a proper direction to develop a code of conduct and ensure a society with less criminal default. Two tasks will be conducted that will present a general as well as argumentative discussion on general acts within criminal law. </w:t>
      </w:r>
    </w:p>
    <w:p w14:paraId="0000000C" w14:textId="77777777" w:rsidR="00CF18E7" w:rsidRDefault="00CF18E7"/>
    <w:p w14:paraId="0000000D" w14:textId="77777777" w:rsidR="00CF18E7" w:rsidRDefault="00000000">
      <w:pPr>
        <w:pStyle w:val="Heading1"/>
      </w:pPr>
      <w:bookmarkStart w:id="2" w:name="_1b7dkzx7pgox" w:colFirst="0" w:colLast="0"/>
      <w:bookmarkEnd w:id="2"/>
      <w:r>
        <w:br w:type="page"/>
      </w:r>
    </w:p>
    <w:p w14:paraId="0000000E" w14:textId="77777777" w:rsidR="00CF18E7" w:rsidRDefault="00000000">
      <w:pPr>
        <w:pStyle w:val="Heading1"/>
      </w:pPr>
      <w:bookmarkStart w:id="3" w:name="_d7y9bi1lwyrt" w:colFirst="0" w:colLast="0"/>
      <w:bookmarkStart w:id="4" w:name="_Toc177571944"/>
      <w:bookmarkEnd w:id="3"/>
      <w:r>
        <w:lastRenderedPageBreak/>
        <w:t>Task A</w:t>
      </w:r>
      <w:bookmarkEnd w:id="4"/>
      <w:r>
        <w:t xml:space="preserve"> </w:t>
      </w:r>
    </w:p>
    <w:p w14:paraId="0000000F" w14:textId="77777777" w:rsidR="00CF18E7" w:rsidRDefault="00000000">
      <w:pPr>
        <w:pStyle w:val="Heading2"/>
      </w:pPr>
      <w:bookmarkStart w:id="5" w:name="_u0f9s0dgyyiv" w:colFirst="0" w:colLast="0"/>
      <w:bookmarkStart w:id="6" w:name="_Toc177571945"/>
      <w:bookmarkEnd w:id="5"/>
      <w:r>
        <w:t>General duty to act in criminal law</w:t>
      </w:r>
      <w:bookmarkEnd w:id="6"/>
    </w:p>
    <w:p w14:paraId="00000010" w14:textId="77777777" w:rsidR="00CF18E7" w:rsidRDefault="00000000">
      <w:r>
        <w:t>General duty comprises public authorities that are liable to execute different functions and possess strong checks on control of discrimination approach, victimisation acts, unlawful conduct harassment and many more. An individual accused of criminal activity possesses the right to aid prosecution and prove the internet of the criminal activity and deliver adequate defence regarding the criminal activity conducted. General defence is delivered to the accused in special circumstances. The situation in which the general duty is implemented within the criminal law has been addressed below.</w:t>
      </w:r>
    </w:p>
    <w:p w14:paraId="66B6F8D2" w14:textId="41DA4853" w:rsidR="00905136" w:rsidRPr="00237E65" w:rsidRDefault="00905136">
      <w:pPr>
        <w:rPr>
          <w:b/>
          <w:bCs/>
          <w:color w:val="000000" w:themeColor="text1"/>
        </w:rPr>
      </w:pPr>
      <w:r w:rsidRPr="00237E65">
        <w:rPr>
          <w:b/>
          <w:bCs/>
          <w:color w:val="000000" w:themeColor="text1"/>
        </w:rPr>
        <w:t>Statutory duty</w:t>
      </w:r>
    </w:p>
    <w:p w14:paraId="499A59BC" w14:textId="4046597B" w:rsidR="00905136" w:rsidRPr="00237E65" w:rsidRDefault="00905136">
      <w:pPr>
        <w:rPr>
          <w:color w:val="000000" w:themeColor="text1"/>
        </w:rPr>
      </w:pPr>
      <w:r w:rsidRPr="00237E65">
        <w:rPr>
          <w:color w:val="000000" w:themeColor="text1"/>
        </w:rPr>
        <w:t xml:space="preserve">Maintenance of proper taxation payment procedure within the addressed </w:t>
      </w:r>
      <w:r w:rsidR="00413C5E" w:rsidRPr="00237E65">
        <w:rPr>
          <w:color w:val="000000" w:themeColor="text1"/>
        </w:rPr>
        <w:t>period</w:t>
      </w:r>
      <w:r w:rsidRPr="00237E65">
        <w:rPr>
          <w:color w:val="000000" w:themeColor="text1"/>
        </w:rPr>
        <w:t>, data safety, health and safety and many more factors within the societal activity. Actions that breach the addressed statutes are considered criminal offences and interventions are made under the civil code of action.</w:t>
      </w:r>
    </w:p>
    <w:p w14:paraId="58302318" w14:textId="27EE72A9" w:rsidR="00905136" w:rsidRPr="00237E65" w:rsidRDefault="00905136">
      <w:pPr>
        <w:rPr>
          <w:b/>
          <w:bCs/>
          <w:color w:val="000000" w:themeColor="text1"/>
        </w:rPr>
      </w:pPr>
      <w:r w:rsidRPr="00237E65">
        <w:rPr>
          <w:b/>
          <w:bCs/>
          <w:color w:val="000000" w:themeColor="text1"/>
        </w:rPr>
        <w:t>Duty to report</w:t>
      </w:r>
    </w:p>
    <w:p w14:paraId="1071BF1C" w14:textId="60721D66" w:rsidR="00905136" w:rsidRPr="00237E65" w:rsidRDefault="00413C5E">
      <w:pPr>
        <w:rPr>
          <w:color w:val="000000" w:themeColor="text1"/>
        </w:rPr>
      </w:pPr>
      <w:r w:rsidRPr="00237E65">
        <w:rPr>
          <w:color w:val="000000" w:themeColor="text1"/>
        </w:rPr>
        <w:t xml:space="preserve">Crime Act 2022 addresses cases like money laundering need to be reported immediately after is have been addressed. It is considered to be the general act of duty to make proper reporting and control of suspicious practices within the UK. </w:t>
      </w:r>
    </w:p>
    <w:p w14:paraId="1A9FF8C7" w14:textId="772CD3E3" w:rsidR="00905136" w:rsidRPr="00237E65" w:rsidRDefault="00905136">
      <w:pPr>
        <w:rPr>
          <w:b/>
          <w:bCs/>
          <w:color w:val="000000" w:themeColor="text1"/>
        </w:rPr>
      </w:pPr>
      <w:r w:rsidRPr="00237E65">
        <w:rPr>
          <w:b/>
          <w:bCs/>
          <w:color w:val="000000" w:themeColor="text1"/>
        </w:rPr>
        <w:t>Duty as per the Human Rights Act</w:t>
      </w:r>
    </w:p>
    <w:p w14:paraId="0A5EACCE" w14:textId="14EE336A" w:rsidR="00413C5E" w:rsidRPr="00237E65" w:rsidRDefault="00413C5E">
      <w:pPr>
        <w:rPr>
          <w:color w:val="000000" w:themeColor="text1"/>
        </w:rPr>
      </w:pPr>
      <w:r w:rsidRPr="00237E65">
        <w:rPr>
          <w:color w:val="000000" w:themeColor="text1"/>
        </w:rPr>
        <w:t>Fulfilment and advocating human rights are considered to be a general duty within society</w:t>
      </w:r>
      <w:r w:rsidR="0076051A" w:rsidRPr="00237E65">
        <w:rPr>
          <w:color w:val="000000" w:themeColor="text1"/>
        </w:rPr>
        <w:t xml:space="preserve"> (Finch and Fafinski, 2021). </w:t>
      </w:r>
      <w:r w:rsidRPr="00237E65">
        <w:rPr>
          <w:color w:val="000000" w:themeColor="text1"/>
        </w:rPr>
        <w:t xml:space="preserve">Henceforth performing any action that breaches the human rights of any individual or institution is considered a breach of legal status. </w:t>
      </w:r>
    </w:p>
    <w:p w14:paraId="22D57327" w14:textId="2FF2039E" w:rsidR="00905136" w:rsidRPr="00237E65" w:rsidRDefault="00905136">
      <w:pPr>
        <w:rPr>
          <w:b/>
          <w:bCs/>
          <w:color w:val="000000" w:themeColor="text1"/>
        </w:rPr>
      </w:pPr>
      <w:r w:rsidRPr="00237E65">
        <w:rPr>
          <w:b/>
          <w:bCs/>
          <w:color w:val="000000" w:themeColor="text1"/>
        </w:rPr>
        <w:t>Duty of care</w:t>
      </w:r>
    </w:p>
    <w:p w14:paraId="711C21C7" w14:textId="439E86BB" w:rsidR="00413C5E" w:rsidRPr="00237E65" w:rsidRDefault="00413C5E">
      <w:pPr>
        <w:rPr>
          <w:color w:val="000000" w:themeColor="text1"/>
        </w:rPr>
      </w:pPr>
      <w:r w:rsidRPr="00237E65">
        <w:rPr>
          <w:color w:val="000000" w:themeColor="text1"/>
        </w:rPr>
        <w:t xml:space="preserve">Breach of the Care Service Act and not fulfilment of the contractual duty is considered to be violating the legal statutes. The institution of individual practices that have created resistance to providing appropriate care has been violating general duty and treated as criminal practices. </w:t>
      </w:r>
    </w:p>
    <w:p w14:paraId="4EA1E4AD" w14:textId="08D46E09" w:rsidR="00905136" w:rsidRPr="00237E65" w:rsidRDefault="00905136">
      <w:pPr>
        <w:rPr>
          <w:b/>
          <w:bCs/>
          <w:color w:val="000000" w:themeColor="text1"/>
        </w:rPr>
      </w:pPr>
      <w:r w:rsidRPr="00237E65">
        <w:rPr>
          <w:b/>
          <w:bCs/>
          <w:color w:val="000000" w:themeColor="text1"/>
        </w:rPr>
        <w:t>Judicial prediction duty</w:t>
      </w:r>
    </w:p>
    <w:p w14:paraId="496196DE" w14:textId="44F6310C" w:rsidR="00905136" w:rsidRPr="00237E65" w:rsidRDefault="00413C5E">
      <w:pPr>
        <w:rPr>
          <w:color w:val="000000" w:themeColor="text1"/>
        </w:rPr>
      </w:pPr>
      <w:r w:rsidRPr="00237E65">
        <w:rPr>
          <w:color w:val="000000" w:themeColor="text1"/>
        </w:rPr>
        <w:t xml:space="preserve">Providing a scope of free </w:t>
      </w:r>
      <w:r w:rsidR="00FC34C6" w:rsidRPr="00237E65">
        <w:rPr>
          <w:color w:val="000000" w:themeColor="text1"/>
        </w:rPr>
        <w:t>trial</w:t>
      </w:r>
      <w:r w:rsidRPr="00237E65">
        <w:rPr>
          <w:color w:val="000000" w:themeColor="text1"/>
        </w:rPr>
        <w:t xml:space="preserve"> to every individual within the judicial system is addressed as </w:t>
      </w:r>
      <w:r w:rsidR="00FC34C6" w:rsidRPr="00237E65">
        <w:rPr>
          <w:color w:val="000000" w:themeColor="text1"/>
        </w:rPr>
        <w:t xml:space="preserve">a </w:t>
      </w:r>
      <w:r w:rsidRPr="00237E65">
        <w:rPr>
          <w:color w:val="000000" w:themeColor="text1"/>
        </w:rPr>
        <w:t>general act</w:t>
      </w:r>
      <w:r w:rsidR="0076051A" w:rsidRPr="00237E65">
        <w:rPr>
          <w:color w:val="000000" w:themeColor="text1"/>
        </w:rPr>
        <w:t xml:space="preserve"> (Macdonald, 2018).</w:t>
      </w:r>
      <w:r w:rsidRPr="00237E65">
        <w:rPr>
          <w:color w:val="000000" w:themeColor="text1"/>
        </w:rPr>
        <w:t xml:space="preserve"> Performing any kind of biassed activity and low cooperation is considered to breach </w:t>
      </w:r>
      <w:r w:rsidR="00FC34C6" w:rsidRPr="00237E65">
        <w:rPr>
          <w:color w:val="000000" w:themeColor="text1"/>
        </w:rPr>
        <w:t xml:space="preserve">the </w:t>
      </w:r>
      <w:r w:rsidRPr="00237E65">
        <w:rPr>
          <w:color w:val="000000" w:themeColor="text1"/>
        </w:rPr>
        <w:t xml:space="preserve">general act and establish criminal practices within the UK legal system. </w:t>
      </w:r>
      <w:bookmarkStart w:id="7" w:name="_ea494htkn346" w:colFirst="0" w:colLast="0"/>
      <w:bookmarkEnd w:id="7"/>
    </w:p>
    <w:p w14:paraId="00000015" w14:textId="259E6A52" w:rsidR="00CF18E7" w:rsidRDefault="00000000">
      <w:pPr>
        <w:pStyle w:val="Heading2"/>
      </w:pPr>
      <w:bookmarkStart w:id="8" w:name="_Toc177571946"/>
      <w:r>
        <w:lastRenderedPageBreak/>
        <w:t>Requirements for a crime to be committed by omission</w:t>
      </w:r>
      <w:bookmarkEnd w:id="8"/>
    </w:p>
    <w:p w14:paraId="00000016" w14:textId="77777777" w:rsidR="00CF18E7" w:rsidRDefault="00000000">
      <w:r>
        <w:t>Special requirements that an individual needs to possess to achieve omission of the criminal law have been addressed below.</w:t>
      </w:r>
    </w:p>
    <w:p w14:paraId="00000017" w14:textId="00415A32" w:rsidR="00CF18E7" w:rsidRPr="00237E65" w:rsidRDefault="00000000">
      <w:pPr>
        <w:rPr>
          <w:color w:val="000000" w:themeColor="text1"/>
        </w:rPr>
      </w:pPr>
      <w:r>
        <w:rPr>
          <w:b/>
          <w:i/>
        </w:rPr>
        <w:t>Legal duty:</w:t>
      </w:r>
      <w:r>
        <w:t xml:space="preserve"> Imposed legal duties that can be charged based on statutes, voluntary assumptions, contracts and much more need to be sufficed by every individual. Violating the imposed legal act is treated as a failure to act and is considered criminal </w:t>
      </w:r>
      <w:r w:rsidRPr="00237E65">
        <w:rPr>
          <w:color w:val="000000" w:themeColor="text1"/>
        </w:rPr>
        <w:t xml:space="preserve">activity committed through omission (Herring, 2022). </w:t>
      </w:r>
      <w:r w:rsidR="00304574" w:rsidRPr="00237E65">
        <w:rPr>
          <w:color w:val="000000" w:themeColor="text1"/>
        </w:rPr>
        <w:t xml:space="preserve">Data Protection Act 2018 addresses the lawful action to be taken against the business's failure to provide effective data safeguards and mishandles. Some of the penalties will be charged under violation of legal standards and the ethical action of the organisation will degrade based on their breach of legal duty.  </w:t>
      </w:r>
    </w:p>
    <w:p w14:paraId="00000018" w14:textId="3C55377D" w:rsidR="00CF18E7" w:rsidRPr="00237E65" w:rsidRDefault="00000000">
      <w:pPr>
        <w:rPr>
          <w:color w:val="000000" w:themeColor="text1"/>
        </w:rPr>
      </w:pPr>
      <w:r>
        <w:rPr>
          <w:b/>
          <w:i/>
        </w:rPr>
        <w:t>Breach of duty:</w:t>
      </w:r>
      <w:r>
        <w:t xml:space="preserve"> An Individual has diverse from the promised code of conduct and thereby breached it is considered a failure to act. </w:t>
      </w:r>
      <w:r w:rsidR="00EB1F19">
        <w:t>Therefore,</w:t>
      </w:r>
      <w:r>
        <w:t xml:space="preserve"> the breach of any kind of legal duty is prosecuted under </w:t>
      </w:r>
      <w:r w:rsidR="00413C5E">
        <w:t xml:space="preserve">the </w:t>
      </w:r>
      <w:r>
        <w:t xml:space="preserve">implementation of </w:t>
      </w:r>
      <w:r w:rsidR="00413C5E">
        <w:t xml:space="preserve">the </w:t>
      </w:r>
      <w:r>
        <w:t>criminal statutory of the UK</w:t>
      </w:r>
      <w:r w:rsidR="0076051A">
        <w:t xml:space="preserve"> </w:t>
      </w:r>
      <w:r w:rsidR="0076051A" w:rsidRPr="00237E65">
        <w:rPr>
          <w:color w:val="000000" w:themeColor="text1"/>
        </w:rPr>
        <w:t>(Macdonald, 2018).</w:t>
      </w:r>
      <w:r w:rsidRPr="00237E65">
        <w:rPr>
          <w:color w:val="000000" w:themeColor="text1"/>
        </w:rPr>
        <w:t xml:space="preserve"> </w:t>
      </w:r>
      <w:r w:rsidR="00304574" w:rsidRPr="00237E65">
        <w:rPr>
          <w:color w:val="000000" w:themeColor="text1"/>
        </w:rPr>
        <w:t xml:space="preserve">According to the act of harm caused, the defendant’s action is considered within the breach of duty that has been mentioned within the job role. For instance, the driver who has caused an accidental issue because of </w:t>
      </w:r>
      <w:r w:rsidR="00237E65" w:rsidRPr="00237E65">
        <w:rPr>
          <w:color w:val="000000" w:themeColor="text1"/>
        </w:rPr>
        <w:t>over speeding</w:t>
      </w:r>
      <w:r w:rsidR="00304574" w:rsidRPr="00237E65">
        <w:rPr>
          <w:color w:val="000000" w:themeColor="text1"/>
        </w:rPr>
        <w:t xml:space="preserve"> while driving in a drunken stage. </w:t>
      </w:r>
    </w:p>
    <w:p w14:paraId="00000019" w14:textId="0B682A60" w:rsidR="00CF18E7" w:rsidRPr="00237E65" w:rsidRDefault="00000000" w:rsidP="00304574">
      <w:pPr>
        <w:rPr>
          <w:color w:val="000000" w:themeColor="text1"/>
        </w:rPr>
      </w:pPr>
      <w:r>
        <w:rPr>
          <w:b/>
          <w:i/>
        </w:rPr>
        <w:t xml:space="preserve">Mens Rea: </w:t>
      </w:r>
      <w:r>
        <w:t xml:space="preserve">The mental stability of the person while conducting criminal practices must be diagnosed. Failure to act is considered to be legally viable within the criminal law </w:t>
      </w:r>
      <w:r w:rsidRPr="00237E65">
        <w:rPr>
          <w:color w:val="000000" w:themeColor="text1"/>
        </w:rPr>
        <w:t xml:space="preserve">of the UK. Henceforth the reckless intention, negligence and many more aspects are concluded within the failure to act. </w:t>
      </w:r>
      <w:r w:rsidR="00304574" w:rsidRPr="00237E65">
        <w:rPr>
          <w:color w:val="000000" w:themeColor="text1"/>
        </w:rPr>
        <w:t xml:space="preserve">Actus reus states that an actus reus act cannot be carried out in a situation where the victim has not been given any sort of physical or contractual relationship with the witness. The age of men will be retained if a duty to act is imposed and will face criminal penalties. </w:t>
      </w:r>
    </w:p>
    <w:p w14:paraId="0000001A" w14:textId="77777777" w:rsidR="00CF18E7" w:rsidRDefault="00000000">
      <w:r>
        <w:rPr>
          <w:b/>
          <w:i/>
        </w:rPr>
        <w:t>Causation:</w:t>
      </w:r>
      <w:r>
        <w:t xml:space="preserve"> Compact relation must be possessed within the failure to act and the outcome of the harm. Fulfilling the condition of the causation omission ground can be mounted in the case of criminal law. </w:t>
      </w:r>
    </w:p>
    <w:p w14:paraId="0000001C" w14:textId="4D50745C" w:rsidR="00CF18E7" w:rsidRDefault="00000000">
      <w:r>
        <w:rPr>
          <w:b/>
          <w:i/>
        </w:rPr>
        <w:t xml:space="preserve">Resulting harm: </w:t>
      </w:r>
      <w:r>
        <w:t xml:space="preserve">The consequences that can be experienced through omission of the criminal law need to be identified and clearly stated. Identification of the type of crime enacted and the ground on which the omission can be accomplished requires transparent briefing. </w:t>
      </w:r>
    </w:p>
    <w:p w14:paraId="72BA9A91" w14:textId="77777777" w:rsidR="00FC34C6" w:rsidRDefault="00FC34C6">
      <w:pPr>
        <w:rPr>
          <w:b/>
          <w:sz w:val="26"/>
          <w:szCs w:val="26"/>
        </w:rPr>
      </w:pPr>
      <w:bookmarkStart w:id="9" w:name="_usbzri6kfwqs" w:colFirst="0" w:colLast="0"/>
      <w:bookmarkEnd w:id="9"/>
      <w:r>
        <w:br w:type="page"/>
      </w:r>
    </w:p>
    <w:p w14:paraId="0000001D" w14:textId="3D07E3CA" w:rsidR="00CF18E7" w:rsidRDefault="00000000">
      <w:pPr>
        <w:pStyle w:val="Heading2"/>
      </w:pPr>
      <w:bookmarkStart w:id="10" w:name="_Toc177571947"/>
      <w:r>
        <w:lastRenderedPageBreak/>
        <w:t>The statutory duty to act is present</w:t>
      </w:r>
      <w:r w:rsidR="00413C5E">
        <w:t>.</w:t>
      </w:r>
      <w:bookmarkEnd w:id="10"/>
    </w:p>
    <w:p w14:paraId="0000001E" w14:textId="22C93CCE" w:rsidR="00CF18E7" w:rsidRPr="00237E65" w:rsidRDefault="00000000">
      <w:pPr>
        <w:rPr>
          <w:color w:val="000000" w:themeColor="text1"/>
        </w:rPr>
      </w:pPr>
      <w:r>
        <w:rPr>
          <w:b/>
          <w:i/>
        </w:rPr>
        <w:t>Child protection</w:t>
      </w:r>
      <w:r>
        <w:t xml:space="preserve">:  The implication of the Children and Young Persons Act of the UK has ensured proper parental practices and care approach towards innocents. </w:t>
      </w:r>
      <w:r w:rsidR="00FC34C6">
        <w:t>Defaming</w:t>
      </w:r>
      <w:r>
        <w:t xml:space="preserve"> the code of conduct and casual approach towards the upbringing of the child </w:t>
      </w:r>
      <w:r w:rsidRPr="00237E65">
        <w:rPr>
          <w:color w:val="000000" w:themeColor="text1"/>
        </w:rPr>
        <w:t xml:space="preserve">will be prosecuted with the criminal law of the UK (Macdonald, 2018). </w:t>
      </w:r>
      <w:r w:rsidR="00FC34C6" w:rsidRPr="00237E65">
        <w:rPr>
          <w:color w:val="000000" w:themeColor="text1"/>
        </w:rPr>
        <w:t xml:space="preserve">The case study of Gibbins and Proctor is one of the strong case studies that </w:t>
      </w:r>
      <w:r w:rsidR="0076051A" w:rsidRPr="00237E65">
        <w:rPr>
          <w:color w:val="000000" w:themeColor="text1"/>
        </w:rPr>
        <w:t>highlight</w:t>
      </w:r>
      <w:r w:rsidR="00FC34C6" w:rsidRPr="00237E65">
        <w:rPr>
          <w:color w:val="000000" w:themeColor="text1"/>
        </w:rPr>
        <w:t xml:space="preserve"> the elegancy practices by child parents (Power, 2024). This led to the death of a child in starvation, which is a breach of the general act and considered criminal practice. </w:t>
      </w:r>
    </w:p>
    <w:p w14:paraId="0000001F" w14:textId="77777777" w:rsidR="00CF18E7" w:rsidRDefault="00000000">
      <w:r>
        <w:rPr>
          <w:b/>
          <w:i/>
        </w:rPr>
        <w:t>Health and safety:</w:t>
      </w:r>
      <w:r>
        <w:t xml:space="preserve"> The Health and Safety Act of the UK has ensured maintaining proper health and safety of the workforce within the workplace. Violating the guidelines of the act and any reported injuries will be charged as criminal activity against the employer.  </w:t>
      </w:r>
    </w:p>
    <w:p w14:paraId="00000020" w14:textId="77777777" w:rsidR="00CF18E7" w:rsidRDefault="00000000">
      <w:r>
        <w:rPr>
          <w:b/>
          <w:i/>
        </w:rPr>
        <w:t xml:space="preserve">Emergency service: </w:t>
      </w:r>
      <w:r>
        <w:t xml:space="preserve">Imposed declaration by the government to align the requirement if the emergency is levied through the emergency call. Failure to act according to the imposed statutory will be considered as violating conduct. </w:t>
      </w:r>
    </w:p>
    <w:p w14:paraId="00000021" w14:textId="77777777" w:rsidR="00CF18E7" w:rsidRDefault="00000000">
      <w:r>
        <w:rPr>
          <w:b/>
          <w:i/>
        </w:rPr>
        <w:t>Environmental protection:</w:t>
      </w:r>
      <w:r>
        <w:t xml:space="preserve"> The Environmental Protection Act 2010 of the UK has imposed several statutory individuals as well as business practices to safeguard environmental safety. The statutory law is imposed within criminal law when the business violates the code of conduct. </w:t>
      </w:r>
    </w:p>
    <w:p w14:paraId="00000022" w14:textId="77777777" w:rsidR="00CF18E7" w:rsidRDefault="00000000">
      <w:pPr>
        <w:pStyle w:val="Heading2"/>
      </w:pPr>
      <w:bookmarkStart w:id="11" w:name="_t0i2bagfixkj" w:colFirst="0" w:colLast="0"/>
      <w:bookmarkStart w:id="12" w:name="_Toc177571948"/>
      <w:bookmarkEnd w:id="11"/>
      <w:r>
        <w:t>Contractual/ duty based on office be present</w:t>
      </w:r>
      <w:bookmarkEnd w:id="12"/>
    </w:p>
    <w:p w14:paraId="00000023" w14:textId="77777777" w:rsidR="00CF18E7" w:rsidRDefault="00000000">
      <w:pPr>
        <w:rPr>
          <w:b/>
        </w:rPr>
      </w:pPr>
      <w:r>
        <w:rPr>
          <w:b/>
        </w:rPr>
        <w:t>Contractual act</w:t>
      </w:r>
    </w:p>
    <w:p w14:paraId="00000024" w14:textId="66CFF5B6" w:rsidR="00CF18E7" w:rsidRPr="00237E65" w:rsidRDefault="00000000">
      <w:pPr>
        <w:rPr>
          <w:color w:val="000000" w:themeColor="text1"/>
        </w:rPr>
      </w:pPr>
      <w:r>
        <w:rPr>
          <w:b/>
          <w:i/>
        </w:rPr>
        <w:t>Employment contract</w:t>
      </w:r>
      <w:r>
        <w:t xml:space="preserve">: Contract-specified job roles and duties need clear description, violating the description will be considered criminal practices as per the Employment </w:t>
      </w:r>
      <w:r w:rsidRPr="00237E65">
        <w:rPr>
          <w:color w:val="000000" w:themeColor="text1"/>
        </w:rPr>
        <w:t xml:space="preserve">Act of the UK. </w:t>
      </w:r>
      <w:r w:rsidR="00FC34C6" w:rsidRPr="00237E65">
        <w:rPr>
          <w:color w:val="000000" w:themeColor="text1"/>
        </w:rPr>
        <w:t xml:space="preserve"> Amdocs System Group Ltd v Langton is one of the cases that highlights the breach of employment contract within the UK </w:t>
      </w:r>
      <w:sdt>
        <w:sdtPr>
          <w:rPr>
            <w:color w:val="000000" w:themeColor="text1"/>
          </w:rPr>
          <w:id w:val="-1868281217"/>
          <w:citation/>
        </w:sdtPr>
        <w:sdtContent>
          <w:r w:rsidR="00FC34C6" w:rsidRPr="00237E65">
            <w:rPr>
              <w:color w:val="000000" w:themeColor="text1"/>
            </w:rPr>
            <w:fldChar w:fldCharType="begin"/>
          </w:r>
          <w:r w:rsidR="00FC34C6" w:rsidRPr="00237E65">
            <w:rPr>
              <w:color w:val="000000" w:themeColor="text1"/>
              <w:lang w:val="en-US"/>
            </w:rPr>
            <w:instrText xml:space="preserve"> CITATION Cro22 \l 1033 </w:instrText>
          </w:r>
          <w:r w:rsidR="00FC34C6" w:rsidRPr="00237E65">
            <w:rPr>
              <w:color w:val="000000" w:themeColor="text1"/>
            </w:rPr>
            <w:fldChar w:fldCharType="separate"/>
          </w:r>
          <w:r w:rsidR="00FC34C6" w:rsidRPr="00237E65">
            <w:rPr>
              <w:noProof/>
              <w:color w:val="000000" w:themeColor="text1"/>
              <w:lang w:val="en-US"/>
            </w:rPr>
            <w:t>(Crosslandsolicitors, 2022)</w:t>
          </w:r>
          <w:r w:rsidR="00FC34C6" w:rsidRPr="00237E65">
            <w:rPr>
              <w:color w:val="000000" w:themeColor="text1"/>
            </w:rPr>
            <w:fldChar w:fldCharType="end"/>
          </w:r>
        </w:sdtContent>
      </w:sdt>
      <w:r w:rsidR="00FC34C6" w:rsidRPr="00237E65">
        <w:rPr>
          <w:color w:val="000000" w:themeColor="text1"/>
        </w:rPr>
        <w:t>. The Court of Appeal has been conducted concerning income protection for the employees who were not present due to long-term sick issues.</w:t>
      </w:r>
    </w:p>
    <w:p w14:paraId="00000025" w14:textId="313C7173" w:rsidR="00CF18E7" w:rsidRDefault="00000000">
      <w:r>
        <w:rPr>
          <w:b/>
          <w:i/>
        </w:rPr>
        <w:t>Care contract:</w:t>
      </w:r>
      <w:r>
        <w:t xml:space="preserve"> Contractual duties that are associated with the nursing home and any other healthcare institution need to serve the public interest adequately. Violating and unlawful practices will be considered criminal conduct. </w:t>
      </w:r>
    </w:p>
    <w:p w14:paraId="00000026" w14:textId="77777777" w:rsidR="00CF18E7" w:rsidRDefault="00000000">
      <w:pPr>
        <w:rPr>
          <w:b/>
        </w:rPr>
      </w:pPr>
      <w:r>
        <w:rPr>
          <w:b/>
        </w:rPr>
        <w:t>Duty act</w:t>
      </w:r>
    </w:p>
    <w:p w14:paraId="00000027" w14:textId="06A60C50" w:rsidR="00CF18E7" w:rsidRPr="00237E65" w:rsidRDefault="00000000">
      <w:pPr>
        <w:rPr>
          <w:color w:val="000000" w:themeColor="text1"/>
        </w:rPr>
      </w:pPr>
      <w:r>
        <w:rPr>
          <w:b/>
          <w:i/>
        </w:rPr>
        <w:t>Public officials:</w:t>
      </w:r>
      <w:r>
        <w:t xml:space="preserve"> Roles and responsibilities of public officials like police officers, firefighters, transport management and many more possess a sincere responsibility to </w:t>
      </w:r>
      <w:r w:rsidRPr="00237E65">
        <w:rPr>
          <w:color w:val="000000" w:themeColor="text1"/>
        </w:rPr>
        <w:lastRenderedPageBreak/>
        <w:t xml:space="preserve">safeguard the interests of the public. Restraining the core activity and depriving public interest will be treated under criminal practices by the public officials. </w:t>
      </w:r>
      <w:r w:rsidR="00304574" w:rsidRPr="00237E65">
        <w:rPr>
          <w:color w:val="000000" w:themeColor="text1"/>
        </w:rPr>
        <w:t xml:space="preserve">Farley v Skinner is considered to be a potential case study that has highlighted the breach of contract related to their care contract </w:t>
      </w:r>
      <w:sdt>
        <w:sdtPr>
          <w:rPr>
            <w:color w:val="000000" w:themeColor="text1"/>
          </w:rPr>
          <w:id w:val="-752739176"/>
          <w:citation/>
        </w:sdtPr>
        <w:sdtContent>
          <w:r w:rsidR="00304574" w:rsidRPr="00237E65">
            <w:rPr>
              <w:color w:val="000000" w:themeColor="text1"/>
            </w:rPr>
            <w:fldChar w:fldCharType="begin"/>
          </w:r>
          <w:r w:rsidR="00304574" w:rsidRPr="00237E65">
            <w:rPr>
              <w:color w:val="000000" w:themeColor="text1"/>
              <w:lang w:val="en-US"/>
            </w:rPr>
            <w:instrText xml:space="preserve"> CITATION par241 \l 1033 </w:instrText>
          </w:r>
          <w:r w:rsidR="00304574" w:rsidRPr="00237E65">
            <w:rPr>
              <w:color w:val="000000" w:themeColor="text1"/>
            </w:rPr>
            <w:fldChar w:fldCharType="separate"/>
          </w:r>
          <w:r w:rsidR="00304574" w:rsidRPr="00237E65">
            <w:rPr>
              <w:noProof/>
              <w:color w:val="000000" w:themeColor="text1"/>
              <w:lang w:val="en-US"/>
            </w:rPr>
            <w:t>(parliament.UK, 2024)</w:t>
          </w:r>
          <w:r w:rsidR="00304574" w:rsidRPr="00237E65">
            <w:rPr>
              <w:color w:val="000000" w:themeColor="text1"/>
            </w:rPr>
            <w:fldChar w:fldCharType="end"/>
          </w:r>
        </w:sdtContent>
      </w:sdt>
      <w:r w:rsidR="00304574" w:rsidRPr="00237E65">
        <w:rPr>
          <w:color w:val="000000" w:themeColor="text1"/>
        </w:rPr>
        <w:t xml:space="preserve">. </w:t>
      </w:r>
    </w:p>
    <w:p w14:paraId="00000028" w14:textId="6227693B" w:rsidR="00CF18E7" w:rsidRDefault="00000000">
      <w:r>
        <w:rPr>
          <w:b/>
          <w:i/>
        </w:rPr>
        <w:t>Health care professionals:</w:t>
      </w:r>
      <w:r>
        <w:t xml:space="preserve"> Appropriate explanation and boundaries of the duty of </w:t>
      </w:r>
      <w:r w:rsidR="00413C5E">
        <w:t>doctor</w:t>
      </w:r>
      <w:r>
        <w:t xml:space="preserve"> nurses and other associates of the health care professionals have been directed by the UK government law. </w:t>
      </w:r>
      <w:r w:rsidR="001318B8">
        <w:t>Unalignment</w:t>
      </w:r>
      <w:r>
        <w:t xml:space="preserve"> of the stated activity and breach of law will be considered within criminal practices. </w:t>
      </w:r>
    </w:p>
    <w:p w14:paraId="00000029" w14:textId="1CFCDF6B" w:rsidR="00CF18E7" w:rsidRDefault="00000000">
      <w:pPr>
        <w:pStyle w:val="Heading2"/>
      </w:pPr>
      <w:bookmarkStart w:id="13" w:name="_gbzxpzlgoqir" w:colFirst="0" w:colLast="0"/>
      <w:bookmarkStart w:id="14" w:name="_Toc177571949"/>
      <w:bookmarkEnd w:id="13"/>
      <w:r>
        <w:t>A duty to act arises from assumed responsibility</w:t>
      </w:r>
      <w:r w:rsidR="00413C5E">
        <w:t>.</w:t>
      </w:r>
      <w:bookmarkEnd w:id="14"/>
    </w:p>
    <w:p w14:paraId="0000002A" w14:textId="77777777" w:rsidR="00CF18E7" w:rsidRDefault="00000000">
      <w:r>
        <w:rPr>
          <w:b/>
          <w:i/>
        </w:rPr>
        <w:t>Informal care:</w:t>
      </w:r>
      <w:r>
        <w:t xml:space="preserve"> Fulfilment of the caregiving activity when it is done in an informal form. A casual approach and taking undue advantage of the helpless situation within the informal care arrangement will be persecuted through criminal law interferences.  </w:t>
      </w:r>
    </w:p>
    <w:p w14:paraId="0000002B" w14:textId="0C52EE80" w:rsidR="00CF18E7" w:rsidRDefault="00000000">
      <w:r>
        <w:rPr>
          <w:b/>
          <w:i/>
        </w:rPr>
        <w:t>Volunteering assistance:</w:t>
      </w:r>
      <w:r>
        <w:t xml:space="preserve"> Delivering reasonable care and eliminating the scope of abandoning them has been directed through the statutory framework of the UK. </w:t>
      </w:r>
      <w:r w:rsidR="00413C5E">
        <w:t>Depriving</w:t>
      </w:r>
      <w:r>
        <w:t xml:space="preserve"> the scenario leads to the emergence of criminal consequences within duty performance (Taylor, 2018). </w:t>
      </w:r>
    </w:p>
    <w:p w14:paraId="0000002C" w14:textId="77777777" w:rsidR="00CF18E7" w:rsidRDefault="00000000">
      <w:r>
        <w:rPr>
          <w:b/>
          <w:i/>
        </w:rPr>
        <w:t xml:space="preserve">Providing shelter: </w:t>
      </w:r>
      <w:r>
        <w:t xml:space="preserve">Providing accommodation to the homeless and taking responsibility for them possess certain key responsibility grounds. Henceforth taking care and fulfilment of the welfare activity needs to be aligned to avoid criminal practices.  </w:t>
      </w:r>
    </w:p>
    <w:p w14:paraId="5877F997" w14:textId="77777777" w:rsidR="0076051A" w:rsidRDefault="0076051A">
      <w:pPr>
        <w:rPr>
          <w:b/>
          <w:sz w:val="28"/>
          <w:szCs w:val="28"/>
        </w:rPr>
      </w:pPr>
      <w:bookmarkStart w:id="15" w:name="_n392svxosp10" w:colFirst="0" w:colLast="0"/>
      <w:bookmarkStart w:id="16" w:name="_uf0fanux99jd" w:colFirst="0" w:colLast="0"/>
      <w:bookmarkEnd w:id="15"/>
      <w:bookmarkEnd w:id="16"/>
      <w:r>
        <w:br w:type="page"/>
      </w:r>
    </w:p>
    <w:p w14:paraId="0000002E" w14:textId="5B4DF334" w:rsidR="00CF18E7" w:rsidRDefault="00000000">
      <w:pPr>
        <w:pStyle w:val="Heading1"/>
      </w:pPr>
      <w:bookmarkStart w:id="17" w:name="_Toc177571950"/>
      <w:r>
        <w:lastRenderedPageBreak/>
        <w:t>TASK B</w:t>
      </w:r>
      <w:bookmarkEnd w:id="17"/>
      <w:r>
        <w:t xml:space="preserve"> </w:t>
      </w:r>
    </w:p>
    <w:p w14:paraId="0000002F" w14:textId="531CDC98" w:rsidR="00CF18E7" w:rsidRDefault="00000000">
      <w:pPr>
        <w:pStyle w:val="Heading2"/>
      </w:pPr>
      <w:bookmarkStart w:id="18" w:name="_mhlc7qozi0oj" w:colFirst="0" w:colLast="0"/>
      <w:bookmarkStart w:id="19" w:name="_Toc177571951"/>
      <w:bookmarkEnd w:id="18"/>
      <w:r>
        <w:t>Argumentative discussion on the general duty within the criminal law of England and Wales</w:t>
      </w:r>
      <w:bookmarkEnd w:id="19"/>
    </w:p>
    <w:p w14:paraId="00000030" w14:textId="77777777" w:rsidR="00CF18E7" w:rsidRDefault="00000000">
      <w:r>
        <w:t xml:space="preserve">The implication of the general duty act within criminal law possesses varied advantages and disadvantageous factors. Understanding the case law and its significance within England and Wales can create an appropriate elaborate discussion to conclude the discussion. </w:t>
      </w:r>
    </w:p>
    <w:p w14:paraId="00000031" w14:textId="77777777" w:rsidR="00CF18E7" w:rsidRDefault="00000000">
      <w:pPr>
        <w:rPr>
          <w:u w:val="single"/>
        </w:rPr>
      </w:pPr>
      <w:r>
        <w:rPr>
          <w:u w:val="single"/>
        </w:rPr>
        <w:t>Arguments for general duty to act within criminal law</w:t>
      </w:r>
    </w:p>
    <w:p w14:paraId="03D2F912" w14:textId="003EAB20" w:rsidR="00EB1F19" w:rsidRDefault="00000000">
      <w:r>
        <w:rPr>
          <w:b/>
          <w:i/>
        </w:rPr>
        <w:t>Moral responsibility:</w:t>
      </w:r>
      <w:r>
        <w:t xml:space="preserve"> Incorporating the general duty will help to strengthen moral expectations and foster better cultural awareness within the society. The initiation of an individual to help others and maintain proper interrelationships within society can be ensured by laying out general duties. For instance, in a case study of R v Gibbins and Proctor 1918 was accused of murder as they failed to feed their child</w:t>
      </w:r>
      <w:r w:rsidR="00EB1F19">
        <w:t xml:space="preserve"> (</w:t>
      </w:r>
      <w:r w:rsidR="00E40F91">
        <w:rPr>
          <w:shd w:val="clear" w:color="auto" w:fill="FFFFFF"/>
        </w:rPr>
        <w:t>Durakovic, 2021</w:t>
      </w:r>
      <w:r w:rsidR="00EB1F19">
        <w:t>).</w:t>
      </w:r>
      <w:r>
        <w:t xml:space="preserve"> Regarding this case highlighting the statutory law and duties aligned within specific relationships has showcased the criminal activity conducted within the case. </w:t>
      </w:r>
    </w:p>
    <w:p w14:paraId="00000033" w14:textId="649453B4" w:rsidR="00CF18E7" w:rsidRDefault="00000000">
      <w:r>
        <w:rPr>
          <w:b/>
          <w:i/>
        </w:rPr>
        <w:t>Prevention of harm</w:t>
      </w:r>
      <w:r>
        <w:t xml:space="preserve">: The case study of R v Miller 1983 has showcased the devastating scenario that has been imposed on the duty to act. Immediate action needs to be reflected during the critical situation can ensure to save life and protect human </w:t>
      </w:r>
      <w:r w:rsidR="00EB1F19">
        <w:t>beings</w:t>
      </w:r>
      <w:r>
        <w:t xml:space="preserve"> from injury</w:t>
      </w:r>
      <w:r w:rsidR="00413C5E">
        <w:t>.</w:t>
      </w:r>
      <w:r w:rsidR="00EB1F19">
        <w:t xml:space="preserve"> </w:t>
      </w:r>
      <w:sdt>
        <w:sdtPr>
          <w:id w:val="-976526382"/>
          <w:citation/>
        </w:sdtPr>
        <w:sdtContent>
          <w:r w:rsidR="00EB1F19">
            <w:fldChar w:fldCharType="begin"/>
          </w:r>
          <w:r w:rsidR="00EB1F19">
            <w:rPr>
              <w:lang w:val="en-US"/>
            </w:rPr>
            <w:instrText xml:space="preserve"> CITATION law23 \l 1033 </w:instrText>
          </w:r>
          <w:r w:rsidR="00EB1F19">
            <w:fldChar w:fldCharType="separate"/>
          </w:r>
          <w:r w:rsidR="00EB1F19" w:rsidRPr="00EB1F19">
            <w:rPr>
              <w:noProof/>
              <w:lang w:val="en-US"/>
            </w:rPr>
            <w:t>(lawprof, 2023)</w:t>
          </w:r>
          <w:r w:rsidR="00EB1F19">
            <w:fldChar w:fldCharType="end"/>
          </w:r>
        </w:sdtContent>
      </w:sdt>
      <w:r>
        <w:t xml:space="preserve">.  According to the case study fire has been led due to the casualty of Miler who has been liable for taking less responsive measures to extinguish it. </w:t>
      </w:r>
    </w:p>
    <w:p w14:paraId="00000034" w14:textId="77777777" w:rsidR="00CF18E7" w:rsidRDefault="00000000">
      <w:pPr>
        <w:rPr>
          <w:u w:val="single"/>
        </w:rPr>
      </w:pPr>
      <w:r>
        <w:rPr>
          <w:u w:val="single"/>
        </w:rPr>
        <w:t>Arguments against the general duty to act within criminal law</w:t>
      </w:r>
    </w:p>
    <w:p w14:paraId="00000035" w14:textId="4B199E65" w:rsidR="00CF18E7" w:rsidRDefault="00000000">
      <w:r>
        <w:rPr>
          <w:b/>
          <w:i/>
        </w:rPr>
        <w:t>Practical enforcement:</w:t>
      </w:r>
      <w:r>
        <w:t xml:space="preserve"> Chances of arbitrary as well as unfair prosecution can be enhanced through general duty implication. Lack of reasonable action leads to complex scenarios and makes the judgement procedure face vagueness. According to the case study of R v Smith 1979 judgemental procedure has faced challenges while dealing with the case</w:t>
      </w:r>
      <w:r w:rsidR="00413C5E">
        <w:t>.</w:t>
      </w:r>
      <w:r w:rsidR="00EB1F19">
        <w:t xml:space="preserve"> </w:t>
      </w:r>
      <w:sdt>
        <w:sdtPr>
          <w:id w:val="-1808922022"/>
          <w:citation/>
        </w:sdtPr>
        <w:sdtContent>
          <w:r w:rsidR="00EB1F19">
            <w:fldChar w:fldCharType="begin"/>
          </w:r>
          <w:r w:rsidR="00EB1F19">
            <w:rPr>
              <w:lang w:val="en-US"/>
            </w:rPr>
            <w:instrText xml:space="preserve"> CITATION Par20 \l 1033 </w:instrText>
          </w:r>
          <w:r w:rsidR="00EB1F19">
            <w:fldChar w:fldCharType="separate"/>
          </w:r>
          <w:r w:rsidR="00EB1F19" w:rsidRPr="00EB1F19">
            <w:rPr>
              <w:noProof/>
              <w:lang w:val="en-US"/>
            </w:rPr>
            <w:t>(Parliament.uk, 2020)</w:t>
          </w:r>
          <w:r w:rsidR="00EB1F19">
            <w:fldChar w:fldCharType="end"/>
          </w:r>
        </w:sdtContent>
      </w:sdt>
      <w:r>
        <w:t xml:space="preserve">. The defendant has been addressed as a failure to deliver immediate medical treatment for his wife. </w:t>
      </w:r>
      <w:r w:rsidR="00EB1F19">
        <w:t>A high</w:t>
      </w:r>
      <w:r>
        <w:t xml:space="preserve"> level of complex scenarios has been raised in solving the case </w:t>
      </w:r>
      <w:r w:rsidR="00EB1F19">
        <w:t xml:space="preserve">generating adequate proof </w:t>
      </w:r>
      <w:r>
        <w:t>th</w:t>
      </w:r>
      <w:r w:rsidR="00EB1F19">
        <w:t>at</w:t>
      </w:r>
      <w:r>
        <w:t xml:space="preserve"> </w:t>
      </w:r>
      <w:r w:rsidR="00EB1F19">
        <w:t xml:space="preserve">the </w:t>
      </w:r>
      <w:r>
        <w:t xml:space="preserve">defendant </w:t>
      </w:r>
      <w:r w:rsidR="00EB1F19">
        <w:t xml:space="preserve">has committed criminal did </w:t>
      </w:r>
      <w:r>
        <w:t xml:space="preserve">according to general duty. </w:t>
      </w:r>
    </w:p>
    <w:p w14:paraId="00000036" w14:textId="40533D73" w:rsidR="00CF18E7" w:rsidRDefault="00000000">
      <w:r>
        <w:rPr>
          <w:b/>
          <w:i/>
        </w:rPr>
        <w:t>Individual freedom:</w:t>
      </w:r>
      <w:r>
        <w:t xml:space="preserve"> Unwanted enforcement to act according to infringement violets personal liberty. According to the case study of R v </w:t>
      </w:r>
      <w:proofErr w:type="spellStart"/>
      <w:r>
        <w:t>Instan</w:t>
      </w:r>
      <w:proofErr w:type="spellEnd"/>
      <w:r>
        <w:t xml:space="preserve"> 1893 the defendant has been accused of showcasing a casual approach regarding the treatment of her aunt</w:t>
      </w:r>
      <w:r w:rsidR="00FC34C6">
        <w:t>.</w:t>
      </w:r>
      <w:r w:rsidR="00EB1F19">
        <w:t xml:space="preserve"> </w:t>
      </w:r>
      <w:sdt>
        <w:sdtPr>
          <w:id w:val="980349713"/>
          <w:citation/>
        </w:sdtPr>
        <w:sdtContent>
          <w:r w:rsidR="00EB1F19">
            <w:fldChar w:fldCharType="begin"/>
          </w:r>
          <w:r w:rsidR="00EB1F19">
            <w:rPr>
              <w:lang w:val="en-US"/>
            </w:rPr>
            <w:instrText xml:space="preserve"> CITATION DrT22 \l 1033 </w:instrText>
          </w:r>
          <w:r w:rsidR="00EB1F19">
            <w:fldChar w:fldCharType="separate"/>
          </w:r>
          <w:r w:rsidR="00EB1F19" w:rsidRPr="00EB1F19">
            <w:rPr>
              <w:noProof/>
              <w:lang w:val="en-US"/>
            </w:rPr>
            <w:t>(Elliott, 2022)</w:t>
          </w:r>
          <w:r w:rsidR="00EB1F19">
            <w:fldChar w:fldCharType="end"/>
          </w:r>
        </w:sdtContent>
      </w:sdt>
      <w:r>
        <w:t xml:space="preserve">. Incorporation of general duty raises the scenario of violation of personal freedom.  </w:t>
      </w:r>
    </w:p>
    <w:p w14:paraId="00000037" w14:textId="77777777" w:rsidR="00CF18E7" w:rsidRDefault="00CF18E7"/>
    <w:p w14:paraId="00000038" w14:textId="77777777" w:rsidR="00CF18E7" w:rsidRDefault="00000000">
      <w:pPr>
        <w:pStyle w:val="Heading1"/>
      </w:pPr>
      <w:bookmarkStart w:id="20" w:name="_8bj5ug4eimg5" w:colFirst="0" w:colLast="0"/>
      <w:bookmarkEnd w:id="20"/>
      <w:r>
        <w:br w:type="page"/>
      </w:r>
    </w:p>
    <w:p w14:paraId="00000039" w14:textId="77777777" w:rsidR="00CF18E7" w:rsidRDefault="00000000">
      <w:pPr>
        <w:pStyle w:val="Heading1"/>
      </w:pPr>
      <w:bookmarkStart w:id="21" w:name="_jid3r6ralkid" w:colFirst="0" w:colLast="0"/>
      <w:bookmarkStart w:id="22" w:name="_Toc177571952"/>
      <w:bookmarkEnd w:id="21"/>
      <w:r>
        <w:lastRenderedPageBreak/>
        <w:t>Conclusion</w:t>
      </w:r>
      <w:bookmarkEnd w:id="22"/>
      <w:r>
        <w:t xml:space="preserve"> </w:t>
      </w:r>
    </w:p>
    <w:p w14:paraId="0000003A" w14:textId="204F268A" w:rsidR="00CF18E7" w:rsidRDefault="00000000">
      <w:r>
        <w:t xml:space="preserve">Understanding criminal law and its interrelationship with general acts has been demonstrated within the assignment. The two consecutive tasks have concluded varied elements of general acts that are aligned with criminal law. The concept of omission and its key elements within criminal law have been addressed. Statutory acts like child protection, health and safety, contractual acts like employment </w:t>
      </w:r>
      <w:r w:rsidR="001318B8">
        <w:t>contracts</w:t>
      </w:r>
      <w:r>
        <w:t xml:space="preserve"> and many </w:t>
      </w:r>
      <w:r w:rsidR="001318B8">
        <w:t>more have</w:t>
      </w:r>
      <w:r>
        <w:t xml:space="preserve"> been discussed in detail which isolation can be treated as criminal activity. Farther an argumentative discussion has been presented that has showcased varied case studies which have placed both advantages and disadvantages of general act implication within criminal law prosecution. </w:t>
      </w:r>
    </w:p>
    <w:p w14:paraId="0000003B" w14:textId="77777777" w:rsidR="00CF18E7" w:rsidRDefault="00000000">
      <w:r>
        <w:br w:type="page"/>
      </w:r>
    </w:p>
    <w:p w14:paraId="0000003C" w14:textId="77777777" w:rsidR="00CF18E7" w:rsidRPr="00237E65" w:rsidRDefault="00000000">
      <w:pPr>
        <w:pStyle w:val="Heading1"/>
        <w:rPr>
          <w:color w:val="000000" w:themeColor="text1"/>
        </w:rPr>
      </w:pPr>
      <w:bookmarkStart w:id="23" w:name="_f7087jimbsbm" w:colFirst="0" w:colLast="0"/>
      <w:bookmarkStart w:id="24" w:name="_Toc177571953"/>
      <w:bookmarkEnd w:id="23"/>
      <w:r w:rsidRPr="00237E65">
        <w:rPr>
          <w:color w:val="000000" w:themeColor="text1"/>
        </w:rPr>
        <w:lastRenderedPageBreak/>
        <w:t>References</w:t>
      </w:r>
      <w:bookmarkEnd w:id="24"/>
    </w:p>
    <w:p w14:paraId="62D6F5F7" w14:textId="77777777" w:rsidR="007B4A3A" w:rsidRPr="00237E65" w:rsidRDefault="007B4A3A" w:rsidP="007B4A3A">
      <w:pPr>
        <w:pStyle w:val="Bibliography"/>
        <w:rPr>
          <w:noProof/>
          <w:color w:val="000000" w:themeColor="text1"/>
        </w:rPr>
      </w:pPr>
      <w:r w:rsidRPr="00237E65">
        <w:rPr>
          <w:noProof/>
          <w:color w:val="000000" w:themeColor="text1"/>
        </w:rPr>
        <w:t xml:space="preserve">Crosslandsolicitors, (2022). </w:t>
      </w:r>
      <w:r w:rsidRPr="00237E65">
        <w:rPr>
          <w:i/>
          <w:iCs/>
          <w:noProof/>
          <w:color w:val="000000" w:themeColor="text1"/>
        </w:rPr>
        <w:t xml:space="preserve">Employment Law Cases. </w:t>
      </w:r>
      <w:r w:rsidRPr="00237E65">
        <w:rPr>
          <w:noProof/>
          <w:color w:val="000000" w:themeColor="text1"/>
        </w:rPr>
        <w:t xml:space="preserve">[Online]  Available at: </w:t>
      </w:r>
      <w:r w:rsidRPr="00237E65">
        <w:rPr>
          <w:noProof/>
          <w:color w:val="000000" w:themeColor="text1"/>
          <w:u w:val="single"/>
        </w:rPr>
        <w:t>https://www.crosslandsolicitors.com/site/cases/benefits-long-term-sickness-scheme-Amdocs-Systems-v-Langton</w:t>
      </w:r>
      <w:r w:rsidRPr="00237E65">
        <w:rPr>
          <w:noProof/>
          <w:color w:val="000000" w:themeColor="text1"/>
        </w:rPr>
        <w:t xml:space="preserve"> [Accessed 18 9 2024].</w:t>
      </w:r>
    </w:p>
    <w:p w14:paraId="6BA6E3AA" w14:textId="77777777" w:rsidR="007B4A3A" w:rsidRPr="005A3352" w:rsidRDefault="007B4A3A" w:rsidP="005A3352">
      <w:pPr>
        <w:rPr>
          <w:shd w:val="clear" w:color="auto" w:fill="FFFFFF"/>
        </w:rPr>
      </w:pPr>
      <w:r w:rsidRPr="005A3352">
        <w:rPr>
          <w:shd w:val="clear" w:color="auto" w:fill="FFFFFF"/>
        </w:rPr>
        <w:t>Durakovic, A., (2021). Overview of Some of the General Institutions of English Criminal Law through the Prism of Criminal Law in BIH. </w:t>
      </w:r>
      <w:r w:rsidRPr="005A3352">
        <w:rPr>
          <w:i/>
          <w:iCs/>
          <w:shd w:val="clear" w:color="auto" w:fill="FFFFFF"/>
        </w:rPr>
        <w:t xml:space="preserve">Annals Fac. LU </w:t>
      </w:r>
      <w:proofErr w:type="spellStart"/>
      <w:r w:rsidRPr="005A3352">
        <w:rPr>
          <w:i/>
          <w:iCs/>
          <w:shd w:val="clear" w:color="auto" w:fill="FFFFFF"/>
        </w:rPr>
        <w:t>Zenica</w:t>
      </w:r>
      <w:proofErr w:type="spellEnd"/>
      <w:r w:rsidRPr="005A3352">
        <w:rPr>
          <w:shd w:val="clear" w:color="auto" w:fill="FFFFFF"/>
        </w:rPr>
        <w:t>, </w:t>
      </w:r>
      <w:r w:rsidRPr="005A3352">
        <w:rPr>
          <w:i/>
          <w:iCs/>
          <w:shd w:val="clear" w:color="auto" w:fill="FFFFFF"/>
        </w:rPr>
        <w:t>29</w:t>
      </w:r>
      <w:r w:rsidRPr="005A3352">
        <w:rPr>
          <w:shd w:val="clear" w:color="auto" w:fill="FFFFFF"/>
        </w:rPr>
        <w:t>, p.35.</w:t>
      </w:r>
    </w:p>
    <w:p w14:paraId="7C78CFEA" w14:textId="77777777" w:rsidR="007B4A3A" w:rsidRDefault="007B4A3A" w:rsidP="005A3352">
      <w:pPr>
        <w:pStyle w:val="Bibliography"/>
        <w:rPr>
          <w:noProof/>
        </w:rPr>
      </w:pPr>
      <w:r>
        <w:rPr>
          <w:noProof/>
        </w:rPr>
        <w:t xml:space="preserve">Elliott, D. T., (2022). </w:t>
      </w:r>
      <w:r>
        <w:rPr>
          <w:i/>
          <w:iCs/>
          <w:noProof/>
        </w:rPr>
        <w:t xml:space="preserve">BAILII OpenLaw - Criminal Law. </w:t>
      </w:r>
      <w:r>
        <w:rPr>
          <w:noProof/>
        </w:rPr>
        <w:t xml:space="preserve">[Online] Available at: </w:t>
      </w:r>
      <w:r w:rsidRPr="001318B8">
        <w:rPr>
          <w:noProof/>
          <w:u w:val="single"/>
        </w:rPr>
        <w:t>https://www.bailii.org/openlaw/criminal.html</w:t>
      </w:r>
      <w:r>
        <w:rPr>
          <w:noProof/>
        </w:rPr>
        <w:t xml:space="preserve"> [Accessed 14 6 2024].</w:t>
      </w:r>
    </w:p>
    <w:p w14:paraId="41CD3839" w14:textId="77777777" w:rsidR="007B4A3A" w:rsidRDefault="007B4A3A" w:rsidP="005A3352">
      <w:r>
        <w:t>Finch, E. and Fafinski, S. (2021</w:t>
      </w:r>
      <w:r w:rsidRPr="00C07CF2">
        <w:t>)</w:t>
      </w:r>
      <w:r w:rsidRPr="005A3352">
        <w:rPr>
          <w:i/>
          <w:iCs/>
        </w:rPr>
        <w:t xml:space="preserve"> Criminal law</w:t>
      </w:r>
      <w:r>
        <w:t>. 8th edition. Harlow, England: Pearson.</w:t>
      </w:r>
    </w:p>
    <w:p w14:paraId="78F2B20E" w14:textId="77777777" w:rsidR="007B4A3A" w:rsidRDefault="007B4A3A" w:rsidP="005A3352">
      <w:r>
        <w:t xml:space="preserve">Herring, J. (2022) </w:t>
      </w:r>
      <w:r w:rsidRPr="005A3352">
        <w:rPr>
          <w:i/>
          <w:iCs/>
        </w:rPr>
        <w:t xml:space="preserve">Criminal </w:t>
      </w:r>
      <w:proofErr w:type="gramStart"/>
      <w:r w:rsidRPr="005A3352">
        <w:rPr>
          <w:i/>
          <w:iCs/>
        </w:rPr>
        <w:t>law :</w:t>
      </w:r>
      <w:proofErr w:type="gramEnd"/>
      <w:r w:rsidRPr="005A3352">
        <w:rPr>
          <w:i/>
          <w:iCs/>
        </w:rPr>
        <w:t xml:space="preserve"> text, cases, and materials</w:t>
      </w:r>
      <w:r>
        <w:t>. Tenth edition. Oxford: Oxford University Press.</w:t>
      </w:r>
    </w:p>
    <w:p w14:paraId="11A5AAA4" w14:textId="77777777" w:rsidR="007B4A3A" w:rsidRDefault="007B4A3A" w:rsidP="005A3352">
      <w:pPr>
        <w:pStyle w:val="Bibliography"/>
        <w:rPr>
          <w:noProof/>
        </w:rPr>
      </w:pPr>
      <w:r>
        <w:rPr>
          <w:noProof/>
        </w:rPr>
        <w:t xml:space="preserve">lawprof, (2023). </w:t>
      </w:r>
      <w:r>
        <w:rPr>
          <w:i/>
          <w:iCs/>
          <w:noProof/>
        </w:rPr>
        <w:t xml:space="preserve">R v Miller [1983] 2 AC 161, [1983] Crim LR 466. </w:t>
      </w:r>
      <w:r>
        <w:rPr>
          <w:noProof/>
        </w:rPr>
        <w:t xml:space="preserve">[Online] Available at: </w:t>
      </w:r>
      <w:r w:rsidRPr="001318B8">
        <w:rPr>
          <w:noProof/>
          <w:u w:val="single"/>
        </w:rPr>
        <w:t>https://lawprof.co/criminal-law/general-part-cases/r-v-miller-1983-2-ac-161-1983-crim-lr-466/</w:t>
      </w:r>
      <w:r>
        <w:rPr>
          <w:noProof/>
        </w:rPr>
        <w:t xml:space="preserve"> [Accessed 12 6 2024].</w:t>
      </w:r>
    </w:p>
    <w:p w14:paraId="1B900A41" w14:textId="77777777" w:rsidR="007B4A3A" w:rsidRDefault="007B4A3A" w:rsidP="005A3352">
      <w:pPr>
        <w:pStyle w:val="Bibliography"/>
        <w:rPr>
          <w:noProof/>
        </w:rPr>
      </w:pPr>
      <w:r>
        <w:rPr>
          <w:noProof/>
        </w:rPr>
        <w:t xml:space="preserve">LexisNexis, (2024). </w:t>
      </w:r>
      <w:r>
        <w:rPr>
          <w:i/>
          <w:iCs/>
          <w:noProof/>
        </w:rPr>
        <w:t xml:space="preserve">Criminal act or omission. </w:t>
      </w:r>
      <w:r>
        <w:rPr>
          <w:noProof/>
        </w:rPr>
        <w:t xml:space="preserve">[Online]  Available at: </w:t>
      </w:r>
      <w:r w:rsidRPr="001318B8">
        <w:rPr>
          <w:noProof/>
          <w:u w:val="single"/>
        </w:rPr>
        <w:t>https://www.lexisnexis.co.uk/legal/guidance/criminal-act-or-omission</w:t>
      </w:r>
      <w:r>
        <w:rPr>
          <w:noProof/>
        </w:rPr>
        <w:t xml:space="preserve"> [Accessed 10 6 2024].</w:t>
      </w:r>
    </w:p>
    <w:p w14:paraId="7FE62DAF" w14:textId="77777777" w:rsidR="007B4A3A" w:rsidRDefault="007B4A3A" w:rsidP="005A3352">
      <w:r>
        <w:t xml:space="preserve">Macdonald, S.K. (2018) </w:t>
      </w:r>
      <w:r w:rsidRPr="005A3352">
        <w:rPr>
          <w:i/>
          <w:iCs/>
        </w:rPr>
        <w:t>Text, cases, and materials on criminal law</w:t>
      </w:r>
      <w:r>
        <w:t>. Second edition. Harlow, England: Pearson Education Limited.</w:t>
      </w:r>
    </w:p>
    <w:p w14:paraId="3C739D1E" w14:textId="77777777" w:rsidR="007B4A3A" w:rsidRDefault="007B4A3A" w:rsidP="005A3352">
      <w:pPr>
        <w:pStyle w:val="Bibliography"/>
        <w:rPr>
          <w:noProof/>
        </w:rPr>
      </w:pPr>
      <w:r>
        <w:rPr>
          <w:noProof/>
        </w:rPr>
        <w:t xml:space="preserve">Parliament. Uk, (2020). </w:t>
      </w:r>
      <w:r>
        <w:rPr>
          <w:i/>
          <w:iCs/>
          <w:noProof/>
        </w:rPr>
        <w:t xml:space="preserve">Judgments - Regina v. Smith (On Appeal From The Court of Appeal. </w:t>
      </w:r>
      <w:r>
        <w:rPr>
          <w:noProof/>
        </w:rPr>
        <w:t xml:space="preserve">[Online] Available at: </w:t>
      </w:r>
      <w:r w:rsidRPr="001318B8">
        <w:rPr>
          <w:noProof/>
          <w:u w:val="single"/>
        </w:rPr>
        <w:t>https://publications.parliament.uk/pa/ld199900/ldjudgmt/jd000727/smith-1.htm</w:t>
      </w:r>
      <w:r>
        <w:rPr>
          <w:noProof/>
        </w:rPr>
        <w:t xml:space="preserve"> [Accessed 13 6 2024].</w:t>
      </w:r>
    </w:p>
    <w:p w14:paraId="3A5F5C32" w14:textId="77777777" w:rsidR="007B4A3A" w:rsidRPr="00237E65" w:rsidRDefault="007B4A3A" w:rsidP="007B4A3A">
      <w:pPr>
        <w:pStyle w:val="Bibliography"/>
        <w:rPr>
          <w:noProof/>
          <w:color w:val="000000" w:themeColor="text1"/>
        </w:rPr>
      </w:pPr>
      <w:r w:rsidRPr="00237E65">
        <w:rPr>
          <w:noProof/>
          <w:color w:val="000000" w:themeColor="text1"/>
        </w:rPr>
        <w:t xml:space="preserve">parliament.UK, (2024). </w:t>
      </w:r>
      <w:r w:rsidRPr="00237E65">
        <w:rPr>
          <w:i/>
          <w:iCs/>
          <w:noProof/>
          <w:color w:val="000000" w:themeColor="text1"/>
        </w:rPr>
        <w:t xml:space="preserve">Judgments - Farley v. Skinner. </w:t>
      </w:r>
      <w:r w:rsidRPr="00237E65">
        <w:rPr>
          <w:noProof/>
          <w:color w:val="000000" w:themeColor="text1"/>
        </w:rPr>
        <w:t xml:space="preserve">[Online]  Available at: </w:t>
      </w:r>
      <w:r w:rsidRPr="00237E65">
        <w:rPr>
          <w:noProof/>
          <w:color w:val="000000" w:themeColor="text1"/>
          <w:u w:val="single"/>
        </w:rPr>
        <w:t>https://publications.parliament.uk/pa/ld200102/ldjudgmt/jd011011/farley-3.htm</w:t>
      </w:r>
      <w:r w:rsidRPr="00237E65">
        <w:rPr>
          <w:noProof/>
          <w:color w:val="000000" w:themeColor="text1"/>
        </w:rPr>
        <w:t xml:space="preserve"> [Accessed 18 9 2024].</w:t>
      </w:r>
    </w:p>
    <w:p w14:paraId="7760AAE6" w14:textId="77777777" w:rsidR="007B4A3A" w:rsidRPr="00237E65" w:rsidRDefault="007B4A3A" w:rsidP="001318B8">
      <w:pPr>
        <w:rPr>
          <w:color w:val="000000" w:themeColor="text1"/>
        </w:rPr>
      </w:pPr>
      <w:r w:rsidRPr="00237E65">
        <w:rPr>
          <w:color w:val="000000" w:themeColor="text1"/>
        </w:rPr>
        <w:t>Power, J., (2024). My Brother's Keeper: A Theoretical Justification for a Positive Duty to Rescue under Irish Law. </w:t>
      </w:r>
      <w:r w:rsidRPr="00237E65">
        <w:rPr>
          <w:i/>
          <w:iCs/>
          <w:color w:val="000000" w:themeColor="text1"/>
        </w:rPr>
        <w:t>Trinity CL Rev.</w:t>
      </w:r>
      <w:r w:rsidRPr="00237E65">
        <w:rPr>
          <w:color w:val="000000" w:themeColor="text1"/>
        </w:rPr>
        <w:t>, </w:t>
      </w:r>
      <w:r w:rsidRPr="00237E65">
        <w:rPr>
          <w:i/>
          <w:iCs/>
          <w:color w:val="000000" w:themeColor="text1"/>
        </w:rPr>
        <w:t>27</w:t>
      </w:r>
      <w:r w:rsidRPr="00237E65">
        <w:rPr>
          <w:color w:val="000000" w:themeColor="text1"/>
        </w:rPr>
        <w:t>, p.265.</w:t>
      </w:r>
    </w:p>
    <w:p w14:paraId="5289375C" w14:textId="77777777" w:rsidR="007B4A3A" w:rsidRDefault="007B4A3A" w:rsidP="005A3352">
      <w:r>
        <w:t xml:space="preserve">Taylor, L. (2018) </w:t>
      </w:r>
      <w:r w:rsidRPr="005A3352">
        <w:rPr>
          <w:i/>
          <w:iCs/>
        </w:rPr>
        <w:t>Elliott and Quinn’s criminal law</w:t>
      </w:r>
      <w:r>
        <w:t>. Twelfth edition. Harlow, England; Pearson Education Limited.</w:t>
      </w:r>
    </w:p>
    <w:p w14:paraId="698D18C3" w14:textId="77777777" w:rsidR="007B4A3A" w:rsidRPr="007B4A3A" w:rsidRDefault="007B4A3A" w:rsidP="001318B8">
      <w:pPr>
        <w:rPr>
          <w:color w:val="FF0000"/>
        </w:rPr>
      </w:pPr>
    </w:p>
    <w:p w14:paraId="00000043" w14:textId="77777777" w:rsidR="00CF18E7" w:rsidRDefault="00CF18E7" w:rsidP="001318B8"/>
    <w:p w14:paraId="00000047" w14:textId="77777777" w:rsidR="00CF18E7" w:rsidRDefault="00CF18E7"/>
    <w:sectPr w:rsidR="00CF18E7" w:rsidSect="00866485">
      <w:headerReference w:type="default" r:id="rId8"/>
      <w:footerReference w:type="default" r:id="rId9"/>
      <w:pgSz w:w="11909" w:h="16834"/>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24A56B2" w14:textId="77777777" w:rsidR="00AB32F3" w:rsidRDefault="00AB32F3" w:rsidP="00866485">
      <w:pPr>
        <w:spacing w:line="240" w:lineRule="auto"/>
      </w:pPr>
      <w:r>
        <w:separator/>
      </w:r>
    </w:p>
  </w:endnote>
  <w:endnote w:type="continuationSeparator" w:id="0">
    <w:p w14:paraId="223D8C5E" w14:textId="77777777" w:rsidR="00AB32F3" w:rsidRDefault="00AB32F3" w:rsidP="008664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65119756"/>
      <w:docPartObj>
        <w:docPartGallery w:val="Page Numbers (Bottom of Page)"/>
        <w:docPartUnique/>
      </w:docPartObj>
    </w:sdtPr>
    <w:sdtContent>
      <w:sdt>
        <w:sdtPr>
          <w:id w:val="-1769616900"/>
          <w:docPartObj>
            <w:docPartGallery w:val="Page Numbers (Top of Page)"/>
            <w:docPartUnique/>
          </w:docPartObj>
        </w:sdtPr>
        <w:sdtContent>
          <w:p w14:paraId="4156D149" w14:textId="2AF8CBF0" w:rsidR="00866485" w:rsidRDefault="00866485">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14B3CA35" w14:textId="77777777" w:rsidR="00866485" w:rsidRDefault="008664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7AEB9C1" w14:textId="77777777" w:rsidR="00AB32F3" w:rsidRDefault="00AB32F3" w:rsidP="00866485">
      <w:pPr>
        <w:spacing w:line="240" w:lineRule="auto"/>
      </w:pPr>
      <w:r>
        <w:separator/>
      </w:r>
    </w:p>
  </w:footnote>
  <w:footnote w:type="continuationSeparator" w:id="0">
    <w:p w14:paraId="0E28E8BC" w14:textId="77777777" w:rsidR="00AB32F3" w:rsidRDefault="00AB32F3" w:rsidP="0086648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2EAAFA0" w14:textId="0446FA52" w:rsidR="00866485" w:rsidRPr="00866485" w:rsidRDefault="00866485" w:rsidP="00866485">
    <w:pPr>
      <w:pStyle w:val="Header"/>
      <w:jc w:val="right"/>
      <w:rPr>
        <w:bCs/>
      </w:rPr>
    </w:pPr>
    <w:r w:rsidRPr="00866485">
      <w:rPr>
        <w:bCs/>
      </w:rPr>
      <w:t>Criminal Law</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0CA3860"/>
    <w:multiLevelType w:val="hybridMultilevel"/>
    <w:tmpl w:val="01A2218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72E6DBC"/>
    <w:multiLevelType w:val="hybridMultilevel"/>
    <w:tmpl w:val="38B843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96446762">
    <w:abstractNumId w:val="0"/>
  </w:num>
  <w:num w:numId="2" w16cid:durableId="10387036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18E7"/>
    <w:rsid w:val="00025D50"/>
    <w:rsid w:val="00063F32"/>
    <w:rsid w:val="00075754"/>
    <w:rsid w:val="0008451D"/>
    <w:rsid w:val="001318B8"/>
    <w:rsid w:val="00237E65"/>
    <w:rsid w:val="00304574"/>
    <w:rsid w:val="0032272B"/>
    <w:rsid w:val="00413C5E"/>
    <w:rsid w:val="00544EA6"/>
    <w:rsid w:val="00593BA2"/>
    <w:rsid w:val="005A3352"/>
    <w:rsid w:val="005C7935"/>
    <w:rsid w:val="0065184A"/>
    <w:rsid w:val="0066589D"/>
    <w:rsid w:val="0076051A"/>
    <w:rsid w:val="007B4A3A"/>
    <w:rsid w:val="007F6EFC"/>
    <w:rsid w:val="00866485"/>
    <w:rsid w:val="008E2DA8"/>
    <w:rsid w:val="00905136"/>
    <w:rsid w:val="009F5823"/>
    <w:rsid w:val="00AB32F3"/>
    <w:rsid w:val="00AC4C02"/>
    <w:rsid w:val="00B24DCD"/>
    <w:rsid w:val="00BA626F"/>
    <w:rsid w:val="00C07CF2"/>
    <w:rsid w:val="00CF18E7"/>
    <w:rsid w:val="00E40F91"/>
    <w:rsid w:val="00EB1F19"/>
    <w:rsid w:val="00FC34C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75CFA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1318B8"/>
    <w:rPr>
      <w:b/>
      <w:sz w:val="28"/>
      <w:szCs w:val="28"/>
    </w:rPr>
  </w:style>
  <w:style w:type="paragraph" w:styleId="Bibliography">
    <w:name w:val="Bibliography"/>
    <w:basedOn w:val="Normal"/>
    <w:next w:val="Normal"/>
    <w:uiPriority w:val="37"/>
    <w:unhideWhenUsed/>
    <w:rsid w:val="001318B8"/>
  </w:style>
  <w:style w:type="character" w:styleId="Hyperlink">
    <w:name w:val="Hyperlink"/>
    <w:basedOn w:val="DefaultParagraphFont"/>
    <w:uiPriority w:val="99"/>
    <w:unhideWhenUsed/>
    <w:rsid w:val="001318B8"/>
    <w:rPr>
      <w:color w:val="0000FF" w:themeColor="hyperlink"/>
      <w:u w:val="single"/>
    </w:rPr>
  </w:style>
  <w:style w:type="character" w:styleId="UnresolvedMention">
    <w:name w:val="Unresolved Mention"/>
    <w:basedOn w:val="DefaultParagraphFont"/>
    <w:uiPriority w:val="99"/>
    <w:semiHidden/>
    <w:unhideWhenUsed/>
    <w:rsid w:val="001318B8"/>
    <w:rPr>
      <w:color w:val="605E5C"/>
      <w:shd w:val="clear" w:color="auto" w:fill="E1DFDD"/>
    </w:rPr>
  </w:style>
  <w:style w:type="paragraph" w:styleId="ListParagraph">
    <w:name w:val="List Paragraph"/>
    <w:basedOn w:val="Normal"/>
    <w:uiPriority w:val="34"/>
    <w:qFormat/>
    <w:rsid w:val="001318B8"/>
    <w:pPr>
      <w:ind w:left="720"/>
      <w:contextualSpacing/>
    </w:pPr>
  </w:style>
  <w:style w:type="paragraph" w:styleId="Header">
    <w:name w:val="header"/>
    <w:basedOn w:val="Normal"/>
    <w:link w:val="HeaderChar"/>
    <w:uiPriority w:val="99"/>
    <w:unhideWhenUsed/>
    <w:rsid w:val="00866485"/>
    <w:pPr>
      <w:tabs>
        <w:tab w:val="center" w:pos="4513"/>
        <w:tab w:val="right" w:pos="9026"/>
      </w:tabs>
      <w:spacing w:line="240" w:lineRule="auto"/>
    </w:pPr>
  </w:style>
  <w:style w:type="character" w:customStyle="1" w:styleId="HeaderChar">
    <w:name w:val="Header Char"/>
    <w:basedOn w:val="DefaultParagraphFont"/>
    <w:link w:val="Header"/>
    <w:uiPriority w:val="99"/>
    <w:rsid w:val="00866485"/>
  </w:style>
  <w:style w:type="paragraph" w:styleId="Footer">
    <w:name w:val="footer"/>
    <w:basedOn w:val="Normal"/>
    <w:link w:val="FooterChar"/>
    <w:uiPriority w:val="99"/>
    <w:unhideWhenUsed/>
    <w:rsid w:val="00866485"/>
    <w:pPr>
      <w:tabs>
        <w:tab w:val="center" w:pos="4513"/>
        <w:tab w:val="right" w:pos="9026"/>
      </w:tabs>
      <w:spacing w:line="240" w:lineRule="auto"/>
    </w:pPr>
  </w:style>
  <w:style w:type="character" w:customStyle="1" w:styleId="FooterChar">
    <w:name w:val="Footer Char"/>
    <w:basedOn w:val="DefaultParagraphFont"/>
    <w:link w:val="Footer"/>
    <w:uiPriority w:val="99"/>
    <w:rsid w:val="00866485"/>
  </w:style>
  <w:style w:type="paragraph" w:styleId="TOCHeading">
    <w:name w:val="TOC Heading"/>
    <w:basedOn w:val="Heading1"/>
    <w:next w:val="Normal"/>
    <w:uiPriority w:val="39"/>
    <w:unhideWhenUsed/>
    <w:qFormat/>
    <w:rsid w:val="005C793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C7935"/>
    <w:pPr>
      <w:spacing w:after="100"/>
    </w:pPr>
  </w:style>
  <w:style w:type="paragraph" w:styleId="TOC2">
    <w:name w:val="toc 2"/>
    <w:basedOn w:val="Normal"/>
    <w:next w:val="Normal"/>
    <w:autoRedefine/>
    <w:uiPriority w:val="39"/>
    <w:unhideWhenUsed/>
    <w:rsid w:val="005C793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6544160">
      <w:bodyDiv w:val="1"/>
      <w:marLeft w:val="0"/>
      <w:marRight w:val="0"/>
      <w:marTop w:val="0"/>
      <w:marBottom w:val="0"/>
      <w:divBdr>
        <w:top w:val="none" w:sz="0" w:space="0" w:color="auto"/>
        <w:left w:val="none" w:sz="0" w:space="0" w:color="auto"/>
        <w:bottom w:val="none" w:sz="0" w:space="0" w:color="auto"/>
        <w:right w:val="none" w:sz="0" w:space="0" w:color="auto"/>
      </w:divBdr>
    </w:div>
    <w:div w:id="1392654941">
      <w:bodyDiv w:val="1"/>
      <w:marLeft w:val="0"/>
      <w:marRight w:val="0"/>
      <w:marTop w:val="0"/>
      <w:marBottom w:val="0"/>
      <w:divBdr>
        <w:top w:val="none" w:sz="0" w:space="0" w:color="auto"/>
        <w:left w:val="none" w:sz="0" w:space="0" w:color="auto"/>
        <w:bottom w:val="none" w:sz="0" w:space="0" w:color="auto"/>
        <w:right w:val="none" w:sz="0" w:space="0" w:color="auto"/>
      </w:divBdr>
    </w:div>
    <w:div w:id="1433283880">
      <w:bodyDiv w:val="1"/>
      <w:marLeft w:val="0"/>
      <w:marRight w:val="0"/>
      <w:marTop w:val="0"/>
      <w:marBottom w:val="0"/>
      <w:divBdr>
        <w:top w:val="none" w:sz="0" w:space="0" w:color="auto"/>
        <w:left w:val="none" w:sz="0" w:space="0" w:color="auto"/>
        <w:bottom w:val="none" w:sz="0" w:space="0" w:color="auto"/>
        <w:right w:val="none" w:sz="0" w:space="0" w:color="auto"/>
      </w:divBdr>
    </w:div>
    <w:div w:id="1468933602">
      <w:bodyDiv w:val="1"/>
      <w:marLeft w:val="0"/>
      <w:marRight w:val="0"/>
      <w:marTop w:val="0"/>
      <w:marBottom w:val="0"/>
      <w:divBdr>
        <w:top w:val="none" w:sz="0" w:space="0" w:color="auto"/>
        <w:left w:val="none" w:sz="0" w:space="0" w:color="auto"/>
        <w:bottom w:val="none" w:sz="0" w:space="0" w:color="auto"/>
        <w:right w:val="none" w:sz="0" w:space="0" w:color="auto"/>
      </w:divBdr>
    </w:div>
    <w:div w:id="1477986896">
      <w:bodyDiv w:val="1"/>
      <w:marLeft w:val="0"/>
      <w:marRight w:val="0"/>
      <w:marTop w:val="0"/>
      <w:marBottom w:val="0"/>
      <w:divBdr>
        <w:top w:val="none" w:sz="0" w:space="0" w:color="auto"/>
        <w:left w:val="none" w:sz="0" w:space="0" w:color="auto"/>
        <w:bottom w:val="none" w:sz="0" w:space="0" w:color="auto"/>
        <w:right w:val="none" w:sz="0" w:space="0" w:color="auto"/>
      </w:divBdr>
    </w:div>
    <w:div w:id="1686400293">
      <w:bodyDiv w:val="1"/>
      <w:marLeft w:val="0"/>
      <w:marRight w:val="0"/>
      <w:marTop w:val="0"/>
      <w:marBottom w:val="0"/>
      <w:divBdr>
        <w:top w:val="none" w:sz="0" w:space="0" w:color="auto"/>
        <w:left w:val="none" w:sz="0" w:space="0" w:color="auto"/>
        <w:bottom w:val="none" w:sz="0" w:space="0" w:color="auto"/>
        <w:right w:val="none" w:sz="0" w:space="0" w:color="auto"/>
      </w:divBdr>
    </w:div>
    <w:div w:id="1737313292">
      <w:bodyDiv w:val="1"/>
      <w:marLeft w:val="0"/>
      <w:marRight w:val="0"/>
      <w:marTop w:val="0"/>
      <w:marBottom w:val="0"/>
      <w:divBdr>
        <w:top w:val="none" w:sz="0" w:space="0" w:color="auto"/>
        <w:left w:val="none" w:sz="0" w:space="0" w:color="auto"/>
        <w:bottom w:val="none" w:sz="0" w:space="0" w:color="auto"/>
        <w:right w:val="none" w:sz="0" w:space="0" w:color="auto"/>
      </w:divBdr>
    </w:div>
    <w:div w:id="20331404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law23</b:Tag>
    <b:SourceType>InternetSite</b:SourceType>
    <b:Guid>{F12ABD54-9DCB-41EE-82FC-725C286E1382}</b:Guid>
    <b:Author>
      <b:Author>
        <b:Corporate>lawprof</b:Corporate>
      </b:Author>
    </b:Author>
    <b:Title>R v Miller [1983] 2 AC 161, [1983] Crim LR 466</b:Title>
    <b:Year>2023</b:Year>
    <b:YearAccessed>2024</b:YearAccessed>
    <b:MonthAccessed>6</b:MonthAccessed>
    <b:DayAccessed>12</b:DayAccessed>
    <b:URL>https://lawprof.co/criminal-law/general-part-cases/r-v-miller-1983-2-ac-161-1983-crim-lr-466/</b:URL>
    <b:RefOrder>3</b:RefOrder>
  </b:Source>
  <b:Source>
    <b:Tag>Par20</b:Tag>
    <b:SourceType>InternetSite</b:SourceType>
    <b:Guid>{8D940A71-E647-4BB1-95BC-C80334E97440}</b:Guid>
    <b:Author>
      <b:Author>
        <b:Corporate>Parliament.uk</b:Corporate>
      </b:Author>
    </b:Author>
    <b:Title>Judgments - Regina v. Smith (On Appeal From The Court of Appeal</b:Title>
    <b:Year>2020</b:Year>
    <b:YearAccessed>2024</b:YearAccessed>
    <b:MonthAccessed>6</b:MonthAccessed>
    <b:DayAccessed>13</b:DayAccessed>
    <b:URL>https://publications.parliament.uk/pa/ld199900/ldjudgmt/jd000727/smith-1.htm</b:URL>
    <b:RefOrder>4</b:RefOrder>
  </b:Source>
  <b:Source>
    <b:Tag>DrT22</b:Tag>
    <b:SourceType>InternetSite</b:SourceType>
    <b:Guid>{5751F935-C257-46E9-B54F-727DB7E6CECF}</b:Guid>
    <b:Author>
      <b:Author>
        <b:NameList>
          <b:Person>
            <b:Last>Elliott</b:Last>
            <b:First>Dr.</b:First>
            <b:Middle>Tracey</b:Middle>
          </b:Person>
        </b:NameList>
      </b:Author>
    </b:Author>
    <b:Title>BAILII OpenLaw - Criminal Law</b:Title>
    <b:Year>2022</b:Year>
    <b:YearAccessed>2024</b:YearAccessed>
    <b:MonthAccessed>6</b:MonthAccessed>
    <b:DayAccessed>14</b:DayAccessed>
    <b:URL>https://www.bailii.org/openlaw/criminal.html</b:URL>
    <b:RefOrder>5</b:RefOrder>
  </b:Source>
  <b:Source>
    <b:Tag>lex24</b:Tag>
    <b:SourceType>InternetSite</b:SourceType>
    <b:Guid>{46433B5E-3A0F-420D-8C01-12B74D2BC85E}</b:Guid>
    <b:Author>
      <b:Author>
        <b:Corporate>lexisnexis</b:Corporate>
      </b:Author>
    </b:Author>
    <b:Title>Criminal act or omission</b:Title>
    <b:Year>2024</b:Year>
    <b:YearAccessed>2024</b:YearAccessed>
    <b:MonthAccessed>6</b:MonthAccessed>
    <b:DayAccessed>10</b:DayAccessed>
    <b:URL>https://www.lexisnexis.co.uk/legal/guidance/criminal-act-or-omission</b:URL>
    <b:RefOrder>6</b:RefOrder>
  </b:Source>
  <b:Source>
    <b:Tag>Cro22</b:Tag>
    <b:SourceType>InternetSite</b:SourceType>
    <b:Guid>{22D89FC5-3F04-451D-8FA0-D3CD0C67E041}</b:Guid>
    <b:Author>
      <b:Author>
        <b:Corporate>Crosslandsolicitors</b:Corporate>
      </b:Author>
    </b:Author>
    <b:Title>Employment Law Cases</b:Title>
    <b:Year>2022</b:Year>
    <b:YearAccessed>2024</b:YearAccessed>
    <b:MonthAccessed>9</b:MonthAccessed>
    <b:DayAccessed>18</b:DayAccessed>
    <b:URL>https://www.crosslandsolicitors.com/site/cases/benefits-long-term-sickness-scheme-Amdocs-Systems-v-Langton</b:URL>
    <b:RefOrder>1</b:RefOrder>
  </b:Source>
  <b:Source>
    <b:Tag>par241</b:Tag>
    <b:SourceType>InternetSite</b:SourceType>
    <b:Guid>{A3D8B462-3196-4569-8D4E-9CC057FEAB1E}</b:Guid>
    <b:Author>
      <b:Author>
        <b:Corporate>parliament.UK</b:Corporate>
      </b:Author>
    </b:Author>
    <b:Title>Judgments - Farley v. Skinner</b:Title>
    <b:Year>2024</b:Year>
    <b:YearAccessed>2024</b:YearAccessed>
    <b:MonthAccessed>9</b:MonthAccessed>
    <b:DayAccessed>18</b:DayAccessed>
    <b:URL>https://publications.parliament.uk/pa/ld200102/ldjudgmt/jd011011/farley-3.htm</b:URL>
    <b:RefOrder>2</b:RefOrder>
  </b:Source>
</b:Sources>
</file>

<file path=customXml/itemProps1.xml><?xml version="1.0" encoding="utf-8"?>
<ds:datastoreItem xmlns:ds="http://schemas.openxmlformats.org/officeDocument/2006/customXml" ds:itemID="{A3F06B09-09E6-4118-B3E5-1D34F7708BF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2275</Words>
  <Characters>12974</Characters>
  <Application>Microsoft Office Word</Application>
  <DocSecurity>0</DocSecurity>
  <Lines>108</Lines>
  <Paragraphs>30</Paragraphs>
  <ScaleCrop>false</ScaleCrop>
  <Company/>
  <LinksUpToDate>false</LinksUpToDate>
  <CharactersWithSpaces>15219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2024-09-23T18:36:00Z</dcterms:created>
  <dcterms:modified xsi:type="dcterms:W3CDTF">2024-09-23T18:36:00Z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f053c5d7f1861a62f38d137af4df525c34a5c819de5fec4df0ec3af89b4462bd</vt:lpwstr>
  </property>
</Properties>
</file>