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ml" ContentType="application/xml"/>
  <Default Extension="gif" ContentType="image/gif"/>
  <Default Extension="jpg" ContentType="image/jpeg"/>
  <Default Extension="jpeg" ContentType="image/jpeg"/>
  <Default Extension="png" ContentType="image/png"/>
  <Default Extension="tiff" ContentType="image/tiff"/>
  <Default Extension="emf" ContentType="image/x-emf"/>
  <Default Extension="wmf" ContentType="image/x-wmf"/>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word/glossary/document.xml" ContentType="application/vnd.openxmlformats-officedocument.wordprocessingml.document.glossary+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oel="http://schemas.microsoft.com/office/2019/extlst"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a14="http://schemas.microsoft.com/office/drawing/2010/main" mc:Ignorable="w14 w15 w16se w16cid w16 w16cex w16sdtdh wp14">
  <w:body>
    <w:p w:rsidR="00583709" w:rsidRDefault="008312FD" w14:paraId="468B1B69" w14:textId="77777777">
      <w:pPr>
        <w:spacing w:after="165" w:line="360" w:lineRule="auto"/>
        <w:rPr>
          <w:color w:val="000000"/>
          <w:rFonts w:ascii="Tahoma" w:hAnsi="Tahoma" w:eastAsia="Tahoma" w:cs="Tahoma"/>
          <w:sz w:val="40"/>
          <w:szCs w:val="40"/>
        </w:rPr>
      </w:pPr>
      <w:r>
        <w:rPr>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9"/>
                    <a:srcRect/>
                    <a:stretch>
                      <a:fillRect/>
                    </a:stretch>
                  </pic:blipFill>
                  <pic:spPr>
                    <a:xfrm>
                      <a:off x="0" y="0"/>
                      <a:ext cx="2209800" cy="742950"/>
                    </a:xfrm>
                    <a:prstGeom prst="rect">
                      <a:avLst/>
                    </a:prstGeom>
                    <a:ln/>
                  </pic:spPr>
                </pic:pic>
              </a:graphicData>
            </a:graphic>
          </wp:inline>
        </w:drawing>
      </w:r>
    </w:p>
    <w:p w:rsidR="00583709" w:rsidRDefault="00F867C0" w14:paraId="61A75DA4" w14:textId="500F5288">
      <w:pPr>
        <w:jc w:val="center"/>
        <w:spacing w:after="165" w:line="360" w:lineRule="auto"/>
        <w:rPr>
          <w:color w:val="000000"/>
          <w:rFonts w:ascii="Tahoma" w:hAnsi="Tahoma" w:eastAsia="Tahoma" w:cs="Tahoma"/>
          <w:sz w:val="40"/>
          <w:szCs w:val="40"/>
        </w:rPr>
      </w:pPr>
      <w:r w:rsidRPr="672770E5" w:rsidR="00F867C0">
        <w:rPr>
          <w:color w:val="000000" w:themeColor="text1" w:themeTint="FF" w:themeShade="FF"/>
          <w:sz w:val="40"/>
          <w:szCs w:val="40"/>
        </w:rPr>
        <w:t>Applied Leadership and Management in</w:t>
      </w:r>
      <w:r w:rsidRPr="672770E5" w:rsidR="008312FD">
        <w:rPr>
          <w:color w:val="000000" w:themeColor="text1" w:themeTint="FF" w:themeShade="FF"/>
          <w:sz w:val="40"/>
          <w:szCs w:val="40"/>
        </w:rPr>
        <w:t xml:space="preserve"> the Workplace</w:t>
      </w:r>
      <w:r>
        <w:br/>
      </w:r>
      <w:r w:rsidRPr="672770E5" w:rsidR="00F867C0">
        <w:rPr>
          <w:color w:val="000000" w:themeColor="text1" w:themeTint="FF" w:themeShade="FF"/>
          <w:sz w:val="40"/>
          <w:szCs w:val="40"/>
        </w:rPr>
        <w:t xml:space="preserve">Module Assignment </w:t>
      </w:r>
      <w:r w:rsidRPr="672770E5" w:rsidR="48B7E75C">
        <w:rPr>
          <w:color w:val="000000" w:themeColor="text1" w:themeTint="FF" w:themeShade="FF"/>
          <w:sz w:val="40"/>
          <w:szCs w:val="40"/>
        </w:rPr>
        <w:t>Submission</w:t>
      </w:r>
      <w:r w:rsidRPr="672770E5" w:rsidR="00F867C0">
        <w:rPr>
          <w:color w:val="000000" w:themeColor="text1" w:themeTint="FF" w:themeShade="FF"/>
          <w:sz w:val="40"/>
          <w:szCs w:val="40"/>
        </w:rPr>
        <w:t xml:space="preserve"> </w:t>
      </w:r>
      <w:r>
        <w:br/>
      </w:r>
    </w:p>
    <w:tbl>
      <w:tblPr>
        <w:tblW w:w="9493" w:type="dxa"/>
        <w:tblLayout w:type="fixed"/>
        <w:tblBorders>
          <w:top w:val="single" w:color="000000" w:sz="4" w:space="0"/>
          <w:bottom w:val="single" w:color="000000" w:sz="4" w:space="0"/>
          <w:left w:val="single" w:color="000000" w:sz="4" w:space="0"/>
          <w:right w:val="single" w:color="000000" w:sz="4" w:space="0"/>
          <w:insideH w:val="single" w:color="000000" w:sz="4" w:space="0"/>
          <w:insideV w:val="single" w:color="000000" w:sz="4" w:space="0"/>
        </w:tblBorders>
        <w:tblStyle w:val="a"/>
        <w:tblLook w:val="0"/>
      </w:tblPr>
      <w:tblGrid>
        <w:gridCol w:w="3438"/>
        <w:gridCol w:w="6055"/>
      </w:tblGrid>
      <w:tr w:rsidR="00583709" w:rsidTr="60F9F866" w14:paraId="4DD460BA" w14:textId="77777777">
        <w:tc>
          <w:tcPr>
            <w:shd w:val="clear" w:color="auto" w:fill="D9D9D9" w:themeFill="background1" w:themeFillShade="D9"/>
            <w:tcW w:w="3438" w:type="dxa"/>
            <w:tcMar/>
          </w:tcPr>
          <w:p w:rsidR="00583709" w:rsidRDefault="008312FD" w14:paraId="6CC035E4" w14:textId="77777777">
            <w:pPr>
              <w:spacing w:before="120" w:after="120" w:line="360" w:lineRule="auto"/>
              <w:rPr>
                <w:rFonts w:ascii="Tahoma" w:hAnsi="Tahoma" w:eastAsia="Tahoma" w:cs="Tahoma"/>
                <w:sz w:val="32"/>
                <w:szCs w:val="32"/>
              </w:rPr>
            </w:pPr>
            <w:r>
              <w:rPr>
                <w:rFonts w:ascii="Tahoma" w:hAnsi="Tahoma" w:eastAsia="Tahoma" w:cs="Tahoma"/>
                <w:sz w:val="32"/>
                <w:szCs w:val="32"/>
              </w:rPr>
              <w:t>Student Name:</w:t>
            </w:r>
          </w:p>
        </w:tc>
        <w:tc>
          <w:tcPr>
            <w:tcW w:w="6055" w:type="dxa"/>
            <w:tcMar/>
          </w:tcPr>
          <w:p w:rsidR="00583709" w:rsidRDefault="00583709" w14:paraId="24E05973" w14:textId="77777777">
            <w:pPr>
              <w:spacing w:before="120" w:after="120" w:line="360" w:lineRule="auto"/>
              <w:rPr>
                <w:rFonts w:ascii="Tahoma" w:hAnsi="Tahoma" w:eastAsia="Tahoma" w:cs="Tahoma"/>
                <w:sz w:val="32"/>
                <w:szCs w:val="32"/>
              </w:rPr>
            </w:pPr>
            <w:r>
              <w:rPr>
                <w:rFonts w:ascii="Tahoma"/>
                <w:sz w:val="32"/>
              </w:rPr>
              <w:t>Freya Evans</w:t>
            </w:r>
          </w:p>
        </w:tc>
      </w:tr>
      <w:tr w:rsidR="00583709" w:rsidTr="60F9F866" w14:paraId="637F65EB" w14:textId="77777777">
        <w:tc>
          <w:tcPr>
            <w:shd w:val="clear" w:color="auto" w:fill="D9D9D9" w:themeFill="background1" w:themeFillShade="D9"/>
            <w:tcW w:w="3438" w:type="dxa"/>
            <w:tcMar/>
          </w:tcPr>
          <w:p w:rsidR="00583709" w:rsidRDefault="008312FD" w14:paraId="678F9224" w14:textId="77777777">
            <w:pPr>
              <w:spacing w:before="120" w:after="120" w:line="360" w:lineRule="auto"/>
              <w:rPr>
                <w:rFonts w:ascii="Tahoma" w:hAnsi="Tahoma" w:eastAsia="Tahoma" w:cs="Tahoma"/>
                <w:sz w:val="32"/>
                <w:szCs w:val="32"/>
              </w:rPr>
            </w:pPr>
            <w:r>
              <w:rPr>
                <w:rFonts w:ascii="Tahoma" w:hAnsi="Tahoma" w:eastAsia="Tahoma" w:cs="Tahoma"/>
                <w:sz w:val="32"/>
                <w:szCs w:val="32"/>
              </w:rPr>
              <w:t>Student Number:</w:t>
            </w:r>
          </w:p>
        </w:tc>
        <w:tc>
          <w:tcPr>
            <w:tcW w:w="6055" w:type="dxa"/>
            <w:tcMar/>
          </w:tcPr>
          <w:p w:rsidR="00583709" w:rsidRDefault="00583709" w14:paraId="09E64F5D" w14:textId="481FCFA6">
            <w:pPr>
              <w:spacing w:before="120" w:after="120" w:line="360" w:lineRule="auto"/>
              <w:rPr>
                <w:rFonts w:ascii="Tahoma" w:hAnsi="Tahoma" w:eastAsia="Tahoma" w:cs="Tahoma"/>
                <w:sz w:val="32"/>
                <w:szCs w:val="32"/>
              </w:rPr>
            </w:pPr>
            <w:r w:rsidRPr="576FB71A" w:rsidR="0646A7B8">
              <w:rPr>
                <w:rFonts w:ascii="Tahoma" w:hAnsi="Tahoma" w:eastAsia="Tahoma" w:cs="Tahoma"/>
                <w:sz w:val="32"/>
                <w:szCs w:val="32"/>
              </w:rPr>
              <w:t>2317768</w:t>
            </w:r>
          </w:p>
        </w:tc>
      </w:tr>
      <w:tr w:rsidR="00583709" w:rsidTr="60F9F866" w14:paraId="3194BD4A" w14:textId="77777777">
        <w:tc>
          <w:tcPr>
            <w:shd w:val="clear" w:color="auto" w:fill="D9D9D9" w:themeFill="background1" w:themeFillShade="D9"/>
            <w:tcW w:w="3438" w:type="dxa"/>
            <w:tcMar/>
          </w:tcPr>
          <w:p w:rsidR="00583709" w:rsidRDefault="008312FD" w14:paraId="2975DEFC" w14:textId="77777777">
            <w:pPr>
              <w:spacing w:before="120" w:after="120" w:line="360" w:lineRule="auto"/>
              <w:rPr>
                <w:rFonts w:ascii="Tahoma" w:hAnsi="Tahoma" w:eastAsia="Tahoma" w:cs="Tahoma"/>
                <w:sz w:val="32"/>
                <w:szCs w:val="32"/>
              </w:rPr>
            </w:pPr>
            <w:r>
              <w:rPr>
                <w:rFonts w:ascii="Tahoma" w:hAnsi="Tahoma" w:eastAsia="Tahoma" w:cs="Tahoma"/>
                <w:sz w:val="32"/>
                <w:szCs w:val="32"/>
              </w:rPr>
              <w:t>Module No:</w:t>
            </w:r>
          </w:p>
        </w:tc>
        <w:tc>
          <w:tcPr>
            <w:tcW w:w="6055" w:type="dxa"/>
            <w:tcMar/>
          </w:tcPr>
          <w:p w:rsidR="00583709" w:rsidP="60F9F866" w:rsidRDefault="008312FD" w14:paraId="29F831A1" w14:textId="7D463B3F">
            <w:pPr>
              <w:spacing w:before="120" w:after="120" w:line="360" w:lineRule="auto"/>
              <w:rPr>
                <w:rFonts w:ascii="Tahoma" w:hAnsi="Tahoma" w:eastAsia="Tahoma" w:cs="Tahoma"/>
                <w:color w:val="FF0000"/>
                <w:sz w:val="32"/>
                <w:szCs w:val="32"/>
              </w:rPr>
            </w:pPr>
            <w:r w:rsidRPr="60F9F866" w:rsidR="464685EF">
              <w:rPr>
                <w:rFonts w:ascii="Tahoma" w:hAnsi="Tahoma" w:eastAsia="Tahoma" w:cs="Tahoma"/>
                <w:color w:val="FF0000"/>
                <w:sz w:val="32"/>
                <w:szCs w:val="32"/>
              </w:rPr>
              <w:t>BMSK</w:t>
            </w:r>
            <w:r w:rsidRPr="60F9F866" w:rsidR="25C9554B">
              <w:rPr>
                <w:rFonts w:ascii="Tahoma" w:hAnsi="Tahoma" w:eastAsia="Tahoma" w:cs="Tahoma"/>
                <w:color w:val="FF0000"/>
                <w:sz w:val="32"/>
                <w:szCs w:val="32"/>
              </w:rPr>
              <w:t>510</w:t>
            </w:r>
          </w:p>
        </w:tc>
      </w:tr>
      <w:tr w:rsidR="00583709" w:rsidTr="60F9F866" w14:paraId="0A18C513" w14:textId="77777777">
        <w:trPr>
          <w:trHeight w:val="413"/>
        </w:trPr>
        <w:tc>
          <w:tcPr>
            <w:shd w:val="clear" w:color="auto" w:fill="D9D9D9" w:themeFill="background1" w:themeFillShade="D9"/>
            <w:tcW w:w="3438" w:type="dxa"/>
            <w:tcMar/>
          </w:tcPr>
          <w:p w:rsidR="00583709" w:rsidRDefault="008312FD" w14:paraId="322E8485" w14:textId="77777777">
            <w:pPr>
              <w:spacing w:before="120" w:after="120" w:line="360" w:lineRule="auto"/>
              <w:rPr>
                <w:rFonts w:ascii="Tahoma" w:hAnsi="Tahoma" w:eastAsia="Tahoma" w:cs="Tahoma"/>
                <w:sz w:val="32"/>
                <w:szCs w:val="32"/>
              </w:rPr>
            </w:pPr>
            <w:r>
              <w:rPr>
                <w:rFonts w:ascii="Tahoma" w:hAnsi="Tahoma" w:eastAsia="Tahoma" w:cs="Tahoma"/>
                <w:sz w:val="32"/>
                <w:szCs w:val="32"/>
              </w:rPr>
              <w:t>Module Title:</w:t>
            </w:r>
          </w:p>
        </w:tc>
        <w:tc>
          <w:tcPr>
            <w:tcW w:w="6055" w:type="dxa"/>
            <w:tcMar/>
          </w:tcPr>
          <w:p w:rsidR="00583709" w:rsidRDefault="008312FD" w14:paraId="3D9EA47B" w14:textId="546E36D5">
            <w:pPr>
              <w:spacing w:before="120" w:after="120" w:line="360" w:lineRule="auto"/>
            </w:pPr>
            <w:r w:rsidRPr="60F9F866" w:rsidR="65D292C5">
              <w:rPr>
                <w:rFonts w:ascii="Tahoma" w:hAnsi="Tahoma" w:eastAsia="Tahoma" w:cs="Tahoma"/>
                <w:color w:val="FF0000"/>
                <w:sz w:val="32"/>
                <w:szCs w:val="32"/>
              </w:rPr>
              <w:t>Deveoping</w:t>
            </w:r>
            <w:r w:rsidRPr="60F9F866" w:rsidR="65D292C5">
              <w:rPr>
                <w:rFonts w:ascii="Tahoma" w:hAnsi="Tahoma" w:eastAsia="Tahoma" w:cs="Tahoma"/>
                <w:color w:val="FF0000"/>
                <w:sz w:val="32"/>
                <w:szCs w:val="32"/>
              </w:rPr>
              <w:t xml:space="preserve"> the learning organisation</w:t>
            </w:r>
          </w:p>
        </w:tc>
      </w:tr>
    </w:tbl>
    <w:p w:rsidR="00583709" w:rsidRDefault="00583709" w14:paraId="734D1AD4" w14:textId="77777777">
      <w:pPr>
        <w:spacing w:before="120" w:after="120" w:line="360" w:lineRule="auto"/>
        <w:rPr>
          <w:color w:val="FF0000"/>
          <w:sz w:val="24"/>
          <w:szCs w:val="24"/>
        </w:rPr>
      </w:pPr>
    </w:p>
    <w:p w:rsidR="00583709" w:rsidRDefault="008312FD" w14:paraId="700B284E" w14:textId="77777777">
      <w:pPr>
        <w:spacing w:before="120" w:after="120" w:line="360" w:lineRule="auto"/>
        <w:rPr>
          <w:b/>
          <w:color w:val="000000"/>
          <w:rFonts w:ascii="Tahoma" w:hAnsi="Tahoma" w:eastAsia="Tahoma" w:cs="Tahoma"/>
          <w:sz w:val="24"/>
          <w:szCs w:val="24"/>
        </w:rPr>
      </w:pPr>
      <w:r>
        <w:rPr>
          <w:b/>
          <w:color w:val="000000"/>
          <w:rFonts w:ascii="Tahoma" w:hAnsi="Tahoma" w:eastAsia="Tahoma" w:cs="Tahoma"/>
          <w:sz w:val="24"/>
          <w:szCs w:val="24"/>
        </w:rPr>
        <w:t>Statement of Confirmation of Authenticity</w:t>
      </w:r>
    </w:p>
    <w:p w:rsidRPr="00F867C0" w:rsidR="00583709" w:rsidRDefault="008312FD" w14:paraId="77162AC0" w14:textId="77777777">
      <w:pPr>
        <w:spacing w:before="120" w:after="120" w:line="360" w:lineRule="auto"/>
        <w:rPr>
          <w:color w:val="000000"/>
          <w:rFonts w:ascii="Tahoma" w:hAnsi="Tahoma" w:eastAsia="Tahoma" w:cs="Tahoma"/>
        </w:rPr>
      </w:pPr>
      <w:r w:rsidRPr="00F867C0">
        <w:rPr>
          <w:color w:val="000000"/>
          <w:rFonts w:ascii="Tahoma" w:hAnsi="Tahoma" w:eastAsia="Tahoma" w:cs="Tahoma"/>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Pr="00F867C0" w:rsidR="00583709" w:rsidRDefault="008312FD" w14:paraId="2872EFAD" w14:textId="77777777">
      <w:pPr>
        <w:spacing w:before="120" w:after="120" w:line="360" w:lineRule="auto"/>
      </w:pPr>
      <w:r w:rsidRPr="60F9F866" w:rsidR="2044A343">
        <w:rPr>
          <w:rFonts w:ascii="Tahoma" w:hAnsi="Tahoma" w:eastAsia="Tahoma" w:cs="Tahoma"/>
          <w:color w:val="000000" w:themeColor="text1" w:themeTint="FF" w:themeShade="FF"/>
        </w:rPr>
        <w:t>Attention is drawn to the plagiarism and unfair practice policies of both the University and of ILM.</w:t>
      </w:r>
    </w:p>
    <w:p w:rsidR="6979C9CA" w:rsidP="6979C9CA" w:rsidRDefault="6979C9CA" w14:paraId="6EDB175E" w14:textId="541186E6">
      <w:pPr>
        <w:spacing w:before="120" w:after="120" w:line="360" w:lineRule="auto"/>
        <w:rPr>
          <w:rFonts w:ascii="Tahoma" w:hAnsi="Tahoma" w:eastAsia="Tahoma" w:cs="Tahoma"/>
          <w:color w:val="000000" w:themeColor="text1" w:themeTint="FF" w:themeShade="FF"/>
        </w:rPr>
      </w:pPr>
    </w:p>
    <w:p w:rsidR="00583709" w:rsidRDefault="008312FD" w14:paraId="5C61974A" w14:textId="77777777">
      <w:pPr>
        <w:rPr>
          <w:color w:val="000000"/>
          <w:rFonts w:ascii="Tahoma" w:hAnsi="Tahoma" w:eastAsia="Tahoma" w:cs="Tahoma"/>
          <w:sz w:val="24"/>
          <w:szCs w:val="24"/>
        </w:rPr>
      </w:pPr>
      <w:r>
        <w:br w:type="page"/>
      </w:r>
    </w:p>
    <w:p w:rsidR="249069C1" w:rsidP="441503CA" w:rsidRDefault="249069C1" w14:paraId="7FF05697" w14:textId="2532B1C8">
      <w:pPr>
        <w:pStyle w:val="Heading2"/>
        <w:spacing w:before="299" w:beforeAutospacing="off" w:after="299" w:afterAutospacing="off"/>
        <w:rPr>
          <w:rFonts w:ascii="Tahoma" w:hAnsi="Tahoma" w:eastAsia="Tahoma" w:cs="Tahoma"/>
          <w:b w:val="1"/>
          <w:bCs w:val="1"/>
          <w:noProof w:val="0"/>
          <w:sz w:val="24"/>
          <w:szCs w:val="24"/>
          <w:lang w:val="en-GB"/>
        </w:rPr>
      </w:pPr>
      <w:r w:rsidRPr="60F9F866" w:rsidR="558D60AB">
        <w:rPr>
          <w:rFonts w:ascii="Tahoma" w:hAnsi="Tahoma" w:eastAsia="Tahoma" w:cs="Tahoma"/>
          <w:b w:val="1"/>
          <w:bCs w:val="1"/>
          <w:noProof w:val="0"/>
          <w:sz w:val="24"/>
          <w:szCs w:val="24"/>
          <w:lang w:val="en-GB"/>
        </w:rPr>
        <w:t>1. Introduction</w:t>
      </w:r>
    </w:p>
    <w:p w:rsidR="249069C1" w:rsidP="441503CA" w:rsidRDefault="249069C1" w14:paraId="31D8A09E" w14:textId="4CB2B17D">
      <w:pPr>
        <w:spacing w:before="240" w:beforeAutospacing="off" w:after="240" w:afterAutospacing="off"/>
      </w:pPr>
      <w:r w:rsidRPr="60F9F866" w:rsidR="1269B6A4">
        <w:rPr>
          <w:rFonts w:ascii="Cambria" w:hAnsi="Cambria" w:eastAsia="Cambria" w:cs="Cambria"/>
          <w:noProof w:val="0"/>
          <w:sz w:val="24"/>
          <w:szCs w:val="24"/>
          <w:lang w:val="en-GB"/>
        </w:rPr>
        <w:t>In today’s rapidly changing working environment, organisations must continually develop their knowledge, skills and practices to remain effective and competitive. Developing a learning organisation is an important approach to achieving this, as it encourages continuous learning, knowledge sharing and the development of employees at all levels. Senge (1990) describes a learning organisation as one in which individuals continually expand their capacity to achieve desired results, develop new ways of thinking and learn collectively. This highlights the importance of creating a workplace culture in which learning, reflection and professional development are valued and supported.</w:t>
      </w:r>
    </w:p>
    <w:p w:rsidR="249069C1" w:rsidP="441503CA" w:rsidRDefault="249069C1" w14:paraId="1044F75B" w14:textId="094F78BF">
      <w:pPr>
        <w:spacing w:before="240" w:beforeAutospacing="off" w:after="240" w:afterAutospacing="off"/>
      </w:pPr>
      <w:r w:rsidRPr="60F9F866" w:rsidR="1269B6A4">
        <w:rPr>
          <w:rFonts w:ascii="Cambria" w:hAnsi="Cambria" w:eastAsia="Cambria" w:cs="Cambria"/>
          <w:noProof w:val="0"/>
          <w:sz w:val="24"/>
          <w:szCs w:val="24"/>
          <w:lang w:val="en-GB"/>
        </w:rPr>
        <w:t>The development of a learning organisation can benefit both employees and employers by improving performance, encouraging innovation, supporting problem-solving and enabling organisations to respond effectively to change. However, achieving this requires commitment from leadership, effective communication, employee engagement and opportunities for ongoing learning and development. Barriers such as resistance to change, limited resources and a lack of management support may also affect the successful development of a learning culture.</w:t>
      </w:r>
    </w:p>
    <w:p w:rsidR="249069C1" w:rsidP="441503CA" w:rsidRDefault="249069C1" w14:paraId="57D08211" w14:textId="70AE74B5">
      <w:pPr>
        <w:spacing w:before="240" w:beforeAutospacing="off" w:after="240" w:afterAutospacing="off"/>
      </w:pPr>
      <w:r w:rsidRPr="60F9F866" w:rsidR="1269B6A4">
        <w:rPr>
          <w:rFonts w:ascii="Cambria" w:hAnsi="Cambria" w:eastAsia="Cambria" w:cs="Cambria"/>
          <w:noProof w:val="0"/>
          <w:sz w:val="24"/>
          <w:szCs w:val="24"/>
          <w:lang w:val="en-GB"/>
        </w:rPr>
        <w:t>This report will explore the concept of the learning organisation and examine how it can be developed and sustained within the workplace. It will consider the role of leadership, organisational culture, employee development and knowledge sharing, while identifying potential challenges and strategies for overcoming them. The report will also evaluate the importance of continuous learning in improving individual and organisational effectiveness.</w:t>
      </w:r>
    </w:p>
    <w:p w:rsidR="249069C1" w:rsidP="60F9F866" w:rsidRDefault="249069C1" w14:paraId="1EB33FF2" w14:textId="1FFFF769">
      <w:pPr>
        <w:pStyle w:val="Heading1"/>
      </w:pPr>
      <w:r w:rsidRPr="60F9F866" w:rsidR="4EAEBEB1">
        <w:rPr>
          <w:noProof w:val="0"/>
          <w:lang w:val="en-GB"/>
        </w:rPr>
        <w:t xml:space="preserve">Impacts of developing </w:t>
      </w:r>
      <w:r w:rsidRPr="60F9F866" w:rsidR="4EAEBEB1">
        <w:rPr>
          <w:noProof w:val="0"/>
          <w:lang w:val="en-GB"/>
        </w:rPr>
        <w:t>indiviuals</w:t>
      </w:r>
      <w:r w:rsidRPr="60F9F866" w:rsidR="4EAEBEB1">
        <w:rPr>
          <w:noProof w:val="0"/>
          <w:lang w:val="en-GB"/>
        </w:rPr>
        <w:t xml:space="preserve"> in the workplace </w:t>
      </w:r>
    </w:p>
    <w:p w:rsidR="249069C1" w:rsidP="441503CA" w:rsidRDefault="249069C1" w14:paraId="52991C64" w14:textId="4C3F3A55">
      <w:pPr>
        <w:spacing w:before="240" w:beforeAutospacing="off" w:after="240" w:afterAutospacing="off"/>
      </w:pPr>
      <w:r w:rsidRPr="60F9F866" w:rsidR="5EC274ED">
        <w:rPr>
          <w:rFonts w:ascii="Cambria" w:hAnsi="Cambria" w:eastAsia="Cambria" w:cs="Cambria"/>
          <w:noProof w:val="0"/>
          <w:sz w:val="24"/>
          <w:szCs w:val="24"/>
          <w:lang w:val="en-GB"/>
        </w:rPr>
        <w:t>Developing individuals in the workplace is an essential component of effective human resource management (HRM), as it enables employees to improve their knowledge, skills and competencies while contributing to organisational performance. Employee development can include training, coaching, mentoring and continuing professional development (CPD). Within a learning organisation, these activities encourage continuous improvement, knowledge sharing and the ability to respond to changing workplace demands. Armstrong and Taylor (2023) suggest that effective people management practices can support employee capability and organisational effectiveness. However, the success of employee development depends on how effectively learning opportunities are integrated into organisational strategy and workplace practices.</w:t>
      </w:r>
    </w:p>
    <w:p w:rsidR="249069C1" w:rsidP="441503CA" w:rsidRDefault="249069C1" w14:paraId="72DEC849" w14:textId="5ABEF42B">
      <w:pPr>
        <w:spacing w:before="240" w:beforeAutospacing="off" w:after="240" w:afterAutospacing="off"/>
      </w:pPr>
      <w:r w:rsidRPr="60F9F866" w:rsidR="5EC274ED">
        <w:rPr>
          <w:rFonts w:ascii="Cambria" w:hAnsi="Cambria" w:eastAsia="Cambria" w:cs="Cambria"/>
          <w:noProof w:val="0"/>
          <w:sz w:val="24"/>
          <w:szCs w:val="24"/>
          <w:lang w:val="en-GB"/>
        </w:rPr>
        <w:t>The Michigan Model of Human Resource Management, developed by Fombrun, Tichy and Devanna (1984), provides a useful framework for understanding the relationship between employee development and organisational performance. The model emphasises the alignment of HRM practices with organisational strategy and identifies four key HRM functions: selection, appraisal, rewards and development. From this perspective, employee development should be aligned with the organisation’s objectives to ensure that employees acquire the skills and knowledge required to achieve business goals. For example, an organisation seeking to improve customer service may invest in communication training, coaching and performance reviews to identify and address employees’ development needs. This demonstrates how individual development can support organisational effectiveness. However, a potential limitation of the Michigan Model is its emphasis on strategic alignment and performance, which may give insufficient consideration to employees’ personal aspirations and wellbeing if development is primarily focused on organisational outcomes.</w:t>
      </w:r>
    </w:p>
    <w:p w:rsidR="249069C1" w:rsidP="441503CA" w:rsidRDefault="249069C1" w14:paraId="049F282D" w14:textId="05B6E3B7">
      <w:pPr>
        <w:spacing w:before="240" w:beforeAutospacing="off" w:after="240" w:afterAutospacing="off"/>
      </w:pPr>
      <w:r w:rsidRPr="60F9F866" w:rsidR="5EC274ED">
        <w:rPr>
          <w:rFonts w:ascii="Cambria" w:hAnsi="Cambria" w:eastAsia="Cambria" w:cs="Cambria"/>
          <w:noProof w:val="0"/>
          <w:sz w:val="24"/>
          <w:szCs w:val="24"/>
          <w:lang w:val="en-GB"/>
        </w:rPr>
        <w:t>One significant impact of developing individuals is improved employee performance and productivity. Training and development can enhance employees’ competence, increase confidence and reduce workplace errors. According to Noe (2020), training can contribute to organisational effectiveness when it is relevant to job requirements and employees are provided with opportunities to apply their learning. The Michigan Model supports this approach by positioning development alongside appraisal and rewards, creating a link between employee capability, performance evaluation and organisational objectives (Fombrun, Tichy and Devanna, 1984). For instance, regular performance appraisals can identify skills gaps and inform appropriate training plans. Nevertheless, improved performance cannot be attributed to training alone, as factors such as workload, management support, access to resources and organisational culture may also influence outcomes.</w:t>
      </w:r>
    </w:p>
    <w:p w:rsidR="249069C1" w:rsidP="441503CA" w:rsidRDefault="249069C1" w14:paraId="53F6A86B" w14:textId="538F6D7D">
      <w:pPr>
        <w:spacing w:before="240" w:beforeAutospacing="off" w:after="240" w:afterAutospacing="off"/>
      </w:pPr>
      <w:r w:rsidRPr="60F9F866" w:rsidR="5EC274ED">
        <w:rPr>
          <w:rFonts w:ascii="Cambria" w:hAnsi="Cambria" w:eastAsia="Cambria" w:cs="Cambria"/>
          <w:noProof w:val="0"/>
          <w:sz w:val="24"/>
          <w:szCs w:val="24"/>
          <w:lang w:val="en-GB"/>
        </w:rPr>
        <w:t>Employee development can also have a positive impact on motivation, engagement and job satisfaction. Maslow (1943) suggests that individuals are motivated by different levels of needs, including esteem and self-actualisation, which may be supported through opportunities for achievement and personal growth. Similarly, Deci and Ryan (2000) identify competence, autonomy and relatedness as important psychological needs associated with motivation. Providing employees with opportunities to gain qualifications, develop new skills and progress in their careers may therefore increase their sense of value and commitment. Although the Michigan Model recognises development and rewards as important HRM functions, its strategic focus may not fully address the individual motivations that influence how employees respond to development opportunities. Organisations should therefore consider both business objectives and employees’ personal development goals when designing learning activities.</w:t>
      </w:r>
    </w:p>
    <w:p w:rsidR="249069C1" w:rsidP="441503CA" w:rsidRDefault="249069C1" w14:paraId="169B267E" w14:textId="7ABD47D7">
      <w:pPr>
        <w:spacing w:before="240" w:beforeAutospacing="off" w:after="240" w:afterAutospacing="off"/>
      </w:pPr>
      <w:r w:rsidRPr="60F9F866" w:rsidR="5EC274ED">
        <w:rPr>
          <w:rFonts w:ascii="Cambria" w:hAnsi="Cambria" w:eastAsia="Cambria" w:cs="Cambria"/>
          <w:noProof w:val="0"/>
          <w:sz w:val="24"/>
          <w:szCs w:val="24"/>
          <w:lang w:val="en-GB"/>
        </w:rPr>
        <w:t>Another important impact is employee retention and career progression. Investing in employee development may demonstrate that an organisation values its workforce, potentially increasing loyalty and reducing staff turnover. Development opportunities can also prepare employees for more senior positions, helping organisations maintain a skilled workforce and reduce reliance on external recruitment. Within the Michigan Model, development is connected to other HRM practices, including selection, appraisal and rewards, which can help organisations identify talent, assess performance and recognise achievement. However, development may also improve employees’ employability outside the organisation, meaning that some may leave to pursue better opportunities. Therefore, employee development should be supported by fair reward systems, career pathways and opportunities to apply newly acquired skills.</w:t>
      </w:r>
    </w:p>
    <w:p w:rsidR="249069C1" w:rsidP="441503CA" w:rsidRDefault="249069C1" w14:paraId="6E0DF42A" w14:textId="713177C0">
      <w:pPr>
        <w:spacing w:before="240" w:beforeAutospacing="off" w:after="240" w:afterAutospacing="off"/>
      </w:pPr>
      <w:r w:rsidRPr="60F9F866" w:rsidR="5EC274ED">
        <w:rPr>
          <w:rFonts w:ascii="Cambria" w:hAnsi="Cambria" w:eastAsia="Cambria" w:cs="Cambria"/>
          <w:noProof w:val="0"/>
          <w:sz w:val="24"/>
          <w:szCs w:val="24"/>
          <w:lang w:val="en-GB"/>
        </w:rPr>
        <w:t>Furthermore, developing individuals contributes to the creation of a learning organisation. Senge (1990) argues that organisations can improve their ability to adapt and develop by encouraging continuous learning and the expansion of individual capabilities. When employees share knowledge, reflect on their experiences and learn from mistakes, individual learning can contribute to collective improvement. For example, mentoring programmes and team discussions can enable employees to share good practice and develop more effective working methods. Although the Michigan Model helps explain how development can be aligned with organisational strategy, the development of a learning organisation requires more than formal HRM processes. It also requires an organisational culture that encourages collaboration, open communication and the sharing of knowledge. Consequently, the Michigan Model can support employee development, but it should be complemented by approaches that encourage collective learning and employee participation.</w:t>
      </w:r>
    </w:p>
    <w:p w:rsidR="249069C1" w:rsidP="441503CA" w:rsidRDefault="249069C1" w14:paraId="66664889" w14:textId="16BF7A62">
      <w:pPr>
        <w:spacing w:before="240" w:beforeAutospacing="off" w:after="240" w:afterAutospacing="off"/>
      </w:pPr>
      <w:r w:rsidRPr="60F9F866" w:rsidR="5EC274ED">
        <w:rPr>
          <w:rFonts w:ascii="Cambria" w:hAnsi="Cambria" w:eastAsia="Cambria" w:cs="Cambria"/>
          <w:noProof w:val="0"/>
          <w:sz w:val="24"/>
          <w:szCs w:val="24"/>
          <w:lang w:val="en-GB"/>
        </w:rPr>
        <w:t>In conclusion, developing individuals in the workplace can improve performance, motivation, retention and organisational learning. The Michigan Model provides a useful framework for understanding how employee development can be integrated with selection, appraisal and rewards to support organisational objectives. However, its emphasis on strategic alignment should be balanced with consideration of employees’ individual needs, wellbeing and career aspirations. For organisations to develop into effective learning organisations, employee development must be supported by inclusive learning opportunities, effective leadership and a culture that values continuous improvement. This demonstrates that individual development should be viewed as both a strategic investment in organisational performance and an ongoing process of personal and professional growth.</w:t>
      </w:r>
    </w:p>
    <w:p w:rsidR="249069C1" w:rsidP="60F9F866" w:rsidRDefault="249069C1" w14:paraId="2848ACB0" w14:textId="7566D3E0">
      <w:pPr>
        <w:pStyle w:val="Heading1"/>
      </w:pPr>
      <w:r w:rsidRPr="60F9F866" w:rsidR="48B91AC0">
        <w:rPr>
          <w:noProof w:val="0"/>
          <w:lang w:val="en-GB"/>
        </w:rPr>
        <w:t xml:space="preserve">Managing </w:t>
      </w:r>
      <w:r w:rsidRPr="60F9F866" w:rsidR="1FD14857">
        <w:rPr>
          <w:noProof w:val="0"/>
          <w:lang w:val="en-GB"/>
        </w:rPr>
        <w:t>employees</w:t>
      </w:r>
      <w:r w:rsidRPr="60F9F866" w:rsidR="48B91AC0">
        <w:rPr>
          <w:noProof w:val="0"/>
          <w:lang w:val="en-GB"/>
        </w:rPr>
        <w:t xml:space="preserve"> expectations </w:t>
      </w:r>
    </w:p>
    <w:p w:rsidR="249069C1" w:rsidP="441503CA" w:rsidRDefault="249069C1" w14:paraId="47777CDA" w14:textId="6AF2168C">
      <w:pPr>
        <w:spacing w:before="240" w:beforeAutospacing="off" w:after="240" w:afterAutospacing="off"/>
      </w:pPr>
      <w:r w:rsidRPr="60F9F866" w:rsidR="2D0D9F56">
        <w:rPr>
          <w:rFonts w:ascii="Calibri" w:hAnsi="Calibri" w:eastAsia="Calibri" w:cs="Calibri"/>
          <w:noProof w:val="0"/>
          <w:sz w:val="22"/>
          <w:szCs w:val="22"/>
          <w:lang w:val="en-GB"/>
        </w:rPr>
        <w:t>The individual identified for development is a Band 3 Healthcare Support Worker (HCSW) working within an NHS hospital ward. The individual provides direct patient care under the supervision of registered nurses, including assisting patients with personal hygiene, supporting mobility, monitoring basic observations within their competence and contributing to the maintenance of patient safety. Through routine supervision and performance reviews, it has been identified that the individual demonstrates commitment to patient care but would benefit from further development in leadership, communication and the coordination of care.</w:t>
      </w:r>
    </w:p>
    <w:p w:rsidR="249069C1" w:rsidP="441503CA" w:rsidRDefault="249069C1" w14:paraId="6E93015F" w14:textId="715631DD">
      <w:pPr>
        <w:spacing w:before="240" w:beforeAutospacing="off" w:after="240" w:afterAutospacing="off"/>
      </w:pPr>
      <w:r w:rsidRPr="60F9F866" w:rsidR="2D0D9F56">
        <w:rPr>
          <w:rFonts w:ascii="Calibri" w:hAnsi="Calibri" w:eastAsia="Calibri" w:cs="Calibri"/>
          <w:noProof w:val="0"/>
          <w:sz w:val="22"/>
          <w:szCs w:val="22"/>
          <w:lang w:val="en-GB"/>
        </w:rPr>
        <w:t xml:space="preserve">The proposed development will focus primarily on </w:t>
      </w:r>
      <w:r w:rsidRPr="60F9F866" w:rsidR="2D0D9F56">
        <w:rPr>
          <w:rFonts w:ascii="Calibri" w:hAnsi="Calibri" w:eastAsia="Calibri" w:cs="Calibri"/>
          <w:b w:val="1"/>
          <w:bCs w:val="1"/>
          <w:noProof w:val="0"/>
          <w:sz w:val="22"/>
          <w:szCs w:val="22"/>
          <w:lang w:val="en-GB"/>
        </w:rPr>
        <w:t>management and leadership development</w:t>
      </w:r>
      <w:r w:rsidRPr="60F9F866" w:rsidR="2D0D9F56">
        <w:rPr>
          <w:rFonts w:ascii="Calibri" w:hAnsi="Calibri" w:eastAsia="Calibri" w:cs="Calibri"/>
          <w:noProof w:val="0"/>
          <w:sz w:val="22"/>
          <w:szCs w:val="22"/>
          <w:lang w:val="en-GB"/>
        </w:rPr>
        <w:t>, rather than career development alone. This is because the individual will be supported to develop the skills and confidence required to take on additional responsibilities, coordinate delegated activities appropriately and potentially progress towards a senior healthcare support role. Development activities may include mentoring from an experienced senior healthcare support worker, leadership training, shadowing a ward coordinator and participating in team meetings. These activities would provide opportunities to develop communication, decision-making, teamwork and problem-solving skills.</w:t>
      </w:r>
    </w:p>
    <w:p w:rsidR="249069C1" w:rsidP="441503CA" w:rsidRDefault="249069C1" w14:paraId="01979204" w14:textId="7F00F31E">
      <w:pPr>
        <w:spacing w:before="240" w:beforeAutospacing="off" w:after="240" w:afterAutospacing="off"/>
      </w:pPr>
      <w:r w:rsidRPr="60F9F866" w:rsidR="2D0D9F56">
        <w:rPr>
          <w:rFonts w:ascii="Calibri" w:hAnsi="Calibri" w:eastAsia="Calibri" w:cs="Calibri"/>
          <w:noProof w:val="0"/>
          <w:sz w:val="22"/>
          <w:szCs w:val="22"/>
          <w:lang w:val="en-GB"/>
        </w:rPr>
        <w:t xml:space="preserve">The decision to focus on management and leadership development reflects the importance of effective leadership in healthcare settings, where staff must work collaboratively to </w:t>
      </w:r>
      <w:r w:rsidRPr="60F9F866" w:rsidR="2D0D9F56">
        <w:rPr>
          <w:rFonts w:ascii="Calibri" w:hAnsi="Calibri" w:eastAsia="Calibri" w:cs="Calibri"/>
          <w:noProof w:val="0"/>
          <w:sz w:val="22"/>
          <w:szCs w:val="22"/>
          <w:lang w:val="en-GB"/>
        </w:rPr>
        <w:t>maintain</w:t>
      </w:r>
      <w:r w:rsidRPr="60F9F866" w:rsidR="2D0D9F56">
        <w:rPr>
          <w:rFonts w:ascii="Calibri" w:hAnsi="Calibri" w:eastAsia="Calibri" w:cs="Calibri"/>
          <w:noProof w:val="0"/>
          <w:sz w:val="22"/>
          <w:szCs w:val="22"/>
          <w:lang w:val="en-GB"/>
        </w:rPr>
        <w:t xml:space="preserve"> patient safety and deliver high-quality care. The NHS Leadership Academy (2013) emphasises the importance of shared leadership, effective </w:t>
      </w:r>
      <w:r w:rsidRPr="60F9F866" w:rsidR="2D0D9F56">
        <w:rPr>
          <w:rFonts w:ascii="Calibri" w:hAnsi="Calibri" w:eastAsia="Calibri" w:cs="Calibri"/>
          <w:noProof w:val="0"/>
          <w:sz w:val="22"/>
          <w:szCs w:val="22"/>
          <w:lang w:val="en-GB"/>
        </w:rPr>
        <w:t>communication</w:t>
      </w:r>
      <w:r w:rsidRPr="60F9F866" w:rsidR="2D0D9F56">
        <w:rPr>
          <w:rFonts w:ascii="Calibri" w:hAnsi="Calibri" w:eastAsia="Calibri" w:cs="Calibri"/>
          <w:noProof w:val="0"/>
          <w:sz w:val="22"/>
          <w:szCs w:val="22"/>
          <w:lang w:val="en-GB"/>
        </w:rPr>
        <w:t xml:space="preserve"> and the development of leadership capabilities throughout healthcare organisations. Supporting the individual to develop these competencies may improve their confidence, contribute to effective </w:t>
      </w:r>
      <w:r w:rsidRPr="60F9F866" w:rsidR="2D0D9F56">
        <w:rPr>
          <w:rFonts w:ascii="Calibri" w:hAnsi="Calibri" w:eastAsia="Calibri" w:cs="Calibri"/>
          <w:noProof w:val="0"/>
          <w:sz w:val="22"/>
          <w:szCs w:val="22"/>
          <w:lang w:val="en-GB"/>
        </w:rPr>
        <w:t>teamwork</w:t>
      </w:r>
      <w:r w:rsidRPr="60F9F866" w:rsidR="2D0D9F56">
        <w:rPr>
          <w:rFonts w:ascii="Calibri" w:hAnsi="Calibri" w:eastAsia="Calibri" w:cs="Calibri"/>
          <w:noProof w:val="0"/>
          <w:sz w:val="22"/>
          <w:szCs w:val="22"/>
          <w:lang w:val="en-GB"/>
        </w:rPr>
        <w:t xml:space="preserve"> and prepare them for greater responsibility within the ward environment.</w:t>
      </w:r>
    </w:p>
    <w:p w:rsidR="249069C1" w:rsidP="441503CA" w:rsidRDefault="249069C1" w14:paraId="26C8F6A0" w14:textId="0EADCACB">
      <w:pPr>
        <w:spacing w:before="240" w:beforeAutospacing="off" w:after="240" w:afterAutospacing="off"/>
      </w:pPr>
      <w:r w:rsidRPr="60F9F866" w:rsidR="2D0D9F56">
        <w:rPr>
          <w:rFonts w:ascii="Calibri" w:hAnsi="Calibri" w:eastAsia="Calibri" w:cs="Calibri"/>
          <w:noProof w:val="0"/>
          <w:sz w:val="22"/>
          <w:szCs w:val="22"/>
          <w:lang w:val="en-GB"/>
        </w:rPr>
        <w:t>Overall, management and leadership development has been selected because it addresses the individual's identified learning needs while supporting the hospital's wider objectives of improving staff capability, teamwork and patient care. Progress should be reviewed through supervision, reflective practice and feedback from the individual and their manager. Any additional responsibilities must remain within the individual's competence, role boundaries and relevant hospital policies.</w:t>
      </w:r>
    </w:p>
    <w:p w:rsidR="249069C1" w:rsidP="60F9F866" w:rsidRDefault="249069C1" w14:paraId="72441427" w14:textId="7F20864C">
      <w:pPr>
        <w:pStyle w:val="Heading1"/>
      </w:pPr>
      <w:r w:rsidRPr="60F9F866" w:rsidR="17964771">
        <w:rPr>
          <w:noProof w:val="0"/>
          <w:lang w:val="en-GB"/>
        </w:rPr>
        <w:t xml:space="preserve">Hollands model of vocational choice </w:t>
      </w:r>
    </w:p>
    <w:p w:rsidR="249069C1" w:rsidP="60F9F866" w:rsidRDefault="249069C1" w14:paraId="04C244CC" w14:textId="669B860B">
      <w:pPr>
        <w:pStyle w:val="Normal"/>
        <w:spacing w:before="240" w:beforeAutospacing="off" w:after="240" w:afterAutospacing="off"/>
      </w:pPr>
      <w:r w:rsidRPr="60F9F866" w:rsidR="2769C1D0">
        <w:rPr>
          <w:rFonts w:ascii="Calibri" w:hAnsi="Calibri" w:eastAsia="Calibri" w:cs="Calibri"/>
          <w:noProof w:val="0"/>
          <w:sz w:val="22"/>
          <w:szCs w:val="22"/>
          <w:lang w:val="en-GB"/>
        </w:rPr>
        <w:t>Holland’s Model of Vocational Choice, developed by Holland (1997), suggests that individuals are more likely to experience job satisfaction and successful career development when their personality, interests and abilities align with the characteristics of their working environment. The model identifies six personality types, commonly referred to as RIASEC: Realistic, Investigative, Artistic, Social, Enterprising and Conventional. In a hospital environment, this theory can be applied to identify suitable development opportunities for healthcare employees based on their individual strengths and preferences. For example, a Healthcare Support Worker who demonstrates strong Social characteristics may be motivated by supporting patients, communicating with colleagues and working collaboratively as part of a multidisciplinary team. Recognising these characteristics can help managers identify appropriate training, mentoring and career progression opportunities, potentially improving employee engagement, motivation and job satisfaction. However, Holland’s model has limitations because career choices are also influenced by organisational opportunities, qualifications, financial circumstances and workforce demands. Therefore, while the model can support individual development planning within a learning organisation, it should be used alongside performance appraisals, discussions about career aspirations and assessments of learning needs to ensure that development opportunities meet both individual and organisational objectives</w:t>
      </w:r>
    </w:p>
    <w:p w:rsidR="249069C1" w:rsidP="60F9F866" w:rsidRDefault="249069C1" w14:paraId="04B2CF27" w14:textId="711BD1B2">
      <w:pPr>
        <w:pStyle w:val="Heading1"/>
      </w:pPr>
      <w:r w:rsidRPr="60F9F866" w:rsidR="1DFF6D14">
        <w:rPr>
          <w:noProof w:val="0"/>
          <w:lang w:val="en-GB"/>
        </w:rPr>
        <w:t>Scheins Career Anchors</w:t>
      </w:r>
    </w:p>
    <w:p w:rsidR="249069C1" w:rsidP="60F9F866" w:rsidRDefault="249069C1" w14:paraId="2A2F50E6" w14:textId="70EEBA41">
      <w:pPr>
        <w:pStyle w:val="Normal"/>
        <w:rPr>
          <w:noProof w:val="0"/>
          <w:lang w:val="en-GB"/>
        </w:rPr>
      </w:pPr>
    </w:p>
    <w:p w:rsidR="249069C1" w:rsidP="60F9F866" w:rsidRDefault="249069C1" w14:paraId="07404236" w14:textId="60A33792">
      <w:pPr>
        <w:pStyle w:val="Normal"/>
        <w:spacing w:before="240" w:beforeAutospacing="off" w:after="240" w:afterAutospacing="off"/>
      </w:pPr>
      <w:r w:rsidRPr="60F9F866" w:rsidR="1DFF6D14">
        <w:rPr>
          <w:rFonts w:ascii="Calibri" w:hAnsi="Calibri" w:eastAsia="Calibri" w:cs="Calibri"/>
          <w:noProof w:val="0"/>
          <w:sz w:val="22"/>
          <w:szCs w:val="22"/>
          <w:lang w:val="en-GB"/>
        </w:rPr>
        <w:t>Schein’s Career Anchor Theory, developed by Schein (1990), suggests that an individual’s career decisions are influenced by their personal values, motivations, abilities and perceptions of their own competencies. Schein identified eight career anchors: technical/functional competence, general managerial competence, autonomy/independence, security/stability, entrepreneurial creativity, service/dedication to a cause, pure challenge and lifestyle. These anchors represent the values and priorities that individuals are often reluctant to compromise when making career decisions. Within a hospital environment, for example, a Healthcare Support Worker who demonstrates a strong service/dedication to a cause anchor may be motivated by improving patient wellbeing and providing compassionate care, whereas an employee with a general managerial competence anchor may aspire to progress into a senior support worker or ward management role. Understanding these motivations can help managers develop individualised learning and development plans that align employees’ career aspirations with organisational objectives. This may improve motivation, job satisfaction, employee retention and engagement with continuous professional development. However, career anchors should not be viewed as fixed characteristics, as employees’ priorities may evolve in response to personal circumstances, workplace experiences and changing career opportunities. Therefore, Schein’s theory can support the development of a learning organisation by encouraging managers to recognise individual differences and provide appropriate training, mentoring and career progression opportunities that benefit both employees and the organisation.</w:t>
      </w:r>
    </w:p>
    <w:p w:rsidR="249069C1" w:rsidP="60F9F866" w:rsidRDefault="249069C1" w14:paraId="252AA451" w14:textId="61A2AE18">
      <w:pPr>
        <w:pStyle w:val="Heading1"/>
      </w:pPr>
      <w:r w:rsidRPr="60F9F866" w:rsidR="735A4E1C">
        <w:rPr>
          <w:noProof w:val="0"/>
          <w:lang w:val="en-GB"/>
        </w:rPr>
        <w:t>Matching</w:t>
      </w:r>
      <w:r w:rsidRPr="60F9F866" w:rsidR="735A4E1C">
        <w:rPr>
          <w:noProof w:val="0"/>
          <w:lang w:val="en-GB"/>
        </w:rPr>
        <w:t xml:space="preserve"> individual with organisational need </w:t>
      </w:r>
    </w:p>
    <w:p w:rsidR="249069C1" w:rsidP="441503CA" w:rsidRDefault="249069C1" w14:paraId="70149103" w14:textId="397F93F7">
      <w:pPr>
        <w:spacing w:before="240" w:beforeAutospacing="off" w:after="240" w:afterAutospacing="off"/>
      </w:pPr>
      <w:r w:rsidRPr="60F9F866" w:rsidR="7A97F4A1">
        <w:rPr>
          <w:rFonts w:ascii="Calibri" w:hAnsi="Calibri" w:eastAsia="Calibri" w:cs="Calibri"/>
          <w:noProof w:val="0"/>
          <w:sz w:val="22"/>
          <w:szCs w:val="22"/>
          <w:lang w:val="en-GB"/>
        </w:rPr>
        <w:t>Matching individual development needs with organisational objectives is an essential component of effective human resource management and the development of a learning organisation. In a hospital environment, identifying an employee’s strengths, career aspirations and learning needs enables managers to create development plans that support both professional growth and the delivery of high-quality patient care. For example, a Band 3 Healthcare Support Worker (HCSW) may demonstrate strong interpersonal skills, compassion and a commitment to supporting patients, but require further development in leadership, communication and the coordination of delegated activities. Holland’s Model of Vocational Choice (1997) can help managers understand the individual’s vocational interests and suitability for particular roles, while Schein’s Career Anchor Theory (1990) provides insight into the values and motivations that influence career decisions. If the employee identifies strongly with the social or service-oriented aspects of healthcare, they may be motivated by improving patient wellbeing and contributing to the multidisciplinary team. Alternatively, a preference for managerial responsibility may indicate an interest in progressing towards a senior healthcare support role. These theories can therefore inform discussions about the individual’s development needs and career aspirations. However, they should be used alongside performance appraisals, supervision and skills assessments rather than as the sole basis for development decisions.</w:t>
      </w:r>
    </w:p>
    <w:p w:rsidR="249069C1" w:rsidP="441503CA" w:rsidRDefault="249069C1" w14:paraId="57EDA75F" w14:textId="6C30F4BE">
      <w:pPr>
        <w:spacing w:before="240" w:beforeAutospacing="off" w:after="240" w:afterAutospacing="off"/>
      </w:pPr>
      <w:r w:rsidRPr="60F9F866" w:rsidR="7A97F4A1">
        <w:rPr>
          <w:rFonts w:ascii="Calibri" w:hAnsi="Calibri" w:eastAsia="Calibri" w:cs="Calibri"/>
          <w:noProof w:val="0"/>
          <w:sz w:val="22"/>
          <w:szCs w:val="22"/>
          <w:lang w:val="en-GB"/>
        </w:rPr>
        <w:t>The individual’s development needs must also align with the hospital’s organisational objectives, including patient safety, effective teamwork, workforce development and the continuous improvement of care quality. The Michigan Model of Human Resource Management, developed by Fombrun, Tichy and Devanna (1984), highlights the importance of aligning human resource practices with organisational strategy. Applying this approach, the hospital could establish a structured development plan incorporating mentoring, relevant training, reflective practice and opportunities to shadow experienced senior staff. Progress could be evaluated through supervision, feedback, completion of agreed learning objectives and evidence that the employee applies new skills appropriately within their role. This approach may improve individual confidence and competence while contributing to wider organisational performance. Furthermore, Senge’s (1990) concept of the learning organisation supports the importance of continuous learning, shared knowledge and reflection in developing a workforce that can adapt to changing healthcare demands. Nevertheless, organisational priorities should not overshadow the employee’s wellbeing or personal career goals. A balanced development plan should therefore address identified performance gaps while providing realistic opportunities for progression. Overall, aligning individual development needs with organisational objectives enables the hospital to invest in its workforce strategically, support employee engagement and strengthen its capacity to deliver safe, effective and person-centred care.</w:t>
      </w:r>
    </w:p>
    <w:p w:rsidR="249069C1" w:rsidP="60F9F866" w:rsidRDefault="249069C1" w14:paraId="6DD0E98F" w14:textId="647960F2">
      <w:pPr>
        <w:pStyle w:val="Heading1"/>
      </w:pPr>
      <w:r w:rsidRPr="60F9F866" w:rsidR="5FA75C1C">
        <w:rPr>
          <w:noProof w:val="0"/>
          <w:lang w:val="en-GB"/>
        </w:rPr>
        <w:t xml:space="preserve">What development </w:t>
      </w:r>
      <w:r w:rsidRPr="60F9F866" w:rsidR="5FA75C1C">
        <w:rPr>
          <w:noProof w:val="0"/>
          <w:lang w:val="en-GB"/>
        </w:rPr>
        <w:t>vehicle's</w:t>
      </w:r>
      <w:r w:rsidRPr="60F9F866" w:rsidR="5FA75C1C">
        <w:rPr>
          <w:noProof w:val="0"/>
          <w:lang w:val="en-GB"/>
        </w:rPr>
        <w:t xml:space="preserve"> are available and suitable for the individual </w:t>
      </w:r>
    </w:p>
    <w:p w:rsidR="249069C1" w:rsidP="441503CA" w:rsidRDefault="249069C1" w14:paraId="32FE749E" w14:textId="2CF4E611">
      <w:pPr>
        <w:spacing w:before="240" w:beforeAutospacing="off" w:after="240" w:afterAutospacing="off"/>
      </w:pPr>
      <w:r w:rsidRPr="60F9F866" w:rsidR="3F17C27E">
        <w:rPr>
          <w:rFonts w:ascii="Calibri" w:hAnsi="Calibri" w:eastAsia="Calibri" w:cs="Calibri"/>
          <w:noProof w:val="0"/>
          <w:sz w:val="22"/>
          <w:szCs w:val="22"/>
          <w:lang w:val="en-GB"/>
        </w:rPr>
        <w:t>Once the individual’s development needs have been identified and aligned with the hospital’s organisational objectives, the next stage is to determine the most appropriate development vehicles to support learning and professional growth. Development vehicles refer to the methods, systems and activities used by organisations to improve employees’ knowledge, skills and competencies. Within a hospital environment, these may include formal training programmes, internal mentoring, coaching, job shadowing, workplace learning and continuing professional development (CPD). For the identified Band 3 Healthcare Support Worker (HCSW), the primary development needs relate to leadership, communication, teamwork and the appropriate coordination of delegated activities. Therefore, a blended approach combining structured training with practical workplace development would be suitable, as it would enable the individual to acquire theoretical knowledge and apply it within their role.</w:t>
      </w:r>
    </w:p>
    <w:p w:rsidR="249069C1" w:rsidP="441503CA" w:rsidRDefault="249069C1" w14:paraId="5C41F67E" w14:textId="5132E89C">
      <w:pPr>
        <w:spacing w:before="240" w:beforeAutospacing="off" w:after="240" w:afterAutospacing="off"/>
      </w:pPr>
      <w:r w:rsidRPr="60F9F866" w:rsidR="3F17C27E">
        <w:rPr>
          <w:rFonts w:ascii="Calibri" w:hAnsi="Calibri" w:eastAsia="Calibri" w:cs="Calibri"/>
          <w:noProof w:val="0"/>
          <w:sz w:val="22"/>
          <w:szCs w:val="22"/>
          <w:lang w:val="en-GB"/>
        </w:rPr>
        <w:t>One suitable development vehicle is a formal training programme. This could include leadership and communication training, conflict resolution, teamworking and relevant patient safety education. Formal training provides a structured learning environment in which the individual can develop specific competencies and demonstrate their understanding through assessments. The hospital’s learning and development department could support this process by identifying appropriate courses, agreeing learning objectives and monitoring completion. This approach aligns with the Michigan Model of Human Resource Management, which emphasises the importance of integrating employee development with organisational strategy (Fombrun, Tichy and Devanna, 1984). For example, leadership training could help the employee develop confidence in communicating with colleagues, recognising problems and escalating concerns appropriately. However, formal training may require financial resources, staff cover and time away from normal duties. Furthermore, completing a course does not necessarily demonstrate that learning has transferred into workplace practice. Therefore, formal training should be complemented by practical development opportunities and ongoing supervision.</w:t>
      </w:r>
    </w:p>
    <w:p w:rsidR="249069C1" w:rsidP="441503CA" w:rsidRDefault="249069C1" w14:paraId="30432CF4" w14:textId="5103629F">
      <w:pPr>
        <w:spacing w:before="240" w:beforeAutospacing="off" w:after="240" w:afterAutospacing="off"/>
      </w:pPr>
      <w:r w:rsidRPr="60F9F866" w:rsidR="3F17C27E">
        <w:rPr>
          <w:rFonts w:ascii="Calibri" w:hAnsi="Calibri" w:eastAsia="Calibri" w:cs="Calibri"/>
          <w:noProof w:val="0"/>
          <w:sz w:val="22"/>
          <w:szCs w:val="22"/>
          <w:lang w:val="en-GB"/>
        </w:rPr>
        <w:t>Internal mentoring would be another appropriate development vehicle for the individual. This would involve pairing the HCSW with an experienced senior healthcare support worker or another suitably trained member of staff who can provide guidance, constructive feedback and opportunities for reflection. Mentoring can support the development of professional confidence, communication and an understanding of effective teamwork within the hospital environment. It may also enable the individual to learn from the experience of established employees, making development relevant to the practical demands of the ward. This approach is consistent with Senge’s (1990) concept of the learning organisation, which emphasises continuous learning and the sharing of knowledge. In addition, mentoring may be particularly useful when considering Schein’s Career Anchor Theory, as regular discussions can help the individual explore their career motivations, personal values and future aspirations. Nevertheless, mentoring requires appropriate staff availability, clear objectives and sufficient time. Mentors should also receive suitable guidance to ensure that advice is consistent with hospital policies, professional boundaries and the individual’s scope of practice.</w:t>
      </w:r>
    </w:p>
    <w:p w:rsidR="249069C1" w:rsidP="441503CA" w:rsidRDefault="249069C1" w14:paraId="23F02F7D" w14:textId="4C55D42E">
      <w:pPr>
        <w:spacing w:before="240" w:beforeAutospacing="off" w:after="240" w:afterAutospacing="off"/>
      </w:pPr>
      <w:r w:rsidRPr="60F9F866" w:rsidR="3F17C27E">
        <w:rPr>
          <w:rFonts w:ascii="Calibri" w:hAnsi="Calibri" w:eastAsia="Calibri" w:cs="Calibri"/>
          <w:noProof w:val="0"/>
          <w:sz w:val="22"/>
          <w:szCs w:val="22"/>
          <w:lang w:val="en-GB"/>
        </w:rPr>
        <w:t>In evaluating the available development vehicles, a blended approach is likely to be the most appropriate option for the identified individual. Formal training would provide a foundation of knowledge, while mentoring, coaching and job shadowing would enable the individual to apply and develop these skills in practice. This combination may be more effective than relying exclusively on a classroom-based course or informal workplace learning. It also reflects the Michigan Model’s emphasis on aligning development with organisational performance and Senge’s view that learning should be embedded within organisational culture. The hospital should evaluate the effectiveness of the development plan by considering whether the individual has achieved the agreed learning objectives, demonstrated improved competence and contributed positively to teamwork and patient care. Ultimately, the most suitable development vehicle is one that meets the employee’s identified needs, supports realistic career progression and contributes to the hospital’s commitment to safe, effective and person-centred care.</w:t>
      </w:r>
    </w:p>
    <w:p w:rsidR="249069C1" w:rsidP="60F9F866" w:rsidRDefault="249069C1" w14:paraId="21D15EF4" w14:textId="3C0B5598">
      <w:pPr>
        <w:pStyle w:val="Heading1"/>
      </w:pPr>
      <w:r w:rsidRPr="60F9F866" w:rsidR="6A64DB39">
        <w:rPr>
          <w:noProof w:val="0"/>
          <w:lang w:val="en-GB"/>
        </w:rPr>
        <w:t>Identifying</w:t>
      </w:r>
      <w:r w:rsidRPr="60F9F866" w:rsidR="6A64DB39">
        <w:rPr>
          <w:noProof w:val="0"/>
          <w:lang w:val="en-GB"/>
        </w:rPr>
        <w:t xml:space="preserve"> development needs for an individual and performance </w:t>
      </w:r>
      <w:r w:rsidRPr="60F9F866" w:rsidR="55719552">
        <w:rPr>
          <w:noProof w:val="0"/>
          <w:lang w:val="en-GB"/>
        </w:rPr>
        <w:t>management</w:t>
      </w:r>
      <w:r w:rsidRPr="60F9F866" w:rsidR="6A64DB39">
        <w:rPr>
          <w:noProof w:val="0"/>
          <w:lang w:val="en-GB"/>
        </w:rPr>
        <w:t xml:space="preserve"> </w:t>
      </w:r>
    </w:p>
    <w:p w:rsidR="249069C1" w:rsidP="441503CA" w:rsidRDefault="249069C1" w14:paraId="2853CBB7" w14:textId="5AE1B193">
      <w:pPr>
        <w:spacing w:before="240" w:beforeAutospacing="off" w:after="240" w:afterAutospacing="off"/>
      </w:pPr>
      <w:r w:rsidRPr="60F9F866" w:rsidR="03314636">
        <w:rPr>
          <w:rFonts w:ascii="Calibri" w:hAnsi="Calibri" w:eastAsia="Calibri" w:cs="Calibri"/>
          <w:noProof w:val="0"/>
          <w:sz w:val="22"/>
          <w:szCs w:val="22"/>
          <w:lang w:val="en-GB"/>
        </w:rPr>
        <w:t>Monitoring and evaluating individual performance development is essential to ensure that learning activities achieve their intended outcomes and contribute to organisational objectives. Within a hospital environment, it is important to establish whether the identified Band 3 Healthcare Support Worker (HCSW) has developed the knowledge, skills and confidence required to improve workplace practice. Evaluation should therefore extend beyond confirming attendance at training sessions and consider whether learning has been retained, applied in practice and translated into improved performance. A structured evaluation strategy can incorporate Kirkpatrick’s Four Levels of Training Evaluation, Miller’s Pyramid of Clinical Competence, formative and summative assessment, feedback strategies and regular performance appraisals. These approaches provide complementary methods for measuring development and identifying further learning needs.</w:t>
      </w:r>
    </w:p>
    <w:p w:rsidR="249069C1" w:rsidP="60F9F866" w:rsidRDefault="249069C1" w14:paraId="4DACD64E" w14:textId="44697ABD">
      <w:pPr>
        <w:pStyle w:val="Heading3"/>
        <w:spacing w:before="281" w:beforeAutospacing="off" w:after="281" w:afterAutospacing="off"/>
      </w:pPr>
      <w:r w:rsidRPr="60F9F866" w:rsidR="03314636">
        <w:rPr>
          <w:rFonts w:ascii="Calibri" w:hAnsi="Calibri" w:eastAsia="Calibri" w:cs="Calibri"/>
          <w:b w:val="1"/>
          <w:bCs w:val="1"/>
          <w:noProof w:val="0"/>
          <w:sz w:val="28"/>
          <w:szCs w:val="28"/>
          <w:lang w:val="en-GB"/>
        </w:rPr>
        <w:t>Kirkpatrick’s Four Levels of Training Evaluation</w:t>
      </w:r>
    </w:p>
    <w:p w:rsidR="249069C1" w:rsidP="441503CA" w:rsidRDefault="249069C1" w14:paraId="492AC648" w14:textId="6BDD7AC9">
      <w:pPr>
        <w:spacing w:before="240" w:beforeAutospacing="off" w:after="240" w:afterAutospacing="off"/>
      </w:pPr>
      <w:r w:rsidRPr="60F9F866" w:rsidR="03314636">
        <w:rPr>
          <w:rFonts w:ascii="Calibri" w:hAnsi="Calibri" w:eastAsia="Calibri" w:cs="Calibri"/>
          <w:noProof w:val="0"/>
          <w:sz w:val="22"/>
          <w:szCs w:val="22"/>
          <w:lang w:val="en-GB"/>
        </w:rPr>
        <w:t>Kirkpatrick’s model (1994) provides a framework for evaluating the effectiveness of training through four levels: reaction, learning, behaviour and results. At the reaction level, the hospital would evaluate the employee’s response to the training through feedback questionnaires or discussions to establish whether the learning was relevant and appropriate. At the learning level, knowledge and understanding could be assessed through quizzes, written activities or scenario-based questions. The behaviour level would examine whether the HCSW applies the learning in the workplace, for example by communicating more effectively during handovers or escalating patient concerns appropriately. Finally, the results level would consider whether the development has contributed to wider organisational outcomes, such as improved teamwork, more consistent working practices or progress against relevant patient safety indicators.</w:t>
      </w:r>
    </w:p>
    <w:p w:rsidR="249069C1" w:rsidP="441503CA" w:rsidRDefault="249069C1" w14:paraId="792483AC" w14:textId="09470FB5">
      <w:pPr>
        <w:spacing w:before="240" w:beforeAutospacing="off" w:after="240" w:afterAutospacing="off"/>
      </w:pPr>
      <w:r w:rsidRPr="60F9F866" w:rsidR="03314636">
        <w:rPr>
          <w:rFonts w:ascii="Calibri" w:hAnsi="Calibri" w:eastAsia="Calibri" w:cs="Calibri"/>
          <w:noProof w:val="0"/>
          <w:sz w:val="22"/>
          <w:szCs w:val="22"/>
          <w:lang w:val="en-GB"/>
        </w:rPr>
        <w:t>This model is useful because it distinguishes between employee satisfaction with training and evidence of improved workplace performance. For example, an employee may report that leadership training was beneficial but still require support when applying the skills in practice. Therefore, evaluation should include workplace observation and follow-up supervision rather than relying exclusively on participant feedback. However, it may be difficult to attribute wider organisational outcomes directly to one employee’s development, as staffing levels, workload and team performance can also influence results. Kirkpatrick’s model should consequently be used alongside other assessment and performance management methods.</w:t>
      </w:r>
    </w:p>
    <w:p w:rsidR="249069C1" w:rsidP="60F9F866" w:rsidRDefault="249069C1" w14:paraId="2968139F" w14:textId="62FAA7DD">
      <w:pPr>
        <w:pStyle w:val="Heading3"/>
        <w:spacing w:before="281" w:beforeAutospacing="off" w:after="281" w:afterAutospacing="off"/>
      </w:pPr>
      <w:r w:rsidRPr="60F9F866" w:rsidR="03314636">
        <w:rPr>
          <w:rFonts w:ascii="Calibri" w:hAnsi="Calibri" w:eastAsia="Calibri" w:cs="Calibri"/>
          <w:b w:val="1"/>
          <w:bCs w:val="1"/>
          <w:noProof w:val="0"/>
          <w:sz w:val="28"/>
          <w:szCs w:val="28"/>
          <w:lang w:val="en-GB"/>
        </w:rPr>
        <w:t>Miller’s Pyramid of Clinical Competence</w:t>
      </w:r>
    </w:p>
    <w:p w:rsidR="249069C1" w:rsidP="441503CA" w:rsidRDefault="249069C1" w14:paraId="0AAF0805" w14:textId="0C77282A">
      <w:pPr>
        <w:spacing w:before="240" w:beforeAutospacing="off" w:after="240" w:afterAutospacing="off"/>
      </w:pPr>
      <w:r w:rsidRPr="60F9F866" w:rsidR="03314636">
        <w:rPr>
          <w:rFonts w:ascii="Calibri" w:hAnsi="Calibri" w:eastAsia="Calibri" w:cs="Calibri"/>
          <w:noProof w:val="0"/>
          <w:sz w:val="22"/>
          <w:szCs w:val="22"/>
          <w:lang w:val="en-GB"/>
        </w:rPr>
        <w:t xml:space="preserve">Miller’s pyramid (1990) provides a framework for assessing the development of professional competence, particularly in healthcare education. It consists of four levels: </w:t>
      </w:r>
      <w:r w:rsidRPr="60F9F866" w:rsidR="03314636">
        <w:rPr>
          <w:rFonts w:ascii="Calibri" w:hAnsi="Calibri" w:eastAsia="Calibri" w:cs="Calibri"/>
          <w:i w:val="1"/>
          <w:iCs w:val="1"/>
          <w:noProof w:val="0"/>
          <w:sz w:val="22"/>
          <w:szCs w:val="22"/>
          <w:lang w:val="en-GB"/>
        </w:rPr>
        <w:t>knows, knows how, shows how</w:t>
      </w:r>
      <w:r w:rsidRPr="60F9F866" w:rsidR="03314636">
        <w:rPr>
          <w:rFonts w:ascii="Calibri" w:hAnsi="Calibri" w:eastAsia="Calibri" w:cs="Calibri"/>
          <w:noProof w:val="0"/>
          <w:sz w:val="22"/>
          <w:szCs w:val="22"/>
          <w:lang w:val="en-GB"/>
        </w:rPr>
        <w:t xml:space="preserve"> and </w:t>
      </w:r>
      <w:r w:rsidRPr="60F9F866" w:rsidR="03314636">
        <w:rPr>
          <w:rFonts w:ascii="Calibri" w:hAnsi="Calibri" w:eastAsia="Calibri" w:cs="Calibri"/>
          <w:i w:val="1"/>
          <w:iCs w:val="1"/>
          <w:noProof w:val="0"/>
          <w:sz w:val="22"/>
          <w:szCs w:val="22"/>
          <w:lang w:val="en-GB"/>
        </w:rPr>
        <w:t>does</w:t>
      </w:r>
      <w:r w:rsidRPr="60F9F866" w:rsidR="03314636">
        <w:rPr>
          <w:rFonts w:ascii="Calibri" w:hAnsi="Calibri" w:eastAsia="Calibri" w:cs="Calibri"/>
          <w:noProof w:val="0"/>
          <w:sz w:val="22"/>
          <w:szCs w:val="22"/>
          <w:lang w:val="en-GB"/>
        </w:rPr>
        <w:t>. These levels represent progression from theoretical knowledge to the application of skills in practical situations and ultimately to performance in the workplace.</w:t>
      </w:r>
    </w:p>
    <w:p w:rsidR="249069C1" w:rsidP="441503CA" w:rsidRDefault="249069C1" w14:paraId="2812CF31" w14:textId="448CA2BA">
      <w:pPr>
        <w:spacing w:before="240" w:beforeAutospacing="off" w:after="240" w:afterAutospacing="off"/>
      </w:pPr>
      <w:r w:rsidRPr="60F9F866" w:rsidR="03314636">
        <w:rPr>
          <w:rFonts w:ascii="Calibri" w:hAnsi="Calibri" w:eastAsia="Calibri" w:cs="Calibri"/>
          <w:noProof w:val="0"/>
          <w:sz w:val="22"/>
          <w:szCs w:val="22"/>
          <w:lang w:val="en-GB"/>
        </w:rPr>
        <w:t xml:space="preserve">At the </w:t>
      </w:r>
      <w:r w:rsidRPr="60F9F866" w:rsidR="03314636">
        <w:rPr>
          <w:rFonts w:ascii="Calibri" w:hAnsi="Calibri" w:eastAsia="Calibri" w:cs="Calibri"/>
          <w:i w:val="1"/>
          <w:iCs w:val="1"/>
          <w:noProof w:val="0"/>
          <w:sz w:val="22"/>
          <w:szCs w:val="22"/>
          <w:lang w:val="en-GB"/>
        </w:rPr>
        <w:t>knows</w:t>
      </w:r>
      <w:r w:rsidRPr="60F9F866" w:rsidR="03314636">
        <w:rPr>
          <w:rFonts w:ascii="Calibri" w:hAnsi="Calibri" w:eastAsia="Calibri" w:cs="Calibri"/>
          <w:noProof w:val="0"/>
          <w:sz w:val="22"/>
          <w:szCs w:val="22"/>
          <w:lang w:val="en-GB"/>
        </w:rPr>
        <w:t xml:space="preserve"> level, the HCSW would demonstrate understanding of communication principles, patient safety procedures and role boundaries. At the </w:t>
      </w:r>
      <w:r w:rsidRPr="60F9F866" w:rsidR="03314636">
        <w:rPr>
          <w:rFonts w:ascii="Calibri" w:hAnsi="Calibri" w:eastAsia="Calibri" w:cs="Calibri"/>
          <w:i w:val="1"/>
          <w:iCs w:val="1"/>
          <w:noProof w:val="0"/>
          <w:sz w:val="22"/>
          <w:szCs w:val="22"/>
          <w:lang w:val="en-GB"/>
        </w:rPr>
        <w:t>knows how</w:t>
      </w:r>
      <w:r w:rsidRPr="60F9F866" w:rsidR="03314636">
        <w:rPr>
          <w:rFonts w:ascii="Calibri" w:hAnsi="Calibri" w:eastAsia="Calibri" w:cs="Calibri"/>
          <w:noProof w:val="0"/>
          <w:sz w:val="22"/>
          <w:szCs w:val="22"/>
          <w:lang w:val="en-GB"/>
        </w:rPr>
        <w:t xml:space="preserve"> level, the employee would explain how to respond to a situation, such as recognising a change in a patient’s condition and escalating concerns to a registered nurse. At the </w:t>
      </w:r>
      <w:r w:rsidRPr="60F9F866" w:rsidR="03314636">
        <w:rPr>
          <w:rFonts w:ascii="Calibri" w:hAnsi="Calibri" w:eastAsia="Calibri" w:cs="Calibri"/>
          <w:i w:val="1"/>
          <w:iCs w:val="1"/>
          <w:noProof w:val="0"/>
          <w:sz w:val="22"/>
          <w:szCs w:val="22"/>
          <w:lang w:val="en-GB"/>
        </w:rPr>
        <w:t>shows how</w:t>
      </w:r>
      <w:r w:rsidRPr="60F9F866" w:rsidR="03314636">
        <w:rPr>
          <w:rFonts w:ascii="Calibri" w:hAnsi="Calibri" w:eastAsia="Calibri" w:cs="Calibri"/>
          <w:noProof w:val="0"/>
          <w:sz w:val="22"/>
          <w:szCs w:val="22"/>
          <w:lang w:val="en-GB"/>
        </w:rPr>
        <w:t xml:space="preserve"> level, the employee could demonstrate the appropriate response through a simulated scenario or structured practical assessment. Finally, at the </w:t>
      </w:r>
      <w:r w:rsidRPr="60F9F866" w:rsidR="03314636">
        <w:rPr>
          <w:rFonts w:ascii="Calibri" w:hAnsi="Calibri" w:eastAsia="Calibri" w:cs="Calibri"/>
          <w:i w:val="1"/>
          <w:iCs w:val="1"/>
          <w:noProof w:val="0"/>
          <w:sz w:val="22"/>
          <w:szCs w:val="22"/>
          <w:lang w:val="en-GB"/>
        </w:rPr>
        <w:t>does</w:t>
      </w:r>
      <w:r w:rsidRPr="60F9F866" w:rsidR="03314636">
        <w:rPr>
          <w:rFonts w:ascii="Calibri" w:hAnsi="Calibri" w:eastAsia="Calibri" w:cs="Calibri"/>
          <w:noProof w:val="0"/>
          <w:sz w:val="22"/>
          <w:szCs w:val="22"/>
          <w:lang w:val="en-GB"/>
        </w:rPr>
        <w:t xml:space="preserve"> level, the employee would demonstrate the relevant behaviour consistently in their actual working environment.</w:t>
      </w:r>
    </w:p>
    <w:p w:rsidR="249069C1" w:rsidP="60F9F866" w:rsidRDefault="249069C1" w14:paraId="6610276C" w14:textId="01168B27">
      <w:pPr>
        <w:pStyle w:val="Heading3"/>
        <w:spacing w:before="281" w:beforeAutospacing="off" w:after="281" w:afterAutospacing="off"/>
      </w:pPr>
      <w:r w:rsidRPr="60F9F866" w:rsidR="03314636">
        <w:rPr>
          <w:rFonts w:ascii="Calibri" w:hAnsi="Calibri" w:eastAsia="Calibri" w:cs="Calibri"/>
          <w:b w:val="1"/>
          <w:bCs w:val="1"/>
          <w:noProof w:val="0"/>
          <w:sz w:val="28"/>
          <w:szCs w:val="28"/>
          <w:lang w:val="en-GB"/>
        </w:rPr>
        <w:t>Formative and Summative Assessment</w:t>
      </w:r>
    </w:p>
    <w:p w:rsidR="249069C1" w:rsidP="441503CA" w:rsidRDefault="249069C1" w14:paraId="61305046" w14:textId="19A3E6EA">
      <w:pPr>
        <w:spacing w:before="240" w:beforeAutospacing="off" w:after="240" w:afterAutospacing="off"/>
      </w:pPr>
      <w:r w:rsidRPr="60F9F866" w:rsidR="03314636">
        <w:rPr>
          <w:rFonts w:ascii="Calibri" w:hAnsi="Calibri" w:eastAsia="Calibri" w:cs="Calibri"/>
          <w:noProof w:val="0"/>
          <w:sz w:val="22"/>
          <w:szCs w:val="22"/>
          <w:lang w:val="en-GB"/>
        </w:rPr>
        <w:t xml:space="preserve">Formative and summative assessment can be used together to </w:t>
      </w:r>
      <w:r w:rsidRPr="60F9F866" w:rsidR="03314636">
        <w:rPr>
          <w:rFonts w:ascii="Calibri" w:hAnsi="Calibri" w:eastAsia="Calibri" w:cs="Calibri"/>
          <w:noProof w:val="0"/>
          <w:sz w:val="22"/>
          <w:szCs w:val="22"/>
          <w:lang w:val="en-GB"/>
        </w:rPr>
        <w:t>monitor</w:t>
      </w:r>
      <w:r w:rsidRPr="60F9F866" w:rsidR="03314636">
        <w:rPr>
          <w:rFonts w:ascii="Calibri" w:hAnsi="Calibri" w:eastAsia="Calibri" w:cs="Calibri"/>
          <w:noProof w:val="0"/>
          <w:sz w:val="22"/>
          <w:szCs w:val="22"/>
          <w:lang w:val="en-GB"/>
        </w:rPr>
        <w:t xml:space="preserve"> the HCSW’s progress throughout the development plan. Formative assessment takes place during learning and is intended to </w:t>
      </w:r>
      <w:r w:rsidRPr="60F9F866" w:rsidR="03314636">
        <w:rPr>
          <w:rFonts w:ascii="Calibri" w:hAnsi="Calibri" w:eastAsia="Calibri" w:cs="Calibri"/>
          <w:noProof w:val="0"/>
          <w:sz w:val="22"/>
          <w:szCs w:val="22"/>
          <w:lang w:val="en-GB"/>
        </w:rPr>
        <w:t>identify</w:t>
      </w:r>
      <w:r w:rsidRPr="60F9F866" w:rsidR="03314636">
        <w:rPr>
          <w:rFonts w:ascii="Calibri" w:hAnsi="Calibri" w:eastAsia="Calibri" w:cs="Calibri"/>
          <w:noProof w:val="0"/>
          <w:sz w:val="22"/>
          <w:szCs w:val="22"/>
          <w:lang w:val="en-GB"/>
        </w:rPr>
        <w:t xml:space="preserve"> strengths, address difficulties and guide further improvement. Examples include regular supervision, reflective discussions, feedback from a mentor, practice </w:t>
      </w:r>
      <w:r w:rsidRPr="60F9F866" w:rsidR="03314636">
        <w:rPr>
          <w:rFonts w:ascii="Calibri" w:hAnsi="Calibri" w:eastAsia="Calibri" w:cs="Calibri"/>
          <w:noProof w:val="0"/>
          <w:sz w:val="22"/>
          <w:szCs w:val="22"/>
          <w:lang w:val="en-GB"/>
        </w:rPr>
        <w:t>scenarios</w:t>
      </w:r>
      <w:r w:rsidRPr="60F9F866" w:rsidR="03314636">
        <w:rPr>
          <w:rFonts w:ascii="Calibri" w:hAnsi="Calibri" w:eastAsia="Calibri" w:cs="Calibri"/>
          <w:noProof w:val="0"/>
          <w:sz w:val="22"/>
          <w:szCs w:val="22"/>
          <w:lang w:val="en-GB"/>
        </w:rPr>
        <w:t xml:space="preserve"> and observation of communication during handovers. These activities allow the employee to receive guidance before a final assessment takes place.</w:t>
      </w:r>
    </w:p>
    <w:p w:rsidR="249069C1" w:rsidP="441503CA" w:rsidRDefault="249069C1" w14:paraId="750F7D64" w14:textId="32B8EFEA">
      <w:pPr>
        <w:spacing w:before="240" w:beforeAutospacing="off" w:after="240" w:afterAutospacing="off"/>
      </w:pPr>
      <w:r w:rsidRPr="60F9F866" w:rsidR="03314636">
        <w:rPr>
          <w:rFonts w:ascii="Calibri" w:hAnsi="Calibri" w:eastAsia="Calibri" w:cs="Calibri"/>
          <w:noProof w:val="0"/>
          <w:sz w:val="22"/>
          <w:szCs w:val="22"/>
          <w:lang w:val="en-GB"/>
        </w:rPr>
        <w:t>Constructive feedback is essential for helping employees understand their performance and identify opportunities for improvement. Feedback should be timely, specific, evidence-based and focused on observable behaviours rather than personal characteristics. For example, following a handover, a supervisor could acknowledge that the HCSW communicated clearly and then identify an area for improvement, such as ensuring that concerns are escalated promptly through the appropriate clinical pathway.</w:t>
      </w:r>
    </w:p>
    <w:p w:rsidR="249069C1" w:rsidP="441503CA" w:rsidRDefault="249069C1" w14:paraId="0163FC42" w14:textId="1271B006">
      <w:pPr>
        <w:spacing w:before="240" w:beforeAutospacing="off" w:after="240" w:afterAutospacing="off"/>
      </w:pPr>
      <w:r w:rsidRPr="60F9F866" w:rsidR="03314636">
        <w:rPr>
          <w:rFonts w:ascii="Calibri" w:hAnsi="Calibri" w:eastAsia="Calibri" w:cs="Calibri"/>
          <w:noProof w:val="0"/>
          <w:sz w:val="22"/>
          <w:szCs w:val="22"/>
          <w:lang w:val="en-GB"/>
        </w:rPr>
        <w:t xml:space="preserve"> safety, professional </w:t>
      </w:r>
      <w:r w:rsidRPr="60F9F866" w:rsidR="03314636">
        <w:rPr>
          <w:rFonts w:ascii="Calibri" w:hAnsi="Calibri" w:eastAsia="Calibri" w:cs="Calibri"/>
          <w:noProof w:val="0"/>
          <w:sz w:val="22"/>
          <w:szCs w:val="22"/>
          <w:lang w:val="en-GB"/>
        </w:rPr>
        <w:t>boundaries</w:t>
      </w:r>
      <w:r w:rsidRPr="60F9F866" w:rsidR="03314636">
        <w:rPr>
          <w:rFonts w:ascii="Calibri" w:hAnsi="Calibri" w:eastAsia="Calibri" w:cs="Calibri"/>
          <w:noProof w:val="0"/>
          <w:sz w:val="22"/>
          <w:szCs w:val="22"/>
          <w:lang w:val="en-GB"/>
        </w:rPr>
        <w:t xml:space="preserve"> and established procedures. Combining feedback from supervisors, mentors and the employee’s own reflective practice can provide a more comprehensive understanding of progress.</w:t>
      </w:r>
    </w:p>
    <w:p w:rsidR="249069C1" w:rsidP="60F9F866" w:rsidRDefault="249069C1" w14:paraId="3AD37E7F" w14:textId="49892FA3">
      <w:pPr>
        <w:pStyle w:val="Heading3"/>
        <w:spacing w:before="281" w:beforeAutospacing="off" w:after="281" w:afterAutospacing="off"/>
      </w:pPr>
      <w:r w:rsidRPr="60F9F866" w:rsidR="03314636">
        <w:rPr>
          <w:rFonts w:ascii="Calibri" w:hAnsi="Calibri" w:eastAsia="Calibri" w:cs="Calibri"/>
          <w:b w:val="1"/>
          <w:bCs w:val="1"/>
          <w:noProof w:val="0"/>
          <w:sz w:val="28"/>
          <w:szCs w:val="28"/>
          <w:lang w:val="en-GB"/>
        </w:rPr>
        <w:t>Performance Appraisals and Continuous Review</w:t>
      </w:r>
    </w:p>
    <w:p w:rsidR="249069C1" w:rsidP="441503CA" w:rsidRDefault="249069C1" w14:paraId="08BF1420" w14:textId="4E83A2F9">
      <w:pPr>
        <w:spacing w:before="240" w:beforeAutospacing="off" w:after="240" w:afterAutospacing="off"/>
      </w:pPr>
      <w:r w:rsidRPr="60F9F866" w:rsidR="03314636">
        <w:rPr>
          <w:rFonts w:ascii="Calibri" w:hAnsi="Calibri" w:eastAsia="Calibri" w:cs="Calibri"/>
          <w:noProof w:val="0"/>
          <w:sz w:val="22"/>
          <w:szCs w:val="22"/>
          <w:lang w:val="en-GB"/>
        </w:rPr>
        <w:t>Performance appraisals provide a formal opportunity to review the employee’s performance against agreed objectives, assess progress against the Personal Development Plan (PDP) and identify future learning requirements. Within the hospital, appraisal discussions should consider evidence from training assessments, workplace observations, supervision records and feedback. The manager and HCSW can then review whether the original development gaps have been addressed and agree further objectives where necessary.</w:t>
      </w:r>
    </w:p>
    <w:p w:rsidR="249069C1" w:rsidP="60F9F866" w:rsidRDefault="249069C1" w14:paraId="2D0C417A" w14:textId="07E686B4">
      <w:pPr>
        <w:pStyle w:val="Heading1"/>
      </w:pPr>
      <w:r w:rsidRPr="60F9F866" w:rsidR="77129168">
        <w:rPr>
          <w:noProof w:val="0"/>
          <w:lang w:val="en-GB"/>
        </w:rPr>
        <w:t>Conclusion</w:t>
      </w:r>
    </w:p>
    <w:p w:rsidR="249069C1" w:rsidP="441503CA" w:rsidRDefault="249069C1" w14:paraId="216A09D5" w14:textId="680A5F98">
      <w:pPr>
        <w:spacing w:before="240" w:beforeAutospacing="off" w:after="240" w:afterAutospacing="off"/>
      </w:pPr>
      <w:r w:rsidRPr="60F9F866" w:rsidR="77129168">
        <w:rPr>
          <w:rFonts w:ascii="Calibri" w:hAnsi="Calibri" w:eastAsia="Calibri" w:cs="Calibri"/>
          <w:noProof w:val="0"/>
          <w:sz w:val="22"/>
          <w:szCs w:val="22"/>
          <w:lang w:val="en-GB"/>
        </w:rPr>
        <w:t xml:space="preserve">Developing a learning organisation within a hospital environment requires a strategic approach to individual development, performance </w:t>
      </w:r>
      <w:r w:rsidRPr="60F9F866" w:rsidR="77129168">
        <w:rPr>
          <w:rFonts w:ascii="Calibri" w:hAnsi="Calibri" w:eastAsia="Calibri" w:cs="Calibri"/>
          <w:noProof w:val="0"/>
          <w:sz w:val="22"/>
          <w:szCs w:val="22"/>
          <w:lang w:val="en-GB"/>
        </w:rPr>
        <w:t>management</w:t>
      </w:r>
      <w:r w:rsidRPr="60F9F866" w:rsidR="77129168">
        <w:rPr>
          <w:rFonts w:ascii="Calibri" w:hAnsi="Calibri" w:eastAsia="Calibri" w:cs="Calibri"/>
          <w:noProof w:val="0"/>
          <w:sz w:val="22"/>
          <w:szCs w:val="22"/>
          <w:lang w:val="en-GB"/>
        </w:rPr>
        <w:t xml:space="preserve"> and continuous improvement. By applying Holland’s Model of Vocational Choice, Schein’s Career Anchor Theory and the Michigan Model of Human Resource Management, organisations can identify individual learning needs and align them with organisational </w:t>
      </w:r>
      <w:r w:rsidRPr="60F9F866" w:rsidR="77129168">
        <w:rPr>
          <w:rFonts w:ascii="Calibri" w:hAnsi="Calibri" w:eastAsia="Calibri" w:cs="Calibri"/>
          <w:noProof w:val="0"/>
          <w:sz w:val="22"/>
          <w:szCs w:val="22"/>
          <w:lang w:val="en-GB"/>
        </w:rPr>
        <w:t>objectives</w:t>
      </w:r>
      <w:r w:rsidRPr="60F9F866" w:rsidR="77129168">
        <w:rPr>
          <w:rFonts w:ascii="Calibri" w:hAnsi="Calibri" w:eastAsia="Calibri" w:cs="Calibri"/>
          <w:noProof w:val="0"/>
          <w:sz w:val="22"/>
          <w:szCs w:val="22"/>
          <w:lang w:val="en-GB"/>
        </w:rPr>
        <w:t>. For the identified Healthcare Support Worker, a combination of formal training, mentoring, coaching and workplace learning can support professional development, improve competence and prepare the individual for future responsibilities. Furthermore, using Kirkpatrick’s evaluation model, Miller’s pyramid, feedback strategies and performance appraisals enables progress to be monitored and development outcomes assessed. Ultimately, investing in employees’ development can strengthen workforce capability, encourage knowledge sharing and support the delivery of safe, effective and person-centred patient care.</w:t>
      </w:r>
    </w:p>
    <w:p w:rsidR="249069C1" w:rsidP="60F9F866" w:rsidRDefault="249069C1" w14:paraId="2090DCEA" w14:textId="02832DFC">
      <w:pPr>
        <w:pStyle w:val="Normal"/>
        <w:rPr>
          <w:noProof w:val="0"/>
          <w:lang w:val="en-GB"/>
        </w:rPr>
      </w:pPr>
    </w:p>
    <w:p w:rsidR="249069C1" w:rsidP="60F9F866" w:rsidRDefault="249069C1" w14:paraId="331E4190" w14:textId="3A526119">
      <w:pPr>
        <w:pStyle w:val="Normal"/>
        <w:rPr>
          <w:noProof w:val="0"/>
          <w:lang w:val="en-GB"/>
        </w:rPr>
      </w:pPr>
    </w:p>
    <w:p w:rsidR="249069C1" w:rsidP="60F9F866" w:rsidRDefault="249069C1" w14:paraId="42F2D1DF" w14:textId="78A330F7">
      <w:pPr>
        <w:pStyle w:val="Normal"/>
        <w:rPr>
          <w:noProof w:val="0"/>
          <w:lang w:val="en-GB"/>
        </w:rPr>
      </w:pPr>
    </w:p>
    <w:p w:rsidR="249069C1" w:rsidP="60F9F866" w:rsidRDefault="249069C1" w14:paraId="18E28867" w14:textId="58E219CF">
      <w:pPr>
        <w:spacing w:before="240" w:beforeAutospacing="off" w:after="240" w:afterAutospacing="off"/>
        <w:rPr>
          <w:rFonts w:ascii="Cambria" w:hAnsi="Cambria" w:eastAsia="Cambria" w:cs="Cambria"/>
          <w:noProof w:val="0"/>
          <w:sz w:val="24"/>
          <w:szCs w:val="24"/>
          <w:lang w:val="en-GB"/>
        </w:rPr>
      </w:pPr>
    </w:p>
    <w:p w:rsidR="5794CEAD" w:rsidP="5794CEAD" w:rsidRDefault="5794CEAD" w14:paraId="61756246" w14:textId="7F4E3A59">
      <w:pPr>
        <w:pStyle w:val="Normal"/>
        <w:rPr>
          <w:rFonts w:ascii="Cambria" w:hAnsi="Cambria" w:eastAsia="Cambria" w:cs="Cambria" w:asciiTheme="minorAscii" w:hAnsiTheme="minorAscii" w:eastAsiaTheme="minorAscii" w:cstheme="minorAscii"/>
          <w:b w:val="0"/>
          <w:bCs w:val="0"/>
          <w:noProof w:val="0"/>
          <w:sz w:val="24"/>
          <w:szCs w:val="24"/>
          <w:lang w:val="en-GB"/>
        </w:rPr>
      </w:pPr>
    </w:p>
    <w:p w:rsidR="2542C7E5" w:rsidP="2542C7E5" w:rsidRDefault="2542C7E5" w14:paraId="092F23E7" w14:textId="20077E53">
      <w:pPr>
        <w:pStyle w:val="Normal"/>
        <w:rPr>
          <w:rFonts w:ascii="Cambria" w:hAnsi="Cambria" w:eastAsia="Cambria" w:cs="Cambria" w:asciiTheme="minorAscii" w:hAnsiTheme="minorAscii" w:eastAsiaTheme="minorAscii" w:cstheme="minorAscii"/>
          <w:b w:val="0"/>
          <w:bCs w:val="0"/>
          <w:noProof w:val="0"/>
          <w:sz w:val="24"/>
          <w:szCs w:val="24"/>
          <w:lang w:val="en-GB"/>
        </w:rPr>
      </w:pPr>
    </w:p>
    <w:p w:rsidR="08E3D254" w:rsidP="2542C7E5" w:rsidRDefault="08E3D254" w14:paraId="69C68E54" w14:textId="198DA37D">
      <w:pPr>
        <w:rPr>
          <w:rFonts w:ascii="Cambria" w:hAnsi="Cambria" w:eastAsia="Cambria" w:cs="Cambri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542C7E5" w:rsidR="32C4E7AC">
        <w:rPr>
          <w:rFonts w:ascii="Cambria" w:hAnsi="Cambria" w:eastAsia="Cambria" w:cs="Cambri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p>
    <w:p w:rsidR="249069C1" w:rsidP="2542C7E5" w:rsidRDefault="249069C1" w14:paraId="59FF74ED" w14:textId="6FAC3F4A">
      <w:pPr>
        <w:rPr>
          <w:rFonts w:ascii="Cambria" w:hAnsi="Cambria" w:eastAsia="Cambria" w:cs="Cambri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249069C1" w:rsidP="60F9F866" w:rsidRDefault="249069C1" w14:paraId="5F3FDEAB" w14:textId="1C568671">
      <w:pPr>
        <w:pStyle w:val="Heading1"/>
      </w:pPr>
      <w:r w:rsidRPr="60F9F866" w:rsidR="6DAFB006">
        <w:rPr>
          <w:noProof w:val="0"/>
          <w:lang w:val="en-GB"/>
        </w:rPr>
        <w:t>References</w:t>
      </w:r>
    </w:p>
    <w:p w:rsidR="208D7D95" w:rsidRDefault="208D7D95" w14:paraId="098ABFC8" w14:textId="2B4EEFAC">
      <w:r w:rsidRPr="60F9F866" w:rsidR="208D7D95">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7C7336CA" w:rsidP="7C7336CA" w:rsidRDefault="7C7336CA" w14:paraId="1B44FC94" w14:textId="7603DD3A">
      <w:pPr>
        <w:pStyle w:val="Normal"/>
      </w:pPr>
      <w:r w:rsidRPr="60F9F866" w:rsidR="690CDD67">
        <w:rPr>
          <w:rFonts w:ascii="Cambria" w:hAnsi="Cambria" w:eastAsia="Cambria" w:cs="Cambria"/>
          <w:noProof w:val="0"/>
          <w:sz w:val="24"/>
          <w:szCs w:val="24"/>
          <w:lang w:val="en-GB"/>
        </w:rPr>
        <w:t>Senge, P.M. (1990) The Fifth Discipline: The Art and Practice of the Learning Organization. New York: Doubleday.</w:t>
      </w:r>
    </w:p>
    <w:p w:rsidR="146DC85D" w:rsidP="60F9F866" w:rsidRDefault="146DC85D" w14:paraId="09E8921B" w14:textId="10878592">
      <w:pPr>
        <w:pStyle w:val="ListParagraph"/>
        <w:numPr>
          <w:ilvl w:val="0"/>
          <w:numId w:val="10122037"/>
        </w:numPr>
        <w:spacing w:before="240" w:beforeAutospacing="off" w:after="240" w:afterAutospacing="off"/>
        <w:rPr>
          <w:rFonts w:ascii="Cambria" w:hAnsi="Cambria" w:eastAsia="Cambria" w:cs="Cambria"/>
          <w:noProof w:val="0"/>
          <w:sz w:val="24"/>
          <w:szCs w:val="24"/>
          <w:lang w:val="en-GB"/>
        </w:rPr>
      </w:pPr>
      <w:r w:rsidRPr="60F9F866" w:rsidR="146DC85D">
        <w:rPr>
          <w:rFonts w:ascii="Cambria" w:hAnsi="Cambria" w:eastAsia="Cambria" w:cs="Cambria"/>
          <w:noProof w:val="0"/>
          <w:sz w:val="24"/>
          <w:szCs w:val="24"/>
          <w:lang w:val="en-GB"/>
        </w:rPr>
        <w:t>Armstrong, M. and Taylor, S. (2023) Armstrong’s Handbook of Human Resource Management Practice: A Guide to the Theory and Practice of People Management. 16th edn. London: Kogan Page.</w:t>
      </w:r>
    </w:p>
    <w:p w:rsidR="146DC85D" w:rsidP="60F9F866" w:rsidRDefault="146DC85D" w14:paraId="14A34364" w14:textId="7BE57758">
      <w:pPr>
        <w:pStyle w:val="ListParagraph"/>
        <w:numPr>
          <w:ilvl w:val="0"/>
          <w:numId w:val="10122037"/>
        </w:numPr>
        <w:spacing w:before="240" w:beforeAutospacing="off" w:after="240" w:afterAutospacing="off"/>
        <w:rPr>
          <w:rFonts w:ascii="Cambria" w:hAnsi="Cambria" w:eastAsia="Cambria" w:cs="Cambria"/>
          <w:noProof w:val="0"/>
          <w:sz w:val="24"/>
          <w:szCs w:val="24"/>
          <w:lang w:val="en-GB"/>
        </w:rPr>
      </w:pPr>
      <w:r w:rsidRPr="60F9F866" w:rsidR="146DC85D">
        <w:rPr>
          <w:rFonts w:ascii="Cambria" w:hAnsi="Cambria" w:eastAsia="Cambria" w:cs="Cambria"/>
          <w:noProof w:val="0"/>
          <w:sz w:val="24"/>
          <w:szCs w:val="24"/>
          <w:lang w:val="en-GB"/>
        </w:rPr>
        <w:t>Deci, E.L. and Ryan, R.M. (2000) ‘The “what” and “why” of goal pursuits: Human needs and the self-determination of behavior’, Psychological Inquiry, 11(4), pp. 227–268.</w:t>
      </w:r>
    </w:p>
    <w:p w:rsidR="146DC85D" w:rsidP="60F9F866" w:rsidRDefault="146DC85D" w14:paraId="3FFF6E75" w14:textId="68E312A7">
      <w:pPr>
        <w:pStyle w:val="ListParagraph"/>
        <w:numPr>
          <w:ilvl w:val="0"/>
          <w:numId w:val="10122037"/>
        </w:numPr>
        <w:spacing w:before="240" w:beforeAutospacing="off" w:after="240" w:afterAutospacing="off"/>
        <w:rPr>
          <w:rFonts w:ascii="Cambria" w:hAnsi="Cambria" w:eastAsia="Cambria" w:cs="Cambria"/>
          <w:noProof w:val="0"/>
          <w:sz w:val="24"/>
          <w:szCs w:val="24"/>
          <w:lang w:val="en-GB"/>
        </w:rPr>
      </w:pPr>
      <w:r w:rsidRPr="60F9F866" w:rsidR="146DC85D">
        <w:rPr>
          <w:rFonts w:ascii="Cambria" w:hAnsi="Cambria" w:eastAsia="Cambria" w:cs="Cambria"/>
          <w:noProof w:val="0"/>
          <w:sz w:val="24"/>
          <w:szCs w:val="24"/>
          <w:lang w:val="en-GB"/>
        </w:rPr>
        <w:t>Fombrun, C.J., Tichy, N.M. and Devanna, M.A. (eds.) (1984) Strategic Human Resource Management. New York: Wiley.</w:t>
      </w:r>
    </w:p>
    <w:p w:rsidR="146DC85D" w:rsidP="60F9F866" w:rsidRDefault="146DC85D" w14:paraId="17C5B71B" w14:textId="1C7A7A46">
      <w:pPr>
        <w:pStyle w:val="ListParagraph"/>
        <w:numPr>
          <w:ilvl w:val="0"/>
          <w:numId w:val="10122037"/>
        </w:numPr>
        <w:spacing w:before="240" w:beforeAutospacing="off" w:after="240" w:afterAutospacing="off"/>
        <w:rPr>
          <w:rFonts w:ascii="Cambria" w:hAnsi="Cambria" w:eastAsia="Cambria" w:cs="Cambria"/>
          <w:noProof w:val="0"/>
          <w:sz w:val="24"/>
          <w:szCs w:val="24"/>
          <w:lang w:val="en-GB"/>
        </w:rPr>
      </w:pPr>
      <w:r w:rsidRPr="60F9F866" w:rsidR="146DC85D">
        <w:rPr>
          <w:rFonts w:ascii="Cambria" w:hAnsi="Cambria" w:eastAsia="Cambria" w:cs="Cambria"/>
          <w:noProof w:val="0"/>
          <w:sz w:val="24"/>
          <w:szCs w:val="24"/>
          <w:lang w:val="en-GB"/>
        </w:rPr>
        <w:t>Maslow, A.H. (1943) ‘A theory of human motivation’, Psychological Review, 50(4), pp. 370–396.</w:t>
      </w:r>
    </w:p>
    <w:p w:rsidR="146DC85D" w:rsidP="60F9F866" w:rsidRDefault="146DC85D" w14:paraId="5119397A" w14:textId="4EA9FA24">
      <w:pPr>
        <w:pStyle w:val="ListParagraph"/>
        <w:numPr>
          <w:ilvl w:val="0"/>
          <w:numId w:val="10122037"/>
        </w:numPr>
        <w:spacing w:before="240" w:beforeAutospacing="off" w:after="240" w:afterAutospacing="off"/>
        <w:rPr>
          <w:rFonts w:ascii="Cambria" w:hAnsi="Cambria" w:eastAsia="Cambria" w:cs="Cambria"/>
          <w:noProof w:val="0"/>
          <w:sz w:val="24"/>
          <w:szCs w:val="24"/>
          <w:lang w:val="en-GB"/>
        </w:rPr>
      </w:pPr>
      <w:r w:rsidRPr="60F9F866" w:rsidR="146DC85D">
        <w:rPr>
          <w:rFonts w:ascii="Cambria" w:hAnsi="Cambria" w:eastAsia="Cambria" w:cs="Cambria"/>
          <w:noProof w:val="0"/>
          <w:sz w:val="24"/>
          <w:szCs w:val="24"/>
          <w:lang w:val="en-GB"/>
        </w:rPr>
        <w:t>Noe, R.A. (2020) Employee Training and Development. 8th edn. New York: McGraw-Hill Education.</w:t>
      </w:r>
    </w:p>
    <w:p w:rsidR="146DC85D" w:rsidP="60F9F866" w:rsidRDefault="146DC85D" w14:paraId="1A920DB9" w14:textId="3FDECC69">
      <w:pPr>
        <w:pStyle w:val="ListParagraph"/>
        <w:numPr>
          <w:ilvl w:val="0"/>
          <w:numId w:val="10122037"/>
        </w:numPr>
        <w:spacing w:before="240" w:beforeAutospacing="off" w:after="240" w:afterAutospacing="off"/>
        <w:rPr>
          <w:rFonts w:ascii="Cambria" w:hAnsi="Cambria" w:eastAsia="Cambria" w:cs="Cambria"/>
          <w:noProof w:val="0"/>
          <w:sz w:val="24"/>
          <w:szCs w:val="24"/>
          <w:lang w:val="en-GB"/>
        </w:rPr>
      </w:pPr>
      <w:r w:rsidRPr="60F9F866" w:rsidR="146DC85D">
        <w:rPr>
          <w:rFonts w:ascii="Cambria" w:hAnsi="Cambria" w:eastAsia="Cambria" w:cs="Cambria"/>
          <w:noProof w:val="0"/>
          <w:sz w:val="24"/>
          <w:szCs w:val="24"/>
          <w:lang w:val="en-GB"/>
        </w:rPr>
        <w:t>Senge, P.M. (1990) The Fifth Discipline: The Art and Practice of the Learning Organization. New York: Doubleday.</w:t>
      </w:r>
    </w:p>
    <w:p w:rsidR="2A42D1D0" w:rsidP="60F9F866" w:rsidRDefault="2A42D1D0" w14:paraId="01678EF5" w14:textId="506FB807">
      <w:pPr>
        <w:pStyle w:val="ListParagraph"/>
        <w:numPr>
          <w:ilvl w:val="0"/>
          <w:numId w:val="10122037"/>
        </w:numPr>
        <w:spacing w:before="240" w:beforeAutospacing="off" w:after="240" w:afterAutospacing="off"/>
        <w:rPr>
          <w:noProof w:val="0"/>
          <w:lang w:val="en-GB"/>
        </w:rPr>
      </w:pPr>
      <w:r w:rsidRPr="60F9F866" w:rsidR="2A42D1D0">
        <w:rPr>
          <w:noProof w:val="0"/>
          <w:lang w:val="en-GB"/>
        </w:rPr>
        <w:t xml:space="preserve">NHS Leadership Academy (2013) Healthcare Leadership Model: The Nine Dimensions of Leadership Behaviour. Available at: </w:t>
      </w:r>
      <w:hyperlink r:id="R293fe89f8f42477f">
        <w:r w:rsidRPr="60F9F866" w:rsidR="2A42D1D0">
          <w:rPr>
            <w:rStyle w:val="Hyperlink"/>
            <w:noProof w:val="0"/>
            <w:lang w:val="en-GB"/>
          </w:rPr>
          <w:t>https://www.leadershipacademy.nhs.uk/</w:t>
        </w:r>
      </w:hyperlink>
      <w:r w:rsidRPr="60F9F866" w:rsidR="2A42D1D0">
        <w:rPr>
          <w:noProof w:val="0"/>
          <w:lang w:val="en-GB"/>
        </w:rPr>
        <w:t xml:space="preserve"> </w:t>
      </w:r>
      <w:r w:rsidRPr="60F9F866" w:rsidR="2A42D1D0">
        <w:rPr>
          <w:noProof w:val="0"/>
          <w:lang w:val="en-GB"/>
        </w:rPr>
        <w:t>(Accessed: 11 October 2026).</w:t>
      </w:r>
    </w:p>
    <w:p w:rsidR="2A42D1D0" w:rsidP="60F9F866" w:rsidRDefault="2A42D1D0" w14:paraId="587EACF5" w14:textId="342083B3">
      <w:pPr>
        <w:pStyle w:val="ListParagraph"/>
        <w:numPr>
          <w:ilvl w:val="0"/>
          <w:numId w:val="10122037"/>
        </w:numPr>
        <w:spacing w:before="240" w:beforeAutospacing="off" w:after="240" w:afterAutospacing="off"/>
        <w:rPr>
          <w:noProof w:val="0"/>
          <w:lang w:val="en-GB"/>
        </w:rPr>
      </w:pPr>
      <w:r w:rsidRPr="60F9F866" w:rsidR="2A42D1D0">
        <w:rPr>
          <w:noProof w:val="0"/>
          <w:lang w:val="en-GB"/>
        </w:rPr>
        <w:t>Senge, P.M. (1990) The Fifth Discipline: The Art and Practice of the Learning Organization. New York: Doubleday.</w:t>
      </w:r>
    </w:p>
    <w:p w:rsidR="46A20085" w:rsidP="60F9F866" w:rsidRDefault="46A20085" w14:paraId="32582512" w14:textId="2461726D">
      <w:pPr>
        <w:pStyle w:val="ListParagraph"/>
        <w:numPr>
          <w:ilvl w:val="0"/>
          <w:numId w:val="10122037"/>
        </w:numPr>
        <w:spacing w:before="240" w:beforeAutospacing="off" w:after="240" w:afterAutospacing="off"/>
        <w:rPr>
          <w:noProof w:val="0"/>
          <w:lang w:val="en-GB"/>
        </w:rPr>
      </w:pPr>
      <w:r w:rsidRPr="60F9F866" w:rsidR="46A20085">
        <w:rPr>
          <w:noProof w:val="0"/>
          <w:lang w:val="en-GB"/>
        </w:rPr>
        <w:t>Holland, J.L. (1997) Making Vocational Choices: A Theory of Vocational Personalities and Work Environments. 3rd edn. Odessa, FL: Psychological Assessment Resources.</w:t>
      </w:r>
    </w:p>
    <w:p w:rsidR="2BAFE49D" w:rsidP="60F9F866" w:rsidRDefault="2BAFE49D" w14:paraId="49122F6B" w14:textId="375801AC">
      <w:pPr>
        <w:pStyle w:val="ListParagraph"/>
        <w:numPr>
          <w:ilvl w:val="0"/>
          <w:numId w:val="10122037"/>
        </w:numPr>
        <w:spacing w:before="240" w:beforeAutospacing="off" w:after="240" w:afterAutospacing="off"/>
        <w:rPr>
          <w:noProof w:val="0"/>
          <w:lang w:val="en-GB"/>
        </w:rPr>
      </w:pPr>
      <w:r w:rsidRPr="60F9F866" w:rsidR="2BAFE49D">
        <w:rPr>
          <w:noProof w:val="0"/>
          <w:lang w:val="en-GB"/>
        </w:rPr>
        <w:t>Schein, E.H. (1990) Career Anchors: Discovering Your Real Values. San Diego, CA: Pfeiffer &amp; Company.</w:t>
      </w:r>
    </w:p>
    <w:p w:rsidR="0C1809CF" w:rsidP="60F9F866" w:rsidRDefault="0C1809CF" w14:paraId="7A192BFD" w14:textId="6D7C0023">
      <w:pPr>
        <w:pStyle w:val="ListParagraph"/>
        <w:numPr>
          <w:ilvl w:val="0"/>
          <w:numId w:val="10122037"/>
        </w:numPr>
        <w:spacing w:before="240" w:beforeAutospacing="off" w:after="240" w:afterAutospacing="off"/>
        <w:rPr>
          <w:noProof w:val="0"/>
          <w:lang w:val="en-GB"/>
        </w:rPr>
      </w:pPr>
      <w:r w:rsidRPr="60F9F866" w:rsidR="0C1809CF">
        <w:rPr>
          <w:noProof w:val="0"/>
          <w:lang w:val="en-GB"/>
        </w:rPr>
        <w:t>Fombrun, C.J., Tichy, N.M. and Devanna, M.A. (eds.) (1984) Strategic Human Resource Management. New York: Wiley.</w:t>
      </w:r>
    </w:p>
    <w:p w:rsidR="0C1809CF" w:rsidP="60F9F866" w:rsidRDefault="0C1809CF" w14:paraId="3D97A10E" w14:textId="6EA20312">
      <w:pPr>
        <w:pStyle w:val="ListParagraph"/>
        <w:numPr>
          <w:ilvl w:val="0"/>
          <w:numId w:val="10122037"/>
        </w:numPr>
        <w:spacing w:before="240" w:beforeAutospacing="off" w:after="240" w:afterAutospacing="off"/>
        <w:rPr>
          <w:noProof w:val="0"/>
          <w:lang w:val="en-GB"/>
        </w:rPr>
      </w:pPr>
      <w:r w:rsidRPr="60F9F866" w:rsidR="0C1809CF">
        <w:rPr>
          <w:noProof w:val="0"/>
          <w:lang w:val="en-GB"/>
        </w:rPr>
        <w:t>Holland, J.L. (1997) Making Vocational Choices: A Theory of Vocational Personalities and Work Environments. 3rd edn. Odessa, FL: Psychological Assessment Resources.</w:t>
      </w:r>
    </w:p>
    <w:p w:rsidR="0C1809CF" w:rsidP="60F9F866" w:rsidRDefault="0C1809CF" w14:paraId="47CE65C7" w14:textId="5B294AD3">
      <w:pPr>
        <w:pStyle w:val="ListParagraph"/>
        <w:numPr>
          <w:ilvl w:val="0"/>
          <w:numId w:val="10122037"/>
        </w:numPr>
        <w:spacing w:before="240" w:beforeAutospacing="off" w:after="240" w:afterAutospacing="off"/>
        <w:rPr>
          <w:noProof w:val="0"/>
          <w:lang w:val="en-GB"/>
        </w:rPr>
      </w:pPr>
      <w:r w:rsidRPr="60F9F866" w:rsidR="0C1809CF">
        <w:rPr>
          <w:noProof w:val="0"/>
          <w:lang w:val="en-GB"/>
        </w:rPr>
        <w:t>Schein, E.H. (1990) Career Anchors: Discovering Your Real Values. San Diego, CA: Pfeiffer &amp; Company.</w:t>
      </w:r>
    </w:p>
    <w:p w:rsidR="0C1809CF" w:rsidP="60F9F866" w:rsidRDefault="0C1809CF" w14:paraId="7CB30645" w14:textId="48E74E58">
      <w:pPr>
        <w:pStyle w:val="ListParagraph"/>
        <w:numPr>
          <w:ilvl w:val="0"/>
          <w:numId w:val="10122037"/>
        </w:numPr>
        <w:spacing w:before="240" w:beforeAutospacing="off" w:after="240" w:afterAutospacing="off"/>
        <w:rPr>
          <w:noProof w:val="0"/>
          <w:lang w:val="en-GB"/>
        </w:rPr>
      </w:pPr>
      <w:r w:rsidRPr="60F9F866" w:rsidR="0C1809CF">
        <w:rPr>
          <w:noProof w:val="0"/>
          <w:lang w:val="en-GB"/>
        </w:rPr>
        <w:t>Senge, P.M. (1990) The Fifth Discipline: The Art and Practice of the Learning Organization. New York: Doubleday.</w:t>
      </w:r>
    </w:p>
    <w:p w:rsidR="6917FACA" w:rsidP="60F9F866" w:rsidRDefault="6917FACA" w14:paraId="3C51859C" w14:textId="53B611A2">
      <w:pPr>
        <w:pStyle w:val="ListParagraph"/>
        <w:numPr>
          <w:ilvl w:val="0"/>
          <w:numId w:val="10122037"/>
        </w:numPr>
        <w:spacing w:before="240" w:beforeAutospacing="off" w:after="240" w:afterAutospacing="off"/>
        <w:rPr>
          <w:noProof w:val="0"/>
          <w:lang w:val="en-GB"/>
        </w:rPr>
      </w:pPr>
      <w:r w:rsidRPr="60F9F866" w:rsidR="6917FACA">
        <w:rPr>
          <w:noProof w:val="0"/>
          <w:lang w:val="en-GB"/>
        </w:rPr>
        <w:t>Fombrun, C.J., Tichy, N.M. and Devanna, M.A. (eds.) (1984) Strategic Human Resource Management. New York: Wiley.</w:t>
      </w:r>
    </w:p>
    <w:p w:rsidR="6917FACA" w:rsidP="60F9F866" w:rsidRDefault="6917FACA" w14:paraId="4204E602" w14:textId="4FAC186E">
      <w:pPr>
        <w:pStyle w:val="ListParagraph"/>
        <w:numPr>
          <w:ilvl w:val="0"/>
          <w:numId w:val="10122037"/>
        </w:numPr>
        <w:spacing w:before="240" w:beforeAutospacing="off" w:after="240" w:afterAutospacing="off"/>
        <w:rPr>
          <w:noProof w:val="0"/>
          <w:lang w:val="en-GB"/>
        </w:rPr>
      </w:pPr>
      <w:r w:rsidRPr="60F9F866" w:rsidR="6917FACA">
        <w:rPr>
          <w:noProof w:val="0"/>
          <w:lang w:val="en-GB"/>
        </w:rPr>
        <w:t>Holland, J.L. (1997) Making Vocational Choices: A Theory of Vocational Personalities and Work Environments. 3rd edn. Odessa, FL: Psychological Assessment Resources.</w:t>
      </w:r>
    </w:p>
    <w:p w:rsidR="6917FACA" w:rsidP="60F9F866" w:rsidRDefault="6917FACA" w14:paraId="3248B175" w14:textId="3A7278CA">
      <w:pPr>
        <w:pStyle w:val="ListParagraph"/>
        <w:numPr>
          <w:ilvl w:val="0"/>
          <w:numId w:val="10122037"/>
        </w:numPr>
        <w:spacing w:before="240" w:beforeAutospacing="off" w:after="240" w:afterAutospacing="off"/>
        <w:rPr>
          <w:noProof w:val="0"/>
          <w:lang w:val="en-GB"/>
        </w:rPr>
      </w:pPr>
      <w:r w:rsidRPr="60F9F866" w:rsidR="6917FACA">
        <w:rPr>
          <w:noProof w:val="0"/>
          <w:lang w:val="en-GB"/>
        </w:rPr>
        <w:t>Schein, E.H. (1990) Career Anchors: Discovering Your Real Values. San Diego, CA: Pfeiffer &amp; Company.</w:t>
      </w:r>
    </w:p>
    <w:p w:rsidR="6917FACA" w:rsidP="60F9F866" w:rsidRDefault="6917FACA" w14:paraId="69377D97" w14:textId="35EAB045">
      <w:pPr>
        <w:pStyle w:val="ListParagraph"/>
        <w:numPr>
          <w:ilvl w:val="0"/>
          <w:numId w:val="10122037"/>
        </w:numPr>
        <w:spacing w:before="240" w:beforeAutospacing="off" w:after="240" w:afterAutospacing="off"/>
        <w:rPr>
          <w:noProof w:val="0"/>
          <w:lang w:val="en-GB"/>
        </w:rPr>
      </w:pPr>
      <w:r w:rsidRPr="60F9F866" w:rsidR="6917FACA">
        <w:rPr>
          <w:noProof w:val="0"/>
          <w:lang w:val="en-GB"/>
        </w:rPr>
        <w:t>Senge, P.M. (1990) The Fifth Discipline: The Art and Practice of the Learning Organization. New York: Doubleday.</w:t>
      </w:r>
    </w:p>
    <w:p w:rsidR="60F9F866" w:rsidP="60F9F866" w:rsidRDefault="60F9F866" w14:paraId="503B747B" w14:textId="7B7C0745">
      <w:pPr>
        <w:pStyle w:val="ListParagraph"/>
        <w:numPr>
          <w:ilvl w:val="0"/>
          <w:numId w:val="10122037"/>
        </w:numPr>
        <w:spacing w:before="240" w:beforeAutospacing="off" w:after="240" w:afterAutospacing="off"/>
        <w:rPr>
          <w:noProof w:val="0"/>
          <w:lang w:val="en-GB"/>
        </w:rPr>
      </w:pPr>
    </w:p>
    <w:p w:rsidR="60F9F866" w:rsidP="60F9F866" w:rsidRDefault="60F9F866" w14:paraId="63C486C2" w14:textId="1DDE5214">
      <w:pPr>
        <w:pStyle w:val="Normal"/>
        <w:rPr>
          <w:rFonts w:ascii="Cambria" w:hAnsi="Cambria" w:eastAsia="Cambria" w:cs="Cambria"/>
          <w:noProof w:val="0"/>
          <w:sz w:val="24"/>
          <w:szCs w:val="24"/>
          <w:lang w:val="en-GB"/>
        </w:rPr>
      </w:pPr>
    </w:p>
    <w:sectPr w:rsidR="00583709">
      <w:pgNumType w:start="1"/>
      <w:pgSz w:w="12240" w:h="15840" w:orient="portrait"/>
      <w:pgMar w:top="1440" w:right="1440" w:bottom="1440" w:left="1440" w:header="708" w:footer="708" w:gutter="0"/>
      <w:cols w:space="720"/>
      <w:headerReference w:type="default" r:id="R9d36b4b6ad95475e"/>
      <w:footerReference w:type="default" r:id="R2c2e716a2de5406b"/>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rial Rounded">
    <w:altName w:val="Arial"/>
    <w:charset w:val="00"/>
    <w:family w:val="auto"/>
    <w:pitch w:val="default"/>
  </w:font>
  <w:font w:name="Symbol"/>
  <w:font w:name="Courier New"/>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p14="http://schemas.microsoft.com/office/word/2010/wordprocessingDrawing" xmlns:w14="http://schemas.microsoft.com/office/word/2010/wordml" xmlns:w="http://schemas.openxmlformats.org/wordprocessingml/2006/main" xmlns:mc="http://schemas.openxmlformats.org/markup-compatibility/2006" mc:Ignorable="wp14">
  <w:tbl>
    <w:tblPr>
      <w:tblStyle w:val="TableNormal"/>
      <w:bidiVisual w:val="0"/>
      <w:tblW w:w="0" w:type="auto"/>
      <w:tblLayout w:type="fixed"/>
      <w:tblLook w:val="06A0" w:firstRow="1" w:lastRow="0" w:firstColumn="1" w:lastColumn="0" w:noHBand="1" w:noVBand="1"/>
    </w:tblPr>
    <w:tblGrid>
      <w:gridCol w:w="3120"/>
      <w:gridCol w:w="3120"/>
      <w:gridCol w:w="3120"/>
    </w:tblGrid>
    <w:tr xmlns:wp14="http://schemas.microsoft.com/office/word/2010/wordml" w:rsidR="1CC4CD02" w:rsidTr="1CC4CD02" w14:paraId="4AC032C5" wp14:textId="77777777">
      <w:trPr>
        <w:trHeight w:val="300"/>
      </w:trPr>
      <w:tc>
        <w:tcPr>
          <w:tcW w:w="3120" w:type="dxa"/>
          <w:tcMar/>
        </w:tcPr>
        <w:p w:rsidR="1CC4CD02" w:rsidP="1CC4CD02" w:rsidRDefault="1CC4CD02" w14:paraId="710D5B14" w14:textId="7B0A3A81">
          <w:pPr>
            <w:pStyle w:val="Header"/>
            <w:bidi w:val="0"/>
            <w:ind w:left="-115"/>
            <w:jc w:val="left"/>
          </w:pPr>
        </w:p>
      </w:tc>
      <w:tc>
        <w:tcPr>
          <w:tcW w:w="3120" w:type="dxa"/>
          <w:tcMar/>
        </w:tcPr>
        <w:p w:rsidR="1CC4CD02" w:rsidP="1CC4CD02" w:rsidRDefault="1CC4CD02" w14:paraId="35881029" w14:textId="191A5EED">
          <w:pPr>
            <w:pStyle w:val="Header"/>
            <w:bidi w:val="0"/>
            <w:jc w:val="center"/>
          </w:pPr>
        </w:p>
      </w:tc>
      <w:tc>
        <w:tcPr>
          <w:tcW w:w="3120" w:type="dxa"/>
          <w:tcMar/>
        </w:tcPr>
        <w:p w:rsidR="1CC4CD02" w:rsidP="1CC4CD02" w:rsidRDefault="1CC4CD02" w14:paraId="6B62440E" w14:textId="613088FE">
          <w:pPr>
            <w:pStyle w:val="Header"/>
            <w:bidi w:val="0"/>
            <w:ind w:right="-115"/>
            <w:jc w:val="right"/>
          </w:pPr>
        </w:p>
      </w:tc>
    </w:tr>
  </w:tbl>
  <w:p w:rsidR="1CC4CD02" w:rsidP="1CC4CD02" w:rsidRDefault="1CC4CD02" w14:paraId="07997071" w14:textId="3583DBD8">
    <w:pPr>
      <w:pStyle w:val="Footer"/>
      <w:bidi w:val="0"/>
    </w:pPr>
  </w:p>
</w:ftr>
</file>

<file path=word/header.xml><?xml version="1.0" encoding="utf-8"?>
<w:hdr xmlns:wp14="http://schemas.microsoft.com/office/word/2010/wordprocessingDrawing" xmlns:w14="http://schemas.microsoft.com/office/word/2010/wordml" xmlns:w="http://schemas.openxmlformats.org/wordprocessingml/2006/main" xmlns:mc="http://schemas.openxmlformats.org/markup-compatibility/2006" mc:Ignorable="wp14">
  <w:tbl>
    <w:tblPr>
      <w:tblStyle w:val="TableNormal"/>
      <w:bidiVisual w:val="0"/>
      <w:tblW w:w="0" w:type="auto"/>
      <w:tblLayout w:type="fixed"/>
      <w:tblLook w:val="06A0" w:firstRow="1" w:lastRow="0" w:firstColumn="1" w:lastColumn="0" w:noHBand="1" w:noVBand="1"/>
    </w:tblPr>
    <w:tblGrid>
      <w:gridCol w:w="3120"/>
      <w:gridCol w:w="3120"/>
      <w:gridCol w:w="3120"/>
    </w:tblGrid>
    <w:tr xmlns:wp14="http://schemas.microsoft.com/office/word/2010/wordml" w:rsidR="1CC4CD02" w:rsidTr="1CC4CD02" w14:paraId="4E3F095D" wp14:textId="77777777">
      <w:trPr>
        <w:trHeight w:val="300"/>
      </w:trPr>
      <w:tc>
        <w:tcPr>
          <w:tcW w:w="3120" w:type="dxa"/>
          <w:tcMar/>
        </w:tcPr>
        <w:p w:rsidR="1CC4CD02" w:rsidP="1CC4CD02" w:rsidRDefault="1CC4CD02" w14:paraId="58963AE1" w14:textId="7612F7C1">
          <w:pPr>
            <w:pStyle w:val="Header"/>
            <w:bidi w:val="0"/>
            <w:ind w:left="-115"/>
            <w:jc w:val="left"/>
          </w:pPr>
        </w:p>
      </w:tc>
      <w:tc>
        <w:tcPr>
          <w:tcW w:w="3120" w:type="dxa"/>
          <w:tcMar/>
        </w:tcPr>
        <w:p w:rsidR="1CC4CD02" w:rsidP="1CC4CD02" w:rsidRDefault="1CC4CD02" w14:paraId="46592002" w14:textId="422ACD6A">
          <w:pPr>
            <w:pStyle w:val="Header"/>
            <w:bidi w:val="0"/>
            <w:jc w:val="center"/>
          </w:pPr>
        </w:p>
      </w:tc>
      <w:tc>
        <w:tcPr>
          <w:tcW w:w="3120" w:type="dxa"/>
          <w:tcMar/>
        </w:tcPr>
        <w:p w:rsidR="1CC4CD02" w:rsidP="1CC4CD02" w:rsidRDefault="1CC4CD02" w14:paraId="24BB45FA" w14:textId="0BDA506B">
          <w:pPr>
            <w:pStyle w:val="Header"/>
            <w:bidi w:val="0"/>
            <w:ind w:right="-115"/>
            <w:jc w:val="right"/>
          </w:pPr>
        </w:p>
      </w:tc>
    </w:tr>
  </w:tbl>
  <w:p w:rsidR="1CC4CD02" w:rsidP="1CC4CD02" w:rsidRDefault="1CC4CD02" w14:paraId="7CD802BE" w14:textId="19C23D9B">
    <w:pPr>
      <w:pStyle w:val="Header"/>
      <w:bidi w:val="0"/>
    </w:pPr>
  </w:p>
</w:hdr>
</file>

<file path=word/intelligence2.xml><?xml version="1.0" encoding="utf-8"?>
<int2:intelligence xmlns:int2="http://schemas.microsoft.com/office/intelligence/2020/intelligence">
  <int2:observations>
    <int2:textHash int2:hashCode="951MuK0XGKFt1t" int2:id="ltqsf9Bx">
      <int2:state int2:type="AugLoop_Text_Critique" int2:value="Rejected"/>
    </int2:textHash>
    <int2:bookmark int2:bookmarkName="_Int_FMb6SkDA" int2:invalidationBookmarkName="" int2:hashCode="kmTnOJ9B75iUAo" int2:id="M9AIih4u">
      <int2:state int2:type="AugLoop_Text_Critique" int2:value="Rejected"/>
    </int2:bookmark>
    <int2:bookmark int2:bookmarkName="_Int_EJMzvl5Q" int2:invalidationBookmarkName="" int2:hashCode="SyDlj8g609TV2I" int2:id="Fkg02opo">
      <int2:state int2:type="AugLoop_Text_Critique" int2:value="Rejected"/>
    </int2:bookmark>
    <int2:bookmark int2:bookmarkName="_Int_tDxq6YFL" int2:invalidationBookmarkName="" int2:hashCode="SyDlj8g609TV2I" int2:id="lZCyDEK5">
      <int2:state int2:type="AugLoop_Text_Critique" int2:value="Rejected"/>
    </int2:bookmark>
  </int2:observations>
  <int2:intelligenceSettings/>
</int2:intelligence>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xmlns:w="http://schemas.openxmlformats.org/wordprocessingml/2006/main" w:abstractNumId="10122037">
    <w:nsid w:val="1a72f3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36">
    <w:nsid w:val="5af043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35">
    <w:nsid w:val="56fb008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34">
    <w:nsid w:val="2beb2b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33">
    <w:nsid w:val="529873b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32">
    <w:nsid w:val="1a3b94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31">
    <w:nsid w:val="3a780aa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30">
    <w:nsid w:val="42468fe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29">
    <w:nsid w:val="9da35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28">
    <w:nsid w:val="5e599fe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122027">
    <w:nsid w:val="126ff2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26">
    <w:nsid w:val="58242ac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25">
    <w:nsid w:val="799cc71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24">
    <w:nsid w:val="3ed5f7f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23">
    <w:nsid w:val="25a4f46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22">
    <w:nsid w:val="7de6f97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21">
    <w:nsid w:val="104d55a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20">
    <w:nsid w:val="58f0859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19">
    <w:nsid w:val="ec1dc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18">
    <w:nsid w:val="6143ac6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17">
    <w:nsid w:val="2516084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16">
    <w:nsid w:val="137712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15">
    <w:nsid w:val="778bf9d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14">
    <w:nsid w:val="d74712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13">
    <w:nsid w:val="116f6d5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12">
    <w:nsid w:val="69f3e44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11">
    <w:nsid w:val="60456d2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10">
    <w:nsid w:val="35d64f5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09">
    <w:nsid w:val="5746398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08">
    <w:nsid w:val="15bbe1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07">
    <w:nsid w:val="10f4958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06">
    <w:nsid w:val="128cb45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05">
    <w:nsid w:val="6272f16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04">
    <w:nsid w:val="738cb3f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03">
    <w:nsid w:val="56aaa3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02">
    <w:nsid w:val="424c73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01">
    <w:nsid w:val="90229c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00">
    <w:nsid w:val="46c499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99">
    <w:nsid w:val="15ede0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98">
    <w:nsid w:val="3f522f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97">
    <w:nsid w:val="53323ee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96">
    <w:nsid w:val="4b67185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95">
    <w:nsid w:val="641f03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94">
    <w:nsid w:val="76d46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93">
    <w:nsid w:val="19d9e4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92">
    <w:nsid w:val="bf4ab9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91">
    <w:nsid w:val="437bcb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90">
    <w:nsid w:val="3ab7e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89">
    <w:nsid w:val="29adbd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88">
    <w:nsid w:val="543f09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87">
    <w:nsid w:val="234b585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86">
    <w:nsid w:val="636646a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85">
    <w:nsid w:val="7b59d5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84">
    <w:nsid w:val="4515c17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83">
    <w:nsid w:val="7fa3c58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multiLevelType w:val="hybridMultilevel"/>
    <w:nsid w:val="07683E19"/>
    <w:tmpl w:val="00C4D552"/>
    <w:lvl w:ilvl="0">
      <w:numFmt w:val="decimal"/>
      <w:lvlText w:val="%1"/>
      <w:start w:val="1"/>
      <w:rPr>
        <w:rFonts w:hint="default"/>
      </w:rPr>
      <w:pPr>
        <w:ind w:left="390"/>
        <w:ind w:hanging="390"/>
      </w:pPr>
      <w:lvlJc w:val="left"/>
    </w:lvl>
    <w:lvl w:ilvl="1">
      <w:numFmt w:val="decimal"/>
      <w:lvlText w:val="%1.%2"/>
      <w:start w:val="1"/>
      <w:rPr>
        <w:rFonts w:hint="default"/>
      </w:rPr>
      <w:pPr>
        <w:ind w:left="390"/>
        <w:ind w:hanging="390"/>
      </w:pPr>
      <w:lvlJc w:val="left"/>
    </w:lvl>
    <w:lvl w:ilvl="2">
      <w:numFmt w:val="decimal"/>
      <w:lvlText w:val="%1.%2.%3"/>
      <w:start w:val="1"/>
      <w:rPr>
        <w:rFonts w:hint="default"/>
      </w:rPr>
      <w:pPr>
        <w:ind w:left="720"/>
        <w:ind w:hanging="720"/>
      </w:pPr>
      <w:lvlJc w:val="left"/>
    </w:lvl>
    <w:lvl w:ilvl="3">
      <w:numFmt w:val="decimal"/>
      <w:lvlText w:val="%1.%2.%3.%4"/>
      <w:start w:val="1"/>
      <w:rPr>
        <w:rFonts w:hint="default"/>
      </w:rPr>
      <w:pPr>
        <w:ind w:left="720"/>
        <w:ind w:hanging="720"/>
      </w:pPr>
      <w:lvlJc w:val="left"/>
    </w:lvl>
    <w:lvl w:ilvl="4">
      <w:numFmt w:val="decimal"/>
      <w:lvlText w:val="%1.%2.%3.%4.%5"/>
      <w:start w:val="1"/>
      <w:rPr>
        <w:rFonts w:hint="default"/>
      </w:rPr>
      <w:pPr>
        <w:ind w:left="1080"/>
        <w:ind w:hanging="1080"/>
      </w:pPr>
      <w:lvlJc w:val="left"/>
    </w:lvl>
    <w:lvl w:ilvl="5">
      <w:numFmt w:val="decimal"/>
      <w:lvlText w:val="%1.%2.%3.%4.%5.%6"/>
      <w:start w:val="1"/>
      <w:rPr>
        <w:rFonts w:hint="default"/>
      </w:rPr>
      <w:pPr>
        <w:ind w:left="1080"/>
        <w:ind w:hanging="1080"/>
      </w:pPr>
      <w:lvlJc w:val="left"/>
    </w:lvl>
    <w:lvl w:ilvl="6">
      <w:numFmt w:val="decimal"/>
      <w:lvlText w:val="%1.%2.%3.%4.%5.%6.%7"/>
      <w:start w:val="1"/>
      <w:rPr>
        <w:rFonts w:hint="default"/>
      </w:rPr>
      <w:pPr>
        <w:ind w:left="1440"/>
        <w:ind w:hanging="1440"/>
      </w:pPr>
      <w:lvlJc w:val="left"/>
    </w:lvl>
    <w:lvl w:ilvl="7">
      <w:numFmt w:val="decimal"/>
      <w:lvlText w:val="%1.%2.%3.%4.%5.%6.%7.%8"/>
      <w:start w:val="1"/>
      <w:rPr>
        <w:rFonts w:hint="default"/>
      </w:rPr>
      <w:pPr>
        <w:ind w:left="1440"/>
        <w:ind w:hanging="1440"/>
      </w:pPr>
      <w:lvlJc w:val="left"/>
    </w:lvl>
    <w:lvl w:ilvl="8">
      <w:numFmt w:val="decimal"/>
      <w:lvlText w:val="%1.%2.%3.%4.%5.%6.%7.%8.%9"/>
      <w:start w:val="1"/>
      <w:rPr>
        <w:rFonts w:hint="default"/>
      </w:rPr>
      <w:pPr>
        <w:ind w:left="1440"/>
        <w:ind w:hanging="1440"/>
      </w:pPr>
      <w:lvlJc w:val="left"/>
    </w:lvl>
  </w:abstractNum>
  <w:abstractNum w:abstractNumId="10121982">
    <w:nsid w:val="6332d28d"/>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num w:numId="10122037">
    <w:abstractNumId w:val="10122037"/>
  </w:num>
  <w:num w:numId="10122036">
    <w:abstractNumId w:val="10122036"/>
  </w:num>
  <w:num w:numId="10122035">
    <w:abstractNumId w:val="10122035"/>
  </w:num>
  <w:num w:numId="10122034">
    <w:abstractNumId w:val="10122034"/>
  </w:num>
  <w:num w:numId="10122033">
    <w:abstractNumId w:val="10122033"/>
  </w:num>
  <w:num w:numId="10122032">
    <w:abstractNumId w:val="10122032"/>
  </w:num>
  <w:num w:numId="10122031">
    <w:abstractNumId w:val="10122031"/>
  </w:num>
  <w:num w:numId="10122030">
    <w:abstractNumId w:val="10122030"/>
  </w:num>
  <w:num w:numId="10122029">
    <w:abstractNumId w:val="10122029"/>
  </w:num>
  <w:num w:numId="10122028">
    <w:abstractNumId w:val="10122028"/>
  </w:num>
  <w:num w:numId="10122027">
    <w:abstractNumId w:val="10122027"/>
  </w:num>
  <w:num w:numId="10122026">
    <w:abstractNumId w:val="10122026"/>
  </w:num>
  <w:num w:numId="10122025">
    <w:abstractNumId w:val="10122025"/>
  </w:num>
  <w:num w:numId="10122024">
    <w:abstractNumId w:val="10122024"/>
  </w:num>
  <w:num w:numId="10122023">
    <w:abstractNumId w:val="10122023"/>
  </w:num>
  <w:num w:numId="10122022">
    <w:abstractNumId w:val="10122022"/>
  </w:num>
  <w:num w:numId="10122021">
    <w:abstractNumId w:val="10122021"/>
  </w:num>
  <w:num w:numId="10122020">
    <w:abstractNumId w:val="10122020"/>
  </w:num>
  <w:num w:numId="10122019">
    <w:abstractNumId w:val="10122019"/>
  </w:num>
  <w:num w:numId="10122018">
    <w:abstractNumId w:val="10122018"/>
  </w:num>
  <w:num w:numId="10122017">
    <w:abstractNumId w:val="10122017"/>
  </w:num>
  <w:num w:numId="10122016">
    <w:abstractNumId w:val="10122016"/>
  </w:num>
  <w:num w:numId="10122015">
    <w:abstractNumId w:val="10122015"/>
  </w:num>
  <w:num w:numId="10122014">
    <w:abstractNumId w:val="10122014"/>
  </w:num>
  <w:num w:numId="10122013">
    <w:abstractNumId w:val="10122013"/>
  </w:num>
  <w:num w:numId="10122012">
    <w:abstractNumId w:val="10122012"/>
  </w:num>
  <w:num w:numId="10122011">
    <w:abstractNumId w:val="10122011"/>
  </w:num>
  <w:num w:numId="10122010">
    <w:abstractNumId w:val="10122010"/>
  </w:num>
  <w:num w:numId="10122009">
    <w:abstractNumId w:val="10122009"/>
  </w:num>
  <w:num w:numId="10122008">
    <w:abstractNumId w:val="10122008"/>
  </w:num>
  <w:num w:numId="10122007">
    <w:abstractNumId w:val="10122007"/>
  </w:num>
  <w:num w:numId="10122006">
    <w:abstractNumId w:val="10122006"/>
  </w:num>
  <w:num w:numId="10122005">
    <w:abstractNumId w:val="10122005"/>
  </w:num>
  <w:num w:numId="10122004">
    <w:abstractNumId w:val="10122004"/>
  </w:num>
  <w:num w:numId="10122003">
    <w:abstractNumId w:val="10122003"/>
  </w:num>
  <w:num w:numId="10122002">
    <w:abstractNumId w:val="10122002"/>
  </w:num>
  <w:num w:numId="10122001">
    <w:abstractNumId w:val="10122001"/>
  </w:num>
  <w:num w:numId="10122000">
    <w:abstractNumId w:val="10122000"/>
  </w:num>
  <w:num w:numId="10121999">
    <w:abstractNumId w:val="10121999"/>
  </w:num>
  <w:num w:numId="10121998">
    <w:abstractNumId w:val="10121998"/>
  </w:num>
  <w:num w:numId="10121997">
    <w:abstractNumId w:val="10121997"/>
  </w:num>
  <w:num w:numId="10121996">
    <w:abstractNumId w:val="10121996"/>
  </w:num>
  <w:num w:numId="10121995">
    <w:abstractNumId w:val="10121995"/>
  </w:num>
  <w:num w:numId="10121994">
    <w:abstractNumId w:val="10121994"/>
  </w:num>
  <w:num w:numId="10121993">
    <w:abstractNumId w:val="10121993"/>
  </w:num>
  <w:num w:numId="10121992">
    <w:abstractNumId w:val="10121992"/>
  </w:num>
  <w:num w:numId="10121991">
    <w:abstractNumId w:val="10121991"/>
  </w:num>
  <w:num w:numId="10121990">
    <w:abstractNumId w:val="10121990"/>
  </w:num>
  <w:num w:numId="10121989">
    <w:abstractNumId w:val="10121989"/>
  </w:num>
  <w:num w:numId="10121988">
    <w:abstractNumId w:val="10121988"/>
  </w:num>
  <w:num w:numId="10121987">
    <w:abstractNumId w:val="10121987"/>
  </w:num>
  <w:num w:numId="10121986">
    <w:abstractNumId w:val="10121986"/>
  </w:num>
  <w:num w:numId="10121985">
    <w:abstractNumId w:val="10121985"/>
  </w:num>
  <w:num w:numId="10121984">
    <w:abstractNumId w:val="10121984"/>
  </w:num>
  <w:num w:numId="10121983">
    <w:abstractNumId w:val="10121983"/>
  </w:num>
  <w:num w:numId="1">
    <w:abstractNumId w:val="0"/>
  </w:num>
  <w:num w:numId="10121982">
    <w:abstractNumId w:val="10121982"/>
  </w:num>
</w:numbering>
</file>

<file path=word/people.xml><?xml version="1.0" encoding="utf-8"?>
<w15:people xmlns:mc="http://schemas.openxmlformats.org/markup-compatibility/2006" xmlns:w15="http://schemas.microsoft.com/office/word/2012/wordml" mc:Ignorable="w15"/>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zoom w:percent="100"/>
  <w:revisionView w:inkAnnotations="0"/>
  <w:trackRevisions w:val="false"/>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12FD"/>
    <w:rsid w:val="0013E36C"/>
    <w:rsid w:val="00583709"/>
    <w:rsid w:val="007C6DDE"/>
    <w:rsid w:val="008312FD"/>
    <w:rsid w:val="00C88FD8"/>
    <w:rsid w:val="00F867C0"/>
    <w:rsid w:val="010C3203"/>
    <w:rsid w:val="012FAEB4"/>
    <w:rsid w:val="016C473E"/>
    <w:rsid w:val="019FB26F"/>
    <w:rsid w:val="01DCBDC5"/>
    <w:rsid w:val="0226BC77"/>
    <w:rsid w:val="0267615B"/>
    <w:rsid w:val="02739F63"/>
    <w:rsid w:val="02B4FF83"/>
    <w:rsid w:val="03314636"/>
    <w:rsid w:val="03997A3C"/>
    <w:rsid w:val="03CA64A0"/>
    <w:rsid w:val="03DCC3B5"/>
    <w:rsid w:val="04556F1C"/>
    <w:rsid w:val="048D6546"/>
    <w:rsid w:val="049E38CB"/>
    <w:rsid w:val="04B2352A"/>
    <w:rsid w:val="05192E40"/>
    <w:rsid w:val="05AAC017"/>
    <w:rsid w:val="05BFF1FA"/>
    <w:rsid w:val="05E5BBCD"/>
    <w:rsid w:val="05F53F24"/>
    <w:rsid w:val="05FCF957"/>
    <w:rsid w:val="0600F138"/>
    <w:rsid w:val="063B35A0"/>
    <w:rsid w:val="0646A7B8"/>
    <w:rsid w:val="0652F42F"/>
    <w:rsid w:val="066AB2CC"/>
    <w:rsid w:val="0697212D"/>
    <w:rsid w:val="06CEBF66"/>
    <w:rsid w:val="06F6F912"/>
    <w:rsid w:val="081117A6"/>
    <w:rsid w:val="0895345B"/>
    <w:rsid w:val="08E3D254"/>
    <w:rsid w:val="092C2C19"/>
    <w:rsid w:val="094EFD79"/>
    <w:rsid w:val="0961F8E1"/>
    <w:rsid w:val="09D9F6C7"/>
    <w:rsid w:val="0A0F96C0"/>
    <w:rsid w:val="0B00475E"/>
    <w:rsid w:val="0B061105"/>
    <w:rsid w:val="0B2A6E4F"/>
    <w:rsid w:val="0B2BA1EC"/>
    <w:rsid w:val="0BDEFD37"/>
    <w:rsid w:val="0C1809CF"/>
    <w:rsid w:val="0CAB2E85"/>
    <w:rsid w:val="0CB0CC55"/>
    <w:rsid w:val="0CC66489"/>
    <w:rsid w:val="0CF766EC"/>
    <w:rsid w:val="0D06A255"/>
    <w:rsid w:val="0E80D2BB"/>
    <w:rsid w:val="103BDF65"/>
    <w:rsid w:val="1269B6A4"/>
    <w:rsid w:val="12BA590A"/>
    <w:rsid w:val="12C0FDF0"/>
    <w:rsid w:val="12D501D4"/>
    <w:rsid w:val="13BC4AA3"/>
    <w:rsid w:val="13EF17DC"/>
    <w:rsid w:val="1401D253"/>
    <w:rsid w:val="1408BB0E"/>
    <w:rsid w:val="146C976B"/>
    <w:rsid w:val="146DC85D"/>
    <w:rsid w:val="14723C94"/>
    <w:rsid w:val="148366E6"/>
    <w:rsid w:val="150107C2"/>
    <w:rsid w:val="1539B63E"/>
    <w:rsid w:val="15D7BC0E"/>
    <w:rsid w:val="15F38BDF"/>
    <w:rsid w:val="1746E481"/>
    <w:rsid w:val="1769D30A"/>
    <w:rsid w:val="17964771"/>
    <w:rsid w:val="1911AA1D"/>
    <w:rsid w:val="1992F5D7"/>
    <w:rsid w:val="19CAD561"/>
    <w:rsid w:val="19FC05D2"/>
    <w:rsid w:val="1A33B36C"/>
    <w:rsid w:val="1A54DAC6"/>
    <w:rsid w:val="1ACD0B2D"/>
    <w:rsid w:val="1B684DCA"/>
    <w:rsid w:val="1BA50F0C"/>
    <w:rsid w:val="1BB13603"/>
    <w:rsid w:val="1D21CD2F"/>
    <w:rsid w:val="1D5AEC08"/>
    <w:rsid w:val="1DFF6D14"/>
    <w:rsid w:val="1E2FEF49"/>
    <w:rsid w:val="1E35F67A"/>
    <w:rsid w:val="1F4F8C7D"/>
    <w:rsid w:val="1FD14857"/>
    <w:rsid w:val="1FD1D1C7"/>
    <w:rsid w:val="203E4B6A"/>
    <w:rsid w:val="2044A343"/>
    <w:rsid w:val="208D7D95"/>
    <w:rsid w:val="20CDDE8A"/>
    <w:rsid w:val="20D3A3FC"/>
    <w:rsid w:val="217B6F0F"/>
    <w:rsid w:val="21AFCEFF"/>
    <w:rsid w:val="22274BB1"/>
    <w:rsid w:val="223C843E"/>
    <w:rsid w:val="22CAF67A"/>
    <w:rsid w:val="240F7836"/>
    <w:rsid w:val="24373416"/>
    <w:rsid w:val="246BC9B9"/>
    <w:rsid w:val="249069C1"/>
    <w:rsid w:val="250B64CF"/>
    <w:rsid w:val="251D4922"/>
    <w:rsid w:val="2542C7E5"/>
    <w:rsid w:val="2573D3A0"/>
    <w:rsid w:val="258D85E1"/>
    <w:rsid w:val="259F2D44"/>
    <w:rsid w:val="25C9554B"/>
    <w:rsid w:val="25FA6420"/>
    <w:rsid w:val="26D4EC73"/>
    <w:rsid w:val="26D75239"/>
    <w:rsid w:val="2769C1D0"/>
    <w:rsid w:val="27DA60CA"/>
    <w:rsid w:val="27EA8A75"/>
    <w:rsid w:val="28D7DBAC"/>
    <w:rsid w:val="2963CD83"/>
    <w:rsid w:val="29D0AA2F"/>
    <w:rsid w:val="2A212AE7"/>
    <w:rsid w:val="2A3E4561"/>
    <w:rsid w:val="2A404FE2"/>
    <w:rsid w:val="2A42D1D0"/>
    <w:rsid w:val="2A54C74F"/>
    <w:rsid w:val="2AABA442"/>
    <w:rsid w:val="2AC8BAD6"/>
    <w:rsid w:val="2B0CFF0E"/>
    <w:rsid w:val="2B141BB8"/>
    <w:rsid w:val="2B4F0B8F"/>
    <w:rsid w:val="2B7D69D7"/>
    <w:rsid w:val="2BAFE49D"/>
    <w:rsid w:val="2D0D9F56"/>
    <w:rsid w:val="2D2F7A84"/>
    <w:rsid w:val="2D568F1F"/>
    <w:rsid w:val="2DDE0630"/>
    <w:rsid w:val="2DE358BD"/>
    <w:rsid w:val="2E18861F"/>
    <w:rsid w:val="2E2960FF"/>
    <w:rsid w:val="2E32D68A"/>
    <w:rsid w:val="2EB627B1"/>
    <w:rsid w:val="2EB627B1"/>
    <w:rsid w:val="2F14CB72"/>
    <w:rsid w:val="2F4E6700"/>
    <w:rsid w:val="2F7B1D55"/>
    <w:rsid w:val="2FA325D8"/>
    <w:rsid w:val="300338FF"/>
    <w:rsid w:val="310A504D"/>
    <w:rsid w:val="3124BDB2"/>
    <w:rsid w:val="3131FBA2"/>
    <w:rsid w:val="3186FA0B"/>
    <w:rsid w:val="31CF727D"/>
    <w:rsid w:val="321C0B3F"/>
    <w:rsid w:val="32C4E7AC"/>
    <w:rsid w:val="3316E40A"/>
    <w:rsid w:val="33E3421E"/>
    <w:rsid w:val="3484590E"/>
    <w:rsid w:val="34F433A3"/>
    <w:rsid w:val="353C9E90"/>
    <w:rsid w:val="35DC0D1E"/>
    <w:rsid w:val="35E8F774"/>
    <w:rsid w:val="3610E839"/>
    <w:rsid w:val="3647BF09"/>
    <w:rsid w:val="36EB3F3E"/>
    <w:rsid w:val="3735DA25"/>
    <w:rsid w:val="379C2955"/>
    <w:rsid w:val="39110230"/>
    <w:rsid w:val="3922CBB3"/>
    <w:rsid w:val="39443825"/>
    <w:rsid w:val="3A8AA4F0"/>
    <w:rsid w:val="3B2E9668"/>
    <w:rsid w:val="3BC66397"/>
    <w:rsid w:val="3C1956EC"/>
    <w:rsid w:val="3C44AB36"/>
    <w:rsid w:val="3CCB72C1"/>
    <w:rsid w:val="3CEC164E"/>
    <w:rsid w:val="3CF20C23"/>
    <w:rsid w:val="3D084D5B"/>
    <w:rsid w:val="3D599483"/>
    <w:rsid w:val="3D7D1517"/>
    <w:rsid w:val="3DB4508D"/>
    <w:rsid w:val="3DC4A9F6"/>
    <w:rsid w:val="3DCF1C41"/>
    <w:rsid w:val="3DE7A31A"/>
    <w:rsid w:val="3E06E18E"/>
    <w:rsid w:val="3E0E4287"/>
    <w:rsid w:val="3E1C8701"/>
    <w:rsid w:val="3E609ADD"/>
    <w:rsid w:val="3E89097E"/>
    <w:rsid w:val="3EAAC87A"/>
    <w:rsid w:val="3EC6EB09"/>
    <w:rsid w:val="3EE89374"/>
    <w:rsid w:val="3EEF2864"/>
    <w:rsid w:val="3F03F090"/>
    <w:rsid w:val="3F17C27E"/>
    <w:rsid w:val="401B157D"/>
    <w:rsid w:val="40BFB567"/>
    <w:rsid w:val="414DFD13"/>
    <w:rsid w:val="414F4CA0"/>
    <w:rsid w:val="41D3CB3B"/>
    <w:rsid w:val="42BBAA28"/>
    <w:rsid w:val="4332D5C8"/>
    <w:rsid w:val="4366CF9D"/>
    <w:rsid w:val="4396481F"/>
    <w:rsid w:val="439AF4E7"/>
    <w:rsid w:val="439EC247"/>
    <w:rsid w:val="43A70794"/>
    <w:rsid w:val="43B3DB3E"/>
    <w:rsid w:val="441503CA"/>
    <w:rsid w:val="4452FEF5"/>
    <w:rsid w:val="44A6C00E"/>
    <w:rsid w:val="453DE3C8"/>
    <w:rsid w:val="46271BD7"/>
    <w:rsid w:val="464685EF"/>
    <w:rsid w:val="46A20085"/>
    <w:rsid w:val="47552BB4"/>
    <w:rsid w:val="47694D55"/>
    <w:rsid w:val="4809C238"/>
    <w:rsid w:val="48242D61"/>
    <w:rsid w:val="489F2C7E"/>
    <w:rsid w:val="48A437EE"/>
    <w:rsid w:val="48B7E75C"/>
    <w:rsid w:val="48B91AC0"/>
    <w:rsid w:val="49512084"/>
    <w:rsid w:val="495E559F"/>
    <w:rsid w:val="4A49AE7A"/>
    <w:rsid w:val="4A82658F"/>
    <w:rsid w:val="4A9C1914"/>
    <w:rsid w:val="4AD6D655"/>
    <w:rsid w:val="4B1A54B4"/>
    <w:rsid w:val="4BF74FCF"/>
    <w:rsid w:val="4C578FCC"/>
    <w:rsid w:val="4CB38D77"/>
    <w:rsid w:val="4CB8590C"/>
    <w:rsid w:val="4CF06CF8"/>
    <w:rsid w:val="4DDC63B2"/>
    <w:rsid w:val="4E6F71E2"/>
    <w:rsid w:val="4EAEBEB1"/>
    <w:rsid w:val="4EC7845B"/>
    <w:rsid w:val="4EDB17FF"/>
    <w:rsid w:val="4EDB17FF"/>
    <w:rsid w:val="4F0E92D7"/>
    <w:rsid w:val="4F7DEE99"/>
    <w:rsid w:val="502B5800"/>
    <w:rsid w:val="503F884A"/>
    <w:rsid w:val="5122F51B"/>
    <w:rsid w:val="51D2F8EF"/>
    <w:rsid w:val="51D7ADBC"/>
    <w:rsid w:val="53348F2E"/>
    <w:rsid w:val="53837261"/>
    <w:rsid w:val="54551411"/>
    <w:rsid w:val="552E68FA"/>
    <w:rsid w:val="55719552"/>
    <w:rsid w:val="558D60AB"/>
    <w:rsid w:val="55994DB3"/>
    <w:rsid w:val="56363D63"/>
    <w:rsid w:val="565786DD"/>
    <w:rsid w:val="56D260B8"/>
    <w:rsid w:val="57348D4B"/>
    <w:rsid w:val="5794CEAD"/>
    <w:rsid w:val="57C0724B"/>
    <w:rsid w:val="58E782CC"/>
    <w:rsid w:val="5A033276"/>
    <w:rsid w:val="5A12D8A4"/>
    <w:rsid w:val="5A9554ED"/>
    <w:rsid w:val="5AE3ED9C"/>
    <w:rsid w:val="5B067FB9"/>
    <w:rsid w:val="5B6598DF"/>
    <w:rsid w:val="5C53B095"/>
    <w:rsid w:val="5C93BBB6"/>
    <w:rsid w:val="5C990D9C"/>
    <w:rsid w:val="5CAB972F"/>
    <w:rsid w:val="5CD5625F"/>
    <w:rsid w:val="5D6F450B"/>
    <w:rsid w:val="5DBDB2C3"/>
    <w:rsid w:val="5DF21273"/>
    <w:rsid w:val="5E104B13"/>
    <w:rsid w:val="5E964413"/>
    <w:rsid w:val="5EC274ED"/>
    <w:rsid w:val="5EE6261F"/>
    <w:rsid w:val="5F86D80A"/>
    <w:rsid w:val="5FA75C1C"/>
    <w:rsid w:val="60064EA4"/>
    <w:rsid w:val="60A7E801"/>
    <w:rsid w:val="60CA2D35"/>
    <w:rsid w:val="60F9F866"/>
    <w:rsid w:val="61D0E6A4"/>
    <w:rsid w:val="61ECB85E"/>
    <w:rsid w:val="62E09A7F"/>
    <w:rsid w:val="6302A9E8"/>
    <w:rsid w:val="631290B6"/>
    <w:rsid w:val="6339CF18"/>
    <w:rsid w:val="63B1AC32"/>
    <w:rsid w:val="63C9E805"/>
    <w:rsid w:val="642A19E6"/>
    <w:rsid w:val="64B61174"/>
    <w:rsid w:val="64CE110C"/>
    <w:rsid w:val="65D292C5"/>
    <w:rsid w:val="65E0D8B0"/>
    <w:rsid w:val="6649D51B"/>
    <w:rsid w:val="665D629F"/>
    <w:rsid w:val="66FAB671"/>
    <w:rsid w:val="67FF8D46"/>
    <w:rsid w:val="682FBD06"/>
    <w:rsid w:val="683FDF85"/>
    <w:rsid w:val="690CDD67"/>
    <w:rsid w:val="6917FACA"/>
    <w:rsid w:val="6971634A"/>
    <w:rsid w:val="6979C9CA"/>
    <w:rsid w:val="69F649AF"/>
    <w:rsid w:val="6A64DB39"/>
    <w:rsid w:val="6AA94E34"/>
    <w:rsid w:val="6AAD21F5"/>
    <w:rsid w:val="6B60B1FC"/>
    <w:rsid w:val="6C092F34"/>
    <w:rsid w:val="6C5144A8"/>
    <w:rsid w:val="6CBA0AE0"/>
    <w:rsid w:val="6CD9C0AE"/>
    <w:rsid w:val="6D6555DB"/>
    <w:rsid w:val="6DAFB006"/>
    <w:rsid w:val="6DEB8DAF"/>
    <w:rsid w:val="6E83AEDC"/>
    <w:rsid w:val="6E97EA6E"/>
    <w:rsid w:val="6EDF3BCE"/>
    <w:rsid w:val="6F1372C8"/>
    <w:rsid w:val="6F994A34"/>
    <w:rsid w:val="7068666A"/>
    <w:rsid w:val="708C47DA"/>
    <w:rsid w:val="70B7FF28"/>
    <w:rsid w:val="70CDFA66"/>
    <w:rsid w:val="70EA9F6F"/>
    <w:rsid w:val="70F86264"/>
    <w:rsid w:val="7104195D"/>
    <w:rsid w:val="71D9CC07"/>
    <w:rsid w:val="72098B21"/>
    <w:rsid w:val="722D46DF"/>
    <w:rsid w:val="72B8507D"/>
    <w:rsid w:val="72FFD945"/>
    <w:rsid w:val="735A4E1C"/>
    <w:rsid w:val="73746911"/>
    <w:rsid w:val="745061EF"/>
    <w:rsid w:val="7459D075"/>
    <w:rsid w:val="7473D18D"/>
    <w:rsid w:val="7504C2C6"/>
    <w:rsid w:val="75592C81"/>
    <w:rsid w:val="75BADB20"/>
    <w:rsid w:val="75DF0120"/>
    <w:rsid w:val="766B0055"/>
    <w:rsid w:val="769D0916"/>
    <w:rsid w:val="77129168"/>
    <w:rsid w:val="777266D6"/>
    <w:rsid w:val="77FC7FD9"/>
    <w:rsid w:val="78CA4C42"/>
    <w:rsid w:val="78D913B7"/>
    <w:rsid w:val="78E0713B"/>
    <w:rsid w:val="7A0BEF0C"/>
    <w:rsid w:val="7A97F4A1"/>
    <w:rsid w:val="7B3D824A"/>
    <w:rsid w:val="7B418C28"/>
    <w:rsid w:val="7B63B60C"/>
    <w:rsid w:val="7C145C14"/>
    <w:rsid w:val="7C7336CA"/>
    <w:rsid w:val="7DC482BD"/>
    <w:rsid w:val="7DF9B4E2"/>
    <w:rsid w:val="7E7CC7C4"/>
    <w:rsid w:val="7FB537D4"/>
    <w:rsid w:val="7FC04E5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0EECB3"/>
  <w15:docId w15:val="{6C7FE98C-F7D4-41B0-A403-85E197934F7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Calibri" w:hAnsi="Calibri" w:eastAsia="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hAnsi="Georgia" w:eastAsia="Georgia" w:cs="Georgia"/>
      <w:i/>
      <w:color w:val="666666"/>
      <w:sz w:val="48"/>
      <w:szCs w:val="48"/>
    </w:rPr>
  </w:style>
  <w:style w:type="table" w:styleId="a" w:customStyle="1">
    <w:basedOn w:val="TableNormal"/>
    <w:tblPr>
      <w:tblStyleRowBandSize w:val="1"/>
      <w:tblStyleColBandSize w:val="1"/>
      <w:tblCellMar>
        <w:left w:w="115" w:type="dxa"/>
        <w:right w:w="115" w:type="dxa"/>
      </w:tblCellMar>
    </w:tblPr>
  </w:style>
  <w:style w:type="table" w:styleId="a0" w:customStyle="1">
    <w:basedOn w:val="TableNormal"/>
    <w:pPr>
      <w:spacing w:after="0" w:line="240" w:lineRule="auto"/>
    </w:pPr>
    <w:tblPr>
      <w:tblStyleRowBandSize w:val="1"/>
      <w:tblStyleColBandSize w:val="1"/>
    </w:tblPr>
  </w:style>
  <w:style w:type="table" w:styleId="a1" w:customStyle="1">
    <w:basedOn w:val="TableNormal"/>
    <w:pPr>
      <w:spacing w:after="0" w:line="240" w:lineRule="auto"/>
    </w:pPr>
    <w:tblPr>
      <w:tblStyleRowBandSize w:val="1"/>
      <w:tblStyleColBandSize w:val="1"/>
    </w:tblPr>
  </w:style>
  <w:style w:type="table" w:styleId="a2" w:customStyle="1">
    <w:basedOn w:val="TableNormal"/>
    <w:pPr>
      <w:spacing w:after="0" w:line="240" w:lineRule="auto"/>
    </w:pPr>
    <w:tblPr>
      <w:tblStyleRowBandSize w:val="1"/>
      <w:tblStyleColBandSize w:val="1"/>
    </w:tblPr>
  </w:style>
  <w:style w:type="table" w:styleId="a3" w:customStyle="1">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ListParagraph">
    <w:name w:val="List Paragraph"/>
    <w:basedOn w:val="Normal"/>
    <w:uiPriority w:val="34"/>
    <w:qFormat/>
    <w:rsid w:val="00FF0866"/>
    <w:pPr>
      <w:ind w:left="720"/>
      <w:contextualSpacing/>
    </w:pPr>
  </w:style>
  <w:style w:type="table" w:styleId="TableGrid">
    <w:name w:val="Table Grid"/>
    <w:basedOn w:val="TableNormal"/>
    <w:uiPriority w:val="39"/>
    <w:rsid w:val="00FF0866"/>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w:type="paragraph" w:styleId="TOC3">
    <w:uiPriority w:val="39"/>
    <w:name w:val="toc 3"/>
    <w:basedOn w:val="Normal"/>
    <w:next w:val="Normal"/>
    <w:unhideWhenUsed/>
    <w:rsid w:val="6979C9CA"/>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webSettings" Target="webSettings.xml" Id="rId4" /><Relationship Type="http://schemas.openxmlformats.org/officeDocument/2006/relationships/image" Target="media/image1.png" Id="rId9" /><Relationship Type="http://schemas.microsoft.com/office/2011/relationships/people" Target="people.xml" Id="Rfaca096bd7384b20" /><Relationship Type="http://schemas.microsoft.com/office/2011/relationships/commentsExtended" Target="commentsExtended.xml" Id="Re3d2efc910c14051" /><Relationship Type="http://schemas.microsoft.com/office/2016/09/relationships/commentsIds" Target="commentsIds.xml" Id="R81a8c1c676304301" /><Relationship Type="http://schemas.microsoft.com/office/2020/10/relationships/intelligence" Target="intelligence2.xml" Id="R06d296f3aa3f4337" /><Relationship Type="http://schemas.openxmlformats.org/officeDocument/2006/relationships/glossaryDocument" Target="glossary/document.xml" Id="R7017eabd5cd148b7" /><Relationship Type="http://schemas.openxmlformats.org/officeDocument/2006/relationships/header" Target="header.xml" Id="R9d36b4b6ad95475e" /><Relationship Type="http://schemas.openxmlformats.org/officeDocument/2006/relationships/footer" Target="footer.xml" Id="R2c2e716a2de5406b" /><Relationship Type="http://schemas.openxmlformats.org/officeDocument/2006/relationships/hyperlink" Target="https://www.leadershipacademy.nhs.uk/" TargetMode="External" Id="R293fe89f8f42477f" /></Relationships>
</file>

<file path=word/glossary/document.xml><?xml version="1.0" encoding="utf-8"?>
<w:glossaryDocument xmlns:wp14="http://schemas.microsoft.com/office/word/2010/wordprocessingDrawing" xmlns:w14="http://schemas.microsoft.com/office/word/2010/wordml" xmlns:w="http://schemas.openxmlformats.org/wordprocessingml/2006/main" xmlns:mc="http://schemas.openxmlformats.org/markup-compatibility/2006" mc:Ignorable="wp14">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Freya Evans (2317768)</lastModifiedBy>
  <revision>18</revision>
  <dcterms:created xsi:type="dcterms:W3CDTF">2023-11-08T08:20:00.0000000Z</dcterms:created>
  <dcterms:modified xsi:type="dcterms:W3CDTF">2026-10-11T16:21:02.5129853Z</dcterms:modified>
</coreProperties>
</file>