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drawings/drawing1.xml" ContentType="application/vnd.openxmlformats-officedocument.drawingml.chartshapes+xml"/>
  <Override PartName="/word/drawings/drawing2.xml" ContentType="application/vnd.openxmlformats-officedocument.drawingml.chartshapes+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9F4558">
      <w:pPr>
        <w:jc w:val="center"/>
        <w:rPr>
          <w:rFonts w:ascii="Times New Roman" w:hAnsi="Times New Roman" w:cs="Times New Roman"/>
          <w:b/>
          <w:bCs/>
          <w:sz w:val="28"/>
          <w:szCs w:val="28"/>
        </w:rPr>
      </w:pPr>
    </w:p>
    <w:p w14:paraId="553E2AB2">
      <w:pPr>
        <w:jc w:val="center"/>
        <w:rPr>
          <w:rFonts w:ascii="Times New Roman" w:hAnsi="Times New Roman" w:cs="Times New Roman"/>
          <w:b/>
          <w:bCs/>
          <w:sz w:val="28"/>
          <w:szCs w:val="28"/>
          <w:lang w:val="en-US"/>
        </w:rPr>
      </w:pPr>
    </w:p>
    <w:p w14:paraId="03050270">
      <w:pPr>
        <w:jc w:val="center"/>
        <w:rPr>
          <w:rFonts w:ascii="Times New Roman" w:hAnsi="Times New Roman" w:cs="Times New Roman"/>
          <w:b/>
          <w:bCs/>
          <w:sz w:val="28"/>
          <w:szCs w:val="28"/>
          <w:lang w:val="en-US"/>
        </w:rPr>
      </w:pPr>
    </w:p>
    <w:p w14:paraId="66A7C343">
      <w:pPr>
        <w:jc w:val="center"/>
        <w:rPr>
          <w:rFonts w:ascii="Times New Roman" w:hAnsi="Times New Roman" w:cs="Times New Roman"/>
          <w:b/>
          <w:bCs/>
          <w:sz w:val="28"/>
          <w:szCs w:val="28"/>
          <w:lang w:val="en-US"/>
        </w:rPr>
      </w:pPr>
    </w:p>
    <w:p w14:paraId="45529C58">
      <w:pPr>
        <w:jc w:val="center"/>
        <w:rPr>
          <w:rFonts w:ascii="Times New Roman" w:hAnsi="Times New Roman" w:cs="Times New Roman"/>
          <w:b/>
          <w:bCs/>
          <w:sz w:val="28"/>
          <w:szCs w:val="28"/>
        </w:rPr>
      </w:pPr>
      <w:r>
        <w:rPr>
          <w:rFonts w:ascii="Times New Roman" w:hAnsi="Times New Roman" w:cs="Times New Roman"/>
          <w:b/>
          <w:bCs/>
          <w:sz w:val="28"/>
          <w:szCs w:val="28"/>
          <w:lang w:val="en-US"/>
        </w:rPr>
        <w:t xml:space="preserve">Module: </w:t>
      </w:r>
      <w:r>
        <w:rPr>
          <w:rFonts w:ascii="Times New Roman" w:hAnsi="Times New Roman" w:cs="Times New Roman"/>
          <w:b/>
          <w:bCs/>
          <w:sz w:val="28"/>
          <w:szCs w:val="28"/>
        </w:rPr>
        <w:t>International Marketing: Principles and Practices</w:t>
      </w:r>
    </w:p>
    <w:p w14:paraId="26FD8060">
      <w:pPr>
        <w:jc w:val="center"/>
        <w:rPr>
          <w:rFonts w:ascii="Times New Roman" w:hAnsi="Times New Roman" w:cs="Times New Roman"/>
          <w:b/>
          <w:bCs/>
          <w:sz w:val="28"/>
          <w:szCs w:val="28"/>
        </w:rPr>
      </w:pPr>
      <w:r>
        <w:rPr>
          <w:rFonts w:ascii="Times New Roman" w:hAnsi="Times New Roman" w:cs="Times New Roman"/>
          <w:b/>
          <w:bCs/>
          <w:sz w:val="28"/>
          <w:szCs w:val="28"/>
        </w:rPr>
        <w:t>Module Code: LCMB7026</w:t>
      </w:r>
    </w:p>
    <w:p w14:paraId="41F0C554">
      <w:pPr>
        <w:jc w:val="center"/>
        <w:rPr>
          <w:rFonts w:ascii="Times New Roman" w:hAnsi="Times New Roman" w:cs="Times New Roman"/>
          <w:b/>
          <w:bCs/>
          <w:sz w:val="28"/>
          <w:szCs w:val="28"/>
        </w:rPr>
      </w:pPr>
      <w:r>
        <w:rPr>
          <w:rFonts w:ascii="Times New Roman" w:hAnsi="Times New Roman" w:cs="Times New Roman"/>
          <w:b/>
          <w:bCs/>
          <w:sz w:val="28"/>
          <w:szCs w:val="28"/>
        </w:rPr>
        <w:t>Assignment Title: Assessment component 1: Individual report</w:t>
      </w:r>
    </w:p>
    <w:p w14:paraId="2D8C83A9">
      <w:pPr>
        <w:jc w:val="center"/>
        <w:rPr>
          <w:rFonts w:ascii="Times New Roman" w:hAnsi="Times New Roman" w:cs="Times New Roman"/>
          <w:b/>
          <w:bCs/>
          <w:sz w:val="28"/>
          <w:szCs w:val="28"/>
        </w:rPr>
      </w:pPr>
      <w:r>
        <w:rPr>
          <w:rFonts w:ascii="Times New Roman" w:hAnsi="Times New Roman" w:cs="Times New Roman"/>
          <w:b/>
          <w:bCs/>
          <w:sz w:val="28"/>
          <w:szCs w:val="28"/>
        </w:rPr>
        <w:t>Student Name:</w:t>
      </w:r>
      <w:r>
        <w:rPr>
          <w:rFonts w:hint="default" w:ascii="Times New Roman" w:hAnsi="Times New Roman" w:cs="Times New Roman"/>
          <w:b/>
          <w:bCs/>
          <w:sz w:val="28"/>
          <w:szCs w:val="28"/>
        </w:rPr>
        <w:t>Afrinbanu Imtiyaz Parmar</w:t>
      </w:r>
    </w:p>
    <w:p w14:paraId="2F4EA9B0">
      <w:pPr>
        <w:jc w:val="center"/>
        <w:rPr>
          <w:rFonts w:ascii="Times New Roman" w:hAnsi="Times New Roman" w:cs="Times New Roman"/>
          <w:b/>
          <w:bCs/>
          <w:sz w:val="28"/>
          <w:szCs w:val="28"/>
        </w:rPr>
      </w:pPr>
      <w:r>
        <w:rPr>
          <w:rFonts w:ascii="Times New Roman" w:hAnsi="Times New Roman" w:cs="Times New Roman"/>
          <w:b/>
          <w:bCs/>
          <w:sz w:val="28"/>
          <w:szCs w:val="28"/>
        </w:rPr>
        <w:t>Student ID:</w:t>
      </w:r>
      <w:r>
        <w:rPr>
          <w:rFonts w:hint="default" w:ascii="Times New Roman" w:hAnsi="Times New Roman" w:cs="Times New Roman"/>
          <w:b/>
          <w:bCs/>
          <w:sz w:val="28"/>
          <w:szCs w:val="28"/>
        </w:rPr>
        <w:t>2518571</w:t>
      </w:r>
    </w:p>
    <w:p w14:paraId="1BF0BC8E">
      <w:pPr>
        <w:jc w:val="center"/>
        <w:rPr>
          <w:rFonts w:ascii="Times New Roman" w:hAnsi="Times New Roman" w:cs="Times New Roman"/>
          <w:b/>
          <w:bCs/>
          <w:sz w:val="28"/>
          <w:szCs w:val="28"/>
        </w:rPr>
      </w:pPr>
      <w:r>
        <w:rPr>
          <w:rFonts w:ascii="Times New Roman" w:hAnsi="Times New Roman" w:cs="Times New Roman"/>
          <w:b/>
          <w:bCs/>
          <w:sz w:val="28"/>
          <w:szCs w:val="28"/>
        </w:rPr>
        <w:t>Lecturer Name:</w:t>
      </w:r>
      <w:r>
        <w:rPr>
          <w:rFonts w:hint="default" w:ascii="Times New Roman" w:hAnsi="Times New Roman" w:cs="Times New Roman"/>
          <w:b/>
          <w:bCs/>
          <w:sz w:val="28"/>
          <w:szCs w:val="28"/>
        </w:rPr>
        <w:t>Tushara Balendran</w:t>
      </w:r>
      <w:bookmarkStart w:id="18" w:name="_GoBack"/>
      <w:bookmarkEnd w:id="18"/>
    </w:p>
    <w:p w14:paraId="237AAE3F">
      <w:pPr>
        <w:jc w:val="center"/>
        <w:rPr>
          <w:rFonts w:ascii="Times New Roman" w:hAnsi="Times New Roman" w:cs="Times New Roman"/>
          <w:b/>
          <w:bCs/>
          <w:sz w:val="28"/>
          <w:szCs w:val="28"/>
        </w:rPr>
      </w:pPr>
      <w:r>
        <w:rPr>
          <w:rFonts w:ascii="Times New Roman" w:hAnsi="Times New Roman" w:cs="Times New Roman"/>
          <w:b/>
          <w:bCs/>
          <w:sz w:val="28"/>
          <w:szCs w:val="28"/>
        </w:rPr>
        <w:t>Word Count: 5083</w:t>
      </w:r>
    </w:p>
    <w:p w14:paraId="221A125F">
      <w:pPr>
        <w:rPr>
          <w:rFonts w:ascii="Times New Roman" w:hAnsi="Times New Roman" w:cs="Times New Roman"/>
          <w:b/>
          <w:bCs/>
          <w:sz w:val="28"/>
          <w:szCs w:val="28"/>
        </w:rPr>
      </w:pPr>
    </w:p>
    <w:p w14:paraId="28EC7F88">
      <w:pPr>
        <w:rPr>
          <w:rFonts w:ascii="Times New Roman" w:hAnsi="Times New Roman" w:cs="Times New Roman"/>
          <w:b/>
          <w:bCs/>
          <w:sz w:val="28"/>
          <w:szCs w:val="28"/>
        </w:rPr>
      </w:pPr>
      <w:r>
        <w:rPr>
          <w:rFonts w:ascii="Times New Roman" w:hAnsi="Times New Roman" w:cs="Times New Roman"/>
          <w:b/>
          <w:bCs/>
          <w:sz w:val="28"/>
          <w:szCs w:val="28"/>
        </w:rPr>
        <w:br w:type="page"/>
      </w:r>
    </w:p>
    <w:p w14:paraId="6708BEF9"/>
    <w:p w14:paraId="6A738B55">
      <w:pPr>
        <w:rPr>
          <w:rFonts w:ascii="Times New Roman" w:hAnsi="Times New Roman" w:cs="Times New Roman"/>
          <w:b/>
          <w:bCs/>
          <w:sz w:val="28"/>
          <w:szCs w:val="28"/>
        </w:rPr>
      </w:pPr>
      <w:r>
        <w:drawing>
          <wp:inline distT="0" distB="0" distL="0" distR="0">
            <wp:extent cx="5851525" cy="6823075"/>
            <wp:effectExtent l="0" t="0" r="0" b="0"/>
            <wp:docPr id="214697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71768" name="Picture 1"/>
                    <pic:cNvPicPr>
                      <a:picLocks noChangeAspect="1"/>
                    </pic:cNvPicPr>
                  </pic:nvPicPr>
                  <pic:blipFill>
                    <a:blip r:embed="rId7"/>
                    <a:srcRect l="33902" t="24776" r="35653" b="8405"/>
                    <a:stretch>
                      <a:fillRect/>
                    </a:stretch>
                  </pic:blipFill>
                  <pic:spPr>
                    <a:xfrm>
                      <a:off x="0" y="0"/>
                      <a:ext cx="5873248" cy="6847847"/>
                    </a:xfrm>
                    <a:prstGeom prst="rect">
                      <a:avLst/>
                    </a:prstGeom>
                    <a:ln>
                      <a:noFill/>
                    </a:ln>
                  </pic:spPr>
                </pic:pic>
              </a:graphicData>
            </a:graphic>
          </wp:inline>
        </w:drawing>
      </w:r>
      <w:r>
        <w:rPr>
          <w:rFonts w:ascii="Times New Roman" w:hAnsi="Times New Roman" w:cs="Times New Roman"/>
          <w:b/>
          <w:bCs/>
          <w:sz w:val="28"/>
          <w:szCs w:val="28"/>
        </w:rPr>
        <w:br w:type="page"/>
      </w:r>
    </w:p>
    <w:sdt>
      <w:sdtPr>
        <w:rPr>
          <w:rFonts w:ascii="Times New Roman" w:hAnsi="Times New Roman" w:cs="Times New Roman" w:eastAsiaTheme="minorHAnsi"/>
          <w:color w:val="auto"/>
          <w:kern w:val="2"/>
          <w:sz w:val="24"/>
          <w:szCs w:val="24"/>
          <w:lang w:val="en-IN"/>
          <w14:ligatures w14:val="standardContextual"/>
        </w:rPr>
        <w:id w:val="-491262993"/>
        <w:docPartObj>
          <w:docPartGallery w:val="Table of Contents"/>
          <w:docPartUnique/>
        </w:docPartObj>
      </w:sdtPr>
      <w:sdtEndPr>
        <w:rPr>
          <w:rFonts w:ascii="Times New Roman" w:hAnsi="Times New Roman" w:cs="Times New Roman" w:eastAsiaTheme="minorHAnsi"/>
          <w:b/>
          <w:bCs/>
          <w:color w:val="auto"/>
          <w:kern w:val="2"/>
          <w:sz w:val="24"/>
          <w:szCs w:val="24"/>
          <w:lang w:val="en-IN"/>
          <w14:ligatures w14:val="standardContextual"/>
        </w:rPr>
      </w:sdtEndPr>
      <w:sdtContent>
        <w:p w14:paraId="364DFB85">
          <w:pPr>
            <w:pStyle w:val="46"/>
            <w:spacing w:line="360" w:lineRule="auto"/>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347D622B">
          <w:pPr>
            <w:pStyle w:val="22"/>
            <w:tabs>
              <w:tab w:val="right" w:leader="dot" w:pos="9016"/>
            </w:tabs>
            <w:spacing w:line="276" w:lineRule="auto"/>
            <w:rPr>
              <w:rFonts w:ascii="Times New Roman" w:hAnsi="Times New Roman" w:cs="Times New Roman" w:eastAsiaTheme="minorEastAsia"/>
              <w:sz w:val="24"/>
              <w:szCs w:val="24"/>
              <w:lang w:eastAsia="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"_Toc236853685" </w:instrText>
          </w:r>
          <w:r>
            <w:fldChar w:fldCharType="separate"/>
          </w:r>
          <w:r>
            <w:rPr>
              <w:rStyle w:val="18"/>
              <w:rFonts w:ascii="Times New Roman" w:hAnsi="Times New Roman" w:cs="Times New Roman"/>
              <w:sz w:val="24"/>
              <w:szCs w:val="24"/>
            </w:rPr>
            <w:t>Section 1: A report on the International Market Entry Strategy and Marketing Mix of Toyota in Japan and the US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_Toc236853685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92BE8D5">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"_Toc236853686" </w:instrText>
          </w:r>
          <w:r>
            <w:fldChar w:fldCharType="separate"/>
          </w:r>
          <w:r>
            <w:rPr>
              <w:rStyle w:val="18"/>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_Toc236853686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4900BB8">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"_Toc236853687" </w:instrText>
          </w:r>
          <w:r>
            <w:fldChar w:fldCharType="separate"/>
          </w:r>
          <w:r>
            <w:rPr>
              <w:rStyle w:val="18"/>
              <w:rFonts w:ascii="Times New Roman" w:hAnsi="Times New Roman" w:cs="Times New Roman"/>
              <w:sz w:val="24"/>
              <w:szCs w:val="24"/>
            </w:rPr>
            <w:t>About Toyota and automobile industry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_Toc236853687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51E719B">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"_Toc236853688" </w:instrText>
          </w:r>
          <w:r>
            <w:fldChar w:fldCharType="separate"/>
          </w:r>
          <w:r>
            <w:rPr>
              <w:rStyle w:val="18"/>
              <w:rFonts w:ascii="Times New Roman" w:hAnsi="Times New Roman" w:cs="Times New Roman"/>
              <w:sz w:val="24"/>
              <w:szCs w:val="24"/>
            </w:rPr>
            <w:t>Macro-environment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_Toc236853688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BF90007">
          <w:pPr>
            <w:pStyle w:val="23"/>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"_Toc236853689" </w:instrText>
          </w:r>
          <w:r>
            <w:fldChar w:fldCharType="separate"/>
          </w:r>
          <w:r>
            <w:rPr>
              <w:rStyle w:val="18"/>
              <w:rFonts w:ascii="Times New Roman" w:hAnsi="Times New Roman" w:cs="Times New Roman"/>
              <w:sz w:val="24"/>
              <w:szCs w:val="24"/>
            </w:rPr>
            <w:t>PESTEL Analysis of Toyota in Japan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_Toc236853689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A82F9A4">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"_Toc236853690" </w:instrText>
          </w:r>
          <w:r>
            <w:fldChar w:fldCharType="separate"/>
          </w:r>
          <w:r>
            <w:rPr>
              <w:rStyle w:val="18"/>
              <w:rFonts w:ascii="Times New Roman" w:hAnsi="Times New Roman" w:cs="Times New Roman"/>
              <w:sz w:val="24"/>
              <w:szCs w:val="24"/>
            </w:rPr>
            <w:t>Cultural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_Toc236853690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DAFCE09">
          <w:pPr>
            <w:pStyle w:val="23"/>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"_Toc236853691" </w:instrText>
          </w:r>
          <w:r>
            <w:fldChar w:fldCharType="separate"/>
          </w:r>
          <w:r>
            <w:rPr>
              <w:rStyle w:val="18"/>
              <w:rFonts w:ascii="Times New Roman" w:hAnsi="Times New Roman" w:cs="Times New Roman"/>
              <w:sz w:val="24"/>
              <w:szCs w:val="24"/>
            </w:rPr>
            <w:t>Hofstede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C8017B8">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"_Toc236853692" </w:instrText>
          </w:r>
          <w:r>
            <w:fldChar w:fldCharType="separate"/>
          </w:r>
          <w:r>
            <w:rPr>
              <w:rStyle w:val="18"/>
              <w:rFonts w:ascii="Times New Roman" w:hAnsi="Times New Roman" w:cs="Times New Roman"/>
              <w:sz w:val="24"/>
              <w:szCs w:val="24"/>
            </w:rPr>
            <w:t>Comparative Analysis of STP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_Toc236853692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91ACFC7">
          <w:pPr>
            <w:pStyle w:val="23"/>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"_Toc236853693" </w:instrText>
          </w:r>
          <w:r>
            <w:fldChar w:fldCharType="separate"/>
          </w:r>
          <w:r>
            <w:rPr>
              <w:rStyle w:val="18"/>
              <w:rFonts w:ascii="Times New Roman" w:hAnsi="Times New Roman" w:cs="Times New Roman"/>
              <w:sz w:val="24"/>
              <w:szCs w:val="24"/>
            </w:rPr>
            <w:t>Market Segmentation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A1C847">
          <w:pPr>
            <w:pStyle w:val="23"/>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"_Toc236853694" </w:instrText>
          </w:r>
          <w:r>
            <w:fldChar w:fldCharType="separate"/>
          </w:r>
          <w:r>
            <w:rPr>
              <w:rStyle w:val="18"/>
              <w:rFonts w:ascii="Times New Roman" w:hAnsi="Times New Roman" w:cs="Times New Roman"/>
              <w:sz w:val="24"/>
              <w:szCs w:val="24"/>
            </w:rPr>
            <w:t>Market Targeting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_Toc236853694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D8D3477">
          <w:pPr>
            <w:pStyle w:val="23"/>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"_Toc236853695" </w:instrText>
          </w:r>
          <w:r>
            <w:fldChar w:fldCharType="separate"/>
          </w:r>
          <w:r>
            <w:rPr>
              <w:rStyle w:val="18"/>
              <w:rFonts w:ascii="Times New Roman" w:hAnsi="Times New Roman" w:cs="Times New Roman"/>
              <w:sz w:val="24"/>
              <w:szCs w:val="24"/>
            </w:rPr>
            <w:t>Market Positioning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D22AFEC">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"_Toc236853696" </w:instrText>
          </w:r>
          <w:r>
            <w:fldChar w:fldCharType="separate"/>
          </w:r>
          <w:r>
            <w:rPr>
              <w:rStyle w:val="18"/>
              <w:rFonts w:ascii="Times New Roman" w:hAnsi="Times New Roman" w:cs="Times New Roman"/>
              <w:sz w:val="24"/>
              <w:szCs w:val="24"/>
            </w:rPr>
            <w:t>International Marketing Mix (7Ps)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_Toc236853696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6C3996D">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"_Toc236853697" </w:instrText>
          </w:r>
          <w:r>
            <w:fldChar w:fldCharType="separate"/>
          </w:r>
          <w:r>
            <w:rPr>
              <w:rStyle w:val="18"/>
              <w:rFonts w:ascii="Times New Roman" w:hAnsi="Times New Roman" w:cs="Times New Roman"/>
              <w:sz w:val="24"/>
              <w:szCs w:val="24"/>
            </w:rPr>
            <w:t>Analysis of the market entry strategy in the US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_Toc236853697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8E18FEA">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"_Toc236853698" </w:instrText>
          </w:r>
          <w:r>
            <w:fldChar w:fldCharType="separate"/>
          </w:r>
          <w:r>
            <w:rPr>
              <w:rStyle w:val="18"/>
              <w:rFonts w:ascii="Times New Roman" w:hAnsi="Times New Roman" w:cs="Times New Roman"/>
              <w:sz w:val="24"/>
              <w:szCs w:val="24"/>
            </w:rPr>
            <w:t>Evaluation of ethical issues related to the marketing mix in the US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_Toc236853698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05AC905">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"_Toc236853699" </w:instrText>
          </w:r>
          <w:r>
            <w:fldChar w:fldCharType="separate"/>
          </w:r>
          <w:r>
            <w:rPr>
              <w:rStyle w:val="18"/>
              <w:rFonts w:ascii="Times New Roman" w:hAnsi="Times New Roman" w:cs="Times New Roman"/>
              <w:sz w:val="24"/>
              <w:szCs w:val="24"/>
            </w:rPr>
            <w:t>Recommendations on international marketing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_Toc236853699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5DE8375">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"_Toc236853700" </w:instrText>
          </w:r>
          <w:r>
            <w:fldChar w:fldCharType="separate"/>
          </w:r>
          <w:r>
            <w:rPr>
              <w:rStyle w:val="18"/>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_Toc236853700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65F3A6">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"_Toc236853701" </w:instrText>
          </w:r>
          <w:r>
            <w:fldChar w:fldCharType="separate"/>
          </w:r>
          <w:r>
            <w:rPr>
              <w:rStyle w:val="18"/>
              <w:rFonts w:ascii="Times New Roman" w:hAnsi="Times New Roman" w:cs="Times New Roman"/>
              <w:sz w:val="24"/>
              <w:szCs w:val="24"/>
            </w:rPr>
            <w:t>Section 2: Reflection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_Toc236853701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6410078">
          <w:pPr>
            <w:pStyle w:val="22"/>
            <w:tabs>
              <w:tab w:val="right" w:leader="dot" w:pos="9016"/>
            </w:tabs>
            <w:spacing w:line="276" w:lineRule="auto"/>
            <w:rPr>
              <w:rFonts w:ascii="Times New Roman" w:hAnsi="Times New Roman" w:cs="Times New Roman" w:eastAsiaTheme="minorEastAsia"/>
              <w:sz w:val="24"/>
              <w:szCs w:val="24"/>
              <w:lang w:eastAsia="en-IN"/>
            </w:rPr>
          </w:pPr>
          <w:r>
            <w:fldChar w:fldCharType="begin"/>
          </w:r>
          <w:r>
            <w:instrText xml:space="preserve"> HYPERLINK \l "_Toc236853702" </w:instrText>
          </w:r>
          <w:r>
            <w:fldChar w:fldCharType="separate"/>
          </w:r>
          <w:r>
            <w:rPr>
              <w:rStyle w:val="18"/>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_Toc236853702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8B6F548">
          <w:pPr>
            <w:spacing w:line="276" w:lineRule="auto"/>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5D197FF0">
      <w:pPr>
        <w:spacing w:line="276" w:lineRule="auto"/>
        <w:rPr>
          <w:rFonts w:ascii="Times New Roman" w:hAnsi="Times New Roman" w:cs="Times New Roman"/>
          <w:b/>
          <w:bCs/>
          <w:sz w:val="24"/>
          <w:szCs w:val="24"/>
        </w:rPr>
      </w:pPr>
    </w:p>
    <w:p w14:paraId="46AC23D6">
      <w:pPr>
        <w:spacing w:line="360" w:lineRule="auto"/>
        <w:rPr>
          <w:rFonts w:ascii="Times New Roman" w:hAnsi="Times New Roman" w:cs="Times New Roman"/>
          <w:b/>
          <w:bCs/>
          <w:sz w:val="24"/>
          <w:szCs w:val="24"/>
        </w:rPr>
      </w:pPr>
    </w:p>
    <w:p w14:paraId="529A7F3A">
      <w:pPr>
        <w:rPr>
          <w:rFonts w:ascii="Times New Roman" w:hAnsi="Times New Roman" w:cs="Times New Roman"/>
          <w:b/>
          <w:bCs/>
          <w:sz w:val="28"/>
          <w:szCs w:val="28"/>
        </w:rPr>
      </w:pPr>
      <w:r>
        <w:rPr>
          <w:rFonts w:ascii="Times New Roman" w:hAnsi="Times New Roman" w:cs="Times New Roman"/>
          <w:b/>
          <w:bCs/>
          <w:sz w:val="28"/>
          <w:szCs w:val="28"/>
        </w:rPr>
        <w:br w:type="page"/>
      </w:r>
    </w:p>
    <w:p w14:paraId="0A792190">
      <w:pPr>
        <w:pStyle w:val="2"/>
      </w:pPr>
      <w:bookmarkStart w:id="0" w:name="_Toc236853685"/>
      <w:r>
        <w:t>Section 1: A report on the International Market Entry Strategy and Marketing Mix of Toyota in Japan and the US</w:t>
      </w:r>
      <w:bookmarkEnd w:id="0"/>
    </w:p>
    <w:p w14:paraId="08C8B63B">
      <w:pPr>
        <w:pStyle w:val="2"/>
        <w:spacing w:line="360" w:lineRule="auto"/>
        <w:jc w:val="both"/>
      </w:pPr>
      <w:bookmarkStart w:id="1" w:name="_Toc236853686"/>
      <w:r>
        <w:t>Introduction</w:t>
      </w:r>
      <w:bookmarkEnd w:id="1"/>
      <w:r>
        <w:t xml:space="preserve"> </w:t>
      </w:r>
    </w:p>
    <w:p w14:paraId="3F3E4362">
      <w:pPr>
        <w:spacing w:line="360" w:lineRule="auto"/>
        <w:jc w:val="both"/>
        <w:rPr>
          <w:rFonts w:ascii="Times New Roman" w:hAnsi="Times New Roman" w:cs="Times New Roman"/>
          <w:sz w:val="24"/>
          <w:szCs w:val="24"/>
        </w:rPr>
      </w:pPr>
      <w:r>
        <w:rPr>
          <w:rFonts w:ascii="Times New Roman" w:hAnsi="Times New Roman" w:cs="Times New Roman"/>
          <w:sz w:val="24"/>
          <w:szCs w:val="24"/>
        </w:rPr>
        <w:t>An international market entry strategy is considered crucial and fundamental to global expansion for businesses seeking growth in international markets. With intensifying globalisation, contemporary organisations are keen on pursuing opportunities in global markets for accessing new customers, resources, and sustainable growth (Novak, 2025, p.2). The chosen company for analysis is Toyota, and the chosen countries include Japan (home country) and the United States (host country) because of Toyota’s historic and most successful market re-entry in the American market.</w:t>
      </w:r>
    </w:p>
    <w:p w14:paraId="1C12A33F">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two sections in the assessment comprising of an analytical report and a reflective narration respectively. The aim of the analytical report is to analyse the international market entry strategy and marketing mix of the automotive giant Toyota, particularly in Japan and the United States. This report conducts a comparative analysis of the macro-environments as well as cultural factors in both countries using relevant theoretical frameworks and models. It compares and contrasts the company’s product, price, place, promotion, people, process, and physical evidence strategies for both countries, considering cultural and economic factors. The report analyses the market entry strategy in one of the countries and evaluates whether there were ethical issues related to this brand’s marketing mix in one country. Based on the analysis, this report also recommends how his report recommends how Toyota should go forward with their international marketing strategies. The second section outlines a reflective account of the process that has been followed in researching, analysing and preparing the previous section of the assessment, using a suitable reflective model.</w:t>
      </w:r>
    </w:p>
    <w:p w14:paraId="2DB86077">
      <w:pPr>
        <w:pStyle w:val="2"/>
        <w:spacing w:line="360" w:lineRule="auto"/>
        <w:jc w:val="both"/>
      </w:pPr>
      <w:bookmarkStart w:id="2" w:name="_Toc236853687"/>
      <w:r>
        <w:t>About Toyota and automobile industry</w:t>
      </w:r>
      <w:bookmarkEnd w:id="2"/>
    </w:p>
    <w:p w14:paraId="290B584D">
      <w:pPr>
        <w:spacing w:line="360" w:lineRule="auto"/>
        <w:jc w:val="both"/>
        <w:rPr>
          <w:rFonts w:ascii="Times New Roman" w:hAnsi="Times New Roman" w:cs="Times New Roman"/>
          <w:sz w:val="24"/>
          <w:szCs w:val="24"/>
        </w:rPr>
      </w:pPr>
      <w:r>
        <w:rPr>
          <w:rFonts w:ascii="Times New Roman" w:hAnsi="Times New Roman" w:cs="Times New Roman"/>
          <w:sz w:val="24"/>
          <w:szCs w:val="24"/>
        </w:rPr>
        <w:t>Toyota Motor Corporation is a leading global automobile manufacturer, headquartered in Aichi, Japan. Toyota engages in designing, manufacturing, and selling a wide range of vehicles, including passenger cars, trucks, buses, specialty cars, and sport-utility vehicles (</w:t>
      </w:r>
      <w:r>
        <w:rPr>
          <w:rFonts w:ascii="Times New Roman" w:hAnsi="Times New Roman" w:cs="Times New Roman"/>
          <w:sz w:val="24"/>
          <w:szCs w:val="24"/>
          <w:lang w:val="en-US"/>
        </w:rPr>
        <w:t>Global Data, 2026, para. 1)</w:t>
      </w:r>
      <w:r>
        <w:rPr>
          <w:rFonts w:ascii="Times New Roman" w:hAnsi="Times New Roman" w:cs="Times New Roman"/>
          <w:sz w:val="24"/>
          <w:szCs w:val="24"/>
        </w:rPr>
        <w:t>. The company offers financing services to customers and dealers for the lease or purchase of vehicles. Besides, Toyota engages in providing telecommunications, housing, and information technology businesses. Toyota operates across Europe, America, Middle East, and Asia Pacific (</w:t>
      </w:r>
      <w:r>
        <w:rPr>
          <w:rFonts w:ascii="Times New Roman" w:hAnsi="Times New Roman" w:cs="Times New Roman"/>
          <w:sz w:val="24"/>
          <w:szCs w:val="24"/>
          <w:lang w:val="en-US"/>
        </w:rPr>
        <w:t>Global Data, 2026, para. 1)</w:t>
      </w:r>
      <w:r>
        <w:rPr>
          <w:rFonts w:ascii="Times New Roman" w:hAnsi="Times New Roman" w:cs="Times New Roman"/>
          <w:sz w:val="24"/>
          <w:szCs w:val="24"/>
        </w:rPr>
        <w:t xml:space="preserve">. The company has manufacturing facilities across Japan, Italy, Sweden, France, Switzerland, Germany, Poland, the US, China, Brazil, India, and Indonesia </w:t>
      </w:r>
      <w:r>
        <w:rPr>
          <w:rFonts w:ascii="Times New Roman" w:hAnsi="Times New Roman" w:cs="Times New Roman"/>
          <w:sz w:val="24"/>
          <w:szCs w:val="24"/>
          <w:lang w:val="en-US"/>
        </w:rPr>
        <w:t>(Global Data, 2026, para. 1)</w:t>
      </w:r>
      <w:r>
        <w:rPr>
          <w:rFonts w:ascii="Times New Roman" w:hAnsi="Times New Roman" w:cs="Times New Roman"/>
          <w:sz w:val="24"/>
          <w:szCs w:val="24"/>
        </w:rPr>
        <w:t>. In the fourth quarter of FY25-26, Toyota’s consolidated vehicle sales have been approximately 9,595,000 units, a significant increase from the last fiscal period (Toyota Newsroom, 2026). The company’s net revenue for the period has been 50.684 trillion yen ($335.7 billion), a rise of 5.5% from the previous year (Toyota Newsroom, 2026, para. 1). The automotive industry entering 2026 faced sustained pressure, following the post-pandemic rebound of earlier years. The automotive sector witnessed consecutive declines, such as declining 1% in 2025 and 7% in 2026, with an overall brand value at present is USD575.4 billion (</w:t>
      </w:r>
      <w:r>
        <w:rPr>
          <w:rFonts w:ascii="Times New Roman" w:hAnsi="Times New Roman" w:cs="Times New Roman"/>
          <w:sz w:val="24"/>
          <w:szCs w:val="24"/>
          <w:lang w:val="en-US"/>
        </w:rPr>
        <w:t>Brand Finance, 2026, para. 2)</w:t>
      </w:r>
      <w:r>
        <w:rPr>
          <w:rFonts w:ascii="Times New Roman" w:hAnsi="Times New Roman" w:cs="Times New Roman"/>
          <w:sz w:val="24"/>
          <w:szCs w:val="24"/>
        </w:rPr>
        <w:t xml:space="preserve">. Presently, the global automotive sector is attributed to the rise of hybrid and software-defined vehicles, regional growth divergence, and uneven Electric Vehicle (EV) adoption. </w:t>
      </w:r>
    </w:p>
    <w:p w14:paraId="57164608">
      <w:pPr>
        <w:pStyle w:val="2"/>
        <w:spacing w:line="360" w:lineRule="auto"/>
        <w:jc w:val="both"/>
      </w:pPr>
      <w:bookmarkStart w:id="3" w:name="_Toc236853688"/>
      <w:r>
        <w:t>Macro-environment Analysis</w:t>
      </w:r>
      <w:bookmarkEnd w:id="3"/>
    </w:p>
    <w:p w14:paraId="7F59498D">
      <w:pPr>
        <w:pStyle w:val="3"/>
        <w:spacing w:line="360" w:lineRule="auto"/>
        <w:jc w:val="both"/>
      </w:pPr>
      <w:bookmarkStart w:id="4" w:name="_Toc236853689"/>
      <w:r>
        <w:t>PESTEL Analysis of Toyota in Japan</w:t>
      </w:r>
      <w:bookmarkEnd w:id="4"/>
    </w:p>
    <w:p w14:paraId="24887102">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w:t>
      </w:r>
    </w:p>
    <w:p w14:paraId="21641E7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Political – The Japanese government strongly supports national automotive champions as well as strategic industrial policies. For example, the government pledges up to $2.4 billion in subsidies for major automotive manufacturers like Toyota to scale domestic EV battery manufacturing (Reuters, 2024). However, policy execution for domestic subsidies as well as funding for long-term green transition faces substantial delays due to recent political leadership strain (</w:t>
      </w:r>
      <w:r>
        <w:rPr>
          <w:rFonts w:ascii="Times New Roman" w:hAnsi="Times New Roman" w:cs="Times New Roman"/>
          <w:sz w:val="24"/>
          <w:szCs w:val="24"/>
          <w:lang w:val="en-US"/>
        </w:rPr>
        <w:t>Hindustan Times, 2024, para. 2)</w:t>
      </w:r>
      <w:r>
        <w:rPr>
          <w:rFonts w:ascii="Times New Roman" w:hAnsi="Times New Roman" w:cs="Times New Roman"/>
          <w:sz w:val="24"/>
          <w:szCs w:val="24"/>
        </w:rPr>
        <w:t>. Japan’s regional tensions such as with China affect overseas plant strategies.</w:t>
      </w:r>
    </w:p>
    <w:p w14:paraId="18F077D2">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w:t>
      </w:r>
    </w:p>
    <w:p w14:paraId="5C31718E">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Political – Toyota navigates a complicated environment of government policies, regulations and tariffs, particularly in automotive imports as well as incentives for electric vehicles. For example, the inflation reduction Act (IRA) of the U.S. government in 2022 imposed stringent requirements on battery sourcing (</w:t>
      </w:r>
      <w:r>
        <w:rPr>
          <w:rFonts w:ascii="Times New Roman" w:hAnsi="Times New Roman" w:cs="Times New Roman"/>
          <w:sz w:val="24"/>
          <w:szCs w:val="24"/>
          <w:lang w:val="en-US"/>
        </w:rPr>
        <w:t>Levasseur, 2025)</w:t>
      </w:r>
      <w:r>
        <w:rPr>
          <w:rFonts w:ascii="Times New Roman" w:hAnsi="Times New Roman" w:cs="Times New Roman"/>
          <w:sz w:val="24"/>
          <w:szCs w:val="24"/>
        </w:rPr>
        <w:t xml:space="preserve">. This significantly affected EV tax credits, compelling automakers like Toyota to localize production as well as supply chains. The ongoing potential for U.S. tariffs on imported automobiles from Japan poses a direct challenge and may rise costs for Japanese automakers. </w:t>
      </w:r>
    </w:p>
    <w:p w14:paraId="6FDE2C4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w:t>
      </w:r>
    </w:p>
    <w:p w14:paraId="39548105">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Economic – Japan grapples with modest industrial growth and slow retail sales, leading to Toyota’s struggle in its home base. Environmental risks such as global inflation and geopolitical tensions in China and the U.S. add to the struggle. For example, motor vehicle manufacturing grew by only 0.2% in February in Japan, showing modest performance amidst global slowdown (</w:t>
      </w:r>
      <w:r>
        <w:rPr>
          <w:rFonts w:ascii="Times New Roman" w:hAnsi="Times New Roman" w:cs="Times New Roman"/>
          <w:sz w:val="24"/>
          <w:szCs w:val="24"/>
          <w:lang w:val="en-US"/>
        </w:rPr>
        <w:t>Sugiyama, 2025)</w:t>
      </w:r>
      <w:r>
        <w:rPr>
          <w:rFonts w:ascii="Times New Roman" w:hAnsi="Times New Roman" w:cs="Times New Roman"/>
          <w:sz w:val="24"/>
          <w:szCs w:val="24"/>
        </w:rPr>
        <w:t xml:space="preserve">. </w:t>
      </w:r>
    </w:p>
    <w:p w14:paraId="79E67AB3">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w:t>
      </w:r>
    </w:p>
    <w:p w14:paraId="19FE15B9">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Economic – Rising interest rates and inflation directly impact customer purchasing capacity as well as the cost of automobile loans. These factors can potentially slow sales of new vehicles in the U.S. For example, there has been a significant rise in the US Federal Reserve’s benchmark interest rate throughout 2023 and 2024, aimed at curbing inflation (</w:t>
      </w:r>
      <w:r>
        <w:rPr>
          <w:rFonts w:ascii="Times New Roman" w:hAnsi="Times New Roman" w:cs="Times New Roman"/>
          <w:sz w:val="24"/>
          <w:szCs w:val="24"/>
          <w:lang w:val="en-US"/>
        </w:rPr>
        <w:t>Tian, 2024)</w:t>
      </w:r>
      <w:r>
        <w:rPr>
          <w:rFonts w:ascii="Times New Roman" w:hAnsi="Times New Roman" w:cs="Times New Roman"/>
          <w:sz w:val="24"/>
          <w:szCs w:val="24"/>
        </w:rPr>
        <w:t>. This is likely to make financing a new Toyota further expensive for customers. Currency exchange rates, especially the yen’s value against dollar, may substantially impact Toyota’s export revenues as well as profitability. For example, a 1-yen depreciation against the US dollar was estimated to enhance operating profit by around 45 billion yen for FY23-24.</w:t>
      </w:r>
    </w:p>
    <w:p w14:paraId="439414E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w:t>
      </w:r>
    </w:p>
    <w:p w14:paraId="22F1B7D5">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Social – Japan’s aging demographics show an increasing proportion of older citizens (around 30% of people aged 65+) (Statista, 2026). This social factor drives higher demand for advanced safety features. Domestic buyers have higher preference for compact and high-efficiency hybrids.</w:t>
      </w:r>
    </w:p>
    <w:p w14:paraId="2E2633C8">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w:t>
      </w:r>
    </w:p>
    <w:p w14:paraId="356C5D37">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Social – Over 82% of the U.S. population lives in urban areas with heavy traffic congestion, which drives a higher demand for fuel-efficient hybrids, SUVs, and other vehicles (</w:t>
      </w:r>
      <w:r>
        <w:rPr>
          <w:rFonts w:ascii="Times New Roman" w:hAnsi="Times New Roman" w:cs="Times New Roman"/>
          <w:sz w:val="24"/>
          <w:szCs w:val="24"/>
          <w:lang w:val="en-US"/>
        </w:rPr>
        <w:t>Clark, 2026)</w:t>
      </w:r>
      <w:r>
        <w:rPr>
          <w:rFonts w:ascii="Times New Roman" w:hAnsi="Times New Roman" w:cs="Times New Roman"/>
          <w:sz w:val="24"/>
          <w:szCs w:val="24"/>
        </w:rPr>
        <w:t xml:space="preserve">. An increasing consumer awareness regarding sustainable transport alternatives may impact Toyota’s automotive operations in the U.S. Modern drivers consider cars as smart devices, so demand for digital integration, connected vehicle services, and safety automation is constantly rising. The below image (Fig. 1) illustrates the Hofstede’s framework that identifies the differing cultural dimensions between Japan and the U.S. </w:t>
      </w:r>
    </w:p>
    <w:p w14:paraId="1940DA9A">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844540" cy="3004185"/>
            <wp:effectExtent l="19050" t="19050" r="22860" b="24765"/>
            <wp:docPr id="1330047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47533" name="Picture 1"/>
                    <pic:cNvPicPr>
                      <a:picLocks noChangeAspect="1"/>
                    </pic:cNvPicPr>
                  </pic:nvPicPr>
                  <pic:blipFill>
                    <a:blip r:embed="rId8"/>
                    <a:srcRect l="14092" t="20021" r="14779" b="11158"/>
                    <a:stretch>
                      <a:fillRect/>
                    </a:stretch>
                  </pic:blipFill>
                  <pic:spPr>
                    <a:xfrm>
                      <a:off x="0" y="0"/>
                      <a:ext cx="5858403" cy="3011329"/>
                    </a:xfrm>
                    <a:prstGeom prst="rect">
                      <a:avLst/>
                    </a:prstGeom>
                    <a:ln w="12700">
                      <a:solidFill>
                        <a:schemeClr val="tx1"/>
                      </a:solidFill>
                    </a:ln>
                  </pic:spPr>
                </pic:pic>
              </a:graphicData>
            </a:graphic>
          </wp:inline>
        </w:drawing>
      </w:r>
    </w:p>
    <w:p w14:paraId="680F14B1">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Fig. 1 – Hofstede framework for Japan and the U.S., Source – (</w:t>
      </w:r>
      <w:r>
        <w:rPr>
          <w:rFonts w:ascii="Times New Roman" w:hAnsi="Times New Roman" w:cs="Times New Roman"/>
          <w:sz w:val="24"/>
          <w:szCs w:val="24"/>
          <w:lang w:val="en-US"/>
        </w:rPr>
        <w:t>The Culture Factor, 2026)</w:t>
      </w:r>
    </w:p>
    <w:p w14:paraId="4F65A6FE">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w:t>
      </w:r>
    </w:p>
    <w:p w14:paraId="09C43B0A">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 Japan invests heavily in research and development (R&amp;D), targeting hydrogen as well as FCEV (fuel-cell electric vehicle) technology as a means of clean energy source (</w:t>
      </w:r>
      <w:r>
        <w:rPr>
          <w:rFonts w:ascii="Times New Roman" w:hAnsi="Times New Roman" w:cs="Times New Roman"/>
          <w:sz w:val="24"/>
          <w:szCs w:val="24"/>
          <w:lang w:val="en-US"/>
        </w:rPr>
        <w:t>Trencher &amp; Wesseling, 2022)</w:t>
      </w:r>
      <w:r>
        <w:rPr>
          <w:rFonts w:ascii="Times New Roman" w:hAnsi="Times New Roman" w:cs="Times New Roman"/>
          <w:sz w:val="24"/>
          <w:szCs w:val="24"/>
        </w:rPr>
        <w:t>. Besides, technological factors that shape automotive industry in Japan include advanced manufacturing automation and high-definition autonomous driving systems.</w:t>
      </w:r>
    </w:p>
    <w:p w14:paraId="48199D2A">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w:t>
      </w:r>
    </w:p>
    <w:p w14:paraId="19AF2662">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 The U.S. autonomous vehicle market is expanding, accounting for over 86% of vehicle volume demand, powered by advanced driver assistance system (ADAS) and unique highway features (</w:t>
      </w:r>
      <w:r>
        <w:rPr>
          <w:rFonts w:ascii="Times New Roman" w:hAnsi="Times New Roman" w:cs="Times New Roman"/>
          <w:sz w:val="24"/>
          <w:szCs w:val="24"/>
          <w:lang w:val="en-US"/>
        </w:rPr>
        <w:t>Mordor Intelligence, 2025)</w:t>
      </w:r>
      <w:r>
        <w:rPr>
          <w:rFonts w:ascii="Times New Roman" w:hAnsi="Times New Roman" w:cs="Times New Roman"/>
          <w:sz w:val="24"/>
          <w:szCs w:val="24"/>
        </w:rPr>
        <w:t>. There is a dramatic shift towards rapid EV battery innovation as well as integration of charging infrastructure. The U.S. manufacturing plants increasingly depend on robotics, virtual simulation software, and AI-driven machine integration to design and test assembly lines before physical production (NIST, 2026). These factors may play crucial role in how Toyota vehicles would be built, powered, and innovated.</w:t>
      </w:r>
    </w:p>
    <w:p w14:paraId="6F603412">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w:t>
      </w:r>
    </w:p>
    <w:p w14:paraId="58BA98C3">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 Japan maintains an aggressive carbon neutrality mandate such as the target is a 46% reduction in greenhouse gases by 2030 (from 2013) as well as full carbon neutrality by 2050 (</w:t>
      </w:r>
      <w:r>
        <w:rPr>
          <w:rFonts w:ascii="Times New Roman" w:hAnsi="Times New Roman" w:cs="Times New Roman"/>
          <w:sz w:val="24"/>
          <w:szCs w:val="24"/>
          <w:lang w:val="en-US"/>
        </w:rPr>
        <w:t>Japan Gov, 2024)</w:t>
      </w:r>
      <w:r>
        <w:rPr>
          <w:rFonts w:ascii="Times New Roman" w:hAnsi="Times New Roman" w:cs="Times New Roman"/>
          <w:sz w:val="24"/>
          <w:szCs w:val="24"/>
        </w:rPr>
        <w:t xml:space="preserve">. The country adopts a multi-pathway strategy such as a technology-neutral lifecycle assessment (LCA) approach, supporting fuel cells, hybrids, and carbon-neutral fuels besides EVs (East Asia Forum, 2026). </w:t>
      </w:r>
    </w:p>
    <w:p w14:paraId="0983655B">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w:t>
      </w:r>
    </w:p>
    <w:p w14:paraId="10D418D9">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 The U.S. regulators set strict Corporate Average Fuel Economy (CAFÉ). This requires automobile manufacturers like Toyota to meet specific fuel efficiency targets across vehicle fleets (NHTSA, 2026). There is a strong emphasis on circular economy in the country, with a growing pressure to utilize recycled plastics, bio-based materials, and post-consumer aluminium in vehicle architecture (</w:t>
      </w:r>
      <w:r>
        <w:rPr>
          <w:rFonts w:ascii="Times New Roman" w:hAnsi="Times New Roman" w:cs="Times New Roman"/>
          <w:sz w:val="24"/>
          <w:szCs w:val="24"/>
          <w:lang w:val="en-US"/>
        </w:rPr>
        <w:t>American Automakers, 2026)</w:t>
      </w:r>
      <w:r>
        <w:rPr>
          <w:rFonts w:ascii="Times New Roman" w:hAnsi="Times New Roman" w:cs="Times New Roman"/>
          <w:sz w:val="24"/>
          <w:szCs w:val="24"/>
        </w:rPr>
        <w:t>.</w:t>
      </w:r>
    </w:p>
    <w:p w14:paraId="33C9E691">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w:t>
      </w:r>
    </w:p>
    <w:p w14:paraId="639F292E">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Legal – Japan maintains stringent Road Vehicles Act and certifications related to transport ministry. For example, automotive companies like Toyota are required to adhere to Japan’s strict fuel-economy standards as well as international carbon accounting mandates (</w:t>
      </w:r>
      <w:r>
        <w:rPr>
          <w:rFonts w:ascii="Times New Roman" w:hAnsi="Times New Roman" w:cs="Times New Roman"/>
          <w:sz w:val="24"/>
          <w:szCs w:val="24"/>
          <w:lang w:val="en-US"/>
        </w:rPr>
        <w:t>The Japan Times, 2025)</w:t>
      </w:r>
      <w:r>
        <w:rPr>
          <w:rFonts w:ascii="Times New Roman" w:hAnsi="Times New Roman" w:cs="Times New Roman"/>
          <w:sz w:val="24"/>
          <w:szCs w:val="24"/>
        </w:rPr>
        <w:t xml:space="preserve">.  </w:t>
      </w:r>
    </w:p>
    <w:p w14:paraId="6BFBC81D">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w:t>
      </w:r>
    </w:p>
    <w:p w14:paraId="3538EAC9">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Legal – Automakers are required to strictly comply with National Highway Traffic Safety Administration (NHTSA) safety mandates (NHTSA, 2026). In the U.S., automakers must essentially align fleet production with CAFÉ requirements, as monitored by federal agencies.</w:t>
      </w:r>
    </w:p>
    <w:p w14:paraId="358640C4">
      <w:pPr>
        <w:pStyle w:val="2"/>
        <w:spacing w:line="360" w:lineRule="auto"/>
        <w:jc w:val="both"/>
      </w:pPr>
      <w:bookmarkStart w:id="5" w:name="_Toc236853690"/>
      <w:r>
        <w:t>Cultural Factors</w:t>
      </w:r>
      <w:bookmarkEnd w:id="5"/>
    </w:p>
    <w:p w14:paraId="115A8622">
      <w:pPr>
        <w:pStyle w:val="3"/>
        <w:spacing w:line="360" w:lineRule="auto"/>
        <w:jc w:val="both"/>
      </w:pPr>
      <w:bookmarkStart w:id="6" w:name="_Toc236853691"/>
      <w:r>
        <w:t>Hofstede Framework</w:t>
      </w:r>
      <w:bookmarkEnd w:id="6"/>
    </w:p>
    <w:p w14:paraId="1DA38C0B">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Culturally, there are several differences between Japan and the U.S., which can be analysed using the Hofstede’s framework. According to this theory, national values affect social interactions and workplace behaviours (</w:t>
      </w:r>
      <w:r>
        <w:rPr>
          <w:rFonts w:ascii="Times New Roman" w:hAnsi="Times New Roman" w:cs="Times New Roman"/>
          <w:sz w:val="24"/>
          <w:szCs w:val="24"/>
          <w:lang w:val="en-US"/>
        </w:rPr>
        <w:t>Wale, 2020)</w:t>
      </w:r>
      <w:r>
        <w:rPr>
          <w:rFonts w:ascii="Times New Roman" w:hAnsi="Times New Roman" w:cs="Times New Roman"/>
          <w:sz w:val="24"/>
          <w:szCs w:val="24"/>
        </w:rPr>
        <w:t xml:space="preserve">. This framework scores countries from 0 to 100 across six dimensions or core categories. These six dimensions include Power Distance Index, Individualism vs. Collectivism, Uncertainty Avoidance Index, Masculinity vs. Femininity, Long-term vs. Short-term Orientation, and Indulgence vs. Restraint (Zheng </w:t>
      </w:r>
      <w:r>
        <w:rPr>
          <w:rFonts w:ascii="Times New Roman" w:hAnsi="Times New Roman" w:cs="Times New Roman"/>
          <w:i/>
          <w:iCs/>
          <w:sz w:val="24"/>
          <w:szCs w:val="24"/>
        </w:rPr>
        <w:t>et al</w:t>
      </w:r>
      <w:r>
        <w:rPr>
          <w:rFonts w:ascii="Times New Roman" w:hAnsi="Times New Roman" w:cs="Times New Roman"/>
          <w:sz w:val="24"/>
          <w:szCs w:val="24"/>
        </w:rPr>
        <w:t xml:space="preserve">. 2025). </w:t>
      </w:r>
    </w:p>
    <w:p w14:paraId="1DFE4213">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As identified in the Hofstede’s framework, both the countries Japan and the United States have wider differences in terms of cultural values, particularly in factors like individualism, long-term orientation, and uncertainty avoidance. On one hand, the U.S. emphasises individual independence as well as short-term outcomes, Japan is dedicated to group harmony, long-term planning, and rigid structure. The following are the scores derived from Hofstede’s cultural framework:</w:t>
      </w:r>
    </w:p>
    <w:p w14:paraId="3E06BD7A">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Individualism vs. Collectivism</w:t>
      </w:r>
    </w:p>
    <w:p w14:paraId="0A43486F">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 (62) – shows individualistic characteristics, but differ from the western kind, traditional paternalistic society with family assets passed on to eldest son. This implies that Toyota’s Japanese employees are highly loyal in terms of individualist act. They prioritize group harmony, team loyalty, and collective well-being over individual ambitions.</w:t>
      </w:r>
    </w:p>
    <w:p w14:paraId="127B807E">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 (60) – shows highly individualistic culture and society is loosely knit as people are expected not to rely on authorities for support. Toyota’s employees are self-reliant and exhibit initiative. They focus on self-improvement, personal achievement, and self-reliance.</w:t>
      </w:r>
    </w:p>
    <w:p w14:paraId="57755ACA">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Uncertainty Avoidance</w:t>
      </w:r>
    </w:p>
    <w:p w14:paraId="58199BCF">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 (92) – Often exposed to natural disasters which taught people to be prepared for every contingency. In Toyota, any project is preceded by extensive feasibility study and risk analysis.</w:t>
      </w:r>
    </w:p>
    <w:p w14:paraId="73F3638B">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 (48) – There is a fair degree of acceptance of innovative ideas and new products. They are more tolerant of opinions from others and allow freedom of expression. Toyota’s employees in the U.S. are more comfortable with innovative ideas, changing plans, and taking risks without a well-defined roadmap.</w:t>
      </w:r>
    </w:p>
    <w:p w14:paraId="3A1733F7">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Long-term Orientation</w:t>
      </w:r>
    </w:p>
    <w:p w14:paraId="3DE7A13B">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 (100) – The society is most long-term oriented, which is reflected in business such as high R&amp;D investments even in tough times. Toyota’s management prioritise steady market growth over quarterly profit – aims at company’s durability that serves its stakeholders and society for generations rather than shareholders for a quarter</w:t>
      </w:r>
    </w:p>
    <w:p w14:paraId="5A2AEEB8">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 (50) – People are prone to analysing new information and there is “can do” mentality which creates a dynamism in the society. Here, the company’s management measure their performance with profit and loss statements, driving individuals to strive for quick results.</w:t>
      </w:r>
    </w:p>
    <w:p w14:paraId="0B68414C">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Motivation towards Achievement and Success </w:t>
      </w:r>
    </w:p>
    <w:p w14:paraId="1140695D">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Japan (95) – Japan is the most achievement-oriented culture globally, driven by competition, success, and material reward. There is drive for excellence and perfection within Toyota’s corporate culture. </w:t>
      </w:r>
    </w:p>
    <w:p w14:paraId="14E2369F">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 (62) – It scores high in achievement-oriented culture, which is combined with individualism. People are driven to achieve individually and are open about discussing “successes” and “achievements” freely in life. Toyota must strengthen reward system as Americans are motivated to work based on monetary rewards and attain higher status based on their calibre. </w:t>
      </w:r>
    </w:p>
    <w:p w14:paraId="16101920">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Power Distance and Indulgence</w:t>
      </w:r>
    </w:p>
    <w:p w14:paraId="7F80761C">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Japan – Japan is moderate in terms of power distance (54) as people are conscious of their hierarchical position and act accordingly. However, the society is less hierarchical as compared to the rest of Asia. It is perceived as highly hierarchical by foreigners because of quite slow, consensus-based decision making. Japan’s indulgence score is low (42) which makes it restraint and often behaviour is governed by social norms and self-discipline.</w:t>
      </w:r>
    </w:p>
    <w:p w14:paraId="0D5DA58C">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U.S. – There is focus on equal rights in all aspects of society and government when it comes to power distance (40). Hierarchy is established only for convenience, but superiors are always accessible and managers rely on team members for their expertise. Information is shared frequently and communication is direct, informal and participative. Its indulgence score is 68 with a high emphasis on leisure time. The cultural heritage reflects a struggle between widespread embrace of individual indulgence as well as presence of traditional moral expectations.</w:t>
      </w:r>
    </w:p>
    <w:p w14:paraId="1F7E03F3">
      <w:pPr>
        <w:pStyle w:val="2"/>
        <w:spacing w:line="360" w:lineRule="auto"/>
        <w:jc w:val="both"/>
      </w:pPr>
      <w:bookmarkStart w:id="7" w:name="_Toc236853692"/>
      <w:r>
        <w:t>Comparative Analysis of STP</w:t>
      </w:r>
      <w:bookmarkEnd w:id="7"/>
    </w:p>
    <w:p w14:paraId="4C8A9030">
      <w:pPr>
        <w:pStyle w:val="3"/>
        <w:spacing w:line="360" w:lineRule="auto"/>
        <w:jc w:val="both"/>
      </w:pPr>
      <w:bookmarkStart w:id="8" w:name="_Toc236853693"/>
      <w:r>
        <w:t>Market Segmentation</w:t>
      </w:r>
      <w:bookmarkEnd w:id="8"/>
    </w:p>
    <w:p w14:paraId="3F11307E">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When identifying market segments, marketers seek to understand the cultural factors that exist across marketplaces and all of the other forces in the international marketing context. Japan’s market is divided by age and life stage involving young professionals, expanding families, and middle-aged and aging demographics. Geographically, Japan’s home market is differentiated between extremely dense urban centers like Tokyo and Osaka, requiring compact vehicle options as well as rural/suburban regions, requiring multi-use vehicles (</w:t>
      </w:r>
      <w:r>
        <w:rPr>
          <w:rFonts w:ascii="Times New Roman" w:hAnsi="Times New Roman" w:cs="Times New Roman"/>
          <w:sz w:val="24"/>
          <w:szCs w:val="24"/>
          <w:lang w:val="en-US"/>
        </w:rPr>
        <w:t>Toyota Industries Corporation, 2023)</w:t>
      </w:r>
      <w:r>
        <w:rPr>
          <w:rFonts w:ascii="Times New Roman" w:hAnsi="Times New Roman" w:cs="Times New Roman"/>
          <w:sz w:val="24"/>
          <w:szCs w:val="24"/>
        </w:rPr>
        <w:t>. Behaviourally, consumers in Japan prioritise fuel-efficiency, hybrid technology, and brand loyalty. In contrast, in the U.S., Toyota targets middle-income families, individuals aged 30-55, young professionals, and higher-income brackets via branding (</w:t>
      </w:r>
      <w:r>
        <w:rPr>
          <w:rFonts w:ascii="Times New Roman" w:hAnsi="Times New Roman" w:cs="Times New Roman"/>
          <w:sz w:val="24"/>
          <w:szCs w:val="24"/>
          <w:lang w:val="en-US"/>
        </w:rPr>
        <w:t>Toyota Industries Corporation, 2023)</w:t>
      </w:r>
      <w:r>
        <w:rPr>
          <w:rFonts w:ascii="Times New Roman" w:hAnsi="Times New Roman" w:cs="Times New Roman"/>
          <w:sz w:val="24"/>
          <w:szCs w:val="24"/>
        </w:rPr>
        <w:t>. There is a greater focus on safety-conscious, value-driven, and eco-friendly drivers. The geographic segmentation is similar to that of Japan as Toyota targets both urban commuters and suburban/rural drivers in the U.S.</w:t>
      </w:r>
    </w:p>
    <w:p w14:paraId="2BE8DCF2">
      <w:pPr>
        <w:pStyle w:val="3"/>
        <w:spacing w:line="360" w:lineRule="auto"/>
        <w:jc w:val="both"/>
      </w:pPr>
      <w:bookmarkStart w:id="9" w:name="_Toc236853694"/>
      <w:r>
        <w:t>Market Targeting</w:t>
      </w:r>
      <w:bookmarkEnd w:id="9"/>
    </w:p>
    <w:p w14:paraId="11169565">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In both the countries like Japan and the U.S., Toyota’s target market remains the same. This includes drivers across all age segments, varying from early-mid 20s to retired boomers. Toyota is a highly popular and successful brand in its home country of Japan; however, the company’s key customer base is in North America. Toyota’s primary customer base falls into the middle and upper-middle income categories (</w:t>
      </w:r>
      <w:r>
        <w:rPr>
          <w:rFonts w:ascii="Times New Roman" w:hAnsi="Times New Roman" w:cs="Times New Roman"/>
          <w:sz w:val="24"/>
          <w:szCs w:val="24"/>
          <w:lang w:val="en-US"/>
        </w:rPr>
        <w:t>Sugiyama, 2025)</w:t>
      </w:r>
      <w:r>
        <w:rPr>
          <w:rFonts w:ascii="Times New Roman" w:hAnsi="Times New Roman" w:cs="Times New Roman"/>
          <w:sz w:val="24"/>
          <w:szCs w:val="24"/>
        </w:rPr>
        <w:t xml:space="preserve">. Over the recent years, the company is strongly focusing on expanding sedan market, which indicates an overall shift from large vehicles to smaller, efficient ones. Its target market is focused on urban populations that prefer hybrid and low-emission vehicles. </w:t>
      </w:r>
    </w:p>
    <w:p w14:paraId="63888B93">
      <w:pPr>
        <w:pStyle w:val="3"/>
        <w:spacing w:line="360" w:lineRule="auto"/>
        <w:jc w:val="both"/>
      </w:pPr>
      <w:bookmarkStart w:id="10" w:name="_Toc236853695"/>
      <w:r>
        <w:t>Market Positioning</w:t>
      </w:r>
      <w:bookmarkEnd w:id="10"/>
    </w:p>
    <w:p w14:paraId="3E50918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Positioning a company or a product as being more environmentally conscious allows the organization to occupy a unique space in the minds of consumers. </w:t>
      </w:r>
      <w:r>
        <w:rPr>
          <w:rFonts w:ascii="Times New Roman" w:hAnsi="Times New Roman" w:cs="Times New Roman"/>
          <w:sz w:val="24"/>
          <w:szCs w:val="24"/>
        </w:rPr>
        <w:t>Toyota maintains a domestic standard of reliability in Japan as it is domestically positioned as a trusted home brand known for low maintenance as well as long-term durability. It is firmly associated with green innovation and lifestyle versatility as the brand matches its products with social status as well as functional requirements. Likewise, Toyota is positioned as the most long-lasting, cost-effective, and dependable vehicle within the U.S. market. However, in the American market, Toyota has initiated a contemporary shift from purely functional to advanced safety features-based vehicles, modern designing, and hybrid tech. This is to retain uniqueness against Asian and domestic competitors. Thus, the main point of difference in STP strategies is that Toyota focuses on ultra-compact ‘kei’ cars, supreme fuel efficiency, and high urban density in Japan. On the other hand, the company emphasises a shift from compact cars to SUVs, mid-size sedans, and heavy vehicles. The perceptual maps of Toyota in both the countries are as follows:</w:t>
      </w:r>
    </w:p>
    <w:p w14:paraId="0E09672E">
      <w:pPr>
        <w:tabs>
          <w:tab w:val="left" w:pos="3672"/>
        </w:tabs>
        <w:spacing w:line="360" w:lineRule="auto"/>
        <w:jc w:val="both"/>
        <w:rPr>
          <w:rFonts w:ascii="Times New Roman" w:hAnsi="Times New Roman" w:cs="Times New Roman"/>
          <w:sz w:val="24"/>
          <w:szCs w:val="24"/>
        </w:rPr>
      </w:pPr>
      <w:r>
        <w:drawing>
          <wp:inline distT="0" distB="0" distL="0" distR="0">
            <wp:extent cx="5128260" cy="3322320"/>
            <wp:effectExtent l="0" t="0" r="15240" b="11430"/>
            <wp:docPr id="194100008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374EE4">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Fig. 1 – Perceptual Map of Toyota in Japan, Source – (self-created)</w:t>
      </w:r>
    </w:p>
    <w:p w14:paraId="3C4C4D1E">
      <w:pPr>
        <w:tabs>
          <w:tab w:val="left" w:pos="3672"/>
        </w:tabs>
        <w:spacing w:line="360" w:lineRule="auto"/>
        <w:jc w:val="both"/>
        <w:rPr>
          <w:rFonts w:ascii="Times New Roman" w:hAnsi="Times New Roman" w:cs="Times New Roman"/>
          <w:sz w:val="24"/>
          <w:szCs w:val="24"/>
        </w:rPr>
      </w:pPr>
      <w:r>
        <w:drawing>
          <wp:inline distT="0" distB="0" distL="0" distR="0">
            <wp:extent cx="5128260" cy="3322320"/>
            <wp:effectExtent l="0" t="0" r="15240" b="11430"/>
            <wp:docPr id="167625898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3F888A">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Fig. 2 – Perceptual Map of Toyota in the U.S.; Source – (self-created)</w:t>
      </w:r>
    </w:p>
    <w:p w14:paraId="2740B05B">
      <w:pPr>
        <w:pStyle w:val="2"/>
        <w:spacing w:line="360" w:lineRule="auto"/>
        <w:jc w:val="both"/>
      </w:pPr>
      <w:bookmarkStart w:id="11" w:name="_Toc236853696"/>
      <w:r>
        <w:t>International Marketing Mix (7Ps) strategies</w:t>
      </w:r>
      <w:bookmarkEnd w:id="11"/>
    </w:p>
    <w:p w14:paraId="78FFD3C1">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For the first time, Toyota entered the U.S. market in 1957 by establishing Toyota Motor Sales, U.S.A. Inc. and launched Toyopet Crown in 1958. However, after thorough study of the market and driving conditions, the company successfully re-entered the American market with the Corona in 1965 (</w:t>
      </w:r>
      <w:r>
        <w:rPr>
          <w:rFonts w:ascii="Times New Roman" w:hAnsi="Times New Roman" w:cs="Times New Roman"/>
          <w:sz w:val="24"/>
          <w:szCs w:val="24"/>
          <w:lang w:val="en-US"/>
        </w:rPr>
        <w:t>Clark, 2026))</w:t>
      </w:r>
      <w:r>
        <w:rPr>
          <w:rFonts w:ascii="Times New Roman" w:hAnsi="Times New Roman" w:cs="Times New Roman"/>
          <w:sz w:val="24"/>
          <w:szCs w:val="24"/>
        </w:rPr>
        <w:t xml:space="preserve">. The company’s international marketing mix in Japan and the U.S. differs across distribution channels, product lineup, and promotional localization. </w:t>
      </w:r>
    </w:p>
    <w:p w14:paraId="58D7C164">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Product</w:t>
      </w:r>
    </w:p>
    <w:p w14:paraId="7BBAAF33">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In the automobile industry, Toyota is renowned for its appealing and exclusive designs, providing safety, comfortability, and offering fuel-efficiency. Besides, the brand appropriately caters to the right audience as per their demand by offering a wide range of products. In Japan, there is a market preference towards compact cars, Kei cars, and those high-density hybrids suitable for restricted urban spaces. For example, Toyota Corolla, Yaris, and Sienta have wider demands in Japan due to their body styles, high fuel efficiency, and urban usability (</w:t>
      </w:r>
      <w:r>
        <w:rPr>
          <w:rFonts w:ascii="Times New Roman" w:hAnsi="Times New Roman" w:cs="Times New Roman"/>
          <w:sz w:val="24"/>
          <w:szCs w:val="24"/>
          <w:lang w:val="en-US"/>
        </w:rPr>
        <w:t>Toyota Industries Corporation, 2023)</w:t>
      </w:r>
      <w:r>
        <w:rPr>
          <w:rFonts w:ascii="Times New Roman" w:hAnsi="Times New Roman" w:cs="Times New Roman"/>
          <w:sz w:val="24"/>
          <w:szCs w:val="24"/>
        </w:rPr>
        <w:t>. In contrast, in the U.S., Toyota’s best-selling products include RAV4 and Camry. This is particularly because American buyers prefer space, utility, and all-weather capability.</w:t>
      </w:r>
    </w:p>
    <w:p w14:paraId="09798D45">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Price</w:t>
      </w:r>
    </w:p>
    <w:p w14:paraId="65D1EE65">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Toyota adopts a value-driven pricing strategy calculated strictly via domestic market thresholds and target costing and often face high taxes for local vehicle registration in Japan </w:t>
      </w:r>
      <w:r>
        <w:rPr>
          <w:rFonts w:ascii="Times New Roman" w:hAnsi="Times New Roman" w:cs="Times New Roman"/>
          <w:sz w:val="24"/>
          <w:szCs w:val="24"/>
          <w:lang w:val="en-US"/>
        </w:rPr>
        <w:t>(Influence Map, 2026)</w:t>
      </w:r>
      <w:r>
        <w:rPr>
          <w:rFonts w:ascii="Times New Roman" w:hAnsi="Times New Roman" w:cs="Times New Roman"/>
          <w:sz w:val="24"/>
          <w:szCs w:val="24"/>
        </w:rPr>
        <w:t>. On the other hand, the company adopts highly competitive MSRP (Manufacturer’s Suggested Retail Price) pricing, which is significantly influenced by regional dealer incentives and local competitor discounts. In this regard, the concept of competition-based pricing can be referred. While adopting this strategy, Toyota consider pricing versus domestic competitors, foreign competitors, both combined (Simnica, 2022). Economic factor like currency volatility enforces Toyota towards localised manufacturing. With plants in states like Texas and Kentucky, the automaker shields its U.S. pricing system from sudden risk of foreign exchange</w:t>
      </w:r>
    </w:p>
    <w:p w14:paraId="1E68641F">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Place </w:t>
      </w:r>
    </w:p>
    <w:p w14:paraId="4DD7FC9E">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Toyota distributes products through numerous dealership chains across the country and abroad. In Japan, Toyota has always been channelled through prominent dealership networks like Corolla, Toyopet, Toyota Store, and Netz, besides door-to-door traditional sales medium </w:t>
      </w:r>
      <w:r>
        <w:rPr>
          <w:rFonts w:ascii="Times New Roman" w:hAnsi="Times New Roman" w:cs="Times New Roman"/>
          <w:sz w:val="24"/>
          <w:szCs w:val="24"/>
          <w:lang w:val="en-US"/>
        </w:rPr>
        <w:t>(Brand Finance, 2026, para. 2)</w:t>
      </w:r>
      <w:r>
        <w:rPr>
          <w:rFonts w:ascii="Times New Roman" w:hAnsi="Times New Roman" w:cs="Times New Roman"/>
          <w:sz w:val="24"/>
          <w:szCs w:val="24"/>
        </w:rPr>
        <w:t xml:space="preserve">. On the other hand, there is a consolidated national independent dealership franchise network connected to major regional distribution hubs. Toyota distributes products via a hybrid distribution structure managed by Toyota Motor North America. </w:t>
      </w:r>
    </w:p>
    <w:p w14:paraId="7B9E35F9">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Promotion</w:t>
      </w:r>
    </w:p>
    <w:p w14:paraId="32791DA4">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Japan, the promotional strategy of Toyota emphasises environmental sustainability as well as technological advancements via channels like television and digital media. The company used immersive storytelling campaigns like Toyotown and public events like Aqua Social Fest (Toyota, 2017). In contrast, Toyota adopted large-scale multi-channel advertising, thematic campaigns, and value-based sales incentives. The company primarily focused on digital media advertisements as well as prime-time television ad spending. </w:t>
      </w:r>
    </w:p>
    <w:p w14:paraId="336D03AB">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People</w:t>
      </w:r>
    </w:p>
    <w:p w14:paraId="2CF7A442">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Toyota’s people strategy is uniform across all countries, whether home or host countries. This is particularly evident from its core philosophy and leadership approach, such as Hitozukuri First (building people before building products, Mendomi culture (family-like care for workers), and prioritising kaizen (continuous improvement) (</w:t>
      </w:r>
      <w:r>
        <w:rPr>
          <w:rFonts w:ascii="Times New Roman" w:hAnsi="Times New Roman" w:cs="Times New Roman"/>
          <w:sz w:val="24"/>
          <w:szCs w:val="24"/>
          <w:lang w:val="en-US"/>
        </w:rPr>
        <w:t>Lean4Gain, 2025, para. 3)</w:t>
      </w:r>
      <w:r>
        <w:rPr>
          <w:rFonts w:ascii="Times New Roman" w:hAnsi="Times New Roman" w:cs="Times New Roman"/>
          <w:sz w:val="24"/>
          <w:szCs w:val="24"/>
        </w:rPr>
        <w:t xml:space="preserve">. Similarly, the people strategy in the U.S. revolves around continuous improvement, “grow your own” workforce development model, and respect for people. However, there are differences in terms people-handling, such as employees in Japan are expected to emphasise long-term brand loyalty with polite customer service. On the other hand, sales employees in the U.S. are trained in trade-in valuations, rapid deal-closing, and localised buyer relationship management. </w:t>
      </w:r>
    </w:p>
    <w:p w14:paraId="4CDEC030">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Process</w:t>
      </w:r>
    </w:p>
    <w:p w14:paraId="0E222DB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Japan, Toyota adopts just-in-time manufacturing integration with lean domestic supply chains. In contrast, Toyota is highly dependent on North American assembly units such as Texas and Kentucky, with integration with localised regional parts suppliers (Tian, 2024, pp. 68-70). Global economic factors like raw material volatility compels Toyota to lock in long-term supplier contracts as well as prefer hybrid models so that vehicles can be priced competitively. </w:t>
      </w:r>
    </w:p>
    <w:p w14:paraId="2FA72838">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Physical Evidence</w:t>
      </w:r>
    </w:p>
    <w:p w14:paraId="737CFEB9">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This aspect of international marketing mix refers to the look and physical existence of the company. In Japan, Toyota’s showrooms and stores are clean, urban, compact with minimal aesthetic designs. In contrast, the company’s physical presence in the U.S. involves huge suburban dealership that features expansive inventory, service centres, and appealing customer lounges.</w:t>
      </w:r>
    </w:p>
    <w:p w14:paraId="7A9715DB">
      <w:pPr>
        <w:pStyle w:val="2"/>
        <w:spacing w:line="360" w:lineRule="auto"/>
        <w:jc w:val="both"/>
      </w:pPr>
      <w:bookmarkStart w:id="12" w:name="_Toc236853697"/>
      <w:r>
        <w:t>Analysis of the market entry strategy in the US</w:t>
      </w:r>
      <w:bookmarkEnd w:id="12"/>
    </w:p>
    <w:p w14:paraId="33CDC428">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Toyota’s initial entry into the US market has been based on an exporting strategy, and built itself as a sales company in the country. Exporting is a low-risk and cost-effective market strategy that allows a company to sell products in foreign market without major foreign investments (Kostruba and Kostruba, 2025). Based on initial failure recovery, lean manufacturing, and small-car positioning. In the 1950s, the Americal automotive market was dominated by the “Big Three”, namely, General Motors, Chrysler, and Ford. Initially, Toyota faced challenges in terms of the market domination by big brands with huge scale advantages, cultural tailwinds, and strong dealer networks. While entering the U.S. market, Toyota adopted ‘the Foothold strategy’. With this strategy, the company initially launched small, fuel-efficient and affordable vehicles that were ignored by local competitors. </w:t>
      </w:r>
    </w:p>
    <w:p w14:paraId="36ABCFF3">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Toyota adopted a multi-decade entry strategy founded on three pillars; firstly, continuous quality improvement via the TPS (Toyota Production System); secondly, steady market positioning with small and affordable vehicles that the Big Three ignored, and company’s strategic timing exploiting shift in consumer demand. After the initial failure of Toyopet Crown in 1958, the company re-engineers its products as per American conditions, and re-entered the market with the Corona and the Corollo in 1965 and 1968 respectively (</w:t>
      </w:r>
      <w:r>
        <w:rPr>
          <w:rFonts w:ascii="Times New Roman" w:hAnsi="Times New Roman" w:cs="Times New Roman"/>
          <w:sz w:val="24"/>
          <w:szCs w:val="24"/>
          <w:lang w:val="en-US"/>
        </w:rPr>
        <w:t>Toyota Industries Corporation, 2023, para. 2)</w:t>
      </w:r>
      <w:r>
        <w:rPr>
          <w:rFonts w:ascii="Times New Roman" w:hAnsi="Times New Roman" w:cs="Times New Roman"/>
          <w:sz w:val="24"/>
          <w:szCs w:val="24"/>
        </w:rPr>
        <w:t xml:space="preserve">. These vehicles were compact, affordable, and reliable that seized then-market opportunity of a shifting consumer demand. Besides the Foothold strategy, Toyota’s core pillar of market entry in the U.S. has been wholly-owned subsidiaries. By means of this strategy, Toyota eventually transitioned into fully-owned local operations after re-entering the market which is proven. This allowed the company complete operational control to distribution as well as scale manufacturing. </w:t>
      </w:r>
    </w:p>
    <w:p w14:paraId="7F57C7A1">
      <w:pPr>
        <w:pStyle w:val="2"/>
        <w:spacing w:line="360" w:lineRule="auto"/>
        <w:jc w:val="both"/>
      </w:pPr>
      <w:bookmarkStart w:id="13" w:name="_Toc236853698"/>
      <w:r>
        <w:t>Evaluation of ethical issues related to the marketing mix in the US</w:t>
      </w:r>
      <w:bookmarkEnd w:id="13"/>
      <w:r>
        <w:t xml:space="preserve"> </w:t>
      </w:r>
    </w:p>
    <w:p w14:paraId="225E2A3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Toyota has faced several ethical challenges that led to the loss of sales and profitability in the United States, primarily relating to corporate accountability, safety transparency, and misleading campaigns. For example, in relation to product, Toyota faced strict scrutiny as well as huge federal penalties for hiding fatal acceleration defects from the American consumers in 2023 (</w:t>
      </w:r>
      <w:r>
        <w:rPr>
          <w:rFonts w:ascii="Times New Roman" w:hAnsi="Times New Roman" w:cs="Times New Roman"/>
          <w:sz w:val="24"/>
          <w:szCs w:val="24"/>
          <w:lang w:val="en-US"/>
        </w:rPr>
        <w:t>Baek, 2023)</w:t>
      </w:r>
      <w:r>
        <w:rPr>
          <w:rFonts w:ascii="Times New Roman" w:hAnsi="Times New Roman" w:cs="Times New Roman"/>
          <w:sz w:val="24"/>
          <w:szCs w:val="24"/>
        </w:rPr>
        <w:t>. During the case, instead of promptly disclosing known mechanical faults, Toyota’s marketing communications prioritised brand protection and downplayed the risks over public safety until compelled for massive recalls. When it comes to pricing, the company has faced criticism for its aggressive cost-cutting across supply chains, leading to compromised quality of sub-components (like electronic sensors or airbags) (</w:t>
      </w:r>
      <w:r>
        <w:rPr>
          <w:rFonts w:ascii="Times New Roman" w:hAnsi="Times New Roman" w:cs="Times New Roman"/>
          <w:sz w:val="24"/>
          <w:szCs w:val="24"/>
          <w:lang w:val="en-US"/>
        </w:rPr>
        <w:t>Baek, 2023)</w:t>
      </w:r>
      <w:r>
        <w:rPr>
          <w:rFonts w:ascii="Times New Roman" w:hAnsi="Times New Roman" w:cs="Times New Roman"/>
          <w:sz w:val="24"/>
          <w:szCs w:val="24"/>
        </w:rPr>
        <w:t xml:space="preserve">. Besides, Toyota faced ethical issues in promotion strategy as it was accused of deceptive marketing. For example, the term “electrified” was used to label internal combustion gas hybrids as well as plug-in hybrids in promotional message (Fig. 3). Such promotional tactics misled the U.S. consumers into equating hybrids with zero-emission battery EVs. </w:t>
      </w:r>
    </w:p>
    <w:p w14:paraId="15C06E3B">
      <w:pPr>
        <w:tabs>
          <w:tab w:val="left" w:pos="3672"/>
        </w:tabs>
        <w:spacing w:line="360" w:lineRule="auto"/>
        <w:ind w:left="1985"/>
        <w:jc w:val="both"/>
        <w:rPr>
          <w:rFonts w:ascii="Times New Roman" w:hAnsi="Times New Roman" w:cs="Times New Roman"/>
          <w:sz w:val="24"/>
          <w:szCs w:val="24"/>
        </w:rPr>
      </w:pPr>
      <w:r>
        <w:drawing>
          <wp:inline distT="0" distB="0" distL="0" distR="0">
            <wp:extent cx="3169920" cy="1918335"/>
            <wp:effectExtent l="0" t="0" r="0" b="5715"/>
            <wp:docPr id="1463698563" name="Picture 3" descr="Letter to FTC on Toyota's Misleading Advertising - Public Citiz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98563" name="Picture 3" descr="Letter to FTC on Toyota's Misleading Advertising - Public Citizen"/>
                    <pic:cNvPicPr>
                      <a:picLocks noChangeAspect="1" noChangeArrowheads="1"/>
                    </pic:cNvPicPr>
                  </pic:nvPicPr>
                  <pic:blipFill>
                    <a:blip r:embed="rId11">
                      <a:extLst>
                        <a:ext uri="{28A0092B-C50C-407E-A947-70E740481C1C}">
                          <a14:useLocalDpi xmlns:a14="http://schemas.microsoft.com/office/drawing/2010/main" val="0"/>
                        </a:ext>
                      </a:extLst>
                    </a:blip>
                    <a:srcRect t="8468"/>
                    <a:stretch>
                      <a:fillRect/>
                    </a:stretch>
                  </pic:blipFill>
                  <pic:spPr>
                    <a:xfrm>
                      <a:off x="0" y="0"/>
                      <a:ext cx="3176452" cy="1922812"/>
                    </a:xfrm>
                    <a:prstGeom prst="rect">
                      <a:avLst/>
                    </a:prstGeom>
                    <a:noFill/>
                    <a:ln>
                      <a:noFill/>
                    </a:ln>
                  </pic:spPr>
                </pic:pic>
              </a:graphicData>
            </a:graphic>
          </wp:inline>
        </w:drawing>
      </w:r>
    </w:p>
    <w:p w14:paraId="604F9337">
      <w:pPr>
        <w:tabs>
          <w:tab w:val="left" w:pos="3672"/>
        </w:tabs>
        <w:spacing w:line="360" w:lineRule="auto"/>
        <w:ind w:left="709"/>
        <w:jc w:val="both"/>
        <w:rPr>
          <w:rFonts w:ascii="Times New Roman" w:hAnsi="Times New Roman" w:cs="Times New Roman"/>
          <w:sz w:val="24"/>
          <w:szCs w:val="24"/>
        </w:rPr>
      </w:pPr>
      <w:r>
        <w:rPr>
          <w:rFonts w:ascii="Times New Roman" w:hAnsi="Times New Roman" w:cs="Times New Roman"/>
          <w:sz w:val="24"/>
          <w:szCs w:val="24"/>
        </w:rPr>
        <w:t xml:space="preserve">          Fig. 3 – Use of the term “Electrified”; Source – (</w:t>
      </w:r>
      <w:r>
        <w:rPr>
          <w:rFonts w:ascii="Times New Roman" w:hAnsi="Times New Roman" w:cs="Times New Roman"/>
          <w:sz w:val="24"/>
          <w:szCs w:val="24"/>
          <w:lang w:val="en-US"/>
        </w:rPr>
        <w:t>Regunberg and Arkush, 2023)</w:t>
      </w:r>
    </w:p>
    <w:p w14:paraId="3C04B2C0">
      <w:pPr>
        <w:pStyle w:val="2"/>
        <w:spacing w:line="360" w:lineRule="auto"/>
        <w:jc w:val="both"/>
      </w:pPr>
      <w:bookmarkStart w:id="14" w:name="_Toc236853699"/>
      <w:r>
        <w:t>Recommendations on international marketing strategies</w:t>
      </w:r>
      <w:bookmarkEnd w:id="14"/>
    </w:p>
    <w:p w14:paraId="2C521F33">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Based on the macro-environment and strategic marketing analysis, the following recommendations are made for Toyota regarding their international marketing strategies:</w:t>
      </w:r>
    </w:p>
    <w:p w14:paraId="22C3C5A0">
      <w:pPr>
        <w:pStyle w:val="37"/>
        <w:numPr>
          <w:ilvl w:val="0"/>
          <w:numId w:val="1"/>
        </w:num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strategic pillar, the company should adopt a multi-pathway positioning to cater to all regions, culture, and consumer needs. This strategy is also effective in handling recall crisis and responding ethically for crisis management (Bowen and Zheng, 2014. For example, Toyota should adapt marketing messaging by regions such as promote plug-in hybrids and hydrogen cells in developing nations with limited charging infrastructure and market battery electric vehicles (BEVs) in urban North America and Europe. </w:t>
      </w:r>
    </w:p>
    <w:p w14:paraId="518BF3DA">
      <w:pPr>
        <w:pStyle w:val="37"/>
        <w:numPr>
          <w:ilvl w:val="0"/>
          <w:numId w:val="1"/>
        </w:num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use of immersive technologies improve customer buying journey by enhancing product visualization and building consumer trust (Gonzalez-Argote </w:t>
      </w:r>
      <w:r>
        <w:rPr>
          <w:rFonts w:ascii="Times New Roman" w:hAnsi="Times New Roman" w:cs="Times New Roman"/>
          <w:i/>
          <w:iCs/>
          <w:sz w:val="24"/>
          <w:szCs w:val="24"/>
        </w:rPr>
        <w:t>et al</w:t>
      </w:r>
      <w:r>
        <w:rPr>
          <w:rFonts w:ascii="Times New Roman" w:hAnsi="Times New Roman" w:cs="Times New Roman"/>
          <w:sz w:val="24"/>
          <w:szCs w:val="24"/>
        </w:rPr>
        <w:t xml:space="preserve">. 2024). The second recommendation is to integrate immersive technologies like augmented reality (AR) virtual showrooms as well as localised digital platforms to ensure smooth consumer buying journey, particularly in Latin America and Southeast Asian markets. The U.S. manufacturing plants increasingly depend on robotics, virtual simulation software, and AI-driven machine integration to design and test assembly lines before physical production (Ibrahim </w:t>
      </w:r>
      <w:r>
        <w:rPr>
          <w:rFonts w:ascii="Times New Roman" w:hAnsi="Times New Roman" w:cs="Times New Roman"/>
          <w:i/>
          <w:iCs/>
          <w:sz w:val="24"/>
          <w:szCs w:val="24"/>
        </w:rPr>
        <w:t>et al</w:t>
      </w:r>
      <w:r>
        <w:rPr>
          <w:rFonts w:ascii="Times New Roman" w:hAnsi="Times New Roman" w:cs="Times New Roman"/>
          <w:sz w:val="24"/>
          <w:szCs w:val="24"/>
        </w:rPr>
        <w:t>. 2025, p. 272). So, Toyota should focus on further investing in immersive technology integration both in domestic and target country. These factors may play crucial role how Toyota vehicles would be built, powered, and innovated.</w:t>
      </w:r>
    </w:p>
    <w:p w14:paraId="0A3A4880">
      <w:pPr>
        <w:pStyle w:val="37"/>
        <w:numPr>
          <w:ilvl w:val="0"/>
          <w:numId w:val="1"/>
        </w:num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its international marketing strategies, Toyota should shift to localised cultural hubs from global centralised campaign so that local customer attitudes can be shaped towards mobility and sustainability. </w:t>
      </w:r>
    </w:p>
    <w:p w14:paraId="062BB80A">
      <w:pPr>
        <w:pStyle w:val="37"/>
        <w:numPr>
          <w:ilvl w:val="0"/>
          <w:numId w:val="1"/>
        </w:num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Clear carbon accountability is significant to ensure regulatory compliance as well as accurately track supply chain emissions (Fugger </w:t>
      </w:r>
      <w:r>
        <w:rPr>
          <w:rFonts w:ascii="Times New Roman" w:hAnsi="Times New Roman" w:cs="Times New Roman"/>
          <w:i/>
          <w:iCs/>
          <w:sz w:val="24"/>
          <w:szCs w:val="24"/>
        </w:rPr>
        <w:t>et al</w:t>
      </w:r>
      <w:r>
        <w:rPr>
          <w:rFonts w:ascii="Times New Roman" w:hAnsi="Times New Roman" w:cs="Times New Roman"/>
          <w:sz w:val="24"/>
          <w:szCs w:val="24"/>
        </w:rPr>
        <w:t xml:space="preserve">. 2025, para. 4). Toyota should conduct transparent sustainability communication, such as assuming clear carbon accountability. Toyota needs to focus on regaining consumer trust by widely supporting eco-friendly pitches and slogans that present measurable data about emission reductions as well as progress in achieving its core goals. Thus, Toyota can successfully navigate in future by transitioning its international marketing activities into tech-based, flexible, and carbon-neutral philosophy.  </w:t>
      </w:r>
    </w:p>
    <w:p w14:paraId="6F3F6223">
      <w:pPr>
        <w:pStyle w:val="2"/>
        <w:spacing w:line="360" w:lineRule="auto"/>
        <w:jc w:val="both"/>
      </w:pPr>
      <w:bookmarkStart w:id="15" w:name="_Toc236853700"/>
      <w:r>
        <w:t>Conclusion</w:t>
      </w:r>
      <w:bookmarkEnd w:id="15"/>
    </w:p>
    <w:p w14:paraId="7425199D">
      <w:pPr>
        <w:spacing w:line="360" w:lineRule="auto"/>
        <w:jc w:val="both"/>
        <w:rPr>
          <w:rFonts w:ascii="Times New Roman" w:hAnsi="Times New Roman" w:cs="Times New Roman"/>
          <w:sz w:val="24"/>
          <w:szCs w:val="24"/>
        </w:rPr>
      </w:pPr>
      <w:r>
        <w:rPr>
          <w:rFonts w:ascii="Times New Roman" w:hAnsi="Times New Roman" w:cs="Times New Roman"/>
          <w:sz w:val="24"/>
          <w:szCs w:val="24"/>
        </w:rPr>
        <w:t>The automotive industry entering 2026 faced sustained pressure, following the post-pandemic rebound of earlier years. The global automotive sector is attributed to the rise of hybrid and software-defined vehicles, regional growth divergence, and uneven Electric Vehicle (EV) adoption. Toyota is a successful brand both in Japan and the U.S. market with its focus on international market expansion. The company not only strengthens its foothold in the domestic and established markets, but also aims at successfully penetrating emerging markets. Toyota continues to heavily invest in R&amp;D and immersive technologies to stay ahead of the curve in a rapidly changing automotive landscape. Though the company has successfully established itself in both Japan and the U.S., there are significant differences between both the countries such as culture, product preference, purchasing power, and buyer mindset. These factors play a crucial role for Toyota to make necessary and strategic changes in its operations, marketing mix, and international marketing strategies. However, the company faced several ethical issues pertaining to product and promotion in the American market. Toyota faced strict scrutiny as well as huge federal penalties for hiding fatal acceleration defects from the American consumers. Toyota significantly benefits from expanding global sales, particularly with its hybrid models and electrified vehicles. Thus, Toyota is firmly associated with green innovation and lifestyle versatility in Japan. It is positioned as the most long-lasting, cost-effective, and dependable vehicle within the U.S. market.</w:t>
      </w:r>
    </w:p>
    <w:p w14:paraId="16FE9082">
      <w:pPr>
        <w:tabs>
          <w:tab w:val="left" w:pos="3672"/>
        </w:tabs>
        <w:spacing w:line="360" w:lineRule="auto"/>
        <w:jc w:val="both"/>
        <w:rPr>
          <w:rFonts w:ascii="Times New Roman" w:hAnsi="Times New Roman" w:cs="Times New Roman"/>
          <w:sz w:val="24"/>
          <w:szCs w:val="24"/>
        </w:rPr>
      </w:pPr>
    </w:p>
    <w:p w14:paraId="5C6D6224">
      <w:pPr>
        <w:rPr>
          <w:rFonts w:ascii="Times New Roman" w:hAnsi="Times New Roman" w:eastAsiaTheme="majorEastAsia" w:cstheme="majorBidi"/>
          <w:b/>
          <w:sz w:val="28"/>
          <w:szCs w:val="40"/>
        </w:rPr>
      </w:pPr>
      <w:r>
        <w:br w:type="page"/>
      </w:r>
    </w:p>
    <w:p w14:paraId="2CF518E1">
      <w:pPr>
        <w:pStyle w:val="2"/>
        <w:spacing w:line="360" w:lineRule="auto"/>
        <w:jc w:val="both"/>
      </w:pPr>
      <w:bookmarkStart w:id="16" w:name="_Toc236853701"/>
      <w:r>
        <w:t>Section 2: Reflection</w:t>
      </w:r>
      <w:bookmarkEnd w:id="16"/>
    </w:p>
    <w:p w14:paraId="28C9B431">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reflective narration is to reflect on the process that I have followed in researching, analysing and preparing the previous section of the assessment. I will use the Gibbs’ reflective cycle as a preferred model to prepare this reflective narration. Gibbs’ reflective cycle is a framework that helps people learn from their experience by going through six stages, namely, description, feelings, evaluation, analysis, conclusion, and action plan. </w:t>
      </w:r>
    </w:p>
    <w:p w14:paraId="1E3267A7">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Description</w:t>
      </w:r>
    </w:p>
    <w:p w14:paraId="68FA1EF2">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The previous section of the assessment comprises of an international marketing report on Toyota, particularly evaluating the company’s international market entry strategy and marketing mix in two different countries, i.e., Japan and the United States. While selecting the company from the given list, I have undertaken research using Google search engine to learn about whether sufficient data and information is available on Toyota’s marketing strategies. I have also identified a home and a host country, namely, Japan and the United States, where Toyota has been most successful in capturing large market shares. Considering the main requirements of the report, firstly, I have conducted in-depth research on the macro-environments of both countries. I have referred to credible, peer-reviewed journal articles and professional analytical entities like ‘Statista’ and ‘Global data’ to extract information on various factors like political, economic, environmental, legal, social, and technological. I have researched about the differences between Japan and the US using Hofstede framework, particularly the ‘Culture comparison tool’ and attempted to evaluate how these differences impact Toyota’s strategic decisions.</w:t>
      </w:r>
    </w:p>
    <w:p w14:paraId="06D4D24F">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Feelings</w:t>
      </w:r>
    </w:p>
    <w:p w14:paraId="7659576C">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While gathering information about the report on Toyota, I was feeling confused about credible sources. For example, although I have theoretical knowledge about marketing concepts, I was not confident about the application of STP in this case and how to analyse. However, I made continuous efforts such as searched for relevant STP analysis-based examples of real-world to understand the application process. As I researched deeply and gathered credible information about Toyota’s performance in Japan and the U.S., I started feeling confident and insightful about the subject. I felt the entire process from researching about the company, market till the final preparation of the report, I have expanded my subject knowledge and practical exposure to an analytical project.</w:t>
      </w:r>
    </w:p>
    <w:p w14:paraId="76E1C568">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Evaluation</w:t>
      </w:r>
    </w:p>
    <w:p w14:paraId="4D86AE1A">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 initially looked quite comprehendible and easy-going; however, once I started with the researching and evaluating, I realised I need to align my theoretical knowledge with the practicality of the topic, alongside, I have to acquire authentic facts to evaluate the company’s strategic operations. I applied my research and analytical skills to search various data sources to extract useful information. The entire process of researching, evaluating, and analysing information enhanced my knowledge of applying a range of marketing models and theories. However, I faced challenges in implementing marketing frameworks to a particular case study as I have never done it before. As evaluated, the knowledge from lecture notes helped me deeply understand concepts like marketing mix, product and pricing strategy, and other important international marketing theories. I have also consulted my tutor in each phase of the assessment right from concept-clarity to preparation of the report. </w:t>
      </w:r>
    </w:p>
    <w:p w14:paraId="70412934">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Analysis</w:t>
      </w:r>
    </w:p>
    <w:p w14:paraId="63EDC020">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my analysis, I can now understand the importance of such an assessment. It not only helped in better understanding of contemporary frameworks of marketing, but imparted insights about socio-cultural differences and similarities between nations in a marketing context. My foremost job in the assessment was to gather ample information and resources on the company’s international marketing strategies. Secondly, I fine-tuned the information with credible company reports and professional data entities like Statista, WHO, globaldata, and International Trade Administration. In my opinion, the idea of getting all sources and information together helped me in looking at the bigger picture. It helped in creating mind maps regarding preparing the report. As rightly argued by Rachel (2022), linking mind maps to reflection helps seeing hidden patterns in our thinking. As per my understanding, there are areas that I should have focused more while undertaking the assessment. I should have referred to other case study examples in marketing management to develop a vivid blueprint of my report. This would have helped me widen my perspective on preparing an effective analytical report. The areas I need improvement are my attention to detail skill and time management skill. I often ended up spending a lot of time in gathering and analysing useful reading materials, which left me with very less time in actually putting my thoughts into paper. </w:t>
      </w:r>
    </w:p>
    <w:p w14:paraId="6478CB3A">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Conclusion</w:t>
      </w:r>
    </w:p>
    <w:p w14:paraId="5B92849B">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retrospect, I am confident that this assessment has educated me practically with the knowledge of applying a range of marketing models into Toyota’s case study. The experience shaped my understanding of conducting in-depth company research, extracting accurate facts, and articulating my thoughts into analytical report. In the process, I learned about the automotive market trends, Toyota’s strengths and weaknesses in both the countries, and the core competencies and success factors of the company. My research and analysis on the company have helped me recommend Toyota about going forward with their international marketing strategies. </w:t>
      </w:r>
    </w:p>
    <w:p w14:paraId="44FCF8FF">
      <w:pPr>
        <w:tabs>
          <w:tab w:val="left" w:pos="3672"/>
        </w:tabs>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Action Plan</w:t>
      </w:r>
    </w:p>
    <w:p w14:paraId="6E9EB5CB">
      <w:pPr>
        <w:tabs>
          <w:tab w:val="left" w:pos="3672"/>
        </w:tabs>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is the action plan that I have developed as a part of this reflective narration:</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63"/>
        <w:gridCol w:w="3119"/>
        <w:gridCol w:w="3513"/>
      </w:tblGrid>
      <w:tr w14:paraId="7F5E53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9" w:hRule="atLeast"/>
        </w:trPr>
        <w:tc>
          <w:tcPr>
            <w:tcW w:w="2263" w:type="dxa"/>
          </w:tcPr>
          <w:p w14:paraId="51022663">
            <w:pPr>
              <w:tabs>
                <w:tab w:val="left" w:pos="3672"/>
              </w:tabs>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Action Plan</w:t>
            </w:r>
          </w:p>
        </w:tc>
        <w:tc>
          <w:tcPr>
            <w:tcW w:w="3119" w:type="dxa"/>
          </w:tcPr>
          <w:p w14:paraId="5A877EED">
            <w:pPr>
              <w:tabs>
                <w:tab w:val="left" w:pos="3672"/>
              </w:tabs>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Resources required</w:t>
            </w:r>
          </w:p>
        </w:tc>
        <w:tc>
          <w:tcPr>
            <w:tcW w:w="3513" w:type="dxa"/>
          </w:tcPr>
          <w:p w14:paraId="1B1D3792">
            <w:pPr>
              <w:tabs>
                <w:tab w:val="left" w:pos="3672"/>
              </w:tabs>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How to achieve it?</w:t>
            </w:r>
          </w:p>
        </w:tc>
      </w:tr>
      <w:tr w14:paraId="520ECA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78" w:hRule="atLeast"/>
        </w:trPr>
        <w:tc>
          <w:tcPr>
            <w:tcW w:w="2263" w:type="dxa"/>
          </w:tcPr>
          <w:p w14:paraId="60BC8469">
            <w:pPr>
              <w:tabs>
                <w:tab w:val="left" w:pos="3672"/>
              </w:tabs>
              <w:spacing w:after="0" w:line="360" w:lineRule="auto"/>
              <w:rPr>
                <w:rFonts w:ascii="Times New Roman" w:hAnsi="Times New Roman" w:cs="Times New Roman"/>
                <w:sz w:val="24"/>
                <w:szCs w:val="24"/>
              </w:rPr>
            </w:pPr>
            <w:r>
              <w:rPr>
                <w:rFonts w:ascii="Times New Roman" w:hAnsi="Times New Roman" w:cs="Times New Roman"/>
                <w:sz w:val="24"/>
                <w:szCs w:val="24"/>
              </w:rPr>
              <w:t>Improve time management skill</w:t>
            </w:r>
          </w:p>
        </w:tc>
        <w:tc>
          <w:tcPr>
            <w:tcW w:w="3119" w:type="dxa"/>
          </w:tcPr>
          <w:p w14:paraId="3B30A076">
            <w:pPr>
              <w:tabs>
                <w:tab w:val="left" w:pos="3672"/>
              </w:tabs>
              <w:spacing w:after="0" w:line="360" w:lineRule="auto"/>
              <w:rPr>
                <w:rFonts w:ascii="Times New Roman" w:hAnsi="Times New Roman" w:cs="Times New Roman"/>
                <w:sz w:val="24"/>
                <w:szCs w:val="24"/>
              </w:rPr>
            </w:pPr>
            <w:r>
              <w:rPr>
                <w:rFonts w:ascii="Times New Roman" w:hAnsi="Times New Roman" w:cs="Times New Roman"/>
                <w:sz w:val="24"/>
                <w:szCs w:val="24"/>
              </w:rPr>
              <w:t>Creating a ‘To-Do List’; applying Pomodoro technique; using useful digital apps, using Time-Blocking technique</w:t>
            </w:r>
          </w:p>
        </w:tc>
        <w:tc>
          <w:tcPr>
            <w:tcW w:w="3513" w:type="dxa"/>
          </w:tcPr>
          <w:p w14:paraId="5388B36C">
            <w:pPr>
              <w:tabs>
                <w:tab w:val="left" w:pos="3672"/>
              </w:tabs>
              <w:spacing w:after="0" w:line="360" w:lineRule="auto"/>
              <w:rPr>
                <w:rFonts w:ascii="Times New Roman" w:hAnsi="Times New Roman" w:cs="Times New Roman"/>
                <w:sz w:val="24"/>
                <w:szCs w:val="24"/>
              </w:rPr>
            </w:pPr>
            <w:r>
              <w:rPr>
                <w:rFonts w:ascii="Times New Roman" w:hAnsi="Times New Roman" w:cs="Times New Roman"/>
                <w:sz w:val="24"/>
                <w:szCs w:val="24"/>
              </w:rPr>
              <w:t>Practicing working on tasks with a set timer; organising and prioritising daily tasks, taking regular intervals to improve concentration between work, using time-blocking technique with each task</w:t>
            </w:r>
          </w:p>
        </w:tc>
      </w:tr>
      <w:tr w14:paraId="257A57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35" w:hRule="atLeast"/>
        </w:trPr>
        <w:tc>
          <w:tcPr>
            <w:tcW w:w="2263" w:type="dxa"/>
          </w:tcPr>
          <w:p w14:paraId="1C75BC22">
            <w:pPr>
              <w:tabs>
                <w:tab w:val="left" w:pos="3672"/>
              </w:tabs>
              <w:spacing w:after="0" w:line="360" w:lineRule="auto"/>
              <w:rPr>
                <w:rFonts w:ascii="Times New Roman" w:hAnsi="Times New Roman" w:cs="Times New Roman"/>
                <w:sz w:val="24"/>
                <w:szCs w:val="24"/>
              </w:rPr>
            </w:pPr>
            <w:r>
              <w:rPr>
                <w:rFonts w:ascii="Times New Roman" w:hAnsi="Times New Roman" w:cs="Times New Roman"/>
                <w:sz w:val="24"/>
                <w:szCs w:val="24"/>
              </w:rPr>
              <w:t>Attention to detail</w:t>
            </w:r>
          </w:p>
        </w:tc>
        <w:tc>
          <w:tcPr>
            <w:tcW w:w="3119" w:type="dxa"/>
          </w:tcPr>
          <w:p w14:paraId="6BBF2B3B">
            <w:pPr>
              <w:tabs>
                <w:tab w:val="left" w:pos="3672"/>
              </w:tabs>
              <w:spacing w:after="0" w:line="360" w:lineRule="auto"/>
              <w:rPr>
                <w:rFonts w:ascii="Times New Roman" w:hAnsi="Times New Roman" w:cs="Times New Roman"/>
                <w:sz w:val="24"/>
                <w:szCs w:val="24"/>
              </w:rPr>
            </w:pPr>
            <w:r>
              <w:rPr>
                <w:rFonts w:ascii="Times New Roman" w:hAnsi="Times New Roman" w:cs="Times New Roman"/>
                <w:sz w:val="24"/>
                <w:szCs w:val="24"/>
              </w:rPr>
              <w:t>Memory and observation drills; physical exercise; removing distractions; creating checklists, sound sleeping, regular breaks</w:t>
            </w:r>
          </w:p>
        </w:tc>
        <w:tc>
          <w:tcPr>
            <w:tcW w:w="3513" w:type="dxa"/>
          </w:tcPr>
          <w:p w14:paraId="1FEA7032">
            <w:pPr>
              <w:tabs>
                <w:tab w:val="left" w:pos="3672"/>
              </w:tabs>
              <w:spacing w:after="0" w:line="360" w:lineRule="auto"/>
              <w:rPr>
                <w:rFonts w:ascii="Times New Roman" w:hAnsi="Times New Roman" w:cs="Times New Roman"/>
                <w:sz w:val="24"/>
                <w:szCs w:val="24"/>
              </w:rPr>
            </w:pPr>
            <w:r>
              <w:rPr>
                <w:rFonts w:ascii="Times New Roman" w:hAnsi="Times New Roman" w:cs="Times New Roman"/>
                <w:sz w:val="24"/>
                <w:szCs w:val="24"/>
              </w:rPr>
              <w:t>Practicing mindfulness and meditation; stop multitasking and working on single task at a time; working on memory sketches and slow reading</w:t>
            </w:r>
          </w:p>
        </w:tc>
      </w:tr>
    </w:tbl>
    <w:p w14:paraId="0670FEDA">
      <w:pPr>
        <w:tabs>
          <w:tab w:val="left" w:pos="3672"/>
        </w:tabs>
        <w:spacing w:line="360" w:lineRule="auto"/>
        <w:jc w:val="both"/>
        <w:rPr>
          <w:rFonts w:ascii="Times New Roman" w:hAnsi="Times New Roman" w:cs="Times New Roman"/>
          <w:i/>
          <w:iCs/>
          <w:sz w:val="24"/>
          <w:szCs w:val="24"/>
        </w:rPr>
      </w:pPr>
    </w:p>
    <w:p w14:paraId="34458F75">
      <w:pPr>
        <w:pStyle w:val="2"/>
      </w:pPr>
      <w:bookmarkStart w:id="17" w:name="_Toc236853702"/>
      <w:r>
        <w:t>References</w:t>
      </w:r>
      <w:bookmarkEnd w:id="17"/>
    </w:p>
    <w:p w14:paraId="289E463D">
      <w:pPr>
        <w:pStyle w:val="43"/>
        <w:spacing w:line="360" w:lineRule="auto"/>
        <w:rPr>
          <w:rFonts w:ascii="Times New Roman" w:hAnsi="Times New Roman" w:cs="Times New Roman"/>
          <w:kern w:val="0"/>
          <w:sz w:val="24"/>
          <w:szCs w:val="24"/>
          <w14:ligatures w14:val="none"/>
        </w:rPr>
      </w:pPr>
      <w:r>
        <w:rPr>
          <w:rFonts w:ascii="Times New Roman" w:hAnsi="Times New Roman" w:cs="Times New Roman"/>
          <w:sz w:val="24"/>
          <w:szCs w:val="24"/>
        </w:rPr>
        <w:t xml:space="preserve">American Automakers (2026) </w:t>
      </w:r>
      <w:r>
        <w:rPr>
          <w:rFonts w:ascii="Times New Roman" w:hAnsi="Times New Roman" w:cs="Times New Roman"/>
          <w:i/>
          <w:iCs/>
          <w:sz w:val="24"/>
          <w:szCs w:val="24"/>
        </w:rPr>
        <w:t>Environmental Stewardship.</w:t>
      </w:r>
      <w:r>
        <w:rPr>
          <w:rFonts w:ascii="Times New Roman" w:hAnsi="Times New Roman" w:cs="Times New Roman"/>
          <w:sz w:val="24"/>
          <w:szCs w:val="24"/>
        </w:rPr>
        <w:t xml:space="preserve"> Available at: </w:t>
      </w:r>
      <w:r>
        <w:fldChar w:fldCharType="begin"/>
      </w:r>
      <w:r>
        <w:instrText xml:space="preserve"> HYPERLINK "https://www.americanautomakers.org/environmental-stewardship" </w:instrText>
      </w:r>
      <w:r>
        <w:fldChar w:fldCharType="separate"/>
      </w:r>
      <w:r>
        <w:rPr>
          <w:rStyle w:val="18"/>
          <w:rFonts w:ascii="Times New Roman" w:hAnsi="Times New Roman" w:cs="Times New Roman"/>
          <w:sz w:val="24"/>
          <w:szCs w:val="24"/>
        </w:rPr>
        <w:t>https://www.americanautomakers.org/environmental-stewardship</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26 July 2026].</w:t>
      </w:r>
    </w:p>
    <w:p w14:paraId="5AF95033">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Baek, D. (2023) </w:t>
      </w:r>
      <w:r>
        <w:rPr>
          <w:rFonts w:ascii="Times New Roman" w:hAnsi="Times New Roman" w:cs="Times New Roman"/>
          <w:i/>
          <w:iCs/>
          <w:sz w:val="24"/>
          <w:szCs w:val="24"/>
        </w:rPr>
        <w:t>Challenges for Toyota, Daihatsu, and Hyundai: Safety Concerns and Vehicle Recalls.</w:t>
      </w:r>
      <w:r>
        <w:rPr>
          <w:rFonts w:ascii="Times New Roman" w:hAnsi="Times New Roman" w:cs="Times New Roman"/>
          <w:sz w:val="24"/>
          <w:szCs w:val="24"/>
        </w:rPr>
        <w:t xml:space="preserve"> Available at: </w:t>
      </w:r>
      <w:r>
        <w:fldChar w:fldCharType="begin"/>
      </w:r>
      <w:r>
        <w:instrText xml:space="preserve"> HYPERLINK "https://medium.com/@davidsehyeonbaek/challenges-for-toyota-daihatsu-and-hyundai-safety-concerns-and-vehicle-recalls-84d2008630c3" </w:instrText>
      </w:r>
      <w:r>
        <w:fldChar w:fldCharType="separate"/>
      </w:r>
      <w:r>
        <w:rPr>
          <w:rStyle w:val="18"/>
          <w:rFonts w:ascii="Times New Roman" w:hAnsi="Times New Roman" w:cs="Times New Roman"/>
          <w:sz w:val="24"/>
          <w:szCs w:val="24"/>
        </w:rPr>
        <w:t>https://medium.com/@davidsehyeonbaek/challenges-for-toyota-daihatsu-and-hyundai-safety-concerns-and-vehicle-recalls-84d2008630c3</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29869DA7">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Brand Finance (2026) </w:t>
      </w:r>
      <w:r>
        <w:rPr>
          <w:rFonts w:ascii="Times New Roman" w:hAnsi="Times New Roman" w:cs="Times New Roman"/>
          <w:i/>
          <w:iCs/>
          <w:sz w:val="24"/>
          <w:szCs w:val="24"/>
        </w:rPr>
        <w:t xml:space="preserve">Automotive Industry. </w:t>
      </w:r>
      <w:r>
        <w:rPr>
          <w:rFonts w:ascii="Times New Roman" w:hAnsi="Times New Roman" w:cs="Times New Roman"/>
          <w:sz w:val="24"/>
          <w:szCs w:val="24"/>
        </w:rPr>
        <w:t xml:space="preserve">Available at: </w:t>
      </w:r>
      <w:r>
        <w:fldChar w:fldCharType="begin"/>
      </w:r>
      <w:r>
        <w:instrText xml:space="preserve"> HYPERLINK "https://brandirectory.com/reports/automotive-industry/2026" </w:instrText>
      </w:r>
      <w:r>
        <w:fldChar w:fldCharType="separate"/>
      </w:r>
      <w:r>
        <w:rPr>
          <w:rStyle w:val="18"/>
          <w:rFonts w:ascii="Times New Roman" w:hAnsi="Times New Roman" w:cs="Times New Roman"/>
          <w:sz w:val="24"/>
          <w:szCs w:val="24"/>
        </w:rPr>
        <w:t>https://brandirectory.com/reports/automotive-industry/2026</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2C5AE37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Clark, D. (2026) </w:t>
      </w:r>
      <w:r>
        <w:rPr>
          <w:rFonts w:ascii="Times New Roman" w:hAnsi="Times New Roman" w:cs="Times New Roman"/>
          <w:i/>
          <w:iCs/>
          <w:sz w:val="24"/>
          <w:szCs w:val="24"/>
        </w:rPr>
        <w:t xml:space="preserve">Degree of urbanization in the United States from 1790 to 2020, and with projections until 2050. </w:t>
      </w:r>
      <w:r>
        <w:rPr>
          <w:rFonts w:ascii="Times New Roman" w:hAnsi="Times New Roman" w:cs="Times New Roman"/>
          <w:sz w:val="24"/>
          <w:szCs w:val="24"/>
        </w:rPr>
        <w:t>Available at:</w:t>
      </w:r>
      <w:r>
        <w:rPr>
          <w:rFonts w:ascii="Times New Roman" w:hAnsi="Times New Roman" w:cs="Times New Roman"/>
          <w:i/>
          <w:iCs/>
          <w:sz w:val="24"/>
          <w:szCs w:val="24"/>
        </w:rPr>
        <w:t xml:space="preserve"> </w:t>
      </w:r>
      <w:r>
        <w:fldChar w:fldCharType="begin"/>
      </w:r>
      <w:r>
        <w:instrText xml:space="preserve"> HYPERLINK "https://www.statista.com/statistics/269967/urbanization-in-the-united-states/" </w:instrText>
      </w:r>
      <w:r>
        <w:fldChar w:fldCharType="separate"/>
      </w:r>
      <w:r>
        <w:rPr>
          <w:rStyle w:val="18"/>
          <w:rFonts w:ascii="Times New Roman" w:hAnsi="Times New Roman" w:cs="Times New Roman"/>
          <w:sz w:val="24"/>
          <w:szCs w:val="24"/>
        </w:rPr>
        <w:t>https://www.statista.com/statistics/269967/urbanization-in-the-united-states/</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35D41C6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East Asia Forum (2026) </w:t>
      </w:r>
      <w:r>
        <w:rPr>
          <w:rFonts w:ascii="Times New Roman" w:hAnsi="Times New Roman" w:cs="Times New Roman"/>
          <w:i/>
          <w:iCs/>
          <w:sz w:val="24"/>
          <w:szCs w:val="24"/>
        </w:rPr>
        <w:t xml:space="preserve">Japan takes a different road to a cleaner car industry. </w:t>
      </w:r>
      <w:r>
        <w:rPr>
          <w:rFonts w:ascii="Times New Roman" w:hAnsi="Times New Roman" w:cs="Times New Roman"/>
          <w:sz w:val="24"/>
          <w:szCs w:val="24"/>
        </w:rPr>
        <w:t xml:space="preserve">Available at: </w:t>
      </w:r>
      <w:r>
        <w:fldChar w:fldCharType="begin"/>
      </w:r>
      <w:r>
        <w:instrText xml:space="preserve"> HYPERLINK "https://eastasiaforum.org/2026/06/05/japan-takes-a-different-road-to-a-cleaner-car-industry/" </w:instrText>
      </w:r>
      <w:r>
        <w:fldChar w:fldCharType="separate"/>
      </w:r>
      <w:r>
        <w:rPr>
          <w:rStyle w:val="18"/>
          <w:rFonts w:ascii="Times New Roman" w:hAnsi="Times New Roman" w:cs="Times New Roman"/>
          <w:sz w:val="24"/>
          <w:szCs w:val="24"/>
        </w:rPr>
        <w:t>https://eastasiaforum.org/2026/06/05/japan-takes-a-different-road-to-a-cleaner-car-industry/</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24 July 2026].</w:t>
      </w:r>
    </w:p>
    <w:p w14:paraId="25515CCD">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Fugger, T., Poligkeit, J. and Herrmann, C. (2025) 'Decarbonization in the automotive sector: A scenario-based analysis of original equipment manufacturer pathways', </w:t>
      </w:r>
      <w:r>
        <w:rPr>
          <w:rFonts w:ascii="Times New Roman" w:hAnsi="Times New Roman" w:cs="Times New Roman"/>
          <w:i/>
          <w:iCs/>
          <w:sz w:val="24"/>
          <w:szCs w:val="24"/>
        </w:rPr>
        <w:t xml:space="preserve">Cleaner Environmental Systems, </w:t>
      </w:r>
      <w:r>
        <w:rPr>
          <w:rFonts w:ascii="Times New Roman" w:hAnsi="Times New Roman" w:cs="Times New Roman"/>
          <w:sz w:val="24"/>
          <w:szCs w:val="24"/>
        </w:rPr>
        <w:t xml:space="preserve">19(1), p. 100336. Available at: </w:t>
      </w:r>
      <w:r>
        <w:fldChar w:fldCharType="begin"/>
      </w:r>
      <w:r>
        <w:instrText xml:space="preserve"> HYPERLINK "https://doi.org/10.1016/j.cesys.2025.100336" \t "_blank" \o "Persistent link using digital object identifier" </w:instrText>
      </w:r>
      <w:r>
        <w:fldChar w:fldCharType="separate"/>
      </w:r>
      <w:r>
        <w:rPr>
          <w:rStyle w:val="18"/>
          <w:rFonts w:ascii="Times New Roman" w:hAnsi="Times New Roman" w:cs="Times New Roman"/>
          <w:sz w:val="24"/>
          <w:szCs w:val="24"/>
        </w:rPr>
        <w:t>https://doi.org/10.1016/j.cesys.2025.100336</w:t>
      </w:r>
      <w:r>
        <w:rPr>
          <w:rStyle w:val="18"/>
          <w:rFonts w:ascii="Times New Roman" w:hAnsi="Times New Roman" w:cs="Times New Roman"/>
          <w:sz w:val="24"/>
          <w:szCs w:val="24"/>
        </w:rPr>
        <w:fldChar w:fldCharType="end"/>
      </w:r>
    </w:p>
    <w:p w14:paraId="3D61FAB7">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Global Data (2026) </w:t>
      </w:r>
      <w:r>
        <w:rPr>
          <w:rFonts w:ascii="Times New Roman" w:hAnsi="Times New Roman" w:cs="Times New Roman"/>
          <w:i/>
          <w:iCs/>
          <w:sz w:val="24"/>
          <w:szCs w:val="24"/>
        </w:rPr>
        <w:t xml:space="preserve">Toyota Motor Corp - Company Profile. </w:t>
      </w:r>
      <w:r>
        <w:rPr>
          <w:rFonts w:ascii="Times New Roman" w:hAnsi="Times New Roman" w:cs="Times New Roman"/>
          <w:sz w:val="24"/>
          <w:szCs w:val="24"/>
        </w:rPr>
        <w:t xml:space="preserve">Available at: </w:t>
      </w:r>
      <w:r>
        <w:fldChar w:fldCharType="begin"/>
      </w:r>
      <w:r>
        <w:instrText xml:space="preserve"> HYPERLINK "https://www.globaldata.com/company-profile/toyota-motor-corp/" </w:instrText>
      </w:r>
      <w:r>
        <w:fldChar w:fldCharType="separate"/>
      </w:r>
      <w:r>
        <w:rPr>
          <w:rStyle w:val="18"/>
          <w:rFonts w:ascii="Times New Roman" w:hAnsi="Times New Roman" w:cs="Times New Roman"/>
          <w:sz w:val="24"/>
          <w:szCs w:val="24"/>
        </w:rPr>
        <w:t>https://www.globaldata.com/company-profile/toyota-motor-corp/</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72DC1AF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Gonzalez-Argote, D., Vitón Castillo, A. and Gonzalez-Argote, J. (2024) 'Application of augmented reality in automotive industry', </w:t>
      </w:r>
      <w:r>
        <w:rPr>
          <w:rFonts w:ascii="Times New Roman" w:hAnsi="Times New Roman" w:cs="Times New Roman"/>
          <w:i/>
          <w:iCs/>
          <w:sz w:val="24"/>
          <w:szCs w:val="24"/>
        </w:rPr>
        <w:t xml:space="preserve">EAI Endorsed Transactions on Internet of Things. </w:t>
      </w:r>
      <w:r>
        <w:rPr>
          <w:rFonts w:ascii="Times New Roman" w:hAnsi="Times New Roman" w:cs="Times New Roman"/>
          <w:sz w:val="24"/>
          <w:szCs w:val="24"/>
        </w:rPr>
        <w:t>Available at:</w:t>
      </w:r>
      <w:r>
        <w:fldChar w:fldCharType="begin"/>
      </w:r>
      <w:r>
        <w:instrText xml:space="preserve"> HYPERLINK "%20https://doi.org/10.4108/eetiot.5223" </w:instrText>
      </w:r>
      <w:r>
        <w:fldChar w:fldCharType="separate"/>
      </w:r>
      <w:r>
        <w:rPr>
          <w:rStyle w:val="18"/>
          <w:rFonts w:ascii="Times New Roman" w:hAnsi="Times New Roman" w:cs="Times New Roman"/>
          <w:i/>
          <w:iCs/>
          <w:sz w:val="24"/>
          <w:szCs w:val="24"/>
        </w:rPr>
        <w:t xml:space="preserve"> </w:t>
      </w:r>
      <w:r>
        <w:rPr>
          <w:rStyle w:val="18"/>
          <w:rFonts w:ascii="Times New Roman" w:hAnsi="Times New Roman" w:cs="Times New Roman"/>
          <w:sz w:val="24"/>
          <w:szCs w:val="24"/>
        </w:rPr>
        <w:t>https://doi.org/10.4108/eetiot.5223</w:t>
      </w:r>
      <w:r>
        <w:rPr>
          <w:rStyle w:val="18"/>
          <w:rFonts w:ascii="Times New Roman" w:hAnsi="Times New Roman" w:cs="Times New Roman"/>
          <w:sz w:val="24"/>
          <w:szCs w:val="24"/>
        </w:rPr>
        <w:fldChar w:fldCharType="end"/>
      </w:r>
    </w:p>
    <w:p w14:paraId="01026EF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Hindustan Times (2024) </w:t>
      </w:r>
      <w:r>
        <w:rPr>
          <w:rFonts w:ascii="Times New Roman" w:hAnsi="Times New Roman" w:cs="Times New Roman"/>
          <w:i/>
          <w:iCs/>
          <w:sz w:val="24"/>
          <w:szCs w:val="24"/>
        </w:rPr>
        <w:t>Toyota production is falling, all because of China and Japan.</w:t>
      </w:r>
      <w:r>
        <w:rPr>
          <w:rFonts w:ascii="Times New Roman" w:hAnsi="Times New Roman" w:cs="Times New Roman"/>
          <w:sz w:val="24"/>
          <w:szCs w:val="24"/>
        </w:rPr>
        <w:t xml:space="preserve"> Available at: </w:t>
      </w:r>
      <w:r>
        <w:fldChar w:fldCharType="begin"/>
      </w:r>
      <w:r>
        <w:instrText xml:space="preserve"> HYPERLINK "https://www.hindustantimes.com/business/toyota-production-is-falling-all-because-of-china-and-japan-101727422297380.html" </w:instrText>
      </w:r>
      <w:r>
        <w:fldChar w:fldCharType="separate"/>
      </w:r>
      <w:r>
        <w:rPr>
          <w:rStyle w:val="18"/>
          <w:rFonts w:ascii="Times New Roman" w:hAnsi="Times New Roman" w:cs="Times New Roman"/>
          <w:sz w:val="24"/>
          <w:szCs w:val="24"/>
        </w:rPr>
        <w:t>https://www.hindustantimes.com/business/toyota-production-is-falling-all-because-of-china-and-japan-101727422297380.html</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5566A981">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Ibrahim, I., Thomas, P. and Adhikari, P. (2025) 'The Integration of Artificial Intelligence in Engineering Design, Manufacturing, and CAD: A Triangular Revolution of Innovation, Efficiency, and Automation', </w:t>
      </w:r>
      <w:r>
        <w:rPr>
          <w:rFonts w:ascii="Times New Roman" w:hAnsi="Times New Roman" w:cs="Times New Roman"/>
          <w:i/>
          <w:iCs/>
          <w:sz w:val="24"/>
          <w:szCs w:val="24"/>
        </w:rPr>
        <w:t xml:space="preserve">Global Journal of Engineering and Technology Advances, </w:t>
      </w:r>
      <w:r>
        <w:rPr>
          <w:rFonts w:ascii="Times New Roman" w:hAnsi="Times New Roman" w:cs="Times New Roman"/>
          <w:sz w:val="24"/>
          <w:szCs w:val="24"/>
        </w:rPr>
        <w:t xml:space="preserve">24(2), pp. 269-278. Available at:  </w:t>
      </w:r>
      <w:r>
        <w:fldChar w:fldCharType="begin"/>
      </w:r>
      <w:r>
        <w:instrText xml:space="preserve"> HYPERLINK "https://doi.org/10.30574/gjeta.2025.24.2.0256" </w:instrText>
      </w:r>
      <w:r>
        <w:fldChar w:fldCharType="separate"/>
      </w:r>
      <w:r>
        <w:rPr>
          <w:rStyle w:val="18"/>
          <w:rFonts w:ascii="Times New Roman" w:hAnsi="Times New Roman" w:cs="Times New Roman"/>
          <w:sz w:val="24"/>
          <w:szCs w:val="24"/>
        </w:rPr>
        <w:t>https://doi.org/10.30574/gjeta.2025.24.2.0256</w:t>
      </w:r>
      <w:r>
        <w:rPr>
          <w:rStyle w:val="18"/>
          <w:rFonts w:ascii="Times New Roman" w:hAnsi="Times New Roman" w:cs="Times New Roman"/>
          <w:sz w:val="24"/>
          <w:szCs w:val="24"/>
        </w:rPr>
        <w:fldChar w:fldCharType="end"/>
      </w:r>
    </w:p>
    <w:p w14:paraId="5E819C2B">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Influence Map (2026) </w:t>
      </w:r>
      <w:r>
        <w:rPr>
          <w:rFonts w:ascii="Times New Roman" w:hAnsi="Times New Roman" w:cs="Times New Roman"/>
          <w:i/>
          <w:iCs/>
          <w:sz w:val="24"/>
          <w:szCs w:val="24"/>
        </w:rPr>
        <w:t>Need for Vehicle Electrification.</w:t>
      </w:r>
      <w:r>
        <w:rPr>
          <w:rFonts w:ascii="Times New Roman" w:hAnsi="Times New Roman" w:cs="Times New Roman"/>
          <w:sz w:val="24"/>
          <w:szCs w:val="24"/>
        </w:rPr>
        <w:t xml:space="preserve"> Available at: </w:t>
      </w:r>
      <w:r>
        <w:fldChar w:fldCharType="begin"/>
      </w:r>
      <w:r>
        <w:instrText xml:space="preserve"> HYPERLINK "https://japan.influencemap.org/policy/2035-vehicle-electrification-target-5357" </w:instrText>
      </w:r>
      <w:r>
        <w:fldChar w:fldCharType="separate"/>
      </w:r>
      <w:r>
        <w:rPr>
          <w:rStyle w:val="18"/>
          <w:rFonts w:ascii="Times New Roman" w:hAnsi="Times New Roman" w:cs="Times New Roman"/>
          <w:sz w:val="24"/>
          <w:szCs w:val="24"/>
        </w:rPr>
        <w:t>https://japan.influencemap.org/policy/2035-vehicle-electrification-target-5357</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2D510EEA">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Japan Gov (2024) </w:t>
      </w:r>
      <w:r>
        <w:rPr>
          <w:rFonts w:ascii="Times New Roman" w:hAnsi="Times New Roman" w:cs="Times New Roman"/>
          <w:i/>
          <w:iCs/>
          <w:sz w:val="24"/>
          <w:szCs w:val="24"/>
        </w:rPr>
        <w:t>Together for Action: Japan’s Initiatives for Achieving the Common Goal of Net Zero by 2050.</w:t>
      </w:r>
      <w:r>
        <w:rPr>
          <w:rFonts w:ascii="Times New Roman" w:hAnsi="Times New Roman" w:cs="Times New Roman"/>
          <w:sz w:val="24"/>
          <w:szCs w:val="24"/>
        </w:rPr>
        <w:t xml:space="preserve"> Available at:</w:t>
      </w:r>
      <w:r>
        <w:rPr>
          <w:rFonts w:ascii="Times New Roman" w:hAnsi="Times New Roman" w:cs="Times New Roman"/>
          <w:i/>
          <w:iCs/>
          <w:sz w:val="24"/>
          <w:szCs w:val="24"/>
        </w:rPr>
        <w:t xml:space="preserve"> </w:t>
      </w:r>
      <w:r>
        <w:fldChar w:fldCharType="begin"/>
      </w:r>
      <w:r>
        <w:instrText xml:space="preserve"> HYPERLINK "https://www.japan.go.jp/kizuna/2024/01/together_for_action_japan_initiatives.html" </w:instrText>
      </w:r>
      <w:r>
        <w:fldChar w:fldCharType="separate"/>
      </w:r>
      <w:r>
        <w:rPr>
          <w:rStyle w:val="18"/>
          <w:rFonts w:ascii="Times New Roman" w:hAnsi="Times New Roman" w:cs="Times New Roman"/>
          <w:sz w:val="24"/>
          <w:szCs w:val="24"/>
        </w:rPr>
        <w:t>https://www.japan.go.jp/kizuna/2024/01/together_for_action_japan_initiatives.html</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19B5F31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Kostruba, A. and Kostruba, O. (2025) 'Strategies for Companies to Enter International Markets: Literature Review and Conceptualization', </w:t>
      </w:r>
      <w:r>
        <w:rPr>
          <w:rFonts w:ascii="Times New Roman" w:hAnsi="Times New Roman" w:cs="Times New Roman"/>
          <w:i/>
          <w:iCs/>
          <w:sz w:val="24"/>
          <w:szCs w:val="24"/>
        </w:rPr>
        <w:t xml:space="preserve">Danube, </w:t>
      </w:r>
      <w:r>
        <w:rPr>
          <w:rFonts w:ascii="Times New Roman" w:hAnsi="Times New Roman" w:cs="Times New Roman"/>
          <w:sz w:val="24"/>
          <w:szCs w:val="24"/>
        </w:rPr>
        <w:t xml:space="preserve">16(1), pp. 154-175. Available at: </w:t>
      </w:r>
      <w:r>
        <w:fldChar w:fldCharType="begin"/>
      </w:r>
      <w:r>
        <w:instrText xml:space="preserve"> HYPERLINK "https://doi.org/10.2478/danb-2025-0008" </w:instrText>
      </w:r>
      <w:r>
        <w:fldChar w:fldCharType="separate"/>
      </w:r>
      <w:r>
        <w:rPr>
          <w:rStyle w:val="18"/>
          <w:rFonts w:ascii="Times New Roman" w:hAnsi="Times New Roman" w:cs="Times New Roman"/>
          <w:sz w:val="24"/>
          <w:szCs w:val="24"/>
        </w:rPr>
        <w:t>https://doi.org/10.2478/danb-2025-0008</w:t>
      </w:r>
      <w:r>
        <w:rPr>
          <w:rStyle w:val="18"/>
          <w:rFonts w:ascii="Times New Roman" w:hAnsi="Times New Roman" w:cs="Times New Roman"/>
          <w:sz w:val="24"/>
          <w:szCs w:val="24"/>
        </w:rPr>
        <w:fldChar w:fldCharType="end"/>
      </w:r>
    </w:p>
    <w:p w14:paraId="743A6E4C">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Lean4Gain (2025) </w:t>
      </w:r>
      <w:r>
        <w:rPr>
          <w:rFonts w:ascii="Times New Roman" w:hAnsi="Times New Roman" w:cs="Times New Roman"/>
          <w:i/>
          <w:iCs/>
          <w:sz w:val="24"/>
          <w:szCs w:val="24"/>
        </w:rPr>
        <w:t xml:space="preserve">How Toyota's People-Centric Approach Retains Talent and Drives Success. </w:t>
      </w:r>
      <w:r>
        <w:rPr>
          <w:rFonts w:ascii="Times New Roman" w:hAnsi="Times New Roman" w:cs="Times New Roman"/>
          <w:sz w:val="24"/>
          <w:szCs w:val="24"/>
        </w:rPr>
        <w:t xml:space="preserve">Available at: </w:t>
      </w:r>
      <w:r>
        <w:fldChar w:fldCharType="begin"/>
      </w:r>
      <w:r>
        <w:instrText xml:space="preserve"> HYPERLINK "https://www.linkedin.com/pulse/how-toyotas-people-centric-approach-retains-talent-drives-success-yg9oc" </w:instrText>
      </w:r>
      <w:r>
        <w:fldChar w:fldCharType="separate"/>
      </w:r>
      <w:r>
        <w:rPr>
          <w:rStyle w:val="18"/>
          <w:rFonts w:ascii="Times New Roman" w:hAnsi="Times New Roman" w:cs="Times New Roman"/>
          <w:sz w:val="24"/>
          <w:szCs w:val="24"/>
        </w:rPr>
        <w:t>https://www.linkedin.com/pulse/how-toyotas-people-centric-approach-retains-talent-drives-success-yg9oc</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00A6506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Levasseur, S. (2025) A two-year assessment of the IRA's subsidies to the electric vehicles in the US: Uptake and assembly plants for batteries and EVs. </w:t>
      </w:r>
      <w:r>
        <w:rPr>
          <w:rFonts w:ascii="Times New Roman" w:hAnsi="Times New Roman" w:cs="Times New Roman"/>
          <w:i/>
          <w:iCs/>
          <w:sz w:val="24"/>
          <w:szCs w:val="24"/>
        </w:rPr>
        <w:t xml:space="preserve">Asia and the Global Economy, </w:t>
      </w:r>
      <w:r>
        <w:rPr>
          <w:rFonts w:ascii="Times New Roman" w:hAnsi="Times New Roman" w:cs="Times New Roman"/>
          <w:sz w:val="24"/>
          <w:szCs w:val="24"/>
        </w:rPr>
        <w:t xml:space="preserve">5(1), p. 100102. Available at: </w:t>
      </w:r>
      <w:r>
        <w:fldChar w:fldCharType="begin"/>
      </w:r>
      <w:r>
        <w:instrText xml:space="preserve"> HYPERLINK "https://doi.org/10.1016/j.aglobe.2024.100102" </w:instrText>
      </w:r>
      <w:r>
        <w:fldChar w:fldCharType="separate"/>
      </w:r>
      <w:r>
        <w:rPr>
          <w:rStyle w:val="18"/>
          <w:rFonts w:ascii="Times New Roman" w:hAnsi="Times New Roman" w:cs="Times New Roman"/>
          <w:sz w:val="24"/>
          <w:szCs w:val="24"/>
        </w:rPr>
        <w:t>https://doi.org/10.1016/j.aglobe.2024.100102</w:t>
      </w:r>
      <w:r>
        <w:rPr>
          <w:rStyle w:val="18"/>
          <w:rFonts w:ascii="Times New Roman" w:hAnsi="Times New Roman" w:cs="Times New Roman"/>
          <w:sz w:val="24"/>
          <w:szCs w:val="24"/>
        </w:rPr>
        <w:fldChar w:fldCharType="end"/>
      </w:r>
    </w:p>
    <w:p w14:paraId="0766229C">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Mordor Intelligence (2025) </w:t>
      </w:r>
      <w:r>
        <w:rPr>
          <w:rFonts w:ascii="Times New Roman" w:hAnsi="Times New Roman" w:cs="Times New Roman"/>
          <w:i/>
          <w:iCs/>
          <w:sz w:val="24"/>
          <w:szCs w:val="24"/>
        </w:rPr>
        <w:t>US Autonomous Car Market Size &amp; Share Analysis - Growth Trends And Forecast (2025 - 2030).</w:t>
      </w:r>
      <w:r>
        <w:rPr>
          <w:rFonts w:ascii="Times New Roman" w:hAnsi="Times New Roman" w:cs="Times New Roman"/>
          <w:sz w:val="24"/>
          <w:szCs w:val="24"/>
        </w:rPr>
        <w:t xml:space="preserve"> Available at: </w:t>
      </w:r>
      <w:r>
        <w:fldChar w:fldCharType="begin"/>
      </w:r>
      <w:r>
        <w:instrText xml:space="preserve"> HYPERLINK "https://www.mordorintelligence.com/industry-reports/us-autonomous-car-market" </w:instrText>
      </w:r>
      <w:r>
        <w:fldChar w:fldCharType="separate"/>
      </w:r>
      <w:r>
        <w:rPr>
          <w:rStyle w:val="18"/>
          <w:rFonts w:ascii="Times New Roman" w:hAnsi="Times New Roman" w:cs="Times New Roman"/>
          <w:sz w:val="24"/>
          <w:szCs w:val="24"/>
        </w:rPr>
        <w:t>https://www.mordorintelligence.com/industry-reports/us-autonomous-car-market</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26 July 2026].</w:t>
      </w:r>
    </w:p>
    <w:p w14:paraId="744A62D5">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NHTSA (2026) </w:t>
      </w:r>
      <w:r>
        <w:rPr>
          <w:rFonts w:ascii="Times New Roman" w:hAnsi="Times New Roman" w:cs="Times New Roman"/>
          <w:i/>
          <w:iCs/>
          <w:sz w:val="24"/>
          <w:szCs w:val="24"/>
        </w:rPr>
        <w:t xml:space="preserve">Corporate Average Fuel Economy. </w:t>
      </w:r>
      <w:r>
        <w:rPr>
          <w:rFonts w:ascii="Times New Roman" w:hAnsi="Times New Roman" w:cs="Times New Roman"/>
          <w:sz w:val="24"/>
          <w:szCs w:val="24"/>
        </w:rPr>
        <w:t xml:space="preserve">Available at: </w:t>
      </w:r>
      <w:r>
        <w:fldChar w:fldCharType="begin"/>
      </w:r>
      <w:r>
        <w:instrText xml:space="preserve"> HYPERLINK "https://www.nhtsa.gov/laws-regulations/corporate-average-fuel-economy" </w:instrText>
      </w:r>
      <w:r>
        <w:fldChar w:fldCharType="separate"/>
      </w:r>
      <w:r>
        <w:rPr>
          <w:rStyle w:val="18"/>
          <w:rFonts w:ascii="Times New Roman" w:hAnsi="Times New Roman" w:cs="Times New Roman"/>
          <w:sz w:val="24"/>
          <w:szCs w:val="24"/>
        </w:rPr>
        <w:t>https://www.nhtsa.gov/laws-regulations/corporate-average-fuel-economy</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64BE7881">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NIST (2026) </w:t>
      </w:r>
      <w:r>
        <w:rPr>
          <w:rFonts w:ascii="Times New Roman" w:hAnsi="Times New Roman" w:cs="Times New Roman"/>
          <w:i/>
          <w:iCs/>
          <w:sz w:val="24"/>
          <w:szCs w:val="24"/>
        </w:rPr>
        <w:t xml:space="preserve">The Rise of Artificial Intelligence (AI) in U.S. Manufacturing Text Only. </w:t>
      </w:r>
      <w:r>
        <w:rPr>
          <w:rFonts w:ascii="Times New Roman" w:hAnsi="Times New Roman" w:cs="Times New Roman"/>
          <w:sz w:val="24"/>
          <w:szCs w:val="24"/>
        </w:rPr>
        <w:br w:type="textWrapping"/>
      </w:r>
      <w:r>
        <w:rPr>
          <w:rFonts w:ascii="Times New Roman" w:hAnsi="Times New Roman" w:cs="Times New Roman"/>
          <w:sz w:val="24"/>
          <w:szCs w:val="24"/>
        </w:rPr>
        <w:t xml:space="preserve">Available at: </w:t>
      </w:r>
      <w:r>
        <w:fldChar w:fldCharType="begin"/>
      </w:r>
      <w:r>
        <w:instrText xml:space="preserve"> HYPERLINK "https://www.nist.gov/mep/rise-artificial-intelligence-ai-us-manufacturing-text-only" </w:instrText>
      </w:r>
      <w:r>
        <w:fldChar w:fldCharType="separate"/>
      </w:r>
      <w:r>
        <w:rPr>
          <w:rStyle w:val="18"/>
          <w:rFonts w:ascii="Times New Roman" w:hAnsi="Times New Roman" w:cs="Times New Roman"/>
          <w:sz w:val="24"/>
          <w:szCs w:val="24"/>
        </w:rPr>
        <w:t>https://www.nist.gov/mep/rise-artificial-intelligence-ai-us-manufacturing-text-only</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7A21DD7A">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Novak, K. (2025) 'International Market Entry Strategies and Their Influence on Global Business Expansion', </w:t>
      </w:r>
      <w:r>
        <w:rPr>
          <w:rFonts w:ascii="Times New Roman" w:hAnsi="Times New Roman" w:cs="Times New Roman"/>
          <w:i/>
          <w:iCs/>
          <w:sz w:val="24"/>
          <w:szCs w:val="24"/>
        </w:rPr>
        <w:t xml:space="preserve">Journal of Research in International Business and Management, </w:t>
      </w:r>
      <w:r>
        <w:rPr>
          <w:rFonts w:ascii="Times New Roman" w:hAnsi="Times New Roman" w:cs="Times New Roman"/>
          <w:sz w:val="24"/>
          <w:szCs w:val="24"/>
        </w:rPr>
        <w:t xml:space="preserve">12(4), pp. 1-2. Available at: </w:t>
      </w:r>
      <w:r>
        <w:fldChar w:fldCharType="begin"/>
      </w:r>
      <w:r>
        <w:instrText xml:space="preserve"> HYPERLINK "https://www.interesjournals.org/articles/international-market-entry-strategies-and-their-influence-on-global-business-expansion.pdf" </w:instrText>
      </w:r>
      <w:r>
        <w:fldChar w:fldCharType="separate"/>
      </w:r>
      <w:r>
        <w:rPr>
          <w:rStyle w:val="18"/>
          <w:rFonts w:ascii="Times New Roman" w:hAnsi="Times New Roman" w:cs="Times New Roman"/>
          <w:sz w:val="24"/>
          <w:szCs w:val="24"/>
        </w:rPr>
        <w:t>http:/dx.doi.org/10.14303//jribm.2025.033</w:t>
      </w:r>
      <w:r>
        <w:rPr>
          <w:rStyle w:val="18"/>
          <w:rFonts w:ascii="Times New Roman" w:hAnsi="Times New Roman" w:cs="Times New Roman"/>
          <w:sz w:val="24"/>
          <w:szCs w:val="24"/>
        </w:rPr>
        <w:fldChar w:fldCharType="end"/>
      </w:r>
    </w:p>
    <w:p w14:paraId="003A91C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Pan, G. (2023) 'The Impact of Exchange Rate Fluctuation on Toyota Financial Performance and Its Hedging Strategy', </w:t>
      </w:r>
      <w:r>
        <w:rPr>
          <w:rFonts w:ascii="Times New Roman" w:hAnsi="Times New Roman" w:cs="Times New Roman"/>
          <w:i/>
          <w:iCs/>
          <w:sz w:val="24"/>
          <w:szCs w:val="24"/>
        </w:rPr>
        <w:t xml:space="preserve">BCP Business &amp; Management, </w:t>
      </w:r>
      <w:r>
        <w:rPr>
          <w:rFonts w:ascii="Times New Roman" w:hAnsi="Times New Roman" w:cs="Times New Roman"/>
          <w:sz w:val="24"/>
          <w:szCs w:val="24"/>
        </w:rPr>
        <w:t xml:space="preserve">43(1), pp. 270-276. Available at: </w:t>
      </w:r>
      <w:r>
        <w:fldChar w:fldCharType="begin"/>
      </w:r>
      <w:r>
        <w:instrText xml:space="preserve"> HYPERLINK "https://doi.org/10.54691/bcpbm.v43i.4647" </w:instrText>
      </w:r>
      <w:r>
        <w:fldChar w:fldCharType="separate"/>
      </w:r>
      <w:r>
        <w:rPr>
          <w:rStyle w:val="18"/>
          <w:rFonts w:ascii="Times New Roman" w:hAnsi="Times New Roman" w:cs="Times New Roman"/>
          <w:sz w:val="24"/>
          <w:szCs w:val="24"/>
        </w:rPr>
        <w:t>https://doi.org/10.54691/bcpbm.v43i.4647</w:t>
      </w:r>
      <w:r>
        <w:rPr>
          <w:rStyle w:val="18"/>
          <w:rFonts w:ascii="Times New Roman" w:hAnsi="Times New Roman" w:cs="Times New Roman"/>
          <w:sz w:val="24"/>
          <w:szCs w:val="24"/>
        </w:rPr>
        <w:fldChar w:fldCharType="end"/>
      </w:r>
    </w:p>
    <w:p w14:paraId="61F6331D">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Rachael (2022) </w:t>
      </w:r>
      <w:r>
        <w:rPr>
          <w:rFonts w:ascii="Times New Roman" w:hAnsi="Times New Roman" w:cs="Times New Roman"/>
          <w:i/>
          <w:iCs/>
          <w:sz w:val="24"/>
          <w:szCs w:val="24"/>
        </w:rPr>
        <w:t xml:space="preserve">Using Mind Maps: Visualizing Your Mind. </w:t>
      </w:r>
      <w:r>
        <w:rPr>
          <w:rFonts w:ascii="Times New Roman" w:hAnsi="Times New Roman" w:cs="Times New Roman"/>
          <w:sz w:val="24"/>
          <w:szCs w:val="24"/>
        </w:rPr>
        <w:t xml:space="preserve">Available at: </w:t>
      </w:r>
      <w:r>
        <w:fldChar w:fldCharType="begin"/>
      </w:r>
      <w:r>
        <w:instrText xml:space="preserve"> HYPERLINK "https://learningcommons.ubc.ca/using-mind-maps-visualizing-your-mind/" </w:instrText>
      </w:r>
      <w:r>
        <w:fldChar w:fldCharType="separate"/>
      </w:r>
      <w:r>
        <w:rPr>
          <w:rStyle w:val="18"/>
          <w:rFonts w:ascii="Times New Roman" w:hAnsi="Times New Roman" w:cs="Times New Roman"/>
          <w:sz w:val="24"/>
          <w:szCs w:val="24"/>
        </w:rPr>
        <w:t>https://learningcommons.ubc.ca/using-mind-maps-visualizing-your-mind/</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3D13BA80">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Regunberg, A. and Arkush, D. (2023) </w:t>
      </w:r>
      <w:r>
        <w:rPr>
          <w:rFonts w:ascii="Times New Roman" w:hAnsi="Times New Roman" w:cs="Times New Roman"/>
          <w:i/>
          <w:iCs/>
          <w:sz w:val="24"/>
          <w:szCs w:val="24"/>
        </w:rPr>
        <w:t xml:space="preserve">Letter to FTC on Toyota’s Misleading Advertising. </w:t>
      </w:r>
      <w:r>
        <w:rPr>
          <w:rFonts w:ascii="Times New Roman" w:hAnsi="Times New Roman" w:cs="Times New Roman"/>
          <w:sz w:val="24"/>
          <w:szCs w:val="24"/>
        </w:rPr>
        <w:t xml:space="preserve">Available at: </w:t>
      </w:r>
      <w:r>
        <w:fldChar w:fldCharType="begin"/>
      </w:r>
      <w:r>
        <w:instrText xml:space="preserve"> HYPERLINK "https://www.citizen.org/article/ftc-toyotas-misleading-advertising/" </w:instrText>
      </w:r>
      <w:r>
        <w:fldChar w:fldCharType="separate"/>
      </w:r>
      <w:r>
        <w:rPr>
          <w:rStyle w:val="18"/>
          <w:rFonts w:ascii="Times New Roman" w:hAnsi="Times New Roman" w:cs="Times New Roman"/>
          <w:sz w:val="24"/>
          <w:szCs w:val="24"/>
        </w:rPr>
        <w:t>https://www.citizen.org/article/ftc-toyotas-misleading-advertising/</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38E695FE">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Reuters (2024) </w:t>
      </w:r>
      <w:r>
        <w:rPr>
          <w:rFonts w:ascii="Times New Roman" w:hAnsi="Times New Roman" w:cs="Times New Roman"/>
          <w:i/>
          <w:iCs/>
          <w:sz w:val="24"/>
          <w:szCs w:val="24"/>
        </w:rPr>
        <w:t xml:space="preserve">Japan to give up to $2.4 bln in new support for domestic EV battery production. </w:t>
      </w:r>
      <w:r>
        <w:rPr>
          <w:rFonts w:ascii="Times New Roman" w:hAnsi="Times New Roman" w:cs="Times New Roman"/>
          <w:sz w:val="24"/>
          <w:szCs w:val="24"/>
        </w:rPr>
        <w:t>Available at:</w:t>
      </w:r>
      <w:r>
        <w:rPr>
          <w:rFonts w:ascii="Times New Roman" w:hAnsi="Times New Roman" w:cs="Times New Roman"/>
          <w:i/>
          <w:iCs/>
          <w:sz w:val="24"/>
          <w:szCs w:val="24"/>
        </w:rPr>
        <w:t xml:space="preserve"> </w:t>
      </w:r>
      <w:r>
        <w:fldChar w:fldCharType="begin"/>
      </w:r>
      <w:r>
        <w:instrText xml:space="preserve"> HYPERLINK "https://www.reuters.com/business/autos-transportation/toyota-nissan-support-japans-battery-production-capacity-nikkei-reports-2024-09-05/" </w:instrText>
      </w:r>
      <w:r>
        <w:fldChar w:fldCharType="separate"/>
      </w:r>
      <w:r>
        <w:rPr>
          <w:rStyle w:val="18"/>
          <w:rFonts w:ascii="Times New Roman" w:hAnsi="Times New Roman" w:cs="Times New Roman"/>
          <w:sz w:val="24"/>
          <w:szCs w:val="24"/>
        </w:rPr>
        <w:t>https://www.reuters.com/business/autos-transportation/toyota-nissan-support-japans-battery-production-capacity-nikkei-reports-2024-09-05/</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24 July 2026].</w:t>
      </w:r>
    </w:p>
    <w:p w14:paraId="011514C8">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Simnica, M. (2022) THE CONNECTION BETWEEN MARKETING AND INNOVATION: TOYOTA CASE STUDY. </w:t>
      </w:r>
      <w:r>
        <w:rPr>
          <w:rFonts w:ascii="Times New Roman" w:hAnsi="Times New Roman" w:cs="Times New Roman"/>
          <w:i/>
          <w:iCs/>
          <w:sz w:val="24"/>
          <w:szCs w:val="24"/>
        </w:rPr>
        <w:t xml:space="preserve">IJECM, </w:t>
      </w:r>
      <w:r>
        <w:rPr>
          <w:rFonts w:ascii="Times New Roman" w:hAnsi="Times New Roman" w:cs="Times New Roman"/>
          <w:sz w:val="24"/>
          <w:szCs w:val="24"/>
        </w:rPr>
        <w:t xml:space="preserve">10(7), pp. 289-301. Available at: </w:t>
      </w:r>
      <w:r>
        <w:fldChar w:fldCharType="begin"/>
      </w:r>
      <w:r>
        <w:instrText xml:space="preserve"> HYPERLINK "https://ijecm.co.uk/wp-content/uploads/2022/07/10719.pdf" </w:instrText>
      </w:r>
      <w:r>
        <w:fldChar w:fldCharType="separate"/>
      </w:r>
      <w:r>
        <w:rPr>
          <w:rStyle w:val="18"/>
          <w:rFonts w:ascii="Times New Roman" w:hAnsi="Times New Roman" w:cs="Times New Roman"/>
          <w:sz w:val="24"/>
          <w:szCs w:val="24"/>
        </w:rPr>
        <w:t>https://ijecm.co.uk/wp-content/uploads/2022/07/10719.pdf</w:t>
      </w:r>
      <w:r>
        <w:rPr>
          <w:rStyle w:val="18"/>
          <w:rFonts w:ascii="Times New Roman" w:hAnsi="Times New Roman" w:cs="Times New Roman"/>
          <w:sz w:val="24"/>
          <w:szCs w:val="24"/>
        </w:rPr>
        <w:fldChar w:fldCharType="end"/>
      </w:r>
    </w:p>
    <w:p w14:paraId="20CAF887">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Statista (2026) </w:t>
      </w:r>
      <w:r>
        <w:rPr>
          <w:rFonts w:ascii="Times New Roman" w:hAnsi="Times New Roman" w:cs="Times New Roman"/>
          <w:i/>
          <w:iCs/>
          <w:sz w:val="24"/>
          <w:szCs w:val="24"/>
        </w:rPr>
        <w:t xml:space="preserve">Age distribution in Japan from 1960 to 2025. </w:t>
      </w:r>
      <w:r>
        <w:rPr>
          <w:rFonts w:ascii="Times New Roman" w:hAnsi="Times New Roman" w:cs="Times New Roman"/>
          <w:sz w:val="24"/>
          <w:szCs w:val="24"/>
        </w:rPr>
        <w:t xml:space="preserve">Available at: </w:t>
      </w:r>
      <w:r>
        <w:fldChar w:fldCharType="begin"/>
      </w:r>
      <w:r>
        <w:instrText xml:space="preserve"> HYPERLINK "https://www.statista.com/statistics/270087/age-distribution-in-japan/" </w:instrText>
      </w:r>
      <w:r>
        <w:fldChar w:fldCharType="separate"/>
      </w:r>
      <w:r>
        <w:rPr>
          <w:rStyle w:val="18"/>
          <w:rFonts w:ascii="Times New Roman" w:hAnsi="Times New Roman" w:cs="Times New Roman"/>
          <w:sz w:val="24"/>
          <w:szCs w:val="24"/>
        </w:rPr>
        <w:t>https://www.statista.com/statistics/270087/age-distribution-in-japan/</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24 July 2026].</w:t>
      </w:r>
    </w:p>
    <w:p w14:paraId="25AD0B8B">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Sugiyama, S. (2025) </w:t>
      </w:r>
      <w:r>
        <w:rPr>
          <w:rFonts w:ascii="Times New Roman" w:hAnsi="Times New Roman" w:cs="Times New Roman"/>
          <w:i/>
          <w:iCs/>
          <w:sz w:val="24"/>
          <w:szCs w:val="24"/>
        </w:rPr>
        <w:t xml:space="preserve">Japan factory output up, but soft outlook and cooling retail sales pressure economy. </w:t>
      </w:r>
      <w:r>
        <w:rPr>
          <w:rFonts w:ascii="Times New Roman" w:hAnsi="Times New Roman" w:cs="Times New Roman"/>
          <w:sz w:val="24"/>
          <w:szCs w:val="24"/>
        </w:rPr>
        <w:t>Available at:</w:t>
      </w:r>
      <w:r>
        <w:rPr>
          <w:rFonts w:ascii="Times New Roman" w:hAnsi="Times New Roman" w:cs="Times New Roman"/>
          <w:i/>
          <w:iCs/>
          <w:sz w:val="24"/>
          <w:szCs w:val="24"/>
        </w:rPr>
        <w:t xml:space="preserve"> </w:t>
      </w:r>
      <w:r>
        <w:fldChar w:fldCharType="begin"/>
      </w:r>
      <w:r>
        <w:instrText xml:space="preserve"> HYPERLINK "https://www.reuters.com/markets/asia/japan-feb-factory-output-rises-25-on-month-2025-03-31/" </w:instrText>
      </w:r>
      <w:r>
        <w:fldChar w:fldCharType="separate"/>
      </w:r>
      <w:r>
        <w:rPr>
          <w:rStyle w:val="18"/>
          <w:rFonts w:ascii="Times New Roman" w:hAnsi="Times New Roman" w:cs="Times New Roman"/>
          <w:sz w:val="24"/>
          <w:szCs w:val="24"/>
        </w:rPr>
        <w:t>https://www.reuters.com/markets/asia/japan-feb-factory-output-rises-25-on-month-2025-03-31/</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7AA090D2">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The Culture Factor (2026) </w:t>
      </w:r>
      <w:r>
        <w:rPr>
          <w:rFonts w:ascii="Times New Roman" w:hAnsi="Times New Roman" w:cs="Times New Roman"/>
          <w:i/>
          <w:iCs/>
          <w:sz w:val="24"/>
          <w:szCs w:val="24"/>
        </w:rPr>
        <w:t xml:space="preserve">Country Comparison tool. </w:t>
      </w:r>
      <w:r>
        <w:rPr>
          <w:rFonts w:ascii="Times New Roman" w:hAnsi="Times New Roman" w:cs="Times New Roman"/>
          <w:sz w:val="24"/>
          <w:szCs w:val="24"/>
        </w:rPr>
        <w:t xml:space="preserve">Available at: </w:t>
      </w:r>
      <w:r>
        <w:fldChar w:fldCharType="begin"/>
      </w:r>
      <w:r>
        <w:instrText xml:space="preserve"> HYPERLINK "https://www.theculturefactor.com/country-comparison-tool?countries=japan%2Cunited+states" </w:instrText>
      </w:r>
      <w:r>
        <w:fldChar w:fldCharType="separate"/>
      </w:r>
      <w:r>
        <w:rPr>
          <w:rStyle w:val="18"/>
          <w:rFonts w:ascii="Times New Roman" w:hAnsi="Times New Roman" w:cs="Times New Roman"/>
          <w:sz w:val="24"/>
          <w:szCs w:val="24"/>
        </w:rPr>
        <w:t>https://www.theculturefactor.com/country-comparison-tool?countries=japan%2Cunited+states</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26 July 2026].</w:t>
      </w:r>
    </w:p>
    <w:p w14:paraId="7CE0CF1E">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The Japan Times (2025) </w:t>
      </w:r>
      <w:r>
        <w:rPr>
          <w:rFonts w:ascii="Times New Roman" w:hAnsi="Times New Roman" w:cs="Times New Roman"/>
          <w:i/>
          <w:iCs/>
          <w:sz w:val="24"/>
          <w:szCs w:val="24"/>
        </w:rPr>
        <w:t xml:space="preserve">Toyota introduces qualification system to prevent test fraud. </w:t>
      </w:r>
      <w:r>
        <w:rPr>
          <w:rFonts w:ascii="Times New Roman" w:hAnsi="Times New Roman" w:cs="Times New Roman"/>
          <w:sz w:val="24"/>
          <w:szCs w:val="24"/>
        </w:rPr>
        <w:t xml:space="preserve">Available at: </w:t>
      </w:r>
      <w:r>
        <w:fldChar w:fldCharType="begin"/>
      </w:r>
      <w:r>
        <w:instrText xml:space="preserve"> HYPERLINK "https://www.japantimes.co.jp/business/2025/09/10/companies/toyota-qualification-fraud/" </w:instrText>
      </w:r>
      <w:r>
        <w:fldChar w:fldCharType="separate"/>
      </w:r>
      <w:r>
        <w:rPr>
          <w:rStyle w:val="18"/>
          <w:rFonts w:ascii="Times New Roman" w:hAnsi="Times New Roman" w:cs="Times New Roman"/>
          <w:sz w:val="24"/>
          <w:szCs w:val="24"/>
        </w:rPr>
        <w:t>https://www.japantimes.co.jp/business/2025/09/10/companies/toyota-qualification-fraud/</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5776C009">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Tian, M. (2024) 'Impact of the Federal Reserve Interest Rate Hikes on the U.S. Dollar Exchange Rate', </w:t>
      </w:r>
      <w:r>
        <w:rPr>
          <w:rFonts w:ascii="Times New Roman" w:hAnsi="Times New Roman" w:cs="Times New Roman"/>
          <w:i/>
          <w:iCs/>
          <w:sz w:val="24"/>
          <w:szCs w:val="24"/>
        </w:rPr>
        <w:t xml:space="preserve">Advances in Economics, Management and Political Sciences, </w:t>
      </w:r>
      <w:r>
        <w:rPr>
          <w:rFonts w:ascii="Times New Roman" w:hAnsi="Times New Roman" w:cs="Times New Roman"/>
          <w:sz w:val="24"/>
          <w:szCs w:val="24"/>
        </w:rPr>
        <w:t xml:space="preserve">78(1), pp. 67-72. Available at: </w:t>
      </w:r>
      <w:r>
        <w:fldChar w:fldCharType="begin"/>
      </w:r>
      <w:r>
        <w:instrText xml:space="preserve"> HYPERLINK "https://doi.org/10.54254/2754-1169/78/20241636" </w:instrText>
      </w:r>
      <w:r>
        <w:fldChar w:fldCharType="separate"/>
      </w:r>
      <w:r>
        <w:rPr>
          <w:rStyle w:val="18"/>
          <w:rFonts w:ascii="Times New Roman" w:hAnsi="Times New Roman" w:cs="Times New Roman"/>
          <w:sz w:val="24"/>
          <w:szCs w:val="24"/>
        </w:rPr>
        <w:t>https://doi.org/10.54254/2754-1169/78/20241636</w:t>
      </w:r>
      <w:r>
        <w:rPr>
          <w:rStyle w:val="18"/>
          <w:rFonts w:ascii="Times New Roman" w:hAnsi="Times New Roman" w:cs="Times New Roman"/>
          <w:sz w:val="24"/>
          <w:szCs w:val="24"/>
        </w:rPr>
        <w:fldChar w:fldCharType="end"/>
      </w:r>
    </w:p>
    <w:p w14:paraId="01B20924">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Toyota Industries Corporation (2023) </w:t>
      </w:r>
      <w:r>
        <w:rPr>
          <w:rFonts w:ascii="Times New Roman" w:hAnsi="Times New Roman" w:cs="Times New Roman"/>
          <w:i/>
          <w:iCs/>
          <w:sz w:val="24"/>
          <w:szCs w:val="24"/>
        </w:rPr>
        <w:t xml:space="preserve">Toyota Industries Report. </w:t>
      </w:r>
      <w:r>
        <w:rPr>
          <w:rFonts w:ascii="Times New Roman" w:hAnsi="Times New Roman" w:cs="Times New Roman"/>
          <w:sz w:val="24"/>
          <w:szCs w:val="24"/>
        </w:rPr>
        <w:t xml:space="preserve">Available at: </w:t>
      </w:r>
      <w:r>
        <w:fldChar w:fldCharType="begin"/>
      </w:r>
      <w:r>
        <w:instrText xml:space="preserve"> HYPERLINK "https://www.toyota-industries.com/investors/item/TICOReport2023_E_full_print.pdf" </w:instrText>
      </w:r>
      <w:r>
        <w:fldChar w:fldCharType="separate"/>
      </w:r>
      <w:r>
        <w:rPr>
          <w:rStyle w:val="18"/>
          <w:rFonts w:ascii="Times New Roman" w:hAnsi="Times New Roman" w:cs="Times New Roman"/>
          <w:sz w:val="24"/>
          <w:szCs w:val="24"/>
        </w:rPr>
        <w:t>https://www.toyota-industries.com/investors/item/TICOReport2023_E_full_print.pdf</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261564D3">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Toyota Newsroom (2026) </w:t>
      </w:r>
      <w:r>
        <w:rPr>
          <w:rFonts w:ascii="Times New Roman" w:hAnsi="Times New Roman" w:cs="Times New Roman"/>
          <w:i/>
          <w:iCs/>
          <w:sz w:val="24"/>
          <w:szCs w:val="24"/>
        </w:rPr>
        <w:t xml:space="preserve">TMC Announces April Through March 2026 Financial Results. </w:t>
      </w:r>
      <w:r>
        <w:rPr>
          <w:rFonts w:ascii="Times New Roman" w:hAnsi="Times New Roman" w:cs="Times New Roman"/>
          <w:sz w:val="24"/>
          <w:szCs w:val="24"/>
        </w:rPr>
        <w:t xml:space="preserve">Available at: </w:t>
      </w:r>
      <w:r>
        <w:fldChar w:fldCharType="begin"/>
      </w:r>
      <w:r>
        <w:instrText xml:space="preserve"> HYPERLINK "https://pressroom.toyota.com/tmc-announces-april-through-march-2026-financial-results/" </w:instrText>
      </w:r>
      <w:r>
        <w:fldChar w:fldCharType="separate"/>
      </w:r>
      <w:r>
        <w:rPr>
          <w:rStyle w:val="18"/>
          <w:rFonts w:ascii="Times New Roman" w:hAnsi="Times New Roman" w:cs="Times New Roman"/>
          <w:sz w:val="24"/>
          <w:szCs w:val="24"/>
        </w:rPr>
        <w:t>https://pressroom.toyota.com/tmc-announces-april-through-march-2026-financial-results/</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23 July 2026].</w:t>
      </w:r>
    </w:p>
    <w:p w14:paraId="1DC9B5B8">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Toyota (2017) </w:t>
      </w:r>
      <w:r>
        <w:rPr>
          <w:rFonts w:ascii="Times New Roman" w:hAnsi="Times New Roman" w:cs="Times New Roman"/>
          <w:i/>
          <w:iCs/>
          <w:sz w:val="24"/>
          <w:szCs w:val="24"/>
        </w:rPr>
        <w:t xml:space="preserve">Toyota Motor Corporation to Absorb Toyota Marketing Japan Corporation. </w:t>
      </w:r>
      <w:r>
        <w:rPr>
          <w:rFonts w:ascii="Times New Roman" w:hAnsi="Times New Roman" w:cs="Times New Roman"/>
          <w:sz w:val="24"/>
          <w:szCs w:val="24"/>
        </w:rPr>
        <w:t xml:space="preserve">Available at: </w:t>
      </w:r>
      <w:r>
        <w:fldChar w:fldCharType="begin"/>
      </w:r>
      <w:r>
        <w:instrText xml:space="preserve"> HYPERLINK "https://global.toyota/en/newsroom/corporate/20065154.html" </w:instrText>
      </w:r>
      <w:r>
        <w:fldChar w:fldCharType="separate"/>
      </w:r>
      <w:r>
        <w:rPr>
          <w:rStyle w:val="18"/>
          <w:rFonts w:ascii="Times New Roman" w:hAnsi="Times New Roman" w:cs="Times New Roman"/>
          <w:sz w:val="24"/>
          <w:szCs w:val="24"/>
        </w:rPr>
        <w:t>https://global.toyota/en/newsroom/corporate/20065154.html</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4 August 2026].</w:t>
      </w:r>
    </w:p>
    <w:p w14:paraId="5E4D0DC3">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Trencher, G. and Wesseling, J. (2022) 'Roadblocks to fuel-cell electric vehicle diffusion: Evidence from Germany, Japan and California', </w:t>
      </w:r>
      <w:r>
        <w:rPr>
          <w:rFonts w:ascii="Times New Roman" w:hAnsi="Times New Roman" w:cs="Times New Roman"/>
          <w:i/>
          <w:iCs/>
          <w:sz w:val="24"/>
          <w:szCs w:val="24"/>
        </w:rPr>
        <w:t xml:space="preserve">Transportation Research Part D: Transport and Environment, </w:t>
      </w:r>
      <w:r>
        <w:rPr>
          <w:rFonts w:ascii="Times New Roman" w:hAnsi="Times New Roman" w:cs="Times New Roman"/>
          <w:sz w:val="24"/>
          <w:szCs w:val="24"/>
        </w:rPr>
        <w:t xml:space="preserve">Volume 112, p. 103458. Available at: </w:t>
      </w:r>
      <w:r>
        <w:fldChar w:fldCharType="begin"/>
      </w:r>
      <w:r>
        <w:instrText xml:space="preserve"> HYPERLINK "https://doi.org/10.1016/j.trd.2022.103458" </w:instrText>
      </w:r>
      <w:r>
        <w:fldChar w:fldCharType="separate"/>
      </w:r>
      <w:r>
        <w:rPr>
          <w:rStyle w:val="18"/>
          <w:rFonts w:ascii="Times New Roman" w:hAnsi="Times New Roman" w:cs="Times New Roman"/>
          <w:sz w:val="24"/>
          <w:szCs w:val="24"/>
        </w:rPr>
        <w:t>https://doi.org/10.1016/j.trd.2022.103458</w:t>
      </w:r>
      <w:r>
        <w:rPr>
          <w:rStyle w:val="18"/>
          <w:rFonts w:ascii="Times New Roman" w:hAnsi="Times New Roman" w:cs="Times New Roman"/>
          <w:sz w:val="24"/>
          <w:szCs w:val="24"/>
        </w:rPr>
        <w:fldChar w:fldCharType="end"/>
      </w:r>
    </w:p>
    <w:p w14:paraId="4D15DB57">
      <w:pPr>
        <w:pStyle w:val="43"/>
        <w:spacing w:line="360" w:lineRule="auto"/>
        <w:rPr>
          <w:rFonts w:ascii="Times New Roman" w:hAnsi="Times New Roman" w:cs="Times New Roman"/>
          <w:sz w:val="24"/>
          <w:szCs w:val="24"/>
        </w:rPr>
      </w:pPr>
      <w:r>
        <w:rPr>
          <w:rFonts w:ascii="Times New Roman" w:hAnsi="Times New Roman" w:cs="Times New Roman"/>
          <w:sz w:val="24"/>
          <w:szCs w:val="24"/>
        </w:rPr>
        <w:t xml:space="preserve">Wale, H. (2020) </w:t>
      </w:r>
      <w:r>
        <w:rPr>
          <w:rFonts w:ascii="Times New Roman" w:hAnsi="Times New Roman" w:cs="Times New Roman"/>
          <w:i/>
          <w:iCs/>
          <w:sz w:val="24"/>
          <w:szCs w:val="24"/>
        </w:rPr>
        <w:t xml:space="preserve">Hofstede’s Cultural Dimensions Theory. </w:t>
      </w:r>
      <w:r>
        <w:rPr>
          <w:rFonts w:ascii="Times New Roman" w:hAnsi="Times New Roman" w:cs="Times New Roman"/>
          <w:sz w:val="24"/>
          <w:szCs w:val="24"/>
        </w:rPr>
        <w:t xml:space="preserve">Available at: </w:t>
      </w:r>
      <w:r>
        <w:fldChar w:fldCharType="begin"/>
      </w:r>
      <w:r>
        <w:instrText xml:space="preserve"> HYPERLINK "https://corporatefinanceinstitute.com/resources/management/hofstedes-cultural-dimensions-theory/" </w:instrText>
      </w:r>
      <w:r>
        <w:fldChar w:fldCharType="separate"/>
      </w:r>
      <w:r>
        <w:rPr>
          <w:rStyle w:val="18"/>
          <w:rFonts w:ascii="Times New Roman" w:hAnsi="Times New Roman" w:cs="Times New Roman"/>
          <w:sz w:val="24"/>
          <w:szCs w:val="24"/>
        </w:rPr>
        <w:t>https://corporatefinanceinstitute.com/resources/management/hofstedes-cultural-dimensions-theory/</w:t>
      </w:r>
      <w:r>
        <w:rPr>
          <w:rStyle w:val="18"/>
          <w:rFonts w:ascii="Times New Roman" w:hAnsi="Times New Roman" w:cs="Times New Roman"/>
          <w:sz w:val="24"/>
          <w:szCs w:val="24"/>
        </w:rPr>
        <w:fldChar w:fldCharType="end"/>
      </w:r>
      <w:r>
        <w:rPr>
          <w:rFonts w:ascii="Times New Roman" w:hAnsi="Times New Roman" w:cs="Times New Roman"/>
          <w:sz w:val="24"/>
          <w:szCs w:val="24"/>
        </w:rPr>
        <w:br w:type="textWrapping"/>
      </w:r>
      <w:r>
        <w:rPr>
          <w:rFonts w:ascii="Times New Roman" w:hAnsi="Times New Roman" w:cs="Times New Roman"/>
          <w:sz w:val="24"/>
          <w:szCs w:val="24"/>
        </w:rPr>
        <w:t>[Accessed 30 July 2026].</w:t>
      </w:r>
    </w:p>
    <w:p w14:paraId="617A3709">
      <w:pPr>
        <w:spacing w:line="360" w:lineRule="auto"/>
        <w:rPr>
          <w:rFonts w:ascii="Times New Roman" w:hAnsi="Times New Roman" w:cs="Times New Roman"/>
          <w:sz w:val="24"/>
          <w:szCs w:val="24"/>
        </w:rPr>
      </w:pPr>
      <w:r>
        <w:rPr>
          <w:rFonts w:ascii="Times New Roman" w:hAnsi="Times New Roman" w:cs="Times New Roman"/>
          <w:sz w:val="24"/>
          <w:szCs w:val="24"/>
        </w:rPr>
        <w:t xml:space="preserve">Zheng, F., Zhao, C., Yasmin, F. and Sokolova, M. (2025) 'Hofstede's cultural dimensions and proactive behavior as the antecedents of entrepreneurial innovativeness', </w:t>
      </w:r>
      <w:r>
        <w:rPr>
          <w:rFonts w:ascii="Times New Roman" w:hAnsi="Times New Roman" w:cs="Times New Roman"/>
          <w:i/>
          <w:iCs/>
          <w:sz w:val="24"/>
          <w:szCs w:val="24"/>
        </w:rPr>
        <w:t xml:space="preserve">Acta Psychologica. </w:t>
      </w:r>
      <w:r>
        <w:rPr>
          <w:rFonts w:ascii="Times New Roman" w:hAnsi="Times New Roman" w:cs="Times New Roman"/>
          <w:sz w:val="24"/>
          <w:szCs w:val="24"/>
        </w:rPr>
        <w:t xml:space="preserve">Available at: </w:t>
      </w:r>
      <w:r>
        <w:fldChar w:fldCharType="begin"/>
      </w:r>
      <w:r>
        <w:instrText xml:space="preserve"> HYPERLINK "https://doi.org/10.1016/j.actpsy.2025.104948" \t "_blank" </w:instrText>
      </w:r>
      <w:r>
        <w:fldChar w:fldCharType="separate"/>
      </w:r>
      <w:r>
        <w:rPr>
          <w:rStyle w:val="18"/>
          <w:rFonts w:ascii="Times New Roman" w:hAnsi="Times New Roman" w:cs="Times New Roman"/>
          <w:sz w:val="24"/>
          <w:szCs w:val="24"/>
        </w:rPr>
        <w:t>10.1016/j.actpsy.2025.104948</w:t>
      </w:r>
      <w:r>
        <w:rPr>
          <w:rStyle w:val="18"/>
          <w:rFonts w:ascii="Times New Roman" w:hAnsi="Times New Roman" w:cs="Times New Roman"/>
          <w:sz w:val="24"/>
          <w:szCs w:val="24"/>
        </w:rPr>
        <w:fldChar w:fldCharType="end"/>
      </w:r>
    </w:p>
    <w:p w14:paraId="1871A061"/>
    <w:sdt>
      <w:sdtPr>
        <w:id w:val="-573587230"/>
        <w:showingPlcHdr/>
      </w:sdtPr>
      <w:sdtEndPr>
        <w:rPr>
          <w:lang w:val="en-US"/>
        </w:rPr>
      </w:sdtEndPr>
      <w:sdtContent>
        <w:p w14:paraId="6A904EA5">
          <w:pPr>
            <w:pStyle w:val="43"/>
            <w:spacing w:line="360" w:lineRule="auto"/>
            <w:rPr>
              <w:lang w:val="en-US"/>
            </w:rPr>
          </w:pPr>
          <w:r>
            <w:t xml:space="preserve">     </w:t>
          </w:r>
        </w:p>
      </w:sdtContent>
    </w:sdt>
    <w:p w14:paraId="78856A44">
      <w:pPr>
        <w:spacing w:line="360" w:lineRule="auto"/>
        <w:jc w:val="both"/>
        <w:rPr>
          <w:lang w:val="en-US"/>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Arial Unicode MS"/>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65382020"/>
      <w:docPartObj>
        <w:docPartGallery w:val="AutoText"/>
      </w:docPartObj>
    </w:sdtPr>
    <w:sdtContent>
      <w:p w14:paraId="3B91CE53">
        <w:pPr>
          <w:pStyle w:val="16"/>
          <w:jc w:val="right"/>
        </w:pPr>
        <w:r>
          <w:fldChar w:fldCharType="begin"/>
        </w:r>
        <w:r>
          <w:instrText xml:space="preserve"> PAGE   \* MERGEFORMAT </w:instrText>
        </w:r>
        <w:r>
          <w:fldChar w:fldCharType="separate"/>
        </w:r>
        <w:r>
          <w:t>2</w:t>
        </w:r>
        <w:r>
          <w:fldChar w:fldCharType="end"/>
        </w:r>
      </w:p>
    </w:sdtContent>
  </w:sdt>
  <w:p w14:paraId="12ADF3B6">
    <w:pPr>
      <w:pStyle w:val="1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DC37077"/>
    <w:multiLevelType w:val="multilevel"/>
    <w:tmpl w:val="4DC3707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211"/>
    <w:rsid w:val="00002B45"/>
    <w:rsid w:val="00003BD9"/>
    <w:rsid w:val="000049ED"/>
    <w:rsid w:val="00005AEF"/>
    <w:rsid w:val="00005FAB"/>
    <w:rsid w:val="00006376"/>
    <w:rsid w:val="00006AA0"/>
    <w:rsid w:val="00010D60"/>
    <w:rsid w:val="000120B8"/>
    <w:rsid w:val="000135A0"/>
    <w:rsid w:val="000140D2"/>
    <w:rsid w:val="00022890"/>
    <w:rsid w:val="0003559F"/>
    <w:rsid w:val="00035834"/>
    <w:rsid w:val="00035F22"/>
    <w:rsid w:val="00037E24"/>
    <w:rsid w:val="00042273"/>
    <w:rsid w:val="00042995"/>
    <w:rsid w:val="00044430"/>
    <w:rsid w:val="00044A47"/>
    <w:rsid w:val="00045C70"/>
    <w:rsid w:val="0004656D"/>
    <w:rsid w:val="00050FC5"/>
    <w:rsid w:val="000513F0"/>
    <w:rsid w:val="000521C2"/>
    <w:rsid w:val="00054028"/>
    <w:rsid w:val="00055560"/>
    <w:rsid w:val="0007306A"/>
    <w:rsid w:val="00073D48"/>
    <w:rsid w:val="00080FFA"/>
    <w:rsid w:val="000822B8"/>
    <w:rsid w:val="00083057"/>
    <w:rsid w:val="00087252"/>
    <w:rsid w:val="00092EB8"/>
    <w:rsid w:val="00093470"/>
    <w:rsid w:val="00093CAD"/>
    <w:rsid w:val="000A077D"/>
    <w:rsid w:val="000A1847"/>
    <w:rsid w:val="000A6F1F"/>
    <w:rsid w:val="000B2353"/>
    <w:rsid w:val="000B73EB"/>
    <w:rsid w:val="000B7F77"/>
    <w:rsid w:val="000C0DB5"/>
    <w:rsid w:val="000C1351"/>
    <w:rsid w:val="000C3821"/>
    <w:rsid w:val="000C6D5B"/>
    <w:rsid w:val="000D5D0D"/>
    <w:rsid w:val="000D5EA9"/>
    <w:rsid w:val="000E0CAB"/>
    <w:rsid w:val="000E706D"/>
    <w:rsid w:val="000E7F34"/>
    <w:rsid w:val="000F7EC3"/>
    <w:rsid w:val="00101609"/>
    <w:rsid w:val="00111CBD"/>
    <w:rsid w:val="00120C85"/>
    <w:rsid w:val="001214EC"/>
    <w:rsid w:val="001218A3"/>
    <w:rsid w:val="001247A5"/>
    <w:rsid w:val="001323B6"/>
    <w:rsid w:val="00137395"/>
    <w:rsid w:val="0014348E"/>
    <w:rsid w:val="00144BE5"/>
    <w:rsid w:val="001452BB"/>
    <w:rsid w:val="001459F7"/>
    <w:rsid w:val="00152A9F"/>
    <w:rsid w:val="001538EF"/>
    <w:rsid w:val="0015504A"/>
    <w:rsid w:val="00155925"/>
    <w:rsid w:val="001631C7"/>
    <w:rsid w:val="0016571E"/>
    <w:rsid w:val="00171E9A"/>
    <w:rsid w:val="00172718"/>
    <w:rsid w:val="00173A0D"/>
    <w:rsid w:val="0017789D"/>
    <w:rsid w:val="0018611E"/>
    <w:rsid w:val="0018747B"/>
    <w:rsid w:val="00190505"/>
    <w:rsid w:val="00193DBD"/>
    <w:rsid w:val="001963B9"/>
    <w:rsid w:val="00196C8C"/>
    <w:rsid w:val="00197000"/>
    <w:rsid w:val="00197515"/>
    <w:rsid w:val="001A415F"/>
    <w:rsid w:val="001B38EE"/>
    <w:rsid w:val="001B550A"/>
    <w:rsid w:val="001B5E0B"/>
    <w:rsid w:val="001C1C50"/>
    <w:rsid w:val="001C351B"/>
    <w:rsid w:val="001D1DC2"/>
    <w:rsid w:val="001E0211"/>
    <w:rsid w:val="001E27F0"/>
    <w:rsid w:val="001E4C86"/>
    <w:rsid w:val="001E6562"/>
    <w:rsid w:val="001E73BF"/>
    <w:rsid w:val="001F116A"/>
    <w:rsid w:val="001F2EA7"/>
    <w:rsid w:val="001F5678"/>
    <w:rsid w:val="001F6C84"/>
    <w:rsid w:val="00205D13"/>
    <w:rsid w:val="00205E38"/>
    <w:rsid w:val="00206674"/>
    <w:rsid w:val="00210326"/>
    <w:rsid w:val="002165BC"/>
    <w:rsid w:val="00220FDD"/>
    <w:rsid w:val="0022498D"/>
    <w:rsid w:val="00231475"/>
    <w:rsid w:val="0023396B"/>
    <w:rsid w:val="002347D9"/>
    <w:rsid w:val="002374C0"/>
    <w:rsid w:val="002400F1"/>
    <w:rsid w:val="00243279"/>
    <w:rsid w:val="00243A59"/>
    <w:rsid w:val="00245A0A"/>
    <w:rsid w:val="00251C92"/>
    <w:rsid w:val="00261577"/>
    <w:rsid w:val="00263070"/>
    <w:rsid w:val="002658F0"/>
    <w:rsid w:val="002671A5"/>
    <w:rsid w:val="00273F7D"/>
    <w:rsid w:val="00283503"/>
    <w:rsid w:val="00283C76"/>
    <w:rsid w:val="002852EA"/>
    <w:rsid w:val="002872B1"/>
    <w:rsid w:val="00292919"/>
    <w:rsid w:val="00292E9F"/>
    <w:rsid w:val="00294FE5"/>
    <w:rsid w:val="0029701E"/>
    <w:rsid w:val="002A1F73"/>
    <w:rsid w:val="002A2627"/>
    <w:rsid w:val="002A61B6"/>
    <w:rsid w:val="002A636F"/>
    <w:rsid w:val="002B3DC6"/>
    <w:rsid w:val="002B4ED1"/>
    <w:rsid w:val="002B722E"/>
    <w:rsid w:val="002B736B"/>
    <w:rsid w:val="002C01FB"/>
    <w:rsid w:val="002C190C"/>
    <w:rsid w:val="002C2FDA"/>
    <w:rsid w:val="002C338B"/>
    <w:rsid w:val="002C4E64"/>
    <w:rsid w:val="002D23E7"/>
    <w:rsid w:val="002D2723"/>
    <w:rsid w:val="002D2A2B"/>
    <w:rsid w:val="002D4C7D"/>
    <w:rsid w:val="002E7E74"/>
    <w:rsid w:val="002F60EE"/>
    <w:rsid w:val="002F643E"/>
    <w:rsid w:val="003049A5"/>
    <w:rsid w:val="00307EB7"/>
    <w:rsid w:val="00313BAB"/>
    <w:rsid w:val="003247AA"/>
    <w:rsid w:val="003374E5"/>
    <w:rsid w:val="00340177"/>
    <w:rsid w:val="003426CB"/>
    <w:rsid w:val="00351E5D"/>
    <w:rsid w:val="0035287D"/>
    <w:rsid w:val="00356116"/>
    <w:rsid w:val="00356937"/>
    <w:rsid w:val="0036212B"/>
    <w:rsid w:val="00364EBC"/>
    <w:rsid w:val="00366CE1"/>
    <w:rsid w:val="00375A52"/>
    <w:rsid w:val="003945CB"/>
    <w:rsid w:val="003950CF"/>
    <w:rsid w:val="003A1B8D"/>
    <w:rsid w:val="003A2ABC"/>
    <w:rsid w:val="003C0D4C"/>
    <w:rsid w:val="003D03D0"/>
    <w:rsid w:val="003D04F1"/>
    <w:rsid w:val="003D2B1E"/>
    <w:rsid w:val="003D3A19"/>
    <w:rsid w:val="003E3580"/>
    <w:rsid w:val="003E41BD"/>
    <w:rsid w:val="003E697D"/>
    <w:rsid w:val="003E7010"/>
    <w:rsid w:val="003F187C"/>
    <w:rsid w:val="003F6FE1"/>
    <w:rsid w:val="003F7143"/>
    <w:rsid w:val="00410D13"/>
    <w:rsid w:val="004171F7"/>
    <w:rsid w:val="00417FAC"/>
    <w:rsid w:val="0042102C"/>
    <w:rsid w:val="00422501"/>
    <w:rsid w:val="00423A74"/>
    <w:rsid w:val="004247A6"/>
    <w:rsid w:val="00432CA4"/>
    <w:rsid w:val="00432E04"/>
    <w:rsid w:val="00436DAD"/>
    <w:rsid w:val="00437BA5"/>
    <w:rsid w:val="00446AAC"/>
    <w:rsid w:val="00447C41"/>
    <w:rsid w:val="00454270"/>
    <w:rsid w:val="00454D7B"/>
    <w:rsid w:val="00457233"/>
    <w:rsid w:val="00461732"/>
    <w:rsid w:val="004644D8"/>
    <w:rsid w:val="00464692"/>
    <w:rsid w:val="004730C4"/>
    <w:rsid w:val="00474AEA"/>
    <w:rsid w:val="00476C2C"/>
    <w:rsid w:val="0047733B"/>
    <w:rsid w:val="004859E8"/>
    <w:rsid w:val="00486F79"/>
    <w:rsid w:val="00487025"/>
    <w:rsid w:val="004913FF"/>
    <w:rsid w:val="004A086F"/>
    <w:rsid w:val="004A1BD0"/>
    <w:rsid w:val="004A2B64"/>
    <w:rsid w:val="004A304C"/>
    <w:rsid w:val="004A3968"/>
    <w:rsid w:val="004A3A4F"/>
    <w:rsid w:val="004A72A5"/>
    <w:rsid w:val="004A77AA"/>
    <w:rsid w:val="004B169D"/>
    <w:rsid w:val="004B4842"/>
    <w:rsid w:val="004B501A"/>
    <w:rsid w:val="004B655B"/>
    <w:rsid w:val="004D14BE"/>
    <w:rsid w:val="004D2AD8"/>
    <w:rsid w:val="004D344C"/>
    <w:rsid w:val="004D3CE7"/>
    <w:rsid w:val="004D5DBE"/>
    <w:rsid w:val="004E162A"/>
    <w:rsid w:val="004E19BE"/>
    <w:rsid w:val="004E29CB"/>
    <w:rsid w:val="004F16BB"/>
    <w:rsid w:val="004F4F77"/>
    <w:rsid w:val="004F548B"/>
    <w:rsid w:val="004F60FD"/>
    <w:rsid w:val="004F7C62"/>
    <w:rsid w:val="00512F7F"/>
    <w:rsid w:val="00517AF6"/>
    <w:rsid w:val="00521B88"/>
    <w:rsid w:val="00524FE2"/>
    <w:rsid w:val="005260F3"/>
    <w:rsid w:val="00526791"/>
    <w:rsid w:val="0053417E"/>
    <w:rsid w:val="00542F9D"/>
    <w:rsid w:val="00562602"/>
    <w:rsid w:val="00565015"/>
    <w:rsid w:val="0056749D"/>
    <w:rsid w:val="00567F6C"/>
    <w:rsid w:val="00570955"/>
    <w:rsid w:val="00570B7C"/>
    <w:rsid w:val="00572DAB"/>
    <w:rsid w:val="00582AF7"/>
    <w:rsid w:val="00586666"/>
    <w:rsid w:val="00592EC9"/>
    <w:rsid w:val="00594AA2"/>
    <w:rsid w:val="00595D1F"/>
    <w:rsid w:val="00595E91"/>
    <w:rsid w:val="005A2A08"/>
    <w:rsid w:val="005A628E"/>
    <w:rsid w:val="005B052C"/>
    <w:rsid w:val="005B3C35"/>
    <w:rsid w:val="005B4AB3"/>
    <w:rsid w:val="005C72F1"/>
    <w:rsid w:val="005D5D31"/>
    <w:rsid w:val="005E0AEB"/>
    <w:rsid w:val="005E60BF"/>
    <w:rsid w:val="005F098F"/>
    <w:rsid w:val="005F10B5"/>
    <w:rsid w:val="005F4C8A"/>
    <w:rsid w:val="006076B4"/>
    <w:rsid w:val="0061035C"/>
    <w:rsid w:val="00611186"/>
    <w:rsid w:val="006113A1"/>
    <w:rsid w:val="00611C39"/>
    <w:rsid w:val="00617D81"/>
    <w:rsid w:val="00620155"/>
    <w:rsid w:val="006221FB"/>
    <w:rsid w:val="00623DD1"/>
    <w:rsid w:val="00624255"/>
    <w:rsid w:val="00624268"/>
    <w:rsid w:val="00626BC0"/>
    <w:rsid w:val="00627DDC"/>
    <w:rsid w:val="00631695"/>
    <w:rsid w:val="00645417"/>
    <w:rsid w:val="00646098"/>
    <w:rsid w:val="00647B28"/>
    <w:rsid w:val="0067588D"/>
    <w:rsid w:val="00680795"/>
    <w:rsid w:val="00681915"/>
    <w:rsid w:val="00684723"/>
    <w:rsid w:val="00692589"/>
    <w:rsid w:val="006937B4"/>
    <w:rsid w:val="0069507B"/>
    <w:rsid w:val="00695AF5"/>
    <w:rsid w:val="0069664A"/>
    <w:rsid w:val="006A1525"/>
    <w:rsid w:val="006A1C1D"/>
    <w:rsid w:val="006A4D7E"/>
    <w:rsid w:val="006A6AA9"/>
    <w:rsid w:val="006B1834"/>
    <w:rsid w:val="006B27A5"/>
    <w:rsid w:val="006B2F1A"/>
    <w:rsid w:val="006B35F6"/>
    <w:rsid w:val="006B4618"/>
    <w:rsid w:val="006B49EF"/>
    <w:rsid w:val="006D6352"/>
    <w:rsid w:val="006E3096"/>
    <w:rsid w:val="006E32F9"/>
    <w:rsid w:val="006E6B34"/>
    <w:rsid w:val="006E7573"/>
    <w:rsid w:val="006F23A4"/>
    <w:rsid w:val="0070169A"/>
    <w:rsid w:val="0070639A"/>
    <w:rsid w:val="007065BB"/>
    <w:rsid w:val="00707F97"/>
    <w:rsid w:val="00711A9E"/>
    <w:rsid w:val="00711FC8"/>
    <w:rsid w:val="00714942"/>
    <w:rsid w:val="00715D37"/>
    <w:rsid w:val="00716954"/>
    <w:rsid w:val="007172FE"/>
    <w:rsid w:val="00720702"/>
    <w:rsid w:val="0072414F"/>
    <w:rsid w:val="0072667F"/>
    <w:rsid w:val="00726DC9"/>
    <w:rsid w:val="0073032C"/>
    <w:rsid w:val="00733441"/>
    <w:rsid w:val="007354FC"/>
    <w:rsid w:val="007367F2"/>
    <w:rsid w:val="007377AD"/>
    <w:rsid w:val="00737D00"/>
    <w:rsid w:val="00737E3A"/>
    <w:rsid w:val="0074080C"/>
    <w:rsid w:val="00744452"/>
    <w:rsid w:val="00746093"/>
    <w:rsid w:val="00746CB7"/>
    <w:rsid w:val="00755941"/>
    <w:rsid w:val="00755AFF"/>
    <w:rsid w:val="00756128"/>
    <w:rsid w:val="00760F30"/>
    <w:rsid w:val="00764432"/>
    <w:rsid w:val="0076518F"/>
    <w:rsid w:val="007744EC"/>
    <w:rsid w:val="0077584D"/>
    <w:rsid w:val="00782654"/>
    <w:rsid w:val="00784728"/>
    <w:rsid w:val="007946E9"/>
    <w:rsid w:val="00794B7F"/>
    <w:rsid w:val="007959DD"/>
    <w:rsid w:val="0079621D"/>
    <w:rsid w:val="007A2CE8"/>
    <w:rsid w:val="007A3045"/>
    <w:rsid w:val="007B0972"/>
    <w:rsid w:val="007B1682"/>
    <w:rsid w:val="007B170E"/>
    <w:rsid w:val="007B33A5"/>
    <w:rsid w:val="007B4544"/>
    <w:rsid w:val="007D03BE"/>
    <w:rsid w:val="007D361A"/>
    <w:rsid w:val="007D48B7"/>
    <w:rsid w:val="007E14FE"/>
    <w:rsid w:val="007E2E39"/>
    <w:rsid w:val="007E32C1"/>
    <w:rsid w:val="007E3300"/>
    <w:rsid w:val="007E72DB"/>
    <w:rsid w:val="007F43D5"/>
    <w:rsid w:val="007F4ADC"/>
    <w:rsid w:val="008048A5"/>
    <w:rsid w:val="00804ADC"/>
    <w:rsid w:val="00805A5D"/>
    <w:rsid w:val="00806A0F"/>
    <w:rsid w:val="00810B86"/>
    <w:rsid w:val="0081325E"/>
    <w:rsid w:val="00815D28"/>
    <w:rsid w:val="00817382"/>
    <w:rsid w:val="00820BD0"/>
    <w:rsid w:val="0082135D"/>
    <w:rsid w:val="008275B3"/>
    <w:rsid w:val="00831908"/>
    <w:rsid w:val="00832CFB"/>
    <w:rsid w:val="008336ED"/>
    <w:rsid w:val="00834EC9"/>
    <w:rsid w:val="00837FFA"/>
    <w:rsid w:val="00845008"/>
    <w:rsid w:val="00852FD0"/>
    <w:rsid w:val="00853666"/>
    <w:rsid w:val="00856265"/>
    <w:rsid w:val="00856B0E"/>
    <w:rsid w:val="00857151"/>
    <w:rsid w:val="008571A8"/>
    <w:rsid w:val="008642B4"/>
    <w:rsid w:val="008653C4"/>
    <w:rsid w:val="00870349"/>
    <w:rsid w:val="00891030"/>
    <w:rsid w:val="00891171"/>
    <w:rsid w:val="008927A7"/>
    <w:rsid w:val="008976CD"/>
    <w:rsid w:val="008A0367"/>
    <w:rsid w:val="008A2C71"/>
    <w:rsid w:val="008B06AF"/>
    <w:rsid w:val="008B5A9D"/>
    <w:rsid w:val="008C081F"/>
    <w:rsid w:val="008C6624"/>
    <w:rsid w:val="008D31DE"/>
    <w:rsid w:val="008D3ED2"/>
    <w:rsid w:val="008E204A"/>
    <w:rsid w:val="00900DE6"/>
    <w:rsid w:val="00901D64"/>
    <w:rsid w:val="00907928"/>
    <w:rsid w:val="00911EA7"/>
    <w:rsid w:val="00915AF2"/>
    <w:rsid w:val="00920608"/>
    <w:rsid w:val="0092081D"/>
    <w:rsid w:val="00926235"/>
    <w:rsid w:val="00927635"/>
    <w:rsid w:val="0093356B"/>
    <w:rsid w:val="009351A1"/>
    <w:rsid w:val="00936755"/>
    <w:rsid w:val="009378AA"/>
    <w:rsid w:val="0094369C"/>
    <w:rsid w:val="00945623"/>
    <w:rsid w:val="00945809"/>
    <w:rsid w:val="009458E1"/>
    <w:rsid w:val="00954FC2"/>
    <w:rsid w:val="00964215"/>
    <w:rsid w:val="00966038"/>
    <w:rsid w:val="009832E1"/>
    <w:rsid w:val="00983C53"/>
    <w:rsid w:val="00997EBD"/>
    <w:rsid w:val="009A3E7D"/>
    <w:rsid w:val="009A543B"/>
    <w:rsid w:val="009B082E"/>
    <w:rsid w:val="009B7052"/>
    <w:rsid w:val="009C063C"/>
    <w:rsid w:val="009D2C29"/>
    <w:rsid w:val="009D43B0"/>
    <w:rsid w:val="009E1685"/>
    <w:rsid w:val="009E278A"/>
    <w:rsid w:val="009E6AE0"/>
    <w:rsid w:val="009F2FC3"/>
    <w:rsid w:val="00A03598"/>
    <w:rsid w:val="00A03D2E"/>
    <w:rsid w:val="00A14C22"/>
    <w:rsid w:val="00A156A4"/>
    <w:rsid w:val="00A27332"/>
    <w:rsid w:val="00A3092E"/>
    <w:rsid w:val="00A314D3"/>
    <w:rsid w:val="00A36243"/>
    <w:rsid w:val="00A3650F"/>
    <w:rsid w:val="00A41732"/>
    <w:rsid w:val="00A4518D"/>
    <w:rsid w:val="00A52B7C"/>
    <w:rsid w:val="00A54CB7"/>
    <w:rsid w:val="00A6286C"/>
    <w:rsid w:val="00A67084"/>
    <w:rsid w:val="00A70812"/>
    <w:rsid w:val="00A72682"/>
    <w:rsid w:val="00A82E8B"/>
    <w:rsid w:val="00A903B2"/>
    <w:rsid w:val="00A91F43"/>
    <w:rsid w:val="00A92C11"/>
    <w:rsid w:val="00AA4E2A"/>
    <w:rsid w:val="00AA73D8"/>
    <w:rsid w:val="00AA7DB9"/>
    <w:rsid w:val="00AB60BC"/>
    <w:rsid w:val="00AC0766"/>
    <w:rsid w:val="00AC1200"/>
    <w:rsid w:val="00AC7E7E"/>
    <w:rsid w:val="00AD2FE6"/>
    <w:rsid w:val="00AD72E4"/>
    <w:rsid w:val="00AE767F"/>
    <w:rsid w:val="00AF736C"/>
    <w:rsid w:val="00AF7732"/>
    <w:rsid w:val="00B03AC4"/>
    <w:rsid w:val="00B04C75"/>
    <w:rsid w:val="00B10E09"/>
    <w:rsid w:val="00B11CB6"/>
    <w:rsid w:val="00B13574"/>
    <w:rsid w:val="00B164C5"/>
    <w:rsid w:val="00B16D6E"/>
    <w:rsid w:val="00B2168F"/>
    <w:rsid w:val="00B34BCC"/>
    <w:rsid w:val="00B34E1E"/>
    <w:rsid w:val="00B36C95"/>
    <w:rsid w:val="00B41E1F"/>
    <w:rsid w:val="00B53347"/>
    <w:rsid w:val="00B53C7E"/>
    <w:rsid w:val="00B5468E"/>
    <w:rsid w:val="00B5527C"/>
    <w:rsid w:val="00B65CD1"/>
    <w:rsid w:val="00B73EB5"/>
    <w:rsid w:val="00B83916"/>
    <w:rsid w:val="00B86B8F"/>
    <w:rsid w:val="00B922B7"/>
    <w:rsid w:val="00B943CC"/>
    <w:rsid w:val="00BA2202"/>
    <w:rsid w:val="00BA368E"/>
    <w:rsid w:val="00BA3787"/>
    <w:rsid w:val="00BA38D8"/>
    <w:rsid w:val="00BB216C"/>
    <w:rsid w:val="00BC1162"/>
    <w:rsid w:val="00BC71CC"/>
    <w:rsid w:val="00BD2A77"/>
    <w:rsid w:val="00BD5C5F"/>
    <w:rsid w:val="00BE1010"/>
    <w:rsid w:val="00BE36E5"/>
    <w:rsid w:val="00BE6768"/>
    <w:rsid w:val="00BF5386"/>
    <w:rsid w:val="00BF543F"/>
    <w:rsid w:val="00BF7580"/>
    <w:rsid w:val="00BF7EAD"/>
    <w:rsid w:val="00C0265B"/>
    <w:rsid w:val="00C02931"/>
    <w:rsid w:val="00C0497C"/>
    <w:rsid w:val="00C05371"/>
    <w:rsid w:val="00C05578"/>
    <w:rsid w:val="00C10217"/>
    <w:rsid w:val="00C10D88"/>
    <w:rsid w:val="00C1414B"/>
    <w:rsid w:val="00C15BED"/>
    <w:rsid w:val="00C16616"/>
    <w:rsid w:val="00C2027B"/>
    <w:rsid w:val="00C209D1"/>
    <w:rsid w:val="00C22219"/>
    <w:rsid w:val="00C22B97"/>
    <w:rsid w:val="00C23B70"/>
    <w:rsid w:val="00C257A9"/>
    <w:rsid w:val="00C33F57"/>
    <w:rsid w:val="00C41A99"/>
    <w:rsid w:val="00C43D14"/>
    <w:rsid w:val="00C50B7D"/>
    <w:rsid w:val="00C545ED"/>
    <w:rsid w:val="00C54BA3"/>
    <w:rsid w:val="00C61D2C"/>
    <w:rsid w:val="00C62C7A"/>
    <w:rsid w:val="00C62D69"/>
    <w:rsid w:val="00C62D9F"/>
    <w:rsid w:val="00C64898"/>
    <w:rsid w:val="00C70BF5"/>
    <w:rsid w:val="00C8072B"/>
    <w:rsid w:val="00C8075F"/>
    <w:rsid w:val="00C85E91"/>
    <w:rsid w:val="00C93F96"/>
    <w:rsid w:val="00CA02F7"/>
    <w:rsid w:val="00CA2112"/>
    <w:rsid w:val="00CA40B8"/>
    <w:rsid w:val="00CA4B45"/>
    <w:rsid w:val="00CA547B"/>
    <w:rsid w:val="00CA7B92"/>
    <w:rsid w:val="00CC1EEA"/>
    <w:rsid w:val="00CD4B98"/>
    <w:rsid w:val="00CD50EE"/>
    <w:rsid w:val="00CE633D"/>
    <w:rsid w:val="00CF0209"/>
    <w:rsid w:val="00CF51C8"/>
    <w:rsid w:val="00D01906"/>
    <w:rsid w:val="00D0202B"/>
    <w:rsid w:val="00D0212D"/>
    <w:rsid w:val="00D02733"/>
    <w:rsid w:val="00D02C50"/>
    <w:rsid w:val="00D041CA"/>
    <w:rsid w:val="00D07364"/>
    <w:rsid w:val="00D10B07"/>
    <w:rsid w:val="00D16C8A"/>
    <w:rsid w:val="00D20068"/>
    <w:rsid w:val="00D23342"/>
    <w:rsid w:val="00D2627B"/>
    <w:rsid w:val="00D331C0"/>
    <w:rsid w:val="00D33282"/>
    <w:rsid w:val="00D36764"/>
    <w:rsid w:val="00D367A8"/>
    <w:rsid w:val="00D40282"/>
    <w:rsid w:val="00D43153"/>
    <w:rsid w:val="00D44B41"/>
    <w:rsid w:val="00D46A22"/>
    <w:rsid w:val="00D50947"/>
    <w:rsid w:val="00D51701"/>
    <w:rsid w:val="00D53019"/>
    <w:rsid w:val="00D6040E"/>
    <w:rsid w:val="00D626A8"/>
    <w:rsid w:val="00D64510"/>
    <w:rsid w:val="00D6598A"/>
    <w:rsid w:val="00D70E1A"/>
    <w:rsid w:val="00D714CE"/>
    <w:rsid w:val="00D74041"/>
    <w:rsid w:val="00D741F5"/>
    <w:rsid w:val="00D82E7B"/>
    <w:rsid w:val="00D83C98"/>
    <w:rsid w:val="00D848A2"/>
    <w:rsid w:val="00D86936"/>
    <w:rsid w:val="00D90649"/>
    <w:rsid w:val="00D96F54"/>
    <w:rsid w:val="00DA1C82"/>
    <w:rsid w:val="00DA713B"/>
    <w:rsid w:val="00DA7E25"/>
    <w:rsid w:val="00DB0918"/>
    <w:rsid w:val="00DB678E"/>
    <w:rsid w:val="00DB6D35"/>
    <w:rsid w:val="00DB752E"/>
    <w:rsid w:val="00DC06B4"/>
    <w:rsid w:val="00DC06DE"/>
    <w:rsid w:val="00DC1140"/>
    <w:rsid w:val="00DD0B40"/>
    <w:rsid w:val="00DD0C62"/>
    <w:rsid w:val="00DD6430"/>
    <w:rsid w:val="00DE1A8A"/>
    <w:rsid w:val="00DF5E1B"/>
    <w:rsid w:val="00DF5E4A"/>
    <w:rsid w:val="00DF62CF"/>
    <w:rsid w:val="00E0326F"/>
    <w:rsid w:val="00E043EA"/>
    <w:rsid w:val="00E16181"/>
    <w:rsid w:val="00E32F51"/>
    <w:rsid w:val="00E336B0"/>
    <w:rsid w:val="00E33DA4"/>
    <w:rsid w:val="00E34C22"/>
    <w:rsid w:val="00E370D7"/>
    <w:rsid w:val="00E40B60"/>
    <w:rsid w:val="00E40EA1"/>
    <w:rsid w:val="00E4111C"/>
    <w:rsid w:val="00E4430E"/>
    <w:rsid w:val="00E44C57"/>
    <w:rsid w:val="00E5275F"/>
    <w:rsid w:val="00E52A42"/>
    <w:rsid w:val="00E548C5"/>
    <w:rsid w:val="00E57539"/>
    <w:rsid w:val="00E660AE"/>
    <w:rsid w:val="00E72583"/>
    <w:rsid w:val="00E76A9F"/>
    <w:rsid w:val="00E7777D"/>
    <w:rsid w:val="00E80F9F"/>
    <w:rsid w:val="00E826E1"/>
    <w:rsid w:val="00E83FF7"/>
    <w:rsid w:val="00E8431A"/>
    <w:rsid w:val="00E86284"/>
    <w:rsid w:val="00E91A62"/>
    <w:rsid w:val="00E91DAF"/>
    <w:rsid w:val="00E92372"/>
    <w:rsid w:val="00E92589"/>
    <w:rsid w:val="00E9304E"/>
    <w:rsid w:val="00E9538E"/>
    <w:rsid w:val="00E95E8B"/>
    <w:rsid w:val="00EA275D"/>
    <w:rsid w:val="00EA349F"/>
    <w:rsid w:val="00EA3ED4"/>
    <w:rsid w:val="00EA5929"/>
    <w:rsid w:val="00EC20EF"/>
    <w:rsid w:val="00ED513E"/>
    <w:rsid w:val="00ED5948"/>
    <w:rsid w:val="00EE6B65"/>
    <w:rsid w:val="00EE7129"/>
    <w:rsid w:val="00EF0271"/>
    <w:rsid w:val="00EF1806"/>
    <w:rsid w:val="00F02DE6"/>
    <w:rsid w:val="00F03AC3"/>
    <w:rsid w:val="00F046EE"/>
    <w:rsid w:val="00F05455"/>
    <w:rsid w:val="00F06D5E"/>
    <w:rsid w:val="00F13E1B"/>
    <w:rsid w:val="00F1406E"/>
    <w:rsid w:val="00F14DCA"/>
    <w:rsid w:val="00F20D6B"/>
    <w:rsid w:val="00F20DEE"/>
    <w:rsid w:val="00F27622"/>
    <w:rsid w:val="00F30180"/>
    <w:rsid w:val="00F3317F"/>
    <w:rsid w:val="00F343C5"/>
    <w:rsid w:val="00F34FEC"/>
    <w:rsid w:val="00F36C18"/>
    <w:rsid w:val="00F3777B"/>
    <w:rsid w:val="00F40436"/>
    <w:rsid w:val="00F45EC1"/>
    <w:rsid w:val="00F47BFE"/>
    <w:rsid w:val="00F50E6F"/>
    <w:rsid w:val="00F516ED"/>
    <w:rsid w:val="00F61E6D"/>
    <w:rsid w:val="00F64462"/>
    <w:rsid w:val="00F761AF"/>
    <w:rsid w:val="00F8247F"/>
    <w:rsid w:val="00F9415C"/>
    <w:rsid w:val="00FA192A"/>
    <w:rsid w:val="00FA722C"/>
    <w:rsid w:val="00FA7F4C"/>
    <w:rsid w:val="00FB3349"/>
    <w:rsid w:val="00FB4DC3"/>
    <w:rsid w:val="00FB734C"/>
    <w:rsid w:val="00FC00B0"/>
    <w:rsid w:val="00FD2221"/>
    <w:rsid w:val="00FD4F1C"/>
    <w:rsid w:val="00FD6463"/>
    <w:rsid w:val="00FD778A"/>
    <w:rsid w:val="00FE0CB1"/>
    <w:rsid w:val="00FE1A7D"/>
    <w:rsid w:val="00FF36D3"/>
    <w:rsid w:val="00FF5E6F"/>
    <w:rsid w:val="78274BC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paragraph" w:styleId="2">
    <w:name w:val="heading 1"/>
    <w:basedOn w:val="1"/>
    <w:next w:val="1"/>
    <w:link w:val="24"/>
    <w:qFormat/>
    <w:uiPriority w:val="9"/>
    <w:pPr>
      <w:keepNext/>
      <w:keepLines/>
      <w:spacing w:before="360" w:after="80"/>
      <w:outlineLvl w:val="0"/>
    </w:pPr>
    <w:rPr>
      <w:rFonts w:ascii="Times New Roman" w:hAnsi="Times New Roman" w:eastAsiaTheme="majorEastAsia" w:cstheme="majorBidi"/>
      <w:b/>
      <w:sz w:val="28"/>
      <w:szCs w:val="40"/>
    </w:rPr>
  </w:style>
  <w:style w:type="paragraph" w:styleId="3">
    <w:name w:val="heading 2"/>
    <w:basedOn w:val="1"/>
    <w:next w:val="1"/>
    <w:link w:val="25"/>
    <w:unhideWhenUsed/>
    <w:qFormat/>
    <w:uiPriority w:val="9"/>
    <w:pPr>
      <w:keepNext/>
      <w:keepLines/>
      <w:spacing w:before="160" w:after="80"/>
      <w:outlineLvl w:val="1"/>
    </w:pPr>
    <w:rPr>
      <w:rFonts w:ascii="Times New Roman" w:hAnsi="Times New Roman" w:eastAsiaTheme="majorEastAsia" w:cstheme="majorBidi"/>
      <w:b/>
      <w:sz w:val="24"/>
      <w:szCs w:val="32"/>
    </w:rPr>
  </w:style>
  <w:style w:type="paragraph" w:styleId="4">
    <w:name w:val="heading 3"/>
    <w:basedOn w:val="1"/>
    <w:next w:val="1"/>
    <w:link w:val="26"/>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7"/>
    <w:unhideWhenUsed/>
    <w:qFormat/>
    <w:uiPriority w:val="99"/>
    <w:pPr>
      <w:spacing w:line="240" w:lineRule="auto"/>
    </w:pPr>
    <w:rPr>
      <w:sz w:val="20"/>
      <w:szCs w:val="20"/>
    </w:rPr>
  </w:style>
  <w:style w:type="paragraph" w:styleId="15">
    <w:name w:val="annotation subject"/>
    <w:basedOn w:val="14"/>
    <w:next w:val="14"/>
    <w:link w:val="48"/>
    <w:semiHidden/>
    <w:unhideWhenUsed/>
    <w:qFormat/>
    <w:uiPriority w:val="99"/>
    <w:rPr>
      <w:b/>
      <w:bCs/>
    </w:rPr>
  </w:style>
  <w:style w:type="paragraph" w:styleId="16">
    <w:name w:val="footer"/>
    <w:basedOn w:val="1"/>
    <w:link w:val="45"/>
    <w:unhideWhenUsed/>
    <w:qFormat/>
    <w:uiPriority w:val="99"/>
    <w:pPr>
      <w:tabs>
        <w:tab w:val="center" w:pos="4513"/>
        <w:tab w:val="right" w:pos="9026"/>
      </w:tabs>
      <w:spacing w:after="0" w:line="240" w:lineRule="auto"/>
    </w:pPr>
  </w:style>
  <w:style w:type="paragraph" w:styleId="17">
    <w:name w:val="header"/>
    <w:basedOn w:val="1"/>
    <w:link w:val="44"/>
    <w:unhideWhenUsed/>
    <w:qFormat/>
    <w:uiPriority w:val="99"/>
    <w:pPr>
      <w:tabs>
        <w:tab w:val="center" w:pos="4513"/>
        <w:tab w:val="right" w:pos="9026"/>
      </w:tabs>
      <w:spacing w:after="0" w:line="240" w:lineRule="auto"/>
    </w:pPr>
  </w:style>
  <w:style w:type="character" w:styleId="18">
    <w:name w:val="Hyperlink"/>
    <w:basedOn w:val="11"/>
    <w:unhideWhenUsed/>
    <w:qFormat/>
    <w:uiPriority w:val="99"/>
    <w:rPr>
      <w:color w:val="0563C1" w:themeColor="hyperlink"/>
      <w:u w:val="single"/>
      <w14:textFill>
        <w14:solidFill>
          <w14:schemeClr w14:val="hlink"/>
        </w14:solidFill>
      </w14:textFill>
    </w:rPr>
  </w:style>
  <w:style w:type="paragraph" w:styleId="19">
    <w:name w:val="Subtitle"/>
    <w:basedOn w:val="1"/>
    <w:next w:val="1"/>
    <w:link w:val="3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0">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toc 1"/>
    <w:basedOn w:val="1"/>
    <w:next w:val="1"/>
    <w:autoRedefine/>
    <w:unhideWhenUsed/>
    <w:qFormat/>
    <w:uiPriority w:val="39"/>
    <w:pPr>
      <w:spacing w:after="100"/>
    </w:pPr>
  </w:style>
  <w:style w:type="paragraph" w:styleId="23">
    <w:name w:val="toc 2"/>
    <w:basedOn w:val="1"/>
    <w:next w:val="1"/>
    <w:autoRedefine/>
    <w:unhideWhenUsed/>
    <w:qFormat/>
    <w:uiPriority w:val="39"/>
    <w:pPr>
      <w:spacing w:after="100"/>
      <w:ind w:left="220"/>
    </w:pPr>
  </w:style>
  <w:style w:type="character" w:customStyle="1" w:styleId="24">
    <w:name w:val="Heading 1 Char"/>
    <w:basedOn w:val="11"/>
    <w:link w:val="2"/>
    <w:qFormat/>
    <w:uiPriority w:val="9"/>
    <w:rPr>
      <w:rFonts w:ascii="Times New Roman" w:hAnsi="Times New Roman" w:eastAsiaTheme="majorEastAsia" w:cstheme="majorBidi"/>
      <w:b/>
      <w:sz w:val="28"/>
      <w:szCs w:val="40"/>
    </w:rPr>
  </w:style>
  <w:style w:type="character" w:customStyle="1" w:styleId="25">
    <w:name w:val="Heading 2 Char"/>
    <w:basedOn w:val="11"/>
    <w:link w:val="3"/>
    <w:qFormat/>
    <w:uiPriority w:val="9"/>
    <w:rPr>
      <w:rFonts w:ascii="Times New Roman" w:hAnsi="Times New Roman" w:eastAsiaTheme="majorEastAsia" w:cstheme="majorBidi"/>
      <w:b/>
      <w:sz w:val="24"/>
      <w:szCs w:val="32"/>
    </w:rPr>
  </w:style>
  <w:style w:type="character" w:customStyle="1" w:styleId="26">
    <w:name w:val="Heading 3 Char"/>
    <w:basedOn w:val="11"/>
    <w:link w:val="4"/>
    <w:semiHidden/>
    <w:qFormat/>
    <w:uiPriority w:val="9"/>
    <w:rPr>
      <w:rFonts w:eastAsiaTheme="majorEastAsia" w:cstheme="majorBidi"/>
      <w:color w:val="2F5597"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2F5597" w:themeColor="accent1" w:themeShade="BF"/>
    </w:rPr>
  </w:style>
  <w:style w:type="character" w:customStyle="1" w:styleId="28">
    <w:name w:val="Heading 5 Char"/>
    <w:basedOn w:val="11"/>
    <w:link w:val="6"/>
    <w:semiHidden/>
    <w:qFormat/>
    <w:uiPriority w:val="9"/>
    <w:rPr>
      <w:rFonts w:eastAsiaTheme="majorEastAsia" w:cstheme="majorBidi"/>
      <w:color w:val="2F5597" w:themeColor="accent1" w:themeShade="BF"/>
    </w:rPr>
  </w:style>
  <w:style w:type="character" w:customStyle="1" w:styleId="29">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1"/>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1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2F5597" w:themeColor="accent1" w:themeShade="BF"/>
    </w:rPr>
  </w:style>
  <w:style w:type="paragraph" w:styleId="39">
    <w:name w:val="Intense Quote"/>
    <w:basedOn w:val="1"/>
    <w:next w:val="1"/>
    <w:link w:val="40"/>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0">
    <w:name w:val="Intense Quote Char"/>
    <w:basedOn w:val="11"/>
    <w:link w:val="39"/>
    <w:qFormat/>
    <w:uiPriority w:val="30"/>
    <w:rPr>
      <w:i/>
      <w:iCs/>
      <w:color w:val="2F5597" w:themeColor="accent1" w:themeShade="BF"/>
    </w:rPr>
  </w:style>
  <w:style w:type="character" w:customStyle="1" w:styleId="41">
    <w:name w:val="Intense Reference"/>
    <w:basedOn w:val="11"/>
    <w:qFormat/>
    <w:uiPriority w:val="32"/>
    <w:rPr>
      <w:b/>
      <w:bCs/>
      <w:smallCaps/>
      <w:color w:val="2F5597" w:themeColor="accent1" w:themeShade="BF"/>
      <w:spacing w:val="5"/>
    </w:rPr>
  </w:style>
  <w:style w:type="character" w:customStyle="1" w:styleId="42">
    <w:name w:val="Unresolved Mention"/>
    <w:basedOn w:val="11"/>
    <w:semiHidden/>
    <w:unhideWhenUsed/>
    <w:qFormat/>
    <w:uiPriority w:val="99"/>
    <w:rPr>
      <w:color w:val="605E5C"/>
      <w:shd w:val="clear" w:color="auto" w:fill="E1DFDD"/>
    </w:rPr>
  </w:style>
  <w:style w:type="paragraph" w:customStyle="1" w:styleId="43">
    <w:name w:val="Bibliography"/>
    <w:basedOn w:val="1"/>
    <w:next w:val="1"/>
    <w:unhideWhenUsed/>
    <w:qFormat/>
    <w:uiPriority w:val="37"/>
  </w:style>
  <w:style w:type="character" w:customStyle="1" w:styleId="44">
    <w:name w:val="Header Char"/>
    <w:basedOn w:val="11"/>
    <w:link w:val="17"/>
    <w:qFormat/>
    <w:uiPriority w:val="99"/>
  </w:style>
  <w:style w:type="character" w:customStyle="1" w:styleId="45">
    <w:name w:val="Footer Char"/>
    <w:basedOn w:val="11"/>
    <w:link w:val="16"/>
    <w:qFormat/>
    <w:uiPriority w:val="99"/>
  </w:style>
  <w:style w:type="paragraph" w:customStyle="1" w:styleId="46">
    <w:name w:val="TOC Heading"/>
    <w:basedOn w:val="2"/>
    <w:next w:val="1"/>
    <w:unhideWhenUsed/>
    <w:qFormat/>
    <w:uiPriority w:val="39"/>
    <w:pPr>
      <w:spacing w:before="240" w:after="0"/>
      <w:outlineLvl w:val="9"/>
    </w:pPr>
    <w:rPr>
      <w:rFonts w:asciiTheme="majorHAnsi" w:hAnsiTheme="majorHAnsi"/>
      <w:b w:val="0"/>
      <w:color w:val="2F5597" w:themeColor="accent1" w:themeShade="BF"/>
      <w:kern w:val="0"/>
      <w:sz w:val="32"/>
      <w:szCs w:val="32"/>
      <w:lang w:val="en-US"/>
      <w14:ligatures w14:val="none"/>
    </w:rPr>
  </w:style>
  <w:style w:type="character" w:customStyle="1" w:styleId="47">
    <w:name w:val="Comment Text Char"/>
    <w:basedOn w:val="11"/>
    <w:link w:val="14"/>
    <w:qFormat/>
    <w:uiPriority w:val="99"/>
    <w:rPr>
      <w:sz w:val="20"/>
      <w:szCs w:val="20"/>
    </w:rPr>
  </w:style>
  <w:style w:type="character" w:customStyle="1" w:styleId="48">
    <w:name w:val="Comment Subject Char"/>
    <w:basedOn w:val="47"/>
    <w:link w:val="15"/>
    <w:semiHidden/>
    <w:qFormat/>
    <w:uiPriority w:val="99"/>
    <w:rPr>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chart" Target="charts/chart2.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1.xml"/><Relationship Id="rId3" Type="http://schemas.microsoft.com/office/2011/relationships/chartStyle" Target="style1.xml"/><Relationship Id="rId2" Type="http://schemas.openxmlformats.org/officeDocument/2006/relationships/chartUserShapes" Target="../drawings/drawing1.xml"/><Relationship Id="rId1" Type="http://schemas.openxmlformats.org/officeDocument/2006/relationships/oleObject" Target="file:///C:\Users\RUMELA\Desktop\Canny%20Brains\Perceotual%20Map.xlsx" TargetMode="External"/></Relationships>
</file>

<file path=word/charts/_rels/chart2.xml.rels><?xml version="1.0" encoding="UTF-8" standalone="yes"?>
<Relationships xmlns="http://schemas.openxmlformats.org/package/2006/relationships"><Relationship Id="rId4" Type="http://schemas.microsoft.com/office/2011/relationships/chartColorStyle" Target="colors2.xml"/><Relationship Id="rId3" Type="http://schemas.microsoft.com/office/2011/relationships/chartStyle" Target="style2.xml"/><Relationship Id="rId2" Type="http://schemas.openxmlformats.org/officeDocument/2006/relationships/chartUserShapes" Target="../drawings/drawing2.xml"/><Relationship Id="rId1" Type="http://schemas.openxmlformats.org/officeDocument/2006/relationships/oleObject" Target="file:///C:\Users\RUMELA\Desktop\Canny%20Brains\Perceotual%20Ma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602745560977984"/>
          <c:y val="0.0948033355334715"/>
          <c:w val="0.860641077129656"/>
          <c:h val="0.842145041787132"/>
        </c:manualLayout>
      </c:layout>
      <c:bubbleChart>
        <c:varyColors val="0"/>
        <c:ser>
          <c:idx val="0"/>
          <c:order val="0"/>
          <c:tx>
            <c:strRef>
              <c:f>Sheet1!$B$5</c:f>
              <c:strCache>
                <c:ptCount val="1"/>
                <c:pt idx="0">
                  <c:v>Toyota</c:v>
                </c:pt>
              </c:strCache>
            </c:strRef>
          </c:tx>
          <c:spPr>
            <a:solidFill>
              <a:schemeClr val="accent1"/>
            </a:solidFill>
            <a:ln w="19050" cap="flat" cmpd="sng" algn="ctr">
              <a:solidFill>
                <a:schemeClr val="lt1"/>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solidFill>
                          <a:schemeClr val="bg1"/>
                        </a:solidFill>
                      </a:rPr>
                      <a:t>Toyota</a:t>
                    </a:r>
                    <a:endParaRPr lang="en-US">
                      <a:solidFill>
                        <a:schemeClr val="bg1"/>
                      </a:solidFill>
                    </a:endParaRPr>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Sheet1!$C$5</c:f>
              <c:numCache>
                <c:formatCode>General</c:formatCode>
                <c:ptCount val="1"/>
                <c:pt idx="0">
                  <c:v>7</c:v>
                </c:pt>
              </c:numCache>
            </c:numRef>
          </c:xVal>
          <c:yVal>
            <c:numRef>
              <c:f>Sheet1!$D$5</c:f>
              <c:numCache>
                <c:formatCode>General</c:formatCode>
                <c:ptCount val="1"/>
                <c:pt idx="0">
                  <c:v>6</c:v>
                </c:pt>
              </c:numCache>
            </c:numRef>
          </c:yVal>
          <c:bubbleSize>
            <c:numRef>
              <c:f>Sheet1!$E$5</c:f>
              <c:numCache>
                <c:formatCode>General</c:formatCode>
                <c:ptCount val="1"/>
                <c:pt idx="0">
                  <c:v>8</c:v>
                </c:pt>
              </c:numCache>
            </c:numRef>
          </c:bubbleSize>
          <c:bubble3D val="0"/>
        </c:ser>
        <c:ser>
          <c:idx val="1"/>
          <c:order val="1"/>
          <c:tx>
            <c:strRef>
              <c:f>Sheet1!$B$6</c:f>
              <c:strCache>
                <c:ptCount val="1"/>
                <c:pt idx="0">
                  <c:v>Honda</c:v>
                </c:pt>
              </c:strCache>
            </c:strRef>
          </c:tx>
          <c:spPr>
            <a:solidFill>
              <a:schemeClr val="accent2"/>
            </a:solidFill>
            <a:ln w="19050" cap="flat" cmpd="sng" algn="ctr">
              <a:solidFill>
                <a:schemeClr val="lt1"/>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t>Honda</a:t>
                    </a:r>
                    <a:endParaRPr lang="en-US"/>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Sheet1!$C$6</c:f>
              <c:numCache>
                <c:formatCode>General</c:formatCode>
                <c:ptCount val="1"/>
                <c:pt idx="0">
                  <c:v>5</c:v>
                </c:pt>
              </c:numCache>
            </c:numRef>
          </c:xVal>
          <c:yVal>
            <c:numRef>
              <c:f>Sheet1!$D$6</c:f>
              <c:numCache>
                <c:formatCode>General</c:formatCode>
                <c:ptCount val="1"/>
                <c:pt idx="0">
                  <c:v>4</c:v>
                </c:pt>
              </c:numCache>
            </c:numRef>
          </c:yVal>
          <c:bubbleSize>
            <c:numRef>
              <c:f>Sheet1!$E$6</c:f>
              <c:numCache>
                <c:formatCode>General</c:formatCode>
                <c:ptCount val="1"/>
                <c:pt idx="0">
                  <c:v>7</c:v>
                </c:pt>
              </c:numCache>
            </c:numRef>
          </c:bubbleSize>
          <c:bubble3D val="0"/>
        </c:ser>
        <c:ser>
          <c:idx val="2"/>
          <c:order val="2"/>
          <c:tx>
            <c:strRef>
              <c:f>Sheet1!$B$7</c:f>
              <c:strCache>
                <c:ptCount val="1"/>
                <c:pt idx="0">
                  <c:v>Mercedes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t>Mercedes</a:t>
                    </a:r>
                    <a:endParaRPr lang="en-US"/>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Sheet1!$C$7</c:f>
              <c:numCache>
                <c:formatCode>General</c:formatCode>
                <c:ptCount val="1"/>
                <c:pt idx="0">
                  <c:v>5</c:v>
                </c:pt>
              </c:numCache>
            </c:numRef>
          </c:xVal>
          <c:yVal>
            <c:numRef>
              <c:f>Sheet1!$D$7</c:f>
              <c:numCache>
                <c:formatCode>General</c:formatCode>
                <c:ptCount val="1"/>
                <c:pt idx="0">
                  <c:v>7</c:v>
                </c:pt>
              </c:numCache>
            </c:numRef>
          </c:yVal>
          <c:bubbleSize>
            <c:numRef>
              <c:f>Sheet1!$E$7</c:f>
              <c:numCache>
                <c:formatCode>General</c:formatCode>
                <c:ptCount val="1"/>
                <c:pt idx="0">
                  <c:v>7</c:v>
                </c:pt>
              </c:numCache>
            </c:numRef>
          </c:bubbleSize>
          <c:bubble3D val="0"/>
        </c:ser>
        <c:ser>
          <c:idx val="3"/>
          <c:order val="3"/>
          <c:tx>
            <c:strRef>
              <c:f>Sheet1!$B$8</c:f>
              <c:strCache>
                <c:ptCount val="1"/>
                <c:pt idx="0">
                  <c:v>BMW</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6350" cap="flat" cmpd="sng" algn="ctr">
              <a:solidFill>
                <a:schemeClr val="accent4"/>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t>BMW</a:t>
                    </a:r>
                    <a:endParaRPr lang="en-US"/>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Sheet1!$C$8</c:f>
              <c:numCache>
                <c:formatCode>General</c:formatCode>
                <c:ptCount val="1"/>
                <c:pt idx="0">
                  <c:v>5</c:v>
                </c:pt>
              </c:numCache>
            </c:numRef>
          </c:xVal>
          <c:yVal>
            <c:numRef>
              <c:f>Sheet1!$D$8</c:f>
              <c:numCache>
                <c:formatCode>General</c:formatCode>
                <c:ptCount val="1"/>
                <c:pt idx="0">
                  <c:v>9</c:v>
                </c:pt>
              </c:numCache>
            </c:numRef>
          </c:yVal>
          <c:bubbleSize>
            <c:numRef>
              <c:f>Sheet1!$E$8</c:f>
              <c:numCache>
                <c:formatCode>General</c:formatCode>
                <c:ptCount val="1"/>
                <c:pt idx="0">
                  <c:v>8</c:v>
                </c:pt>
              </c:numCache>
            </c:numRef>
          </c:bubbleSize>
          <c:bubble3D val="0"/>
        </c:ser>
        <c:dLbls>
          <c:showLegendKey val="0"/>
          <c:showVal val="1"/>
          <c:showCatName val="0"/>
          <c:showSerName val="0"/>
          <c:showPercent val="0"/>
          <c:showBubbleSize val="0"/>
        </c:dLbls>
        <c:bubbleScale val="100"/>
        <c:showNegBubbles val="0"/>
        <c:sizeRepresents val="area"/>
        <c:axId val="1430874367"/>
        <c:axId val="1434660991"/>
      </c:bubbleChart>
      <c:valAx>
        <c:axId val="1430874367"/>
        <c:scaling>
          <c:orientation val="minMax"/>
          <c:max val="12"/>
        </c:scaling>
        <c:delete val="0"/>
        <c:axPos val="b"/>
        <c:numFmt formatCode="General" sourceLinked="1"/>
        <c:majorTickMark val="none"/>
        <c:minorTickMark val="none"/>
        <c:tickLblPos val="nextTo"/>
        <c:spPr>
          <a:noFill/>
          <a:ln w="25400" cap="flat" cmpd="sng" algn="ctr">
            <a:solidFill>
              <a:srgbClr val="0070C0"/>
            </a:solidFill>
            <a:round/>
            <a:headEnd type="triangle"/>
            <a:tailEnd type="triangle"/>
          </a:ln>
          <a:effectLst/>
        </c:spPr>
        <c:txPr>
          <a:bodyPr rot="-60000000" spcFirstLastPara="1" vertOverflow="ellipsis" vert="horz" wrap="square" anchor="ctr" anchorCtr="1"/>
          <a:lstStyle/>
          <a:p>
            <a:pPr>
              <a:defRPr lang="en-US" sz="900" b="0" i="0" u="none" strike="noStrike" kern="1200" baseline="0">
                <a:noFill/>
                <a:latin typeface="+mn-lt"/>
                <a:ea typeface="+mn-ea"/>
                <a:cs typeface="+mn-cs"/>
              </a:defRPr>
            </a:pPr>
          </a:p>
        </c:txPr>
        <c:crossAx val="1434660991"/>
        <c:crossesAt val="6"/>
        <c:crossBetween val="midCat"/>
      </c:valAx>
      <c:valAx>
        <c:axId val="1434660991"/>
        <c:scaling>
          <c:orientation val="minMax"/>
          <c:max val="12"/>
        </c:scaling>
        <c:delete val="0"/>
        <c:axPos val="l"/>
        <c:numFmt formatCode="General" sourceLinked="1"/>
        <c:majorTickMark val="none"/>
        <c:minorTickMark val="none"/>
        <c:tickLblPos val="nextTo"/>
        <c:spPr>
          <a:noFill/>
          <a:ln w="25400" cap="flat" cmpd="sng" algn="ctr">
            <a:solidFill>
              <a:srgbClr val="0070C0"/>
            </a:solidFill>
            <a:round/>
            <a:headEnd type="triangle"/>
            <a:tailEnd type="triangle"/>
          </a:ln>
          <a:effectLst/>
        </c:spPr>
        <c:txPr>
          <a:bodyPr rot="-60000000" spcFirstLastPara="1" vertOverflow="ellipsis" vert="horz" wrap="square" anchor="ctr" anchorCtr="1"/>
          <a:lstStyle/>
          <a:p>
            <a:pPr>
              <a:defRPr lang="en-US" sz="900" b="0" i="0" u="none" strike="noStrike" kern="1200" baseline="0">
                <a:noFill/>
                <a:latin typeface="+mn-lt"/>
                <a:ea typeface="+mn-ea"/>
                <a:cs typeface="+mn-cs"/>
              </a:defRPr>
            </a:pPr>
          </a:p>
        </c:txPr>
        <c:crossAx val="1430874367"/>
        <c:crossesAt val="6"/>
        <c:crossBetween val="midCat"/>
      </c:valAx>
      <c:spPr>
        <a:noFill/>
        <a:ln>
          <a:noFill/>
        </a:ln>
        <a:effectLst/>
      </c:spPr>
    </c:plotArea>
    <c:plotVisOnly val="1"/>
    <c:dispBlanksAs val="gap"/>
    <c:showDLblsOverMax val="0"/>
    <c:extLst>
      <c:ext uri="{0b15fc19-7d7d-44ad-8c2d-2c3a37ce22c3}">
        <chartProps xmlns="https://web.wps.cn/et/2018/main" chartId="{3559d481-7dcc-4c12-a955-a83458cdacb0}"/>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602745560977984"/>
          <c:y val="0.0948033355334715"/>
          <c:w val="0.860641077129656"/>
          <c:h val="0.842145041787132"/>
        </c:manualLayout>
      </c:layout>
      <c:bubbleChart>
        <c:varyColors val="0"/>
        <c:ser>
          <c:idx val="0"/>
          <c:order val="0"/>
          <c:tx>
            <c:strRef>
              <c:f>Sheet1!$B$5</c:f>
              <c:strCache>
                <c:ptCount val="1"/>
                <c:pt idx="0">
                  <c:v>Toyota</c:v>
                </c:pt>
              </c:strCache>
            </c:strRef>
          </c:tx>
          <c:spPr>
            <a:solidFill>
              <a:schemeClr val="accent1"/>
            </a:solidFill>
            <a:ln w="19050" cap="flat" cmpd="sng" algn="ctr">
              <a:solidFill>
                <a:schemeClr val="lt1"/>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solidFill>
                          <a:schemeClr val="bg1"/>
                        </a:solidFill>
                      </a:rPr>
                      <a:t>Toyota</a:t>
                    </a:r>
                    <a:endParaRPr lang="en-US">
                      <a:solidFill>
                        <a:schemeClr val="bg1"/>
                      </a:solidFill>
                    </a:endParaRPr>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Sheet1!$C$5</c:f>
              <c:numCache>
                <c:formatCode>General</c:formatCode>
                <c:ptCount val="1"/>
                <c:pt idx="0">
                  <c:v>7</c:v>
                </c:pt>
              </c:numCache>
            </c:numRef>
          </c:xVal>
          <c:yVal>
            <c:numRef>
              <c:f>Sheet1!$D$5</c:f>
              <c:numCache>
                <c:formatCode>General</c:formatCode>
                <c:ptCount val="1"/>
                <c:pt idx="0">
                  <c:v>6</c:v>
                </c:pt>
              </c:numCache>
            </c:numRef>
          </c:yVal>
          <c:bubbleSize>
            <c:numRef>
              <c:f>Sheet1!$E$5</c:f>
              <c:numCache>
                <c:formatCode>General</c:formatCode>
                <c:ptCount val="1"/>
                <c:pt idx="0">
                  <c:v>8</c:v>
                </c:pt>
              </c:numCache>
            </c:numRef>
          </c:bubbleSize>
          <c:bubble3D val="0"/>
        </c:ser>
        <c:ser>
          <c:idx val="1"/>
          <c:order val="1"/>
          <c:tx>
            <c:strRef>
              <c:f>Sheet1!$B$6</c:f>
              <c:strCache>
                <c:ptCount val="1"/>
                <c:pt idx="0">
                  <c:v>Honda</c:v>
                </c:pt>
              </c:strCache>
            </c:strRef>
          </c:tx>
          <c:spPr>
            <a:solidFill>
              <a:schemeClr val="accent2"/>
            </a:solidFill>
            <a:ln w="19050" cap="flat" cmpd="sng" algn="ctr">
              <a:solidFill>
                <a:schemeClr val="lt1"/>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t>Honda</a:t>
                    </a:r>
                    <a:endParaRPr lang="en-US"/>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Sheet1!$C$6</c:f>
              <c:numCache>
                <c:formatCode>General</c:formatCode>
                <c:ptCount val="1"/>
                <c:pt idx="0">
                  <c:v>5</c:v>
                </c:pt>
              </c:numCache>
            </c:numRef>
          </c:xVal>
          <c:yVal>
            <c:numRef>
              <c:f>Sheet1!$D$6</c:f>
              <c:numCache>
                <c:formatCode>General</c:formatCode>
                <c:ptCount val="1"/>
                <c:pt idx="0">
                  <c:v>4</c:v>
                </c:pt>
              </c:numCache>
            </c:numRef>
          </c:yVal>
          <c:bubbleSize>
            <c:numRef>
              <c:f>Sheet1!$E$6</c:f>
              <c:numCache>
                <c:formatCode>General</c:formatCode>
                <c:ptCount val="1"/>
                <c:pt idx="0">
                  <c:v>7</c:v>
                </c:pt>
              </c:numCache>
            </c:numRef>
          </c:bubbleSize>
          <c:bubble3D val="0"/>
        </c:ser>
        <c:ser>
          <c:idx val="2"/>
          <c:order val="2"/>
          <c:tx>
            <c:strRef>
              <c:f>Sheet1!$B$7</c:f>
              <c:strCache>
                <c:ptCount val="1"/>
                <c:pt idx="0">
                  <c:v>Mercedes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t>Mercedes</a:t>
                    </a:r>
                    <a:endParaRPr lang="en-US"/>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Sheet1!$C$7</c:f>
              <c:numCache>
                <c:formatCode>General</c:formatCode>
                <c:ptCount val="1"/>
                <c:pt idx="0">
                  <c:v>5</c:v>
                </c:pt>
              </c:numCache>
            </c:numRef>
          </c:xVal>
          <c:yVal>
            <c:numRef>
              <c:f>Sheet1!$D$7</c:f>
              <c:numCache>
                <c:formatCode>General</c:formatCode>
                <c:ptCount val="1"/>
                <c:pt idx="0">
                  <c:v>7</c:v>
                </c:pt>
              </c:numCache>
            </c:numRef>
          </c:yVal>
          <c:bubbleSize>
            <c:numRef>
              <c:f>Sheet1!$E$7</c:f>
              <c:numCache>
                <c:formatCode>General</c:formatCode>
                <c:ptCount val="1"/>
                <c:pt idx="0">
                  <c:v>7</c:v>
                </c:pt>
              </c:numCache>
            </c:numRef>
          </c:bubbleSize>
          <c:bubble3D val="0"/>
        </c:ser>
        <c:ser>
          <c:idx val="3"/>
          <c:order val="3"/>
          <c:tx>
            <c:strRef>
              <c:f>Sheet1!$B$8</c:f>
              <c:strCache>
                <c:ptCount val="1"/>
                <c:pt idx="0">
                  <c:v>BMW</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6350" cap="flat" cmpd="sng" algn="ctr">
              <a:solidFill>
                <a:schemeClr val="accent4"/>
              </a:solidFill>
              <a:prstDash val="solid"/>
              <a:miter lim="800000"/>
            </a:ln>
            <a:effectLst/>
          </c:spPr>
          <c:invertIfNegative val="0"/>
          <c:dLbls>
            <c:dLbl>
              <c:idx val="0"/>
              <c:layout/>
              <c:tx>
                <c:rich>
                  <a:bodyPr rot="0" spcFirstLastPara="1"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r>
                      <a:rPr lang="en-US"/>
                      <a:t>BMW</a:t>
                    </a:r>
                    <a:endParaRPr lang="en-US"/>
                  </a:p>
                </c:rich>
              </c:tx>
              <c:dLblPos val="ctr"/>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numRef>
              <c:f>Sheet1!$C$8</c:f>
              <c:numCache>
                <c:formatCode>General</c:formatCode>
                <c:ptCount val="1"/>
                <c:pt idx="0">
                  <c:v>5</c:v>
                </c:pt>
              </c:numCache>
            </c:numRef>
          </c:xVal>
          <c:yVal>
            <c:numRef>
              <c:f>Sheet1!$D$8</c:f>
              <c:numCache>
                <c:formatCode>General</c:formatCode>
                <c:ptCount val="1"/>
                <c:pt idx="0">
                  <c:v>9</c:v>
                </c:pt>
              </c:numCache>
            </c:numRef>
          </c:yVal>
          <c:bubbleSize>
            <c:numRef>
              <c:f>Sheet1!$E$8</c:f>
              <c:numCache>
                <c:formatCode>General</c:formatCode>
                <c:ptCount val="1"/>
                <c:pt idx="0">
                  <c:v>8</c:v>
                </c:pt>
              </c:numCache>
            </c:numRef>
          </c:bubbleSize>
          <c:bubble3D val="0"/>
        </c:ser>
        <c:dLbls>
          <c:showLegendKey val="0"/>
          <c:showVal val="1"/>
          <c:showCatName val="0"/>
          <c:showSerName val="0"/>
          <c:showPercent val="0"/>
          <c:showBubbleSize val="0"/>
        </c:dLbls>
        <c:bubbleScale val="100"/>
        <c:showNegBubbles val="0"/>
        <c:sizeRepresents val="area"/>
        <c:axId val="1430874367"/>
        <c:axId val="1434660991"/>
      </c:bubbleChart>
      <c:valAx>
        <c:axId val="1430874367"/>
        <c:scaling>
          <c:orientation val="minMax"/>
          <c:max val="12"/>
        </c:scaling>
        <c:delete val="0"/>
        <c:axPos val="b"/>
        <c:numFmt formatCode="General" sourceLinked="1"/>
        <c:majorTickMark val="none"/>
        <c:minorTickMark val="none"/>
        <c:tickLblPos val="nextTo"/>
        <c:spPr>
          <a:noFill/>
          <a:ln w="25400" cap="flat" cmpd="sng" algn="ctr">
            <a:solidFill>
              <a:srgbClr val="0070C0"/>
            </a:solidFill>
            <a:round/>
            <a:headEnd type="triangle"/>
            <a:tailEnd type="triangle"/>
          </a:ln>
          <a:effectLst/>
        </c:spPr>
        <c:txPr>
          <a:bodyPr rot="-60000000" spcFirstLastPara="1" vertOverflow="ellipsis" vert="horz" wrap="square" anchor="ctr" anchorCtr="1"/>
          <a:lstStyle/>
          <a:p>
            <a:pPr>
              <a:defRPr lang="en-US" sz="900" b="0" i="0" u="none" strike="noStrike" kern="1200" baseline="0">
                <a:noFill/>
                <a:latin typeface="+mn-lt"/>
                <a:ea typeface="+mn-ea"/>
                <a:cs typeface="+mn-cs"/>
              </a:defRPr>
            </a:pPr>
          </a:p>
        </c:txPr>
        <c:crossAx val="1434660991"/>
        <c:crossesAt val="6"/>
        <c:crossBetween val="midCat"/>
      </c:valAx>
      <c:valAx>
        <c:axId val="1434660991"/>
        <c:scaling>
          <c:orientation val="minMax"/>
          <c:max val="12"/>
        </c:scaling>
        <c:delete val="0"/>
        <c:axPos val="l"/>
        <c:numFmt formatCode="General" sourceLinked="1"/>
        <c:majorTickMark val="none"/>
        <c:minorTickMark val="none"/>
        <c:tickLblPos val="nextTo"/>
        <c:spPr>
          <a:noFill/>
          <a:ln w="25400" cap="flat" cmpd="sng" algn="ctr">
            <a:solidFill>
              <a:srgbClr val="0070C0"/>
            </a:solidFill>
            <a:round/>
            <a:headEnd type="triangle"/>
            <a:tailEnd type="triangle"/>
          </a:ln>
          <a:effectLst/>
        </c:spPr>
        <c:txPr>
          <a:bodyPr rot="-60000000" spcFirstLastPara="1" vertOverflow="ellipsis" vert="horz" wrap="square" anchor="ctr" anchorCtr="1"/>
          <a:lstStyle/>
          <a:p>
            <a:pPr>
              <a:defRPr lang="en-US" sz="900" b="0" i="0" u="none" strike="noStrike" kern="1200" baseline="0">
                <a:noFill/>
                <a:latin typeface="+mn-lt"/>
                <a:ea typeface="+mn-ea"/>
                <a:cs typeface="+mn-cs"/>
              </a:defRPr>
            </a:pPr>
          </a:p>
        </c:txPr>
        <c:crossAx val="1430874367"/>
        <c:crossesAt val="6"/>
        <c:crossBetween val="midCat"/>
      </c:valAx>
      <c:spPr>
        <a:noFill/>
        <a:ln>
          <a:noFill/>
        </a:ln>
        <a:effectLst/>
      </c:spPr>
    </c:plotArea>
    <c:plotVisOnly val="1"/>
    <c:dispBlanksAs val="gap"/>
    <c:showDLblsOverMax val="0"/>
    <c:extLst>
      <c:ext uri="{0b15fc19-7d7d-44ad-8c2d-2c3a37ce22c3}">
        <chartProps xmlns="https://web.wps.cn/et/2018/main" chartId="{67ab6bed-4cdc-4984-a00e-03be2dac6032}"/>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userShapes r:id="rId2"/>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alpha val="75000"/>
        </a:schemeClr>
      </a:solidFill>
    </cs:spPr>
  </cs:dataPoint>
  <cs:dataPoint3D>
    <cs:lnRef idx="0"/>
    <cs:fillRef idx="1">
      <cs:styleClr val="auto"/>
    </cs:fillRef>
    <cs:effectRef idx="0"/>
    <cs:fontRef idx="minor">
      <a:schemeClr val="tx1"/>
    </cs:fontRef>
    <cs:spPr>
      <a:solidFill>
        <a:schemeClr val="phClr">
          <a:alpha val="75000"/>
        </a:schemeClr>
      </a:solidFill>
    </cs:spPr>
  </cs:dataPoint3D>
  <cs:dataPointLine>
    <cs:lnRef idx="0">
      <cs:styleClr val="auto"/>
    </cs:lnRef>
    <cs:fillRef idx="1"/>
    <cs:effectRef idx="0"/>
    <cs:fontRef idx="minor">
      <a:schemeClr val="tx1"/>
    </cs:fontRef>
    <cs:spPr>
      <a:ln w="19050" cap="rnd">
        <a:solidFill>
          <a:schemeClr val="phClr">
            <a:alpha val="50000"/>
          </a:scheme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alpha val="75000"/>
        </a:schemeClr>
      </a:solidFill>
    </cs:spPr>
  </cs:dataPoint>
  <cs:dataPoint3D>
    <cs:lnRef idx="0"/>
    <cs:fillRef idx="1">
      <cs:styleClr val="auto"/>
    </cs:fillRef>
    <cs:effectRef idx="0"/>
    <cs:fontRef idx="minor">
      <a:schemeClr val="tx1"/>
    </cs:fontRef>
    <cs:spPr>
      <a:solidFill>
        <a:schemeClr val="phClr">
          <a:alpha val="75000"/>
        </a:schemeClr>
      </a:solidFill>
    </cs:spPr>
  </cs:dataPoint3D>
  <cs:dataPointLine>
    <cs:lnRef idx="0">
      <cs:styleClr val="auto"/>
    </cs:lnRef>
    <cs:fillRef idx="1"/>
    <cs:effectRef idx="0"/>
    <cs:fontRef idx="minor">
      <a:schemeClr val="tx1"/>
    </cs:fontRef>
    <cs:spPr>
      <a:ln w="19050" cap="rnd">
        <a:solidFill>
          <a:schemeClr val="phClr">
            <a:alpha val="50000"/>
          </a:scheme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0.91404</cdr:x>
      <cdr:y>0.24203</cdr:y>
    </cdr:from>
    <cdr:to>
      <cdr:x>0.96161</cdr:x>
      <cdr:y>0.64345</cdr:y>
    </cdr:to>
    <cdr:sp>
      <cdr:nvSpPr>
        <cdr:cNvPr id="2" name="Rectangle 1"/>
        <cdr:cNvSpPr/>
      </cdr:nvSpPr>
      <cdr:spPr xmlns:a="http://schemas.openxmlformats.org/drawingml/2006/main">
        <a:xfrm xmlns:a="http://schemas.openxmlformats.org/drawingml/2006/main">
          <a:off x="4861560" y="781050"/>
          <a:ext cx="253008" cy="1295400"/>
        </a:xfrm>
        <a:prstGeom xmlns:a="http://schemas.openxmlformats.org/drawingml/2006/main" prst="rect">
          <a:avLst/>
        </a:prstGeom>
      </cdr:spPr>
      <cdr:txBody xmlns:a="http://schemas.openxmlformats.org/drawingml/2006/main">
        <a:bodyPr vertOverflow="clip" vert="vert270" wrap="square" lIns="45720" tIns="45720" rIns="45720" bIns="45720" rtlCol="0" anchor="t" anchorCtr="0">
          <a:normAutofit/>
        </a:bodyPr>
        <a:lstStyle/>
        <a:p>
          <a:r>
            <a:rPr lang="en-IN" sz="1100"/>
            <a:t>High Performance</a:t>
          </a:r>
          <a:endParaRPr lang="en-IN" sz="1100"/>
        </a:p>
      </cdr:txBody>
    </cdr:sp>
  </cdr:relSizeAnchor>
  <cdr:relSizeAnchor xmlns:cdr="http://schemas.openxmlformats.org/drawingml/2006/chartDrawing">
    <cdr:from>
      <cdr:x>0.93512</cdr:x>
      <cdr:y>0.23409</cdr:y>
    </cdr:from>
    <cdr:to>
      <cdr:x>0.97067</cdr:x>
      <cdr:y>0.75868</cdr:y>
    </cdr:to>
    <cdr:sp>
      <cdr:nvSpPr>
        <cdr:cNvPr id="3" name="Rectangle 2"/>
        <cdr:cNvSpPr/>
      </cdr:nvSpPr>
      <cdr:spPr xmlns:a="http://schemas.openxmlformats.org/drawingml/2006/main">
        <a:xfrm xmlns:a="http://schemas.openxmlformats.org/drawingml/2006/main">
          <a:off x="4973681" y="755413"/>
          <a:ext cx="189075" cy="1692889"/>
        </a:xfrm>
        <a:prstGeom xmlns:a="http://schemas.openxmlformats.org/drawingml/2006/main" prst="rect">
          <a:avLst/>
        </a:prstGeom>
      </cdr:spPr>
      <cdr:txBody xmlns:a="http://schemas.openxmlformats.org/drawingml/2006/main">
        <a:bodyPr vertOverflow="clip" vert="vert270" wrap="square" lIns="45720" tIns="45720" rIns="45720" bIns="45720" rtlCol="0" anchor="t" anchorCtr="0">
          <a:normAutofit/>
        </a:bodyPr>
        <a:lstStyle/>
        <a:p>
          <a:endParaRPr lang="en-IN" sz="1100"/>
        </a:p>
      </cdr:txBody>
    </cdr:sp>
  </cdr:relSizeAnchor>
  <cdr:relSizeAnchor xmlns:cdr="http://schemas.openxmlformats.org/drawingml/2006/chartDrawing">
    <cdr:from>
      <cdr:x>0.94413</cdr:x>
      <cdr:y>0.3412</cdr:y>
    </cdr:from>
    <cdr:to>
      <cdr:x>0.97708</cdr:x>
      <cdr:y>0.74026</cdr:y>
    </cdr:to>
    <cdr:sp>
      <cdr:nvSpPr>
        <cdr:cNvPr id="4" name="Rectangle 3"/>
        <cdr:cNvSpPr/>
      </cdr:nvSpPr>
      <cdr:spPr xmlns:a="http://schemas.openxmlformats.org/drawingml/2006/main">
        <a:xfrm xmlns:a="http://schemas.openxmlformats.org/drawingml/2006/main">
          <a:off x="5021580" y="1101090"/>
          <a:ext cx="175260" cy="1287780"/>
        </a:xfrm>
        <a:prstGeom xmlns:a="http://schemas.openxmlformats.org/drawingml/2006/main" prst="rect">
          <a:avLst/>
        </a:prstGeom>
      </cdr:spPr>
      <cdr:txBody xmlns:a="http://schemas.openxmlformats.org/drawingml/2006/main">
        <a:bodyPr vertOverflow="clip" vert="horz" wrap="square" lIns="45720" tIns="45720" rIns="45720" bIns="45720" rtlCol="0" anchor="t" anchorCtr="0">
          <a:normAutofit/>
        </a:bodyPr>
        <a:lstStyle/>
        <a:p>
          <a:endParaRPr lang="en-IN" sz="1100"/>
        </a:p>
      </cdr:txBody>
    </cdr:sp>
  </cdr:relSizeAnchor>
  <cdr:relSizeAnchor xmlns:cdr="http://schemas.openxmlformats.org/drawingml/2006/chartDrawing">
    <cdr:from>
      <cdr:x>0.83954</cdr:x>
      <cdr:y>0.24203</cdr:y>
    </cdr:from>
    <cdr:to>
      <cdr:x>0.89542</cdr:x>
      <cdr:y>0.8229</cdr:y>
    </cdr:to>
    <cdr:sp>
      <cdr:nvSpPr>
        <cdr:cNvPr id="5" name="Rectangle 4"/>
        <cdr:cNvSpPr/>
      </cdr:nvSpPr>
      <cdr:spPr xmlns:a="http://schemas.openxmlformats.org/drawingml/2006/main">
        <a:xfrm xmlns:a="http://schemas.openxmlformats.org/drawingml/2006/main">
          <a:off x="4465320" y="781050"/>
          <a:ext cx="297180" cy="1874520"/>
        </a:xfrm>
        <a:prstGeom xmlns:a="http://schemas.openxmlformats.org/drawingml/2006/main" prst="rect">
          <a:avLst/>
        </a:prstGeom>
      </cdr:spPr>
      <cdr:txBody xmlns:a="http://schemas.openxmlformats.org/drawingml/2006/main">
        <a:bodyPr vertOverflow="clip" vert="horz" wrap="square" lIns="45720" tIns="45720" rIns="45720" bIns="45720" rtlCol="0" anchor="t" anchorCtr="0">
          <a:normAutofit/>
        </a:bodyPr>
        <a:lstStyle/>
        <a:p>
          <a:endParaRPr lang="en-IN" sz="1100"/>
        </a:p>
      </cdr:txBody>
    </cdr:sp>
  </cdr:relSizeAnchor>
  <cdr:relSizeAnchor xmlns:cdr="http://schemas.openxmlformats.org/drawingml/2006/chartDrawing">
    <cdr:from>
      <cdr:x>0.9255</cdr:x>
      <cdr:y>0.2987</cdr:y>
    </cdr:from>
    <cdr:to>
      <cdr:x>0.97564</cdr:x>
      <cdr:y>0.79457</cdr:y>
    </cdr:to>
    <cdr:sp>
      <cdr:nvSpPr>
        <cdr:cNvPr id="6" name="Rectangle 5"/>
        <cdr:cNvSpPr/>
      </cdr:nvSpPr>
      <cdr:spPr xmlns:a="http://schemas.openxmlformats.org/drawingml/2006/main">
        <a:xfrm xmlns:a="http://schemas.openxmlformats.org/drawingml/2006/main">
          <a:off x="4922520" y="963930"/>
          <a:ext cx="266700" cy="1600200"/>
        </a:xfrm>
        <a:prstGeom xmlns:a="http://schemas.openxmlformats.org/drawingml/2006/main" prst="rect">
          <a:avLst/>
        </a:prstGeom>
      </cdr:spPr>
      <cdr:txBody xmlns:a="http://schemas.openxmlformats.org/drawingml/2006/main">
        <a:bodyPr vertOverflow="clip" vert="vert270" wrap="square" lIns="45720" tIns="45720" rIns="45720" bIns="45720" rtlCol="0" anchor="t" anchorCtr="0">
          <a:normAutofit/>
        </a:bodyPr>
        <a:lstStyle/>
        <a:p>
          <a:endParaRPr lang="en-IN" sz="1100"/>
        </a:p>
      </cdr:txBody>
    </cdr:sp>
  </cdr:relSizeAnchor>
  <cdr:relSizeAnchor xmlns:cdr="http://schemas.openxmlformats.org/drawingml/2006/chartDrawing">
    <cdr:from>
      <cdr:x>0.00669</cdr:x>
      <cdr:y>0.24006</cdr:y>
    </cdr:from>
    <cdr:to>
      <cdr:x>0.05425</cdr:x>
      <cdr:y>0.64148</cdr:y>
    </cdr:to>
    <cdr:sp>
      <cdr:nvSpPr>
        <cdr:cNvPr id="7" name="Rectangle 6"/>
        <cdr:cNvSpPr/>
      </cdr:nvSpPr>
      <cdr:spPr xmlns:a="http://schemas.openxmlformats.org/drawingml/2006/main">
        <a:xfrm xmlns:a="http://schemas.openxmlformats.org/drawingml/2006/main">
          <a:off x="35560" y="774700"/>
          <a:ext cx="253008" cy="1295400"/>
        </a:xfrm>
        <a:prstGeom xmlns:a="http://schemas.openxmlformats.org/drawingml/2006/main" prst="rect">
          <a:avLst/>
        </a:prstGeom>
      </cdr:spPr>
      <cdr:txBody xmlns:a="http://schemas.openxmlformats.org/drawingml/2006/main">
        <a:bodyPr vert="vert270" wrap="square" lIns="45720" tIns="45720" rIns="45720" bIns="45720" rtlCol="0" anchor="t" anchorCtr="0">
          <a:normAutofit/>
        </a:bodyPr>
        <a:lstStyle>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a:r>
            <a:rPr lang="en-IN" sz="1100"/>
            <a:t>Low Performance</a:t>
          </a:r>
          <a:endParaRPr lang="en-IN" sz="1100"/>
        </a:p>
      </cdr:txBody>
    </cdr:sp>
  </cdr:relSizeAnchor>
  <cdr:relSizeAnchor xmlns:cdr="http://schemas.openxmlformats.org/drawingml/2006/chartDrawing">
    <cdr:from>
      <cdr:x>0.41308</cdr:x>
      <cdr:y>0.01535</cdr:y>
    </cdr:from>
    <cdr:to>
      <cdr:x>0.58692</cdr:x>
      <cdr:y>0.08486</cdr:y>
    </cdr:to>
    <cdr:sp>
      <cdr:nvSpPr>
        <cdr:cNvPr id="8" name="Rectangle 7"/>
        <cdr:cNvSpPr/>
      </cdr:nvSpPr>
      <cdr:spPr xmlns:a="http://schemas.openxmlformats.org/drawingml/2006/main">
        <a:xfrm xmlns:a="http://schemas.openxmlformats.org/drawingml/2006/main">
          <a:off x="2118359" y="50998"/>
          <a:ext cx="891541" cy="230942"/>
        </a:xfrm>
        <a:prstGeom xmlns:a="http://schemas.openxmlformats.org/drawingml/2006/main" prst="rect">
          <a:avLst/>
        </a:prstGeom>
      </cdr:spPr>
      <cdr:txBody xmlns:a="http://schemas.openxmlformats.org/drawingml/2006/main">
        <a:bodyPr vertOverflow="clip" vert="horz" wrap="square" lIns="45720" tIns="45720" rIns="45720" bIns="45720" rtlCol="0" anchor="t" anchorCtr="0">
          <a:normAutofit/>
        </a:bodyPr>
        <a:lstStyle/>
        <a:p>
          <a:r>
            <a:rPr lang="en-IN" sz="1100"/>
            <a:t>High Price</a:t>
          </a:r>
          <a:endParaRPr lang="en-IN" sz="1100"/>
        </a:p>
      </cdr:txBody>
    </cdr:sp>
  </cdr:relSizeAnchor>
  <cdr:relSizeAnchor xmlns:cdr="http://schemas.openxmlformats.org/drawingml/2006/chartDrawing">
    <cdr:from>
      <cdr:x>0.415</cdr:x>
      <cdr:y>0.93152</cdr:y>
    </cdr:from>
    <cdr:to>
      <cdr:x>0.61987</cdr:x>
      <cdr:y>1</cdr:y>
    </cdr:to>
    <cdr:sp>
      <cdr:nvSpPr>
        <cdr:cNvPr id="9" name="Rectangle 8"/>
        <cdr:cNvSpPr/>
      </cdr:nvSpPr>
      <cdr:spPr xmlns:a="http://schemas.openxmlformats.org/drawingml/2006/main">
        <a:xfrm xmlns:a="http://schemas.openxmlformats.org/drawingml/2006/main">
          <a:off x="2207260" y="3006090"/>
          <a:ext cx="1089660" cy="220980"/>
        </a:xfrm>
        <a:prstGeom xmlns:a="http://schemas.openxmlformats.org/drawingml/2006/main" prst="rect">
          <a:avLst/>
        </a:prstGeom>
      </cdr:spPr>
      <cdr:txBody xmlns:a="http://schemas.openxmlformats.org/drawingml/2006/main">
        <a:bodyPr vert="horz" wrap="square" lIns="45720" tIns="45720" rIns="45720" bIns="45720" rtlCol="0" anchor="t" anchorCtr="0">
          <a:normAutofit/>
        </a:bodyPr>
        <a:lstStyle>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a:r>
            <a:rPr lang="en-IN" sz="1100"/>
            <a:t>Low Price</a:t>
          </a:r>
          <a:endParaRPr lang="en-IN" sz="1100"/>
        </a:p>
      </cdr:txBody>
    </cdr:sp>
  </cdr:relSizeAnchor>
</c:userShapes>
</file>

<file path=word/drawings/drawing2.xml><?xml version="1.0" encoding="utf-8"?>
<c:userShapes xmlns:c="http://schemas.openxmlformats.org/drawingml/2006/chart">
  <cdr:relSizeAnchor xmlns:cdr="http://schemas.openxmlformats.org/drawingml/2006/chartDrawing">
    <cdr:from>
      <cdr:x>0.91404</cdr:x>
      <cdr:y>0.24203</cdr:y>
    </cdr:from>
    <cdr:to>
      <cdr:x>0.96161</cdr:x>
      <cdr:y>0.64345</cdr:y>
    </cdr:to>
    <cdr:sp>
      <cdr:nvSpPr>
        <cdr:cNvPr id="2" name="Rectangle 1"/>
        <cdr:cNvSpPr/>
      </cdr:nvSpPr>
      <cdr:spPr xmlns:a="http://schemas.openxmlformats.org/drawingml/2006/main">
        <a:xfrm xmlns:a="http://schemas.openxmlformats.org/drawingml/2006/main">
          <a:off x="4861560" y="781050"/>
          <a:ext cx="253008" cy="1295400"/>
        </a:xfrm>
        <a:prstGeom xmlns:a="http://schemas.openxmlformats.org/drawingml/2006/main" prst="rect">
          <a:avLst/>
        </a:prstGeom>
      </cdr:spPr>
      <cdr:txBody xmlns:a="http://schemas.openxmlformats.org/drawingml/2006/main">
        <a:bodyPr vertOverflow="clip" vert="vert270" wrap="square" lIns="45720" tIns="45720" rIns="45720" bIns="45720" rtlCol="0" anchor="t" anchorCtr="0">
          <a:normAutofit/>
        </a:bodyPr>
        <a:lstStyle/>
        <a:p>
          <a:r>
            <a:rPr lang="en-IN" sz="1100"/>
            <a:t>High Performance</a:t>
          </a:r>
          <a:endParaRPr lang="en-IN" sz="1100"/>
        </a:p>
      </cdr:txBody>
    </cdr:sp>
  </cdr:relSizeAnchor>
  <cdr:relSizeAnchor xmlns:cdr="http://schemas.openxmlformats.org/drawingml/2006/chartDrawing">
    <cdr:from>
      <cdr:x>0.93512</cdr:x>
      <cdr:y>0.23409</cdr:y>
    </cdr:from>
    <cdr:to>
      <cdr:x>0.97067</cdr:x>
      <cdr:y>0.75868</cdr:y>
    </cdr:to>
    <cdr:sp>
      <cdr:nvSpPr>
        <cdr:cNvPr id="3" name="Rectangle 2"/>
        <cdr:cNvSpPr/>
      </cdr:nvSpPr>
      <cdr:spPr xmlns:a="http://schemas.openxmlformats.org/drawingml/2006/main">
        <a:xfrm xmlns:a="http://schemas.openxmlformats.org/drawingml/2006/main">
          <a:off x="4973681" y="755413"/>
          <a:ext cx="189075" cy="1692889"/>
        </a:xfrm>
        <a:prstGeom xmlns:a="http://schemas.openxmlformats.org/drawingml/2006/main" prst="rect">
          <a:avLst/>
        </a:prstGeom>
      </cdr:spPr>
      <cdr:txBody xmlns:a="http://schemas.openxmlformats.org/drawingml/2006/main">
        <a:bodyPr vertOverflow="clip" vert="vert270" wrap="square" lIns="45720" tIns="45720" rIns="45720" bIns="45720" rtlCol="0" anchor="t" anchorCtr="0">
          <a:normAutofit/>
        </a:bodyPr>
        <a:lstStyle/>
        <a:p>
          <a:endParaRPr lang="en-IN" sz="1100"/>
        </a:p>
      </cdr:txBody>
    </cdr:sp>
  </cdr:relSizeAnchor>
  <cdr:relSizeAnchor xmlns:cdr="http://schemas.openxmlformats.org/drawingml/2006/chartDrawing">
    <cdr:from>
      <cdr:x>0.94413</cdr:x>
      <cdr:y>0.3412</cdr:y>
    </cdr:from>
    <cdr:to>
      <cdr:x>0.97708</cdr:x>
      <cdr:y>0.74026</cdr:y>
    </cdr:to>
    <cdr:sp>
      <cdr:nvSpPr>
        <cdr:cNvPr id="4" name="Rectangle 3"/>
        <cdr:cNvSpPr/>
      </cdr:nvSpPr>
      <cdr:spPr xmlns:a="http://schemas.openxmlformats.org/drawingml/2006/main">
        <a:xfrm xmlns:a="http://schemas.openxmlformats.org/drawingml/2006/main">
          <a:off x="5021580" y="1101090"/>
          <a:ext cx="175260" cy="1287780"/>
        </a:xfrm>
        <a:prstGeom xmlns:a="http://schemas.openxmlformats.org/drawingml/2006/main" prst="rect">
          <a:avLst/>
        </a:prstGeom>
      </cdr:spPr>
      <cdr:txBody xmlns:a="http://schemas.openxmlformats.org/drawingml/2006/main">
        <a:bodyPr vertOverflow="clip" vert="horz" wrap="square" lIns="45720" tIns="45720" rIns="45720" bIns="45720" rtlCol="0" anchor="t" anchorCtr="0">
          <a:normAutofit/>
        </a:bodyPr>
        <a:lstStyle/>
        <a:p>
          <a:endParaRPr lang="en-IN" sz="1100"/>
        </a:p>
      </cdr:txBody>
    </cdr:sp>
  </cdr:relSizeAnchor>
  <cdr:relSizeAnchor xmlns:cdr="http://schemas.openxmlformats.org/drawingml/2006/chartDrawing">
    <cdr:from>
      <cdr:x>0.83954</cdr:x>
      <cdr:y>0.24203</cdr:y>
    </cdr:from>
    <cdr:to>
      <cdr:x>0.89542</cdr:x>
      <cdr:y>0.8229</cdr:y>
    </cdr:to>
    <cdr:sp>
      <cdr:nvSpPr>
        <cdr:cNvPr id="5" name="Rectangle 4"/>
        <cdr:cNvSpPr/>
      </cdr:nvSpPr>
      <cdr:spPr xmlns:a="http://schemas.openxmlformats.org/drawingml/2006/main">
        <a:xfrm xmlns:a="http://schemas.openxmlformats.org/drawingml/2006/main">
          <a:off x="4465320" y="781050"/>
          <a:ext cx="297180" cy="1874520"/>
        </a:xfrm>
        <a:prstGeom xmlns:a="http://schemas.openxmlformats.org/drawingml/2006/main" prst="rect">
          <a:avLst/>
        </a:prstGeom>
      </cdr:spPr>
      <cdr:txBody xmlns:a="http://schemas.openxmlformats.org/drawingml/2006/main">
        <a:bodyPr vertOverflow="clip" vert="horz" wrap="square" lIns="45720" tIns="45720" rIns="45720" bIns="45720" rtlCol="0" anchor="t" anchorCtr="0">
          <a:normAutofit/>
        </a:bodyPr>
        <a:lstStyle/>
        <a:p>
          <a:endParaRPr lang="en-IN" sz="1100"/>
        </a:p>
      </cdr:txBody>
    </cdr:sp>
  </cdr:relSizeAnchor>
  <cdr:relSizeAnchor xmlns:cdr="http://schemas.openxmlformats.org/drawingml/2006/chartDrawing">
    <cdr:from>
      <cdr:x>0.9255</cdr:x>
      <cdr:y>0.2987</cdr:y>
    </cdr:from>
    <cdr:to>
      <cdr:x>0.97564</cdr:x>
      <cdr:y>0.79457</cdr:y>
    </cdr:to>
    <cdr:sp>
      <cdr:nvSpPr>
        <cdr:cNvPr id="6" name="Rectangle 5"/>
        <cdr:cNvSpPr/>
      </cdr:nvSpPr>
      <cdr:spPr xmlns:a="http://schemas.openxmlformats.org/drawingml/2006/main">
        <a:xfrm xmlns:a="http://schemas.openxmlformats.org/drawingml/2006/main">
          <a:off x="4922520" y="963930"/>
          <a:ext cx="266700" cy="1600200"/>
        </a:xfrm>
        <a:prstGeom xmlns:a="http://schemas.openxmlformats.org/drawingml/2006/main" prst="rect">
          <a:avLst/>
        </a:prstGeom>
      </cdr:spPr>
      <cdr:txBody xmlns:a="http://schemas.openxmlformats.org/drawingml/2006/main">
        <a:bodyPr vertOverflow="clip" vert="vert270" wrap="square" lIns="45720" tIns="45720" rIns="45720" bIns="45720" rtlCol="0" anchor="t" anchorCtr="0">
          <a:normAutofit/>
        </a:bodyPr>
        <a:lstStyle/>
        <a:p>
          <a:endParaRPr lang="en-IN" sz="1100"/>
        </a:p>
      </cdr:txBody>
    </cdr:sp>
  </cdr:relSizeAnchor>
  <cdr:relSizeAnchor xmlns:cdr="http://schemas.openxmlformats.org/drawingml/2006/chartDrawing">
    <cdr:from>
      <cdr:x>0.00669</cdr:x>
      <cdr:y>0.24006</cdr:y>
    </cdr:from>
    <cdr:to>
      <cdr:x>0.05425</cdr:x>
      <cdr:y>0.64148</cdr:y>
    </cdr:to>
    <cdr:sp>
      <cdr:nvSpPr>
        <cdr:cNvPr id="7" name="Rectangle 6"/>
        <cdr:cNvSpPr/>
      </cdr:nvSpPr>
      <cdr:spPr xmlns:a="http://schemas.openxmlformats.org/drawingml/2006/main">
        <a:xfrm xmlns:a="http://schemas.openxmlformats.org/drawingml/2006/main">
          <a:off x="35560" y="774700"/>
          <a:ext cx="253008" cy="1295400"/>
        </a:xfrm>
        <a:prstGeom xmlns:a="http://schemas.openxmlformats.org/drawingml/2006/main" prst="rect">
          <a:avLst/>
        </a:prstGeom>
      </cdr:spPr>
      <cdr:txBody xmlns:a="http://schemas.openxmlformats.org/drawingml/2006/main">
        <a:bodyPr vert="vert270" wrap="square" lIns="45720" tIns="45720" rIns="45720" bIns="45720" rtlCol="0" anchor="t" anchorCtr="0">
          <a:normAutofit/>
        </a:bodyPr>
        <a:lstStyle>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a:r>
            <a:rPr lang="en-IN" sz="1100"/>
            <a:t>Low Performance</a:t>
          </a:r>
          <a:endParaRPr lang="en-IN" sz="1100"/>
        </a:p>
      </cdr:txBody>
    </cdr:sp>
  </cdr:relSizeAnchor>
  <cdr:relSizeAnchor xmlns:cdr="http://schemas.openxmlformats.org/drawingml/2006/chartDrawing">
    <cdr:from>
      <cdr:x>0.41308</cdr:x>
      <cdr:y>0.01535</cdr:y>
    </cdr:from>
    <cdr:to>
      <cdr:x>0.58692</cdr:x>
      <cdr:y>0.08486</cdr:y>
    </cdr:to>
    <cdr:sp>
      <cdr:nvSpPr>
        <cdr:cNvPr id="8" name="Rectangle 7"/>
        <cdr:cNvSpPr/>
      </cdr:nvSpPr>
      <cdr:spPr xmlns:a="http://schemas.openxmlformats.org/drawingml/2006/main">
        <a:xfrm xmlns:a="http://schemas.openxmlformats.org/drawingml/2006/main">
          <a:off x="2118359" y="50998"/>
          <a:ext cx="891541" cy="230942"/>
        </a:xfrm>
        <a:prstGeom xmlns:a="http://schemas.openxmlformats.org/drawingml/2006/main" prst="rect">
          <a:avLst/>
        </a:prstGeom>
      </cdr:spPr>
      <cdr:txBody xmlns:a="http://schemas.openxmlformats.org/drawingml/2006/main">
        <a:bodyPr vertOverflow="clip" vert="horz" wrap="square" lIns="45720" tIns="45720" rIns="45720" bIns="45720" rtlCol="0" anchor="t" anchorCtr="0">
          <a:normAutofit/>
        </a:bodyPr>
        <a:lstStyle/>
        <a:p>
          <a:r>
            <a:rPr lang="en-IN" sz="1100"/>
            <a:t>High Price</a:t>
          </a:r>
          <a:endParaRPr lang="en-IN" sz="1100"/>
        </a:p>
      </cdr:txBody>
    </cdr:sp>
  </cdr:relSizeAnchor>
  <cdr:relSizeAnchor xmlns:cdr="http://schemas.openxmlformats.org/drawingml/2006/chartDrawing">
    <cdr:from>
      <cdr:x>0.415</cdr:x>
      <cdr:y>0.93152</cdr:y>
    </cdr:from>
    <cdr:to>
      <cdr:x>0.61987</cdr:x>
      <cdr:y>1</cdr:y>
    </cdr:to>
    <cdr:sp>
      <cdr:nvSpPr>
        <cdr:cNvPr id="9" name="Rectangle 8"/>
        <cdr:cNvSpPr/>
      </cdr:nvSpPr>
      <cdr:spPr xmlns:a="http://schemas.openxmlformats.org/drawingml/2006/main">
        <a:xfrm xmlns:a="http://schemas.openxmlformats.org/drawingml/2006/main">
          <a:off x="2207260" y="3006090"/>
          <a:ext cx="1089660" cy="220980"/>
        </a:xfrm>
        <a:prstGeom xmlns:a="http://schemas.openxmlformats.org/drawingml/2006/main" prst="rect">
          <a:avLst/>
        </a:prstGeom>
      </cdr:spPr>
      <cdr:txBody xmlns:a="http://schemas.openxmlformats.org/drawingml/2006/main">
        <a:bodyPr vert="horz" wrap="square" lIns="45720" tIns="45720" rIns="45720" bIns="45720" rtlCol="0" anchor="t" anchorCtr="0">
          <a:normAutofit/>
        </a:bodyPr>
        <a:lstStyle>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a:r>
            <a:rPr lang="en-IN" sz="1100"/>
            <a:t>Low Price</a:t>
          </a:r>
          <a:endParaRPr lang="en-IN"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Toy26</b:Tag>
    <b:SourceType>InternetSite</b:SourceType>
    <b:Guid>{B2819D8C-34D2-4209-A251-8CBA246AD361}</b:Guid>
    <b:Title>TMC Announces April Through March 2026 Financial Results</b:Title>
    <b:Year>2026</b:Year>
    <b:Author>
      <b:Author>
        <b:Corporate>Toyota Newsroom</b:Corporate>
      </b:Author>
    </b:Author>
    <b:YearAccessed>2026</b:YearAccessed>
    <b:MonthAccessed>July</b:MonthAccessed>
    <b:DayAccessed>23</b:DayAccessed>
    <b:URL>https://pressroom.toyota.com/tmc-announces-april-through-march-2026-financial-results/</b:URL>
    <b:RefOrder>1</b:RefOrder>
  </b:Source>
  <b:Source>
    <b:Tag>Reu242</b:Tag>
    <b:SourceType>InternetSite</b:SourceType>
    <b:Guid>{52ED8104-A07B-429B-9593-B772F7327046}</b:Guid>
    <b:Author>
      <b:Author>
        <b:Corporate>Reuters</b:Corporate>
      </b:Author>
    </b:Author>
    <b:Title>Japan to give up to $2.4 bln in new support for domestic EV battery production</b:Title>
    <b:Year>2024</b:Year>
    <b:YearAccessed>2026</b:YearAccessed>
    <b:MonthAccessed>July</b:MonthAccessed>
    <b:DayAccessed>24</b:DayAccessed>
    <b:URL>https://www.reuters.com/business/autos-transportation/toyota-nissan-support-japans-battery-production-capacity-nikkei-reports-2024-09-05/</b:URL>
    <b:RefOrder>2</b:RefOrder>
  </b:Source>
  <b:Source>
    <b:Tag>Sta262</b:Tag>
    <b:SourceType>InternetSite</b:SourceType>
    <b:Guid>{B41B0DE5-2E2B-41F5-AA22-7CE43CCA9E53}</b:Guid>
    <b:Author>
      <b:Author>
        <b:Corporate>Statista</b:Corporate>
      </b:Author>
    </b:Author>
    <b:Title>Age distribution in Japan from 1960 to 2025</b:Title>
    <b:Year>2026</b:Year>
    <b:YearAccessed>2026</b:YearAccessed>
    <b:MonthAccessed>July</b:MonthAccessed>
    <b:DayAccessed>24</b:DayAccessed>
    <b:URL>https://www.statista.com/statistics/270087/age-distribution-in-japan/</b:URL>
    <b:RefOrder>3</b:RefOrder>
  </b:Source>
  <b:Source>
    <b:Tag>Eas26</b:Tag>
    <b:SourceType>InternetSite</b:SourceType>
    <b:Guid>{84628BCF-A6BE-448D-AFEC-AAD5E1C3455D}</b:Guid>
    <b:Author>
      <b:Author>
        <b:Corporate>East Asia Forum</b:Corporate>
      </b:Author>
    </b:Author>
    <b:Title>Japan takes a different road to a cleaner car industry</b:Title>
    <b:Year>2026</b:Year>
    <b:YearAccessed>2026</b:YearAccessed>
    <b:MonthAccessed>July</b:MonthAccessed>
    <b:DayAccessed>24</b:DayAccessed>
    <b:URL>https://eastasiaforum.org/2026/06/05/japan-takes-a-different-road-to-a-cleaner-car-industry/</b:URL>
    <b:RefOrder>4</b:RefOrder>
  </b:Source>
  <b:Source>
    <b:Tag>Ame26</b:Tag>
    <b:SourceType>InternetSite</b:SourceType>
    <b:Guid>{45C89332-D279-4FA0-8584-343A13E01D6A}</b:Guid>
    <b:Author>
      <b:Author>
        <b:Corporate>American Automakers</b:Corporate>
      </b:Author>
    </b:Author>
    <b:Title>Environmental Stewardship</b:Title>
    <b:Year>2026</b:Year>
    <b:YearAccessed>2026</b:YearAccessed>
    <b:MonthAccessed>July</b:MonthAccessed>
    <b:DayAccessed>26</b:DayAccessed>
    <b:URL>https://www.americanautomakers.org/environmental-stewardship</b:URL>
    <b:RefOrder>5</b:RefOrder>
  </b:Source>
  <b:Source>
    <b:Tag>Mor25</b:Tag>
    <b:SourceType>InternetSite</b:SourceType>
    <b:Guid>{FDA089F3-C1FD-484B-978A-A2563C3241F6}</b:Guid>
    <b:Author>
      <b:Author>
        <b:Corporate>Mordor Intelligence</b:Corporate>
      </b:Author>
    </b:Author>
    <b:Title>US Autonomous Car Market Size &amp; Share Analysis - Growth Trends And Forecast (2025 - 2030)</b:Title>
    <b:Year>2025</b:Year>
    <b:YearAccessed>2026</b:YearAccessed>
    <b:MonthAccessed>July</b:MonthAccessed>
    <b:DayAccessed>26</b:DayAccessed>
    <b:URL>https://www.mordorintelligence.com/industry-reports/us-autonomous-car-market</b:URL>
    <b:RefOrder>6</b:RefOrder>
  </b:Source>
  <b:Source>
    <b:Tag>The262</b:Tag>
    <b:SourceType>InternetSite</b:SourceType>
    <b:Guid>{7BA9C96D-8B63-463D-99AD-71764203965E}</b:Guid>
    <b:Author>
      <b:Author>
        <b:Corporate>The Culture Factor</b:Corporate>
      </b:Author>
    </b:Author>
    <b:Title>Country Comparison tool</b:Title>
    <b:Year>2026</b:Year>
    <b:YearAccessed>2026</b:YearAccessed>
    <b:MonthAccessed>July</b:MonthAccessed>
    <b:DayAccessed>26</b:DayAccessed>
    <b:URL>https://www.theculturefactor.com/country-comparison-tool?countries=japan%2Cunited+states</b:URL>
    <b:RefOrder>7</b:RefOrder>
  </b:Source>
  <b:Source>
    <b:Tag>Kat25</b:Tag>
    <b:SourceType>JournalArticle</b:SourceType>
    <b:Guid>{D97C2235-D837-4682-886B-67B4182AF2F4}</b:Guid>
    <b:Author>
      <b:Author>
        <b:NameList>
          <b:Person>
            <b:Last>Novak</b:Last>
            <b:First>Katarina</b:First>
          </b:Person>
        </b:NameList>
      </b:Author>
    </b:Author>
    <b:Title>International Market Entry Strategies and Their Influence on Global Business Expansion</b:Title>
    <b:JournalName>Journal of Research in International Business and Management</b:JournalName>
    <b:Year>2025</b:Year>
    <b:Pages>1-2</b:Pages>
    <b:Volume>12</b:Volume>
    <b:Issue>4</b:Issue>
    <b:RefOrder>8</b:RefOrder>
  </b:Source>
  <b:Source>
    <b:Tag>Bra26</b:Tag>
    <b:SourceType>InternetSite</b:SourceType>
    <b:Guid>{C7C2771D-DFCA-45B5-BDF2-B75C6F431810}</b:Guid>
    <b:Title>Automotive Industry</b:Title>
    <b:Year>2026</b:Year>
    <b:Author>
      <b:Author>
        <b:Corporate>Brand Finance</b:Corporate>
      </b:Author>
    </b:Author>
    <b:YearAccessed>2026</b:YearAccessed>
    <b:MonthAccessed>July</b:MonthAccessed>
    <b:DayAccessed>30</b:DayAccessed>
    <b:URL>https://brandirectory.com/reports/automotive-industry/2026</b:URL>
    <b:RefOrder>9</b:RefOrder>
  </b:Source>
  <b:Source>
    <b:Tag>Sat25</b:Tag>
    <b:SourceType>InternetSite</b:SourceType>
    <b:Guid>{E26F851F-7785-46AB-989F-0945B286F092}</b:Guid>
    <b:Author>
      <b:Author>
        <b:NameList>
          <b:Person>
            <b:Last>Sugiyama</b:Last>
            <b:First>Satoshi</b:First>
          </b:Person>
        </b:NameList>
      </b:Author>
    </b:Author>
    <b:Title>Japan factory output up, but soft outlook and cooling retail sales pressure economy</b:Title>
    <b:Year>2025</b:Year>
    <b:YearAccessed>2026</b:YearAccessed>
    <b:MonthAccessed>July</b:MonthAccessed>
    <b:DayAccessed>30</b:DayAccessed>
    <b:URL>https://www.reuters.com/markets/asia/japan-feb-factory-output-rises-25-on-month-2025-03-31/</b:URL>
    <b:RefOrder>10</b:RefOrder>
  </b:Source>
  <b:Source>
    <b:Tag>Jap24</b:Tag>
    <b:SourceType>InternetSite</b:SourceType>
    <b:Guid>{738B89B0-83F5-40DB-9FBF-FF87E6394F4A}</b:Guid>
    <b:Author>
      <b:Author>
        <b:Corporate>Japan Gov</b:Corporate>
      </b:Author>
    </b:Author>
    <b:Title>Together for Action: Japan’s Initiatives for Achieving the Common Goal of Net Zero by 2050</b:Title>
    <b:Year>2024</b:Year>
    <b:YearAccessed>2026</b:YearAccessed>
    <b:MonthAccessed>July</b:MonthAccessed>
    <b:DayAccessed>30</b:DayAccessed>
    <b:URL>https://www.japan.go.jp/kizuna/2024/01/together_for_action_japan_initiatives.html</b:URL>
    <b:RefOrder>11</b:RefOrder>
  </b:Source>
  <b:Source>
    <b:Tag>The254</b:Tag>
    <b:SourceType>InternetSite</b:SourceType>
    <b:Guid>{B847DA31-397E-4B5D-AB5A-E15AD14BDD5C}</b:Guid>
    <b:Author>
      <b:Author>
        <b:Corporate>The Japan Times</b:Corporate>
      </b:Author>
    </b:Author>
    <b:Title>Toyota introduces qualification system to prevent test fraud</b:Title>
    <b:Year>2025</b:Year>
    <b:YearAccessed>2026</b:YearAccessed>
    <b:MonthAccessed>July</b:MonthAccessed>
    <b:DayAccessed>30</b:DayAccessed>
    <b:URL>https://www.japantimes.co.jp/business/2025/09/10/companies/toyota-qualification-fraud/</b:URL>
    <b:RefOrder>12</b:RefOrder>
  </b:Source>
  <b:Source>
    <b:Tag>Tia24</b:Tag>
    <b:SourceType>JournalArticle</b:SourceType>
    <b:Guid>{DCC897C8-A3C3-46BD-AFFB-F8DCACAF77B2}</b:Guid>
    <b:Title>Impact of the Federal Reserve Interest Rate Hikes on the U.S. Dollar Exchange Rate</b:Title>
    <b:Year>2024</b:Year>
    <b:Author>
      <b:Author>
        <b:NameList>
          <b:Person>
            <b:Last>Tian</b:Last>
            <b:First>Mengxue</b:First>
          </b:Person>
        </b:NameList>
      </b:Author>
    </b:Author>
    <b:JournalName>Advances in Economics, Management and Political Sciences</b:JournalName>
    <b:Pages>67-72</b:Pages>
    <b:Volume>78</b:Volume>
    <b:Issue>1</b:Issue>
    <b:RefOrder>13</b:RefOrder>
  </b:Source>
  <b:Source>
    <b:Tag>Rac22</b:Tag>
    <b:SourceType>InternetSite</b:SourceType>
    <b:Guid>{57D9506F-25B4-4662-A3C9-B129D7007608}</b:Guid>
    <b:Title>Using Mind Maps: Visualizing Your Mind</b:Title>
    <b:Year>2022</b:Year>
    <b:Author>
      <b:Author>
        <b:NameList>
          <b:Person>
            <b:Last>Rachael</b:Last>
          </b:Person>
        </b:NameList>
      </b:Author>
    </b:Author>
    <b:YearAccessed>2026</b:YearAccessed>
    <b:MonthAccessed>July</b:MonthAccessed>
    <b:DayAccessed>30</b:DayAccessed>
    <b:URL>https://learningcommons.ubc.ca/using-mind-maps-visualizing-your-mind/</b:URL>
    <b:RefOrder>14</b:RefOrder>
  </b:Source>
  <b:Source>
    <b:Tag>Gre221</b:Tag>
    <b:SourceType>JournalArticle</b:SourceType>
    <b:Guid>{7FC5FE4B-E475-4779-A727-2A732CD50F49}</b:Guid>
    <b:Title>Roadblocks to fuel-cell electric vehicle diffusion: Evidence from Germany, Japan and California</b:Title>
    <b:Year>2022</b:Year>
    <b:Author>
      <b:Author>
        <b:NameList>
          <b:Person>
            <b:Last>Trencher</b:Last>
            <b:First>Gregory</b:First>
          </b:Person>
          <b:Person>
            <b:Last>Wesseling</b:Last>
            <b:First>Joeri</b:First>
          </b:Person>
        </b:NameList>
      </b:Author>
    </b:Author>
    <b:JournalName>Transportation Research Part D: Transport and Environment</b:JournalName>
    <b:Pages>103458</b:Pages>
    <b:Volume>112</b:Volume>
    <b:RefOrder>15</b:RefOrder>
  </b:Source>
  <b:Source>
    <b:Tag>San251</b:Tag>
    <b:SourceType>JournalArticle</b:SourceType>
    <b:Guid>{D495D728-3697-4F99-950C-0276B013AACC}</b:Guid>
    <b:Author>
      <b:Author>
        <b:NameList>
          <b:Person>
            <b:Last>Levasseur</b:Last>
            <b:First>Sandrine</b:First>
          </b:Person>
        </b:NameList>
      </b:Author>
    </b:Author>
    <b:Title>A two-year assessment of the IRA's subsidies to the electric vehicles in the US: Uptake and assembly plants for batteries and EVs</b:Title>
    <b:JournalName>Asia and the Global Economy</b:JournalName>
    <b:Year>2025</b:Year>
    <b:Pages>100102</b:Pages>
    <b:Volume>5</b:Volume>
    <b:Issue>1</b:Issue>
    <b:RefOrder>16</b:RefOrder>
  </b:Source>
  <b:Source>
    <b:Tag>Cla26</b:Tag>
    <b:SourceType>InternetSite</b:SourceType>
    <b:Guid>{42207392-9D7F-45B2-AB02-13AEF5F2D6A4}</b:Guid>
    <b:Title>Degree of urbanization in the United States from 1790 to 2020, and with projections until 2050</b:Title>
    <b:Year>2026</b:Year>
    <b:Author>
      <b:Author>
        <b:NameList>
          <b:Person>
            <b:Last>Clark</b:Last>
            <b:First>D.</b:First>
          </b:Person>
        </b:NameList>
      </b:Author>
    </b:Author>
    <b:YearAccessed>2026</b:YearAccessed>
    <b:MonthAccessed>July</b:MonthAccessed>
    <b:DayAccessed>30</b:DayAccessed>
    <b:URL>https://www.statista.com/statistics/269967/urbanization-in-the-united-states/</b:URL>
    <b:RefOrder>17</b:RefOrder>
  </b:Source>
  <b:Source>
    <b:Tag>Hel201</b:Tag>
    <b:SourceType>InternetSite</b:SourceType>
    <b:Guid>{6584E175-94AB-4F93-8F98-4FB53182203F}</b:Guid>
    <b:Author>
      <b:Author>
        <b:NameList>
          <b:Person>
            <b:Last>Wale</b:Last>
            <b:First>Helen</b:First>
          </b:Person>
        </b:NameList>
      </b:Author>
    </b:Author>
    <b:Title>Hofstede’s Cultural Dimensions Theory</b:Title>
    <b:Year>2020</b:Year>
    <b:YearAccessed>2026</b:YearAccessed>
    <b:MonthAccessed>July</b:MonthAccessed>
    <b:DayAccessed>30</b:DayAccessed>
    <b:URL>https://corporatefinanceinstitute.com/resources/management/hofstedes-cultural-dimensions-theory/</b:URL>
    <b:RefOrder>18</b:RefOrder>
  </b:Source>
  <b:Source>
    <b:Tag>Dav232</b:Tag>
    <b:SourceType>InternetSite</b:SourceType>
    <b:Guid>{C2D2C082-FD05-4DBC-8E6B-74B45BA8F1AE}</b:Guid>
    <b:Author>
      <b:Author>
        <b:NameList>
          <b:Person>
            <b:Last>Baek</b:Last>
            <b:First>David</b:First>
          </b:Person>
        </b:NameList>
      </b:Author>
    </b:Author>
    <b:Title>Challenges for Toyota, Daihatsu, and Hyundai: Safety Concerns and Vehicle Recalls</b:Title>
    <b:Year>2023</b:Year>
    <b:YearAccessed>2026</b:YearAccessed>
    <b:MonthAccessed>July</b:MonthAccessed>
    <b:DayAccessed>30</b:DayAccessed>
    <b:URL>https://medium.com/@davidsehyeonbaek/challenges-for-toyota-daihatsu-and-hyundai-safety-concerns-and-vehicle-recalls-84d2008630c3</b:URL>
    <b:RefOrder>19</b:RefOrder>
  </b:Source>
  <b:Source>
    <b:Tag>Toy23</b:Tag>
    <b:SourceType>InternetSite</b:SourceType>
    <b:Guid>{3BB0F67B-2B3F-4E74-9249-6485D9C4E4BE}</b:Guid>
    <b:Author>
      <b:Author>
        <b:Corporate>Toyota Industries Corporation</b:Corporate>
      </b:Author>
    </b:Author>
    <b:Title>Toyota Industries Report</b:Title>
    <b:Year>2023</b:Year>
    <b:YearAccessed>2026</b:YearAccessed>
    <b:MonthAccessed>July</b:MonthAccessed>
    <b:DayAccessed>30</b:DayAccessed>
    <b:URL>https://www.toyota-industries.com/investors/item/TICOReport2023_E_full_print.pdf</b:URL>
    <b:RefOrder>20</b:RefOrder>
  </b:Source>
  <b:Source>
    <b:Tag>Inf26</b:Tag>
    <b:SourceType>InternetSite</b:SourceType>
    <b:Guid>{5F9A82ED-C7B6-4D27-93DF-9923ECCAFCB2}</b:Guid>
    <b:Author>
      <b:Author>
        <b:Corporate>Influence Map</b:Corporate>
      </b:Author>
    </b:Author>
    <b:Title>Need for Vehicle Electrification</b:Title>
    <b:Year>2026</b:Year>
    <b:YearAccessed>2026</b:YearAccessed>
    <b:MonthAccessed>July</b:MonthAccessed>
    <b:DayAccessed>30</b:DayAccessed>
    <b:URL>https://japan.influencemap.org/policy/2035-vehicle-electrification-target-5357</b:URL>
    <b:RefOrder>21</b:RefOrder>
  </b:Source>
  <b:Source>
    <b:Tag>Glo261</b:Tag>
    <b:SourceType>InternetSite</b:SourceType>
    <b:Guid>{74A6D016-8031-4D55-826F-07551EFF9A5B}</b:Guid>
    <b:Author>
      <b:Author>
        <b:Corporate>Global Data</b:Corporate>
      </b:Author>
    </b:Author>
    <b:Title>Toyota Motor Corp - Company Profile</b:Title>
    <b:Year>2026</b:Year>
    <b:YearAccessed>2026</b:YearAccessed>
    <b:MonthAccessed>August</b:MonthAccessed>
    <b:DayAccessed>4</b:DayAccessed>
    <b:URL>https://www.globaldata.com/company-profile/toyota-motor-corp/</b:URL>
    <b:RefOrder>22</b:RefOrder>
  </b:Source>
  <b:Source>
    <b:Tag>Hin241</b:Tag>
    <b:SourceType>InternetSite</b:SourceType>
    <b:Guid>{34C8C7FD-B49B-4153-A262-7C6C892FFE87}</b:Guid>
    <b:Author>
      <b:Author>
        <b:Corporate>Hindustan Times</b:Corporate>
      </b:Author>
    </b:Author>
    <b:Title>Toyota production is falling, all because of China and Japan</b:Title>
    <b:Year>2024</b:Year>
    <b:YearAccessed>2026</b:YearAccessed>
    <b:MonthAccessed>August</b:MonthAccessed>
    <b:DayAccessed>4</b:DayAccessed>
    <b:URL>https://www.hindustantimes.com/business/toyota-production-is-falling-all-because-of-china-and-japan-101727422297380.html</b:URL>
    <b:RefOrder>23</b:RefOrder>
  </b:Source>
  <b:Source>
    <b:Tag>NIS26</b:Tag>
    <b:SourceType>InternetSite</b:SourceType>
    <b:Guid>{B5401D0C-5207-484A-8E45-90158FD6B2BC}</b:Guid>
    <b:Author>
      <b:Author>
        <b:Corporate>NIST</b:Corporate>
      </b:Author>
    </b:Author>
    <b:Title>The Rise of Artificial Intelligence (AI) in U.S. Manufacturing Text Only</b:Title>
    <b:Year>2026</b:Year>
    <b:YearAccessed>2026</b:YearAccessed>
    <b:MonthAccessed>August</b:MonthAccessed>
    <b:DayAccessed>4</b:DayAccessed>
    <b:URL>https://www.nist.gov/mep/rise-artificial-intelligence-ai-us-manufacturing-text-only</b:URL>
    <b:RefOrder>24</b:RefOrder>
  </b:Source>
  <b:Source>
    <b:Tag>NHT26</b:Tag>
    <b:SourceType>InternetSite</b:SourceType>
    <b:Guid>{022DEFBA-2521-46B4-A6A2-6B9204DCC8F0}</b:Guid>
    <b:Author>
      <b:Author>
        <b:Corporate>NHTSA</b:Corporate>
      </b:Author>
    </b:Author>
    <b:Title>Corporate Average Fuel Economy</b:Title>
    <b:Year>2026</b:Year>
    <b:YearAccessed>2026</b:YearAccessed>
    <b:MonthAccessed>August</b:MonthAccessed>
    <b:DayAccessed>4</b:DayAccessed>
    <b:URL>https://www.nhtsa.gov/laws-regulations/corporate-average-fuel-economy</b:URL>
    <b:RefOrder>25</b:RefOrder>
  </b:Source>
  <b:Source>
    <b:Tag>Toy17</b:Tag>
    <b:SourceType>InternetSite</b:SourceType>
    <b:Guid>{0EE6780B-E3F3-4160-8090-27EC6C12CD0F}</b:Guid>
    <b:Author>
      <b:Author>
        <b:Corporate>Toyota</b:Corporate>
      </b:Author>
    </b:Author>
    <b:Title>Toyota Motor Corporation to Absorb Toyota Marketing Japan Corporation</b:Title>
    <b:Year>2017</b:Year>
    <b:YearAccessed>2026</b:YearAccessed>
    <b:MonthAccessed>August</b:MonthAccessed>
    <b:DayAccessed>4</b:DayAccessed>
    <b:URL>https://global.toyota/en/newsroom/corporate/20065154.html</b:URL>
    <b:RefOrder>26</b:RefOrder>
  </b:Source>
  <b:Source>
    <b:Tag>Lea25</b:Tag>
    <b:SourceType>InternetSite</b:SourceType>
    <b:Guid>{2CC9C656-1A7C-43DB-9AB9-CE21EE55C66E}</b:Guid>
    <b:Author>
      <b:Author>
        <b:Corporate>Lean4Gain</b:Corporate>
      </b:Author>
    </b:Author>
    <b:Title>How Toyota's People-Centric Approach Retains Talent and Drives Success</b:Title>
    <b:Year>2025</b:Year>
    <b:YearAccessed>2026</b:YearAccessed>
    <b:MonthAccessed>August</b:MonthAccessed>
    <b:DayAccessed>4</b:DayAccessed>
    <b:URL>https://www.linkedin.com/pulse/how-toyotas-people-centric-approach-retains-talent-drives-success-yg9oc</b:URL>
    <b:RefOrder>27</b:RefOrder>
  </b:Source>
  <b:Source>
    <b:Tag>Aar23</b:Tag>
    <b:SourceType>InternetSite</b:SourceType>
    <b:Guid>{809E5F98-8645-43BD-A039-1B9A1FE0B8DC}</b:Guid>
    <b:Author>
      <b:Author>
        <b:NameList>
          <b:Person>
            <b:Last>Regunberg</b:Last>
            <b:First>Aaron</b:First>
          </b:Person>
          <b:Person>
            <b:Last>Arkush</b:Last>
            <b:First>David</b:First>
          </b:Person>
        </b:NameList>
      </b:Author>
    </b:Author>
    <b:Title>Letter to FTC on Toyota’s Misleading Advertising</b:Title>
    <b:Year>2023</b:Year>
    <b:YearAccessed>2026</b:YearAccessed>
    <b:MonthAccessed>August</b:MonthAccessed>
    <b:DayAccessed>4</b:DayAccessed>
    <b:URL>https://www.citizen.org/article/ftc-toyotas-misleading-advertising/</b:URL>
    <b:RefOrder>28</b:RefOrder>
  </b:Source>
  <b:Source>
    <b:Tag>Kos25</b:Tag>
    <b:SourceType>JournalArticle</b:SourceType>
    <b:Guid>{F80C3DB3-B846-4751-92BD-5B99355AA248}</b:Guid>
    <b:Title>Strategies for Companies to Enter International Markets: Literature Review and Conceptualization</b:Title>
    <b:Year>2025</b:Year>
    <b:Author>
      <b:Author>
        <b:NameList>
          <b:Person>
            <b:Last>Kostruba</b:Last>
            <b:First>Anatoliy</b:First>
          </b:Person>
          <b:Person>
            <b:Last>Kostruba</b:Last>
            <b:First>Oleksandra</b:First>
          </b:Person>
        </b:NameList>
      </b:Author>
    </b:Author>
    <b:JournalName>Danube</b:JournalName>
    <b:Pages>154-175</b:Pages>
    <b:Volume>16</b:Volume>
    <b:Issue>1</b:Issue>
    <b:RefOrder>29</b:RefOrder>
  </b:Source>
  <b:Source>
    <b:Tag>Bow14</b:Tag>
    <b:SourceType>JournalArticle</b:SourceType>
    <b:Guid>{52F83358-2355-4AA3-B6F7-7ECF7A6F30FF}</b:Guid>
    <b:Author>
      <b:Author>
        <b:NameList>
          <b:Person>
            <b:Last>Bowen</b:Last>
            <b:First>Shannon</b:First>
          </b:Person>
          <b:Person>
            <b:Last>Zheng</b:Last>
            <b:First>Yue</b:First>
          </b:Person>
        </b:NameList>
      </b:Author>
    </b:Author>
    <b:Title>Auto recall crisis, framing, and ethical response: Toyota's missteps</b:Title>
    <b:JournalName>Public Relations Review</b:JournalName>
    <b:Year>2014</b:Year>
    <b:Volume>41</b:Volume>
    <b:Issue>1</b:Issue>
    <b:RefOrder>30</b:RefOrder>
  </b:Source>
  <b:Source>
    <b:Tag>Zhe25</b:Tag>
    <b:SourceType>JournalArticle</b:SourceType>
    <b:Guid>{1C4CC17D-AAB3-49BA-8BED-72AB325AC3C5}</b:Guid>
    <b:Author>
      <b:Author>
        <b:NameList>
          <b:Person>
            <b:Last>Zheng</b:Last>
            <b:First>Fei</b:First>
          </b:Person>
          <b:Person>
            <b:Last>Zhao</b:Last>
            <b:First>Chenguang</b:First>
          </b:Person>
          <b:Person>
            <b:Last>Yasmin</b:Last>
            <b:First>Fakhra</b:First>
          </b:Person>
          <b:Person>
            <b:Last>Sokolova</b:Last>
            <b:First>Marcela</b:First>
          </b:Person>
        </b:NameList>
      </b:Author>
    </b:Author>
    <b:Title>Hofstede's cultural dimensions and proactive behavior as the antecedents of entrepreneurial innovativeness</b:Title>
    <b:Year>2025</b:Year>
    <b:JournalName>Acta Psychologica</b:JournalName>
    <b:RefOrder>31</b:RefOrder>
  </b:Source>
  <b:Source>
    <b:Tag>Mir227</b:Tag>
    <b:SourceType>JournalArticle</b:SourceType>
    <b:Guid>{1F939FD6-B945-421E-BF98-8B363AD54221}</b:Guid>
    <b:Author>
      <b:Author>
        <b:NameList>
          <b:Person>
            <b:Last>Simnica</b:Last>
            <b:First>Mirsad</b:First>
          </b:Person>
        </b:NameList>
      </b:Author>
    </b:Author>
    <b:Title>THE CONNECTION BETWEEN MARKETING AND INNOVATION: TOYOTA CASE STUDY</b:Title>
    <b:JournalName>IJECM</b:JournalName>
    <b:Year>2022</b:Year>
    <b:Pages>289-301</b:Pages>
    <b:Volume>10</b:Volume>
    <b:Issue>7</b:Issue>
    <b:RefOrder>32</b:RefOrder>
  </b:Source>
  <b:Source>
    <b:Tag>Gon24</b:Tag>
    <b:SourceType>JournalArticle</b:SourceType>
    <b:Guid>{01108927-AA5A-4DA3-8F22-6335FA9E1570}</b:Guid>
    <b:Author>
      <b:Author>
        <b:NameList>
          <b:Person>
            <b:Last>Gonzalez-Argote</b:Last>
            <b:First>Denis</b:First>
          </b:Person>
          <b:Person>
            <b:Last>Vitón Castillo</b:Last>
            <b:First>Adrián</b:First>
          </b:Person>
          <b:Person>
            <b:Last>Gonzalez-Argote</b:Last>
            <b:First>Javier</b:First>
          </b:Person>
        </b:NameList>
      </b:Author>
    </b:Author>
    <b:Title>Application of augmented reality in automotive industry</b:Title>
    <b:JournalName>EAI Endorsed Transactions on Internet of Things</b:JournalName>
    <b:Year>2024</b:Year>
    <b:RefOrder>33</b:RefOrder>
  </b:Source>
  <b:Source>
    <b:Tag>Isi25</b:Tag>
    <b:SourceType>JournalArticle</b:SourceType>
    <b:Guid>{0889FF09-9CC3-454E-AA3B-6D0123C57EF8}</b:Guid>
    <b:Author>
      <b:Author>
        <b:NameList>
          <b:Person>
            <b:Last>Ibrahim</b:Last>
            <b:First>Isiaka</b:First>
          </b:Person>
          <b:Person>
            <b:Last>Thomas</b:Last>
            <b:First>Parker</b:First>
          </b:Person>
          <b:Person>
            <b:Last>Adhikari</b:Last>
            <b:First>Pratik</b:First>
          </b:Person>
        </b:NameList>
      </b:Author>
    </b:Author>
    <b:Title>The Integration of Artificial Intelligence in Engineering Design, Manufacturing, and CAD: A Triangular Revolution of Innovation, Efficiency, and Automation</b:Title>
    <b:JournalName>Global Journal of Engineering and Technology Advances</b:JournalName>
    <b:Year>2025</b:Year>
    <b:Pages>269-278</b:Pages>
    <b:Volume>24</b:Volume>
    <b:Issue>2</b:Issue>
    <b:RefOrder>34</b:RefOrder>
  </b:Source>
  <b:Source>
    <b:Tag>Tho25</b:Tag>
    <b:SourceType>JournalArticle</b:SourceType>
    <b:Guid>{B7459DC3-158E-4D6B-8C84-6CCF7CAD783E}</b:Guid>
    <b:Author>
      <b:Author>
        <b:NameList>
          <b:Person>
            <b:Last>Fugger</b:Last>
            <b:First>Thomas</b:First>
          </b:Person>
          <b:Person>
            <b:Last>Poligkeit</b:Last>
            <b:First>Joseph</b:First>
          </b:Person>
          <b:Person>
            <b:Last>Herrmann</b:Last>
            <b:First>Christoph</b:First>
          </b:Person>
        </b:NameList>
      </b:Author>
    </b:Author>
    <b:Title>Decarbonization in the automotive sector: A scenario-based analysis of original equipment manufacturer pathways</b:Title>
    <b:JournalName>Cleaner Environmental Systems</b:JournalName>
    <b:Year>2025</b:Year>
    <b:Pages>100336</b:Pages>
    <b:Volume>19</b:Volume>
    <b:Issue>1</b:Issue>
    <b:RefOrder>35</b:RefOrder>
  </b:Source>
  <b:Source>
    <b:Tag>Pan231</b:Tag>
    <b:SourceType>JournalArticle</b:SourceType>
    <b:Guid>{783BA7AF-2836-4B98-A54A-92774FE53D83}</b:Guid>
    <b:Author>
      <b:Author>
        <b:NameList>
          <b:Person>
            <b:Last>Pan</b:Last>
            <b:First>Guanyu</b:First>
          </b:Person>
        </b:NameList>
      </b:Author>
    </b:Author>
    <b:Title>The Impact of Exchange Rate Fluctuation on Toyota Financial Performance and Its Hedging Strategy</b:Title>
    <b:JournalName>BCP Business &amp; Management</b:JournalName>
    <b:Year>2023</b:Year>
    <b:Pages>270-276</b:Pages>
    <b:Volume>43</b:Volume>
    <b:Issue>1</b:Issue>
    <b:RefOrder>36</b:RefOrder>
  </b:Source>
</b:Sources>
</file>

<file path=customXml/itemProps1.xml><?xml version="1.0" encoding="utf-8"?>
<ds:datastoreItem xmlns:ds="http://schemas.openxmlformats.org/officeDocument/2006/customXml" ds:itemID="{F981B4CA-5365-4231-9FA6-364F498C687E}">
  <ds:schemaRefs/>
</ds:datastoreItem>
</file>

<file path=docProps/app.xml><?xml version="1.0" encoding="utf-8"?>
<Properties xmlns="http://schemas.openxmlformats.org/officeDocument/2006/extended-properties" xmlns:vt="http://schemas.openxmlformats.org/officeDocument/2006/docPropsVTypes">
  <Template>Normal</Template>
  <Pages>26</Pages>
  <Words>6019</Words>
  <Characters>38131</Characters>
  <Lines>344</Lines>
  <Paragraphs>97</Paragraphs>
  <TotalTime>476</TotalTime>
  <ScaleCrop>false</ScaleCrop>
  <LinksUpToDate>false</LinksUpToDate>
  <CharactersWithSpaces>44033</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2026-08-01T11:03:00Z</dcterms:created>
  <dc:creator>Roshan Shah</dc:creator>
  <cp:lastModifiedBy>Roshan Shah</cp:lastModifiedBy>
  <dcterms:modified xsi:type="dcterms:W3CDTF">2026-08-08T10:34:04Z</dcterms:modified>
  <cp:revision>33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f76dc34b-814c-4681-8a0e-d41caf2c229d</vt:lpwstr>
  </property>
  <property fmtid="{D5CDD505-2E9C-101B-9397-08002B2CF9AE}" pid="3" name="KSOTemplateDocerSaveRecord">
    <vt:lpwstr>eyJoZGlkIjoiYTA5NjFmZjdmYzRhZDY1NTA1Njc4MTdmM2ZlMmQ0YmMiLCJ1c2VySWQiOiI1NjczODgwNjU3NTEifQ==</vt:lpwstr>
  </property>
  <property fmtid="{D5CDD505-2E9C-101B-9397-08002B2CF9AE}" pid="4" name="KSOProductBuildVer">
    <vt:lpwstr>1033-12.1.0.28032</vt:lpwstr>
  </property>
  <property fmtid="{D5CDD505-2E9C-101B-9397-08002B2CF9AE}" pid="5" name="ICV">
    <vt:lpwstr>BB584FE4040B44508B761A216342722E_12</vt:lpwstr>
  </property>
</Properties>
</file>